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8187" w14:textId="7A762389" w:rsidR="00CA470F" w:rsidRPr="00491D38" w:rsidRDefault="00E16795" w:rsidP="00491D38">
      <w:pPr>
        <w:pStyle w:val="1MainTitle"/>
        <w:jc w:val="left"/>
      </w:pPr>
      <w:r>
        <w:t>6.05</w:t>
      </w:r>
      <w:r w:rsidR="00872E8F" w:rsidRPr="00A6439B">
        <w:tab/>
      </w:r>
      <w:r w:rsidR="00323AF9" w:rsidRPr="00323AF9">
        <w:t>INFLIXIMAB</w:t>
      </w:r>
      <w:r w:rsidR="70971A32" w:rsidRPr="00A6439B">
        <w:t>,</w:t>
      </w:r>
      <w:r w:rsidR="00872E8F" w:rsidRPr="00A6439B">
        <w:br/>
      </w:r>
      <w:r w:rsidR="00A84CFF" w:rsidRPr="00A84CFF">
        <w:t>Solution for injection 120 mg in 1 mL pre-filled pen</w:t>
      </w:r>
      <w:r w:rsidR="70971A32" w:rsidRPr="00A6439B">
        <w:t>,</w:t>
      </w:r>
      <w:r w:rsidR="00A84CFF">
        <w:br/>
      </w:r>
      <w:r w:rsidR="007F3AFB" w:rsidRPr="007F3AFB">
        <w:t>Solution for injection 120 mg in 1 mL pre-filled syringe</w:t>
      </w:r>
      <w:r w:rsidR="00742F9F">
        <w:t>,</w:t>
      </w:r>
      <w:r w:rsidR="00872E8F" w:rsidRPr="00A6439B">
        <w:br/>
      </w:r>
      <w:r w:rsidR="00FC5A2D" w:rsidRPr="00FC5A2D">
        <w:t>Remsima® SC</w:t>
      </w:r>
      <w:r w:rsidR="70971A32" w:rsidRPr="00A6439B">
        <w:t>,</w:t>
      </w:r>
      <w:r w:rsidR="00872E8F" w:rsidRPr="00A6439B">
        <w:br/>
      </w:r>
      <w:r w:rsidR="0032608B" w:rsidRPr="0032608B">
        <w:t>CELLTRION HEALTHCARE AUSTRALIA PTY LTD</w:t>
      </w:r>
      <w:bookmarkStart w:id="0" w:name="_Hlk178594335"/>
      <w:bookmarkStart w:id="1" w:name="_Hlk178594585"/>
    </w:p>
    <w:bookmarkEnd w:id="0"/>
    <w:bookmarkEnd w:id="1"/>
    <w:p w14:paraId="5F4D54C1" w14:textId="22AA859E" w:rsidR="00E11F44" w:rsidRPr="00A6439B" w:rsidRDefault="007E490F" w:rsidP="00CD6257">
      <w:pPr>
        <w:pStyle w:val="2-SectionHeading"/>
        <w:rPr>
          <w:rFonts w:cstheme="minorHAnsi"/>
          <w:color w:val="FF0000"/>
        </w:rPr>
      </w:pPr>
      <w:r w:rsidRPr="007E1673">
        <w:t xml:space="preserve">Purpose of </w:t>
      </w:r>
      <w:r w:rsidR="00FA0B04" w:rsidRPr="007E1673">
        <w:t>Submission</w:t>
      </w:r>
    </w:p>
    <w:p w14:paraId="1B64C81B" w14:textId="615200F8" w:rsidR="0073736F" w:rsidRPr="00482F80" w:rsidRDefault="47EF2039" w:rsidP="001B72F0">
      <w:pPr>
        <w:pStyle w:val="3-BodyText"/>
        <w:spacing w:before="0"/>
      </w:pPr>
      <w:r w:rsidRPr="0CEE6DE9">
        <w:t xml:space="preserve">The Category </w:t>
      </w:r>
      <w:r w:rsidR="7BB49B82" w:rsidRPr="0CEE6DE9">
        <w:t>3</w:t>
      </w:r>
      <w:r w:rsidRPr="0CEE6DE9">
        <w:t xml:space="preserve"> submission </w:t>
      </w:r>
      <w:r w:rsidR="55285308" w:rsidRPr="0CEE6DE9">
        <w:t>requested</w:t>
      </w:r>
      <w:r w:rsidRPr="0CEE6DE9">
        <w:t xml:space="preserve"> </w:t>
      </w:r>
      <w:r w:rsidR="7B71E1C1" w:rsidRPr="0CEE6DE9">
        <w:t xml:space="preserve">an amendment to the </w:t>
      </w:r>
      <w:r w:rsidR="4E3041CA" w:rsidRPr="0CEE6DE9">
        <w:t xml:space="preserve">restriction level of </w:t>
      </w:r>
      <w:r w:rsidR="6364B481" w:rsidRPr="0CEE6DE9">
        <w:t xml:space="preserve">infliximab (IFX) </w:t>
      </w:r>
      <w:r w:rsidR="277C845D" w:rsidRPr="0CEE6DE9">
        <w:t>120</w:t>
      </w:r>
      <w:r w:rsidR="5534EE3A" w:rsidRPr="0CEE6DE9">
        <w:t> </w:t>
      </w:r>
      <w:r w:rsidR="277C845D" w:rsidRPr="0CEE6DE9">
        <w:t>mg in 1</w:t>
      </w:r>
      <w:r w:rsidR="4E75B0F0" w:rsidRPr="0CEE6DE9">
        <w:t> </w:t>
      </w:r>
      <w:r w:rsidR="277C845D" w:rsidRPr="0CEE6DE9">
        <w:t xml:space="preserve">mL </w:t>
      </w:r>
      <w:r w:rsidR="6364B481" w:rsidRPr="0CEE6DE9">
        <w:t>subcutaneous (SC) injection (</w:t>
      </w:r>
      <w:r w:rsidR="4E75B0F0" w:rsidRPr="0CEE6DE9">
        <w:t>Remsima® SC</w:t>
      </w:r>
      <w:r w:rsidR="6364B481" w:rsidRPr="0CEE6DE9">
        <w:t>)</w:t>
      </w:r>
      <w:r w:rsidR="01F22F45" w:rsidRPr="0CEE6DE9">
        <w:t xml:space="preserve"> </w:t>
      </w:r>
      <w:r w:rsidR="2B042BA1" w:rsidRPr="0CEE6DE9">
        <w:rPr>
          <w:rFonts w:eastAsiaTheme="minorEastAsia"/>
        </w:rPr>
        <w:t xml:space="preserve">from </w:t>
      </w:r>
      <w:r w:rsidR="699144ED" w:rsidRPr="0CEE6DE9">
        <w:t xml:space="preserve">Authority Required (Written or Telephone/Online) (hereafter referred to as </w:t>
      </w:r>
      <w:r w:rsidR="00C8276F">
        <w:t>‘Authority Required’</w:t>
      </w:r>
      <w:r w:rsidR="699144ED" w:rsidRPr="0CEE6DE9">
        <w:t xml:space="preserve">) to Authority Required (STREAMLINED) (hereafter referred to as </w:t>
      </w:r>
      <w:r w:rsidR="00C8276F">
        <w:t>‘</w:t>
      </w:r>
      <w:r w:rsidR="00F37FC5">
        <w:t>S</w:t>
      </w:r>
      <w:r w:rsidR="004937BF">
        <w:t>treamlined</w:t>
      </w:r>
      <w:r w:rsidR="00C8276F">
        <w:t>’</w:t>
      </w:r>
      <w:r w:rsidR="699144ED" w:rsidRPr="0CEE6DE9">
        <w:t>)</w:t>
      </w:r>
      <w:r w:rsidR="2B042BA1" w:rsidRPr="0CEE6DE9">
        <w:rPr>
          <w:rFonts w:eastAsiaTheme="minorEastAsia"/>
        </w:rPr>
        <w:t xml:space="preserve"> for the </w:t>
      </w:r>
      <w:r w:rsidR="62DD7113" w:rsidRPr="0CEE6DE9">
        <w:rPr>
          <w:rFonts w:eastAsiaTheme="minorEastAsia"/>
        </w:rPr>
        <w:t xml:space="preserve">continuing treatment and </w:t>
      </w:r>
      <w:r w:rsidR="00574D30" w:rsidRPr="0CEE6DE9">
        <w:rPr>
          <w:rFonts w:eastAsiaTheme="minorEastAsia"/>
        </w:rPr>
        <w:t>b</w:t>
      </w:r>
      <w:r w:rsidR="00FA27C1" w:rsidRPr="0CEE6DE9">
        <w:rPr>
          <w:rFonts w:eastAsiaTheme="minorEastAsia"/>
        </w:rPr>
        <w:t xml:space="preserve">alance of </w:t>
      </w:r>
      <w:r w:rsidR="00574D30" w:rsidRPr="0CEE6DE9">
        <w:rPr>
          <w:rFonts w:eastAsiaTheme="minorEastAsia"/>
        </w:rPr>
        <w:t>s</w:t>
      </w:r>
      <w:r w:rsidR="00FA27C1" w:rsidRPr="0CEE6DE9">
        <w:rPr>
          <w:rFonts w:eastAsiaTheme="minorEastAsia"/>
        </w:rPr>
        <w:t>upply</w:t>
      </w:r>
      <w:r w:rsidR="68FC11E9" w:rsidRPr="0CEE6DE9">
        <w:rPr>
          <w:rFonts w:eastAsiaTheme="minorEastAsia"/>
        </w:rPr>
        <w:t xml:space="preserve"> </w:t>
      </w:r>
      <w:r w:rsidR="00DD5E61">
        <w:rPr>
          <w:rFonts w:eastAsiaTheme="minorEastAsia"/>
        </w:rPr>
        <w:t>of</w:t>
      </w:r>
      <w:r w:rsidR="1D9E053D" w:rsidRPr="0CEE6DE9">
        <w:rPr>
          <w:rFonts w:eastAsiaTheme="minorEastAsia"/>
        </w:rPr>
        <w:t xml:space="preserve"> </w:t>
      </w:r>
      <w:r w:rsidR="62DD7113" w:rsidRPr="0CEE6DE9">
        <w:rPr>
          <w:rFonts w:eastAsiaTheme="minorEastAsia"/>
        </w:rPr>
        <w:t>the</w:t>
      </w:r>
      <w:r w:rsidR="00DD5E61">
        <w:rPr>
          <w:rFonts w:eastAsiaTheme="minorEastAsia"/>
        </w:rPr>
        <w:t xml:space="preserve"> listings with the</w:t>
      </w:r>
      <w:r w:rsidR="62DD7113" w:rsidRPr="0CEE6DE9">
        <w:rPr>
          <w:rFonts w:eastAsiaTheme="minorEastAsia"/>
        </w:rPr>
        <w:t xml:space="preserve"> </w:t>
      </w:r>
      <w:r w:rsidR="2B042BA1" w:rsidRPr="0CEE6DE9">
        <w:rPr>
          <w:rFonts w:eastAsiaTheme="minorEastAsia"/>
        </w:rPr>
        <w:t>following</w:t>
      </w:r>
      <w:r w:rsidR="00DC719C" w:rsidRPr="0CEE6DE9">
        <w:rPr>
          <w:rFonts w:eastAsiaTheme="minorEastAsia"/>
        </w:rPr>
        <w:t xml:space="preserve"> </w:t>
      </w:r>
      <w:r w:rsidR="4F0F2069" w:rsidRPr="0CEE6DE9">
        <w:rPr>
          <w:rFonts w:eastAsiaTheme="minorEastAsia"/>
        </w:rPr>
        <w:t>indications</w:t>
      </w:r>
      <w:r w:rsidR="26906152" w:rsidRPr="0CEE6DE9">
        <w:rPr>
          <w:rFonts w:eastAsiaTheme="minorEastAsia"/>
        </w:rPr>
        <w:t>:</w:t>
      </w:r>
    </w:p>
    <w:p w14:paraId="03494F69" w14:textId="77777777" w:rsidR="00764A82" w:rsidRDefault="00764A82" w:rsidP="00764A82">
      <w:pPr>
        <w:pStyle w:val="3-BodyText"/>
        <w:numPr>
          <w:ilvl w:val="0"/>
          <w:numId w:val="20"/>
        </w:numPr>
        <w:spacing w:before="0"/>
      </w:pPr>
      <w:bookmarkStart w:id="2" w:name="_Hlk188624574"/>
      <w:r w:rsidRPr="002A3059">
        <w:t>Ankylosing spondylitis</w:t>
      </w:r>
      <w:r>
        <w:t xml:space="preserve"> (AS)</w:t>
      </w:r>
    </w:p>
    <w:p w14:paraId="47789B77" w14:textId="5BE4C881" w:rsidR="00576D0B" w:rsidRDefault="00576D0B" w:rsidP="001B72F0">
      <w:pPr>
        <w:pStyle w:val="3-BodyText"/>
        <w:numPr>
          <w:ilvl w:val="0"/>
          <w:numId w:val="20"/>
        </w:numPr>
        <w:spacing w:before="0"/>
      </w:pPr>
      <w:r w:rsidRPr="00982974">
        <w:t>Severe Crohn disease</w:t>
      </w:r>
      <w:r w:rsidR="005F33E8">
        <w:t xml:space="preserve"> (CD)</w:t>
      </w:r>
    </w:p>
    <w:p w14:paraId="158F8A3B" w14:textId="77777777" w:rsidR="00764A82" w:rsidRDefault="00764A82" w:rsidP="00764A82">
      <w:pPr>
        <w:pStyle w:val="3-BodyText"/>
        <w:numPr>
          <w:ilvl w:val="0"/>
          <w:numId w:val="20"/>
        </w:numPr>
        <w:spacing w:before="0"/>
      </w:pPr>
      <w:r w:rsidRPr="003C6B22">
        <w:t>Severe chronic plaque psoriasis</w:t>
      </w:r>
      <w:r>
        <w:t xml:space="preserve"> (CPP)</w:t>
      </w:r>
    </w:p>
    <w:p w14:paraId="06359075" w14:textId="71EC3B05" w:rsidR="00576D0B" w:rsidRDefault="00576D0B" w:rsidP="001B72F0">
      <w:pPr>
        <w:pStyle w:val="3-BodyText"/>
        <w:numPr>
          <w:ilvl w:val="0"/>
          <w:numId w:val="20"/>
        </w:numPr>
        <w:spacing w:before="0"/>
      </w:pPr>
      <w:r w:rsidRPr="00CD59A8">
        <w:t>Severe psoriatic arthritis</w:t>
      </w:r>
      <w:r w:rsidR="001C1DB7">
        <w:t xml:space="preserve"> (PsA)</w:t>
      </w:r>
    </w:p>
    <w:p w14:paraId="1E9C20BA" w14:textId="77777777" w:rsidR="00764A82" w:rsidRDefault="00764A82" w:rsidP="00764A82">
      <w:pPr>
        <w:pStyle w:val="3-BodyText"/>
        <w:numPr>
          <w:ilvl w:val="0"/>
          <w:numId w:val="20"/>
        </w:numPr>
        <w:spacing w:before="0"/>
      </w:pPr>
      <w:r w:rsidRPr="00982974">
        <w:t>Severe active rheumatoid arthritis</w:t>
      </w:r>
      <w:r>
        <w:t xml:space="preserve"> (RA)</w:t>
      </w:r>
    </w:p>
    <w:p w14:paraId="4AA1CCA2" w14:textId="05A1BC92" w:rsidR="00576D0B" w:rsidRDefault="00576D0B" w:rsidP="001B72F0">
      <w:pPr>
        <w:pStyle w:val="3-BodyText"/>
        <w:numPr>
          <w:ilvl w:val="0"/>
          <w:numId w:val="20"/>
        </w:numPr>
        <w:spacing w:before="0"/>
      </w:pPr>
      <w:r w:rsidRPr="00556D93">
        <w:t xml:space="preserve">Complex refractory </w:t>
      </w:r>
      <w:r w:rsidR="00512532">
        <w:t>f</w:t>
      </w:r>
      <w:r w:rsidR="00512532" w:rsidRPr="00556D93">
        <w:t xml:space="preserve">istulising </w:t>
      </w:r>
      <w:r w:rsidRPr="00556D93">
        <w:t>Crohn disease</w:t>
      </w:r>
      <w:r w:rsidR="0029587F">
        <w:t xml:space="preserve"> </w:t>
      </w:r>
      <w:r w:rsidR="0029587F" w:rsidRPr="00EA5DF1">
        <w:t>(</w:t>
      </w:r>
      <w:r w:rsidR="0029587F" w:rsidRPr="00EA5DF1">
        <w:rPr>
          <w:rFonts w:cstheme="minorHAnsi"/>
        </w:rPr>
        <w:t>RFCD)</w:t>
      </w:r>
    </w:p>
    <w:p w14:paraId="52633B6E" w14:textId="7D314ADA" w:rsidR="00764A82" w:rsidRDefault="00764A82" w:rsidP="00764A82">
      <w:pPr>
        <w:pStyle w:val="3-BodyText"/>
        <w:numPr>
          <w:ilvl w:val="0"/>
          <w:numId w:val="20"/>
        </w:numPr>
        <w:spacing w:before="0"/>
      </w:pPr>
      <w:r w:rsidRPr="00983F28">
        <w:t>Moderate to severe ulcerative colitis</w:t>
      </w:r>
      <w:r>
        <w:t xml:space="preserve"> (UC)</w:t>
      </w:r>
    </w:p>
    <w:bookmarkEnd w:id="2"/>
    <w:p w14:paraId="3D1D4320" w14:textId="77777777" w:rsidR="007E490F" w:rsidRPr="00A6439B" w:rsidRDefault="007E490F" w:rsidP="00896E2E">
      <w:pPr>
        <w:pStyle w:val="2-SectionHeading"/>
      </w:pPr>
      <w:r w:rsidRPr="00A6439B">
        <w:t xml:space="preserve">Background </w:t>
      </w:r>
    </w:p>
    <w:p w14:paraId="7006FE86" w14:textId="3C83CA6C" w:rsidR="0031552C" w:rsidRPr="00E2513C" w:rsidRDefault="002403AE" w:rsidP="0031552C">
      <w:pPr>
        <w:pStyle w:val="3-BodyText"/>
      </w:pPr>
      <w:r>
        <w:t xml:space="preserve">Remsima SC is the only brand of SC IFX </w:t>
      </w:r>
      <w:r w:rsidR="00556EB9">
        <w:t xml:space="preserve">listed on the PBS. </w:t>
      </w:r>
      <w:r w:rsidR="00824F03" w:rsidRPr="0CEE6DE9">
        <w:t xml:space="preserve">Two forms </w:t>
      </w:r>
      <w:r w:rsidR="00295760">
        <w:t>are listed</w:t>
      </w:r>
      <w:r w:rsidR="00D27A2C">
        <w:t>:</w:t>
      </w:r>
      <w:r w:rsidR="00295760">
        <w:t xml:space="preserve"> </w:t>
      </w:r>
      <w:r w:rsidR="00C95C7B" w:rsidRPr="0CEE6DE9">
        <w:t>120</w:t>
      </w:r>
      <w:r w:rsidR="00743131" w:rsidRPr="0CEE6DE9">
        <w:t> </w:t>
      </w:r>
      <w:r w:rsidR="00C95C7B" w:rsidRPr="0CEE6DE9">
        <w:t>mg pre-filled syringe (PFS) and 120</w:t>
      </w:r>
      <w:r w:rsidR="00743131" w:rsidRPr="0CEE6DE9">
        <w:t> </w:t>
      </w:r>
      <w:r w:rsidR="00C95C7B" w:rsidRPr="0CEE6DE9">
        <w:t>mg pre</w:t>
      </w:r>
      <w:r w:rsidR="00C95C7B">
        <w:noBreakHyphen/>
      </w:r>
      <w:r w:rsidR="00C95C7B" w:rsidRPr="0CEE6DE9">
        <w:t>filled</w:t>
      </w:r>
      <w:r w:rsidR="001F2311" w:rsidRPr="0CEE6DE9">
        <w:t xml:space="preserve"> </w:t>
      </w:r>
      <w:r w:rsidR="00C95C7B" w:rsidRPr="0CEE6DE9">
        <w:t>pen (PFP)</w:t>
      </w:r>
      <w:r w:rsidR="00D27A2C">
        <w:t xml:space="preserve">. </w:t>
      </w:r>
      <w:r w:rsidR="002401AC">
        <w:t>T</w:t>
      </w:r>
      <w:r w:rsidR="002401AC" w:rsidRPr="0CEE6DE9">
        <w:t xml:space="preserve">he initial and continuing treatment </w:t>
      </w:r>
      <w:r w:rsidR="002873DE">
        <w:t>restrictions of SC IFX are</w:t>
      </w:r>
      <w:r w:rsidR="001F2311" w:rsidRPr="0CEE6DE9">
        <w:t xml:space="preserve"> </w:t>
      </w:r>
      <w:r w:rsidR="00BB2A86">
        <w:t>Authority Required</w:t>
      </w:r>
      <w:r w:rsidR="00780A29" w:rsidRPr="0CEE6DE9">
        <w:t xml:space="preserve"> </w:t>
      </w:r>
      <w:r w:rsidR="00E63384" w:rsidRPr="0CEE6DE9">
        <w:t>for</w:t>
      </w:r>
      <w:r w:rsidR="00CD700B">
        <w:t xml:space="preserve"> </w:t>
      </w:r>
      <w:r w:rsidR="002873DE">
        <w:t>each of the listed indications</w:t>
      </w:r>
      <w:r w:rsidR="006F5630">
        <w:t>.</w:t>
      </w:r>
    </w:p>
    <w:p w14:paraId="710BE002" w14:textId="7B209630" w:rsidR="00065995" w:rsidRDefault="002A2A52" w:rsidP="0031552C">
      <w:pPr>
        <w:pStyle w:val="3-BodyText"/>
      </w:pPr>
      <w:r w:rsidRPr="002A2A52">
        <w:t xml:space="preserve">Unlike the 100 mg intravenous (IV) formulation, </w:t>
      </w:r>
      <w:r w:rsidR="0031552C">
        <w:t>SC IFX</w:t>
      </w:r>
      <w:r w:rsidRPr="002A2A52">
        <w:t xml:space="preserve"> is</w:t>
      </w:r>
      <w:r w:rsidR="00E3632C">
        <w:t xml:space="preserve"> only</w:t>
      </w:r>
      <w:r w:rsidRPr="002A2A52">
        <w:t xml:space="preserve"> </w:t>
      </w:r>
      <w:r w:rsidR="00E3632C">
        <w:t xml:space="preserve">recommended for adults and is </w:t>
      </w:r>
      <w:r w:rsidRPr="002A2A52">
        <w:t>not approved</w:t>
      </w:r>
      <w:r w:rsidR="00E42B30" w:rsidRPr="00E42B30">
        <w:t xml:space="preserve"> </w:t>
      </w:r>
      <w:r w:rsidR="00E42B30" w:rsidRPr="002A2A52">
        <w:t>by the Therapeutic Goods Administration (TGA)</w:t>
      </w:r>
      <w:r w:rsidRPr="002A2A52">
        <w:t xml:space="preserve"> for </w:t>
      </w:r>
      <w:r w:rsidR="00E42B30">
        <w:t>the treatment of</w:t>
      </w:r>
      <w:r w:rsidRPr="002A2A52">
        <w:t xml:space="preserve"> </w:t>
      </w:r>
      <w:r w:rsidR="0031552C">
        <w:t>CD, UC</w:t>
      </w:r>
      <w:r w:rsidR="007C2CAC">
        <w:t>,</w:t>
      </w:r>
      <w:r w:rsidRPr="002A2A52">
        <w:t xml:space="preserve"> or acute severe UC in children and adolescents aged 6-17 years. The safety and efficacy of Remsima® SC therapy in individuals under 18 years have not been established, with no available data.</w:t>
      </w:r>
    </w:p>
    <w:p w14:paraId="1E8C3B83" w14:textId="2D103D6E" w:rsidR="00A77C4F" w:rsidRDefault="00E3632C">
      <w:pPr>
        <w:pStyle w:val="3-BodyText"/>
      </w:pPr>
      <w:r>
        <w:t>The</w:t>
      </w:r>
      <w:r w:rsidR="6F6F8B19" w:rsidRPr="0CEE6DE9">
        <w:t xml:space="preserve"> </w:t>
      </w:r>
      <w:r w:rsidR="67128D8F" w:rsidRPr="0CEE6DE9">
        <w:t>TGA Product Information (PI)</w:t>
      </w:r>
      <w:r w:rsidR="00D00F7B">
        <w:t xml:space="preserve"> states that</w:t>
      </w:r>
      <w:r w:rsidR="67128D8F" w:rsidRPr="0CEE6DE9">
        <w:t xml:space="preserve"> t</w:t>
      </w:r>
      <w:r w:rsidR="6F6F8B19" w:rsidRPr="0CEE6DE9">
        <w:t xml:space="preserve">reatment with IFX administered subcutaneously should be initiated as maintenance therapy 4 weeks after the last administration of two </w:t>
      </w:r>
      <w:r w:rsidR="00334ECD" w:rsidRPr="0CEE6DE9">
        <w:t>IV IFX</w:t>
      </w:r>
      <w:r w:rsidR="6F6F8B19" w:rsidRPr="0CEE6DE9">
        <w:t xml:space="preserve"> infusions</w:t>
      </w:r>
      <w:r w:rsidR="212688E1" w:rsidRPr="0CEE6DE9">
        <w:t>,</w:t>
      </w:r>
      <w:r w:rsidR="6F6F8B19" w:rsidRPr="0CEE6DE9">
        <w:t xml:space="preserve"> with the exception of the RA indication for </w:t>
      </w:r>
      <w:r w:rsidR="6F6F8B19" w:rsidRPr="0CEE6DE9">
        <w:lastRenderedPageBreak/>
        <w:t xml:space="preserve">which it may be initiated with or without </w:t>
      </w:r>
      <w:r w:rsidR="00334ECD" w:rsidRPr="0CEE6DE9">
        <w:t>IV IFX</w:t>
      </w:r>
      <w:r w:rsidR="6F6F8B19" w:rsidRPr="0CEE6DE9">
        <w:t xml:space="preserve"> loading doses. The recommended maintenance dose for </w:t>
      </w:r>
      <w:r w:rsidR="00334ECD" w:rsidRPr="0CEE6DE9">
        <w:t>SC IFX</w:t>
      </w:r>
      <w:r w:rsidR="6F6F8B19" w:rsidRPr="0CEE6DE9">
        <w:t xml:space="preserve"> is 120 mg once every 2 weeks for all indications.</w:t>
      </w:r>
    </w:p>
    <w:p w14:paraId="33C2C319" w14:textId="66DF215F" w:rsidR="007E490F" w:rsidRPr="00A6439B" w:rsidRDefault="007E490F" w:rsidP="00691A2C">
      <w:pPr>
        <w:pStyle w:val="4-SubsectionHeading"/>
      </w:pPr>
      <w:r w:rsidRPr="00691A2C">
        <w:t>Registration</w:t>
      </w:r>
      <w:r w:rsidRPr="00A6439B">
        <w:t xml:space="preserve"> status</w:t>
      </w:r>
    </w:p>
    <w:p w14:paraId="5AFBD962" w14:textId="05A797B2" w:rsidR="00054DD6" w:rsidRDefault="00334ECD" w:rsidP="000E64F2">
      <w:pPr>
        <w:pStyle w:val="3-BodyText"/>
      </w:pPr>
      <w:r w:rsidRPr="0CEE6DE9">
        <w:t>SC IFX</w:t>
      </w:r>
      <w:r w:rsidR="00A811DD" w:rsidRPr="0CEE6DE9">
        <w:t xml:space="preserve"> </w:t>
      </w:r>
      <w:r w:rsidR="0091597D" w:rsidRPr="0CEE6DE9">
        <w:t xml:space="preserve">120 mg PFP and PFS were </w:t>
      </w:r>
      <w:r w:rsidR="007E490F" w:rsidRPr="0CEE6DE9">
        <w:t xml:space="preserve">TGA registered on </w:t>
      </w:r>
      <w:r w:rsidR="006D62F1" w:rsidRPr="0CEE6DE9">
        <w:t xml:space="preserve">25 August 2021 </w:t>
      </w:r>
      <w:r w:rsidR="007E490F" w:rsidRPr="0CEE6DE9">
        <w:t>for</w:t>
      </w:r>
      <w:r w:rsidR="00362662" w:rsidRPr="0CEE6DE9">
        <w:t xml:space="preserve"> the </w:t>
      </w:r>
      <w:r w:rsidR="0049642F" w:rsidRPr="0CEE6DE9">
        <w:t xml:space="preserve">currently </w:t>
      </w:r>
      <w:r w:rsidR="00F01AEB" w:rsidRPr="0CEE6DE9">
        <w:t>PBS-</w:t>
      </w:r>
      <w:r w:rsidR="0049642F" w:rsidRPr="0CEE6DE9">
        <w:t>listed indications</w:t>
      </w:r>
      <w:r w:rsidR="00B558F2" w:rsidRPr="00B558F2">
        <w:rPr>
          <w:iCs/>
        </w:rPr>
        <w:t xml:space="preserve"> </w:t>
      </w:r>
      <w:r w:rsidR="00B558F2" w:rsidRPr="00BC13F4">
        <w:rPr>
          <w:iCs/>
        </w:rPr>
        <w:t xml:space="preserve">as a new strength </w:t>
      </w:r>
      <w:r w:rsidR="00054DD6">
        <w:rPr>
          <w:iCs/>
        </w:rPr>
        <w:t>with an</w:t>
      </w:r>
      <w:r w:rsidR="00B558F2">
        <w:rPr>
          <w:iCs/>
        </w:rPr>
        <w:t xml:space="preserve"> alternative</w:t>
      </w:r>
      <w:r w:rsidR="00B558F2" w:rsidRPr="00BC13F4">
        <w:rPr>
          <w:iCs/>
        </w:rPr>
        <w:t xml:space="preserve"> route of administration </w:t>
      </w:r>
      <w:r w:rsidR="00054DD6">
        <w:rPr>
          <w:iCs/>
        </w:rPr>
        <w:t>to</w:t>
      </w:r>
      <w:r w:rsidR="00B558F2" w:rsidRPr="00BC13F4">
        <w:rPr>
          <w:iCs/>
        </w:rPr>
        <w:t xml:space="preserve"> IV IFX (paragraph 2.1, infliximab SC, Public Summary Document (PSD), November</w:t>
      </w:r>
      <w:r w:rsidR="005D3ACC">
        <w:rPr>
          <w:iCs/>
        </w:rPr>
        <w:t> </w:t>
      </w:r>
      <w:r w:rsidR="00B558F2" w:rsidRPr="00BC13F4">
        <w:rPr>
          <w:iCs/>
        </w:rPr>
        <w:t>2020 PBAC meeting)</w:t>
      </w:r>
      <w:r w:rsidR="006D62F1" w:rsidRPr="0CEE6DE9">
        <w:t>.</w:t>
      </w:r>
    </w:p>
    <w:p w14:paraId="7B2A20F9" w14:textId="474F266A" w:rsidR="000E64F2" w:rsidRPr="000E64F2" w:rsidRDefault="00152CCA" w:rsidP="000E64F2">
      <w:pPr>
        <w:pStyle w:val="3-BodyText"/>
      </w:pPr>
      <w:r w:rsidRPr="0CEE6DE9">
        <w:t xml:space="preserve">As per the PI, </w:t>
      </w:r>
      <w:r w:rsidR="00633ADF">
        <w:t>“</w:t>
      </w:r>
      <w:r w:rsidR="00633ADF" w:rsidRPr="0CEE6DE9">
        <w:t>Remsima</w:t>
      </w:r>
      <w:r w:rsidRPr="0CEE6DE9">
        <w:t>® (IFX) is an approved biosimilar to the reference product Remicade® (IFX). Comparability in safety, efficacy, and quality between Remsima® and Remicade® has been established.</w:t>
      </w:r>
      <w:r w:rsidR="00633ADF">
        <w:t>”</w:t>
      </w:r>
      <w:r w:rsidR="00633ADF" w:rsidRPr="00BC13F4">
        <w:rPr>
          <w:iCs/>
        </w:rPr>
        <w:t xml:space="preserve"> </w:t>
      </w:r>
      <w:r w:rsidR="00650FA4">
        <w:rPr>
          <w:iCs/>
        </w:rPr>
        <w:t>T</w:t>
      </w:r>
      <w:r w:rsidR="00FF385B" w:rsidRPr="00BC13F4">
        <w:rPr>
          <w:iCs/>
        </w:rPr>
        <w:t xml:space="preserve">he PI </w:t>
      </w:r>
      <w:r w:rsidR="00650FA4">
        <w:rPr>
          <w:iCs/>
        </w:rPr>
        <w:t>wa</w:t>
      </w:r>
      <w:r w:rsidR="00650FA4" w:rsidRPr="00BC13F4">
        <w:rPr>
          <w:iCs/>
        </w:rPr>
        <w:t xml:space="preserve">s </w:t>
      </w:r>
      <w:r w:rsidR="00FF385B" w:rsidRPr="00BC13F4">
        <w:rPr>
          <w:iCs/>
        </w:rPr>
        <w:t xml:space="preserve">not specific about whether </w:t>
      </w:r>
      <w:r w:rsidR="00AA25A8">
        <w:rPr>
          <w:iCs/>
        </w:rPr>
        <w:t xml:space="preserve">this applies to just the </w:t>
      </w:r>
      <w:r w:rsidR="00FF385B" w:rsidRPr="00BC13F4">
        <w:rPr>
          <w:iCs/>
        </w:rPr>
        <w:t xml:space="preserve">IV form or </w:t>
      </w:r>
      <w:r w:rsidR="00AA25A8">
        <w:rPr>
          <w:iCs/>
        </w:rPr>
        <w:t>both forms</w:t>
      </w:r>
      <w:r w:rsidR="00FF385B" w:rsidRPr="00BC13F4">
        <w:rPr>
          <w:iCs/>
        </w:rPr>
        <w:t xml:space="preserve"> of Remsima</w:t>
      </w:r>
      <w:r w:rsidR="00F8202D" w:rsidRPr="00BC13F4">
        <w:rPr>
          <w:iCs/>
        </w:rPr>
        <w:t>.</w:t>
      </w:r>
    </w:p>
    <w:p w14:paraId="0094486E" w14:textId="77777777" w:rsidR="007E490F" w:rsidRPr="00A6439B" w:rsidRDefault="007E490F" w:rsidP="00691A2C">
      <w:pPr>
        <w:pStyle w:val="4-SubsectionHeading"/>
      </w:pPr>
      <w:r w:rsidRPr="0CEE6DE9">
        <w:t xml:space="preserve">Previous PBAC consideration </w:t>
      </w:r>
    </w:p>
    <w:p w14:paraId="28826366" w14:textId="09733AEB" w:rsidR="00527365" w:rsidRPr="00EC7B65" w:rsidRDefault="004B217D" w:rsidP="00EC7B65">
      <w:pPr>
        <w:pStyle w:val="3-BodyText"/>
      </w:pPr>
      <w:bookmarkStart w:id="3" w:name="_Ref188273387"/>
      <w:r>
        <w:t>At its November 2020 meeting, t</w:t>
      </w:r>
      <w:r w:rsidR="001A1B69">
        <w:t xml:space="preserve">he PBAC first recommended </w:t>
      </w:r>
      <w:r w:rsidR="000C317F">
        <w:t xml:space="preserve">listing </w:t>
      </w:r>
      <w:r w:rsidR="00334ECD" w:rsidRPr="0CEE6DE9">
        <w:t>SC IFX</w:t>
      </w:r>
      <w:r w:rsidR="4BB0003E" w:rsidRPr="0CEE6DE9">
        <w:t xml:space="preserve"> </w:t>
      </w:r>
      <w:r w:rsidR="1983C0B3" w:rsidRPr="0CEE6DE9">
        <w:t xml:space="preserve">PFP and PFS </w:t>
      </w:r>
      <w:r w:rsidR="4BB0003E" w:rsidRPr="0CEE6DE9">
        <w:t xml:space="preserve">for </w:t>
      </w:r>
      <w:r w:rsidR="4957B974" w:rsidRPr="0CEE6DE9">
        <w:t xml:space="preserve">the treatment of </w:t>
      </w:r>
      <w:r w:rsidR="4BB0003E" w:rsidRPr="0CEE6DE9">
        <w:t>severe active RA, moderate to severe UC</w:t>
      </w:r>
      <w:r w:rsidR="2389355F" w:rsidRPr="0CEE6DE9">
        <w:t>,</w:t>
      </w:r>
      <w:r w:rsidR="4BB0003E" w:rsidRPr="0CEE6DE9">
        <w:t xml:space="preserve"> and severe refractory CD on a cost minimisation basis to </w:t>
      </w:r>
      <w:r w:rsidR="00334ECD" w:rsidRPr="0CEE6DE9">
        <w:t>IV IFX</w:t>
      </w:r>
      <w:r w:rsidR="4BB0003E" w:rsidRPr="0CEE6DE9">
        <w:t xml:space="preserve"> (paragraph 7.1, </w:t>
      </w:r>
      <w:r w:rsidR="6193B02B" w:rsidRPr="0CEE6DE9">
        <w:t xml:space="preserve">infliximab SC, </w:t>
      </w:r>
      <w:r w:rsidR="4BB0003E" w:rsidRPr="0CEE6DE9">
        <w:t>P</w:t>
      </w:r>
      <w:r w:rsidR="2D5EDA90" w:rsidRPr="0CEE6DE9">
        <w:t>S</w:t>
      </w:r>
      <w:r w:rsidR="4BB0003E" w:rsidRPr="0CEE6DE9">
        <w:t>D, November</w:t>
      </w:r>
      <w:r w:rsidR="005D3ACC">
        <w:t> </w:t>
      </w:r>
      <w:r w:rsidR="4BB0003E" w:rsidRPr="0CEE6DE9">
        <w:t>202</w:t>
      </w:r>
      <w:r w:rsidR="61E3B558" w:rsidRPr="0CEE6DE9">
        <w:t>0</w:t>
      </w:r>
      <w:r w:rsidR="4BB0003E" w:rsidRPr="0CEE6DE9">
        <w:t xml:space="preserve"> PBAC meeting).</w:t>
      </w:r>
      <w:r w:rsidR="6F75C909" w:rsidRPr="0CEE6DE9">
        <w:t xml:space="preserve"> </w:t>
      </w:r>
      <w:r w:rsidR="524E7DAD" w:rsidRPr="0CEE6DE9">
        <w:t>The PBAC considered that a SC formulation of IFX provides an additional patient-relevant option for maintenance therapy in RA, UC</w:t>
      </w:r>
      <w:r w:rsidR="7D79DCD9" w:rsidRPr="0CEE6DE9">
        <w:t>,</w:t>
      </w:r>
      <w:r w:rsidR="524E7DAD" w:rsidRPr="0CEE6DE9">
        <w:t xml:space="preserve"> and CD (</w:t>
      </w:r>
      <w:r w:rsidR="3C7F6321" w:rsidRPr="0CEE6DE9">
        <w:t>paragraph</w:t>
      </w:r>
      <w:r w:rsidR="524E7DAD" w:rsidRPr="0CEE6DE9">
        <w:t xml:space="preserve"> 7.4). </w:t>
      </w:r>
      <w:r w:rsidR="6F75C909" w:rsidRPr="0CEE6DE9">
        <w:t>The PBAC considered that</w:t>
      </w:r>
      <w:r w:rsidR="24169CE7" w:rsidRPr="0CEE6DE9">
        <w:t xml:space="preserve"> the</w:t>
      </w:r>
      <w:r w:rsidR="6F75C909" w:rsidRPr="0CEE6DE9">
        <w:t xml:space="preserve"> restrictions</w:t>
      </w:r>
      <w:r w:rsidR="24169CE7" w:rsidRPr="0CEE6DE9">
        <w:t xml:space="preserve"> of</w:t>
      </w:r>
      <w:r w:rsidR="69E0B9AE" w:rsidRPr="0CEE6DE9">
        <w:t xml:space="preserve"> the</w:t>
      </w:r>
      <w:r w:rsidR="6F75C909" w:rsidRPr="0CEE6DE9">
        <w:t xml:space="preserve"> </w:t>
      </w:r>
      <w:r w:rsidR="00334ECD" w:rsidRPr="0CEE6DE9">
        <w:t xml:space="preserve">SC </w:t>
      </w:r>
      <w:r w:rsidR="69E0B9AE" w:rsidRPr="0CEE6DE9">
        <w:t xml:space="preserve">form of </w:t>
      </w:r>
      <w:r w:rsidR="00334ECD" w:rsidRPr="0CEE6DE9">
        <w:t>IFX</w:t>
      </w:r>
      <w:r w:rsidR="6F75C909" w:rsidRPr="0CEE6DE9">
        <w:t xml:space="preserve"> should not be based on</w:t>
      </w:r>
      <w:r w:rsidR="06780F49" w:rsidRPr="0CEE6DE9">
        <w:t xml:space="preserve"> the</w:t>
      </w:r>
      <w:r w:rsidR="6F75C909" w:rsidRPr="0CEE6DE9">
        <w:t xml:space="preserve"> biosimilar </w:t>
      </w:r>
      <w:r w:rsidR="41C95276" w:rsidRPr="0CEE6DE9">
        <w:t xml:space="preserve">preferred prescribing </w:t>
      </w:r>
      <w:r w:rsidR="6F75C909" w:rsidRPr="0CEE6DE9">
        <w:t>policy</w:t>
      </w:r>
      <w:r w:rsidR="4FFE0690" w:rsidRPr="0CEE6DE9">
        <w:t>,</w:t>
      </w:r>
      <w:r w:rsidR="6F75C909" w:rsidRPr="0CEE6DE9">
        <w:t xml:space="preserve"> as the </w:t>
      </w:r>
      <w:r w:rsidR="2FF33D97" w:rsidRPr="0CEE6DE9">
        <w:t xml:space="preserve">assertion </w:t>
      </w:r>
      <w:r w:rsidR="6F75C909" w:rsidRPr="0CEE6DE9">
        <w:t xml:space="preserve">of biosimilarity for the purposes of PBS listing </w:t>
      </w:r>
      <w:r w:rsidR="22415EF3" w:rsidRPr="0CEE6DE9">
        <w:t xml:space="preserve">was </w:t>
      </w:r>
      <w:r w:rsidR="7E35F535" w:rsidRPr="0CEE6DE9">
        <w:t xml:space="preserve">not valid </w:t>
      </w:r>
      <w:r w:rsidR="6F75C909" w:rsidRPr="0CEE6DE9">
        <w:t>given the different routes of administration and evidence of different pharmacokinetic profiles (</w:t>
      </w:r>
      <w:r w:rsidR="752FF802" w:rsidRPr="0CEE6DE9">
        <w:t xml:space="preserve">paragraph 7.6, infliximab SC, </w:t>
      </w:r>
      <w:r w:rsidR="00F87AC8">
        <w:t>PSD</w:t>
      </w:r>
      <w:r w:rsidR="752FF802" w:rsidRPr="0CEE6DE9">
        <w:t>, November 2020 PBAC meeting).</w:t>
      </w:r>
      <w:bookmarkEnd w:id="3"/>
    </w:p>
    <w:p w14:paraId="3C4EB4E0" w14:textId="36CD17CB" w:rsidR="0076216D" w:rsidRPr="00EC7B65" w:rsidRDefault="00756DE4" w:rsidP="00EC7B65">
      <w:pPr>
        <w:pStyle w:val="3-BodyText"/>
      </w:pPr>
      <w:r>
        <w:t>At the same meeting</w:t>
      </w:r>
      <w:r w:rsidR="0E246D09" w:rsidRPr="0CEE6DE9">
        <w:t xml:space="preserve">, the PBAC advised that the </w:t>
      </w:r>
      <w:r w:rsidR="00334ECD" w:rsidRPr="0CEE6DE9">
        <w:t>SC IFX</w:t>
      </w:r>
      <w:r w:rsidR="0E246D09" w:rsidRPr="0CEE6DE9">
        <w:t xml:space="preserve"> restrictions should have an initial SC restriction that allow</w:t>
      </w:r>
      <w:r w:rsidR="63400F5F" w:rsidRPr="0CEE6DE9">
        <w:t xml:space="preserve">s </w:t>
      </w:r>
      <w:r w:rsidR="00E6566E">
        <w:t xml:space="preserve">a </w:t>
      </w:r>
      <w:r w:rsidR="0E246D09" w:rsidRPr="0CEE6DE9">
        <w:t xml:space="preserve">transition from IV to SC </w:t>
      </w:r>
      <w:r w:rsidR="63400F5F" w:rsidRPr="0CEE6DE9">
        <w:t xml:space="preserve">at </w:t>
      </w:r>
      <w:r w:rsidR="0E246D09" w:rsidRPr="0CEE6DE9">
        <w:t xml:space="preserve">Week 6 </w:t>
      </w:r>
      <w:r w:rsidR="63400F5F" w:rsidRPr="0CEE6DE9">
        <w:t xml:space="preserve">through to </w:t>
      </w:r>
      <w:r w:rsidR="0E246D09" w:rsidRPr="0CEE6DE9">
        <w:t xml:space="preserve">assessment </w:t>
      </w:r>
      <w:r w:rsidR="63400F5F" w:rsidRPr="0CEE6DE9">
        <w:t xml:space="preserve">at </w:t>
      </w:r>
      <w:r w:rsidR="0E246D09" w:rsidRPr="0CEE6DE9">
        <w:t xml:space="preserve">Week 12, and a </w:t>
      </w:r>
      <w:r w:rsidR="00574D30" w:rsidRPr="0CEE6DE9">
        <w:t>b</w:t>
      </w:r>
      <w:r w:rsidR="00FA27C1" w:rsidRPr="0CEE6DE9">
        <w:t xml:space="preserve">alance of </w:t>
      </w:r>
      <w:r w:rsidR="00574D30" w:rsidRPr="0CEE6DE9">
        <w:t>s</w:t>
      </w:r>
      <w:r w:rsidR="00FA27C1" w:rsidRPr="0CEE6DE9">
        <w:t>upply</w:t>
      </w:r>
      <w:r w:rsidR="0E246D09" w:rsidRPr="0CEE6DE9">
        <w:t xml:space="preserve"> </w:t>
      </w:r>
      <w:r w:rsidR="00AF4B62">
        <w:t xml:space="preserve">listing </w:t>
      </w:r>
      <w:r w:rsidR="0E246D09" w:rsidRPr="0CEE6DE9">
        <w:t xml:space="preserve">to complete </w:t>
      </w:r>
      <w:r w:rsidR="1DF28C71" w:rsidRPr="0CEE6DE9">
        <w:t>the treatment</w:t>
      </w:r>
      <w:r w:rsidR="0E246D09" w:rsidRPr="0CEE6DE9">
        <w:t xml:space="preserve"> </w:t>
      </w:r>
      <w:r w:rsidR="00AF4B62">
        <w:t>(</w:t>
      </w:r>
      <w:r w:rsidR="00AF4B62" w:rsidRPr="0CEE6DE9">
        <w:t>initial and continuing</w:t>
      </w:r>
      <w:r w:rsidR="00AF4B62">
        <w:t>)</w:t>
      </w:r>
      <w:r w:rsidR="00AF4B62" w:rsidRPr="0CEE6DE9">
        <w:t xml:space="preserve"> </w:t>
      </w:r>
      <w:r w:rsidR="1DF28C71" w:rsidRPr="0CEE6DE9">
        <w:t>for</w:t>
      </w:r>
      <w:r w:rsidR="61DB7C73" w:rsidRPr="0CEE6DE9">
        <w:t xml:space="preserve"> </w:t>
      </w:r>
      <w:r w:rsidR="0E246D09" w:rsidRPr="0CEE6DE9">
        <w:t xml:space="preserve">each indication. </w:t>
      </w:r>
      <w:r w:rsidR="10F7D708" w:rsidRPr="0CEE6DE9">
        <w:t>The PBAC also considered a</w:t>
      </w:r>
      <w:r w:rsidR="0E246D09" w:rsidRPr="0CEE6DE9">
        <w:t xml:space="preserve"> </w:t>
      </w:r>
      <w:r w:rsidR="003131B5">
        <w:t>‘</w:t>
      </w:r>
      <w:r w:rsidR="0E246D09" w:rsidRPr="0CEE6DE9">
        <w:t>continuing</w:t>
      </w:r>
      <w:r w:rsidR="003131B5">
        <w:t>’</w:t>
      </w:r>
      <w:r w:rsidR="0E246D09" w:rsidRPr="0CEE6DE9">
        <w:t xml:space="preserve"> restriction </w:t>
      </w:r>
      <w:r w:rsidR="10F7D708" w:rsidRPr="0CEE6DE9">
        <w:t>would</w:t>
      </w:r>
      <w:r w:rsidR="0E246D09" w:rsidRPr="0CEE6DE9">
        <w:t xml:space="preserve"> be required</w:t>
      </w:r>
      <w:r w:rsidR="00B9421F">
        <w:t xml:space="preserve"> </w:t>
      </w:r>
      <w:r w:rsidR="00EA5E2D">
        <w:t>as</w:t>
      </w:r>
      <w:r w:rsidR="00B9421F">
        <w:t xml:space="preserve"> </w:t>
      </w:r>
      <w:r w:rsidR="0E246D09" w:rsidRPr="0CEE6DE9">
        <w:t>‘first</w:t>
      </w:r>
      <w:r w:rsidR="003131B5">
        <w:t xml:space="preserve"> continuing’</w:t>
      </w:r>
      <w:r w:rsidR="0E246D09" w:rsidRPr="0CEE6DE9">
        <w:t xml:space="preserve"> and </w:t>
      </w:r>
      <w:r w:rsidR="003131B5">
        <w:t>‘</w:t>
      </w:r>
      <w:r w:rsidR="0E246D09" w:rsidRPr="0CEE6DE9">
        <w:t>subsequent continuing</w:t>
      </w:r>
      <w:r w:rsidR="003131B5">
        <w:t>’</w:t>
      </w:r>
      <w:r w:rsidR="0E246D09" w:rsidRPr="0CEE6DE9">
        <w:t xml:space="preserve"> restriction</w:t>
      </w:r>
      <w:r w:rsidR="003131B5">
        <w:t>s</w:t>
      </w:r>
      <w:r w:rsidR="0E246D09" w:rsidRPr="0CEE6DE9">
        <w:t xml:space="preserve"> </w:t>
      </w:r>
      <w:r w:rsidR="00EA5E2D">
        <w:t>would</w:t>
      </w:r>
      <w:r w:rsidR="00B9421F">
        <w:t xml:space="preserve"> not be</w:t>
      </w:r>
      <w:r w:rsidR="0E246D09" w:rsidRPr="0CEE6DE9">
        <w:t xml:space="preserve"> applicable (</w:t>
      </w:r>
      <w:r w:rsidR="3CA0CBFE" w:rsidRPr="0CEE6DE9">
        <w:t xml:space="preserve">paragraph 7.8, infliximab SC, </w:t>
      </w:r>
      <w:r w:rsidR="00F87AC8">
        <w:t>PSD</w:t>
      </w:r>
      <w:r w:rsidR="3CA0CBFE" w:rsidRPr="0CEE6DE9">
        <w:t>, November 2020 PBAC meeting</w:t>
      </w:r>
      <w:r w:rsidR="428E224F" w:rsidRPr="0CEE6DE9">
        <w:t>).</w:t>
      </w:r>
    </w:p>
    <w:p w14:paraId="7CA5CE9C" w14:textId="7F00B347" w:rsidR="00000ECC" w:rsidRPr="00EC7B65" w:rsidRDefault="004C2F58" w:rsidP="00EC7B65">
      <w:pPr>
        <w:pStyle w:val="3-BodyText"/>
        <w:rPr>
          <w:szCs w:val="24"/>
        </w:rPr>
      </w:pPr>
      <w:r w:rsidRPr="00EC7B65">
        <w:rPr>
          <w:szCs w:val="24"/>
        </w:rPr>
        <w:t xml:space="preserve">At its March 2022 meeting, the PBAC subsequently recommended the listing of </w:t>
      </w:r>
      <w:r w:rsidR="00334ECD" w:rsidRPr="00EC7B65">
        <w:rPr>
          <w:szCs w:val="24"/>
        </w:rPr>
        <w:t>SC IFX</w:t>
      </w:r>
      <w:r w:rsidRPr="00EC7B65">
        <w:rPr>
          <w:szCs w:val="24"/>
        </w:rPr>
        <w:t xml:space="preserve"> for </w:t>
      </w:r>
      <w:r w:rsidR="00E87364" w:rsidRPr="00EC7B65">
        <w:rPr>
          <w:szCs w:val="24"/>
        </w:rPr>
        <w:t xml:space="preserve">the treatment of </w:t>
      </w:r>
      <w:r w:rsidRPr="00EC7B65">
        <w:rPr>
          <w:szCs w:val="24"/>
        </w:rPr>
        <w:t xml:space="preserve">AS, severe CPP, severe active PsA, and complex RFCD on a cost minimisation basis to </w:t>
      </w:r>
      <w:r w:rsidR="00334ECD" w:rsidRPr="00EC7B65">
        <w:rPr>
          <w:szCs w:val="24"/>
        </w:rPr>
        <w:t>IV IFX</w:t>
      </w:r>
      <w:r w:rsidRPr="00EC7B65">
        <w:rPr>
          <w:szCs w:val="24"/>
        </w:rPr>
        <w:t>, and advised that the</w:t>
      </w:r>
      <w:r w:rsidR="00D147F0">
        <w:rPr>
          <w:szCs w:val="24"/>
        </w:rPr>
        <w:t xml:space="preserve"> claim of</w:t>
      </w:r>
      <w:r w:rsidRPr="00EC7B65">
        <w:rPr>
          <w:szCs w:val="24"/>
        </w:rPr>
        <w:t xml:space="preserve"> </w:t>
      </w:r>
      <w:r w:rsidR="004D2AF1">
        <w:rPr>
          <w:szCs w:val="24"/>
        </w:rPr>
        <w:t xml:space="preserve">the </w:t>
      </w:r>
      <w:r w:rsidRPr="00EC7B65">
        <w:rPr>
          <w:szCs w:val="24"/>
        </w:rPr>
        <w:t xml:space="preserve">non-inferior effectiveness and safety of </w:t>
      </w:r>
      <w:r w:rsidR="00334ECD" w:rsidRPr="00EC7B65">
        <w:rPr>
          <w:szCs w:val="24"/>
        </w:rPr>
        <w:t>SC IFX</w:t>
      </w:r>
      <w:r w:rsidRPr="00EC7B65">
        <w:rPr>
          <w:szCs w:val="24"/>
        </w:rPr>
        <w:t xml:space="preserve"> to </w:t>
      </w:r>
      <w:r w:rsidR="00334ECD" w:rsidRPr="00EC7B65">
        <w:rPr>
          <w:szCs w:val="24"/>
        </w:rPr>
        <w:t>IV IFX</w:t>
      </w:r>
      <w:r w:rsidRPr="00EC7B65">
        <w:rPr>
          <w:szCs w:val="24"/>
        </w:rPr>
        <w:t xml:space="preserve"> was likely to be reasonable based on the presented clinical studies and pharmacokinetic modelling study </w:t>
      </w:r>
      <w:r w:rsidR="005F3C36" w:rsidRPr="00EC7B65">
        <w:rPr>
          <w:szCs w:val="24"/>
        </w:rPr>
        <w:t xml:space="preserve">(paragraphs </w:t>
      </w:r>
      <w:r w:rsidR="001E288B" w:rsidRPr="00EC7B65">
        <w:rPr>
          <w:szCs w:val="24"/>
        </w:rPr>
        <w:t>6.1 and 6.5</w:t>
      </w:r>
      <w:r w:rsidR="005F3C36" w:rsidRPr="00EC7B65">
        <w:rPr>
          <w:szCs w:val="24"/>
        </w:rPr>
        <w:t xml:space="preserve">, infliximab SC, </w:t>
      </w:r>
      <w:r w:rsidR="00F87AC8">
        <w:rPr>
          <w:szCs w:val="24"/>
        </w:rPr>
        <w:t>PSD</w:t>
      </w:r>
      <w:r w:rsidR="005F3C36" w:rsidRPr="00EC7B65">
        <w:rPr>
          <w:szCs w:val="24"/>
        </w:rPr>
        <w:t xml:space="preserve">, </w:t>
      </w:r>
      <w:r w:rsidR="001E288B" w:rsidRPr="00EC7B65">
        <w:rPr>
          <w:szCs w:val="24"/>
        </w:rPr>
        <w:t xml:space="preserve">March 2022 </w:t>
      </w:r>
      <w:r w:rsidR="005F3C36" w:rsidRPr="00EC7B65">
        <w:rPr>
          <w:szCs w:val="24"/>
        </w:rPr>
        <w:t>PBAC meeting).</w:t>
      </w:r>
    </w:p>
    <w:p w14:paraId="0F66FEE9" w14:textId="5898EBC7" w:rsidR="00A4129A" w:rsidRDefault="00B31295" w:rsidP="00EC7B65">
      <w:pPr>
        <w:pStyle w:val="3-BodyText"/>
        <w:rPr>
          <w:szCs w:val="24"/>
        </w:rPr>
      </w:pPr>
      <w:r w:rsidRPr="00EC7B65">
        <w:rPr>
          <w:szCs w:val="24"/>
        </w:rPr>
        <w:t xml:space="preserve">The PBAC has not </w:t>
      </w:r>
      <w:r w:rsidR="00841193">
        <w:rPr>
          <w:szCs w:val="24"/>
        </w:rPr>
        <w:t>re</w:t>
      </w:r>
      <w:r w:rsidRPr="00EC7B65">
        <w:rPr>
          <w:szCs w:val="24"/>
        </w:rPr>
        <w:t xml:space="preserve">considered </w:t>
      </w:r>
      <w:r w:rsidR="00841193">
        <w:rPr>
          <w:szCs w:val="24"/>
        </w:rPr>
        <w:t>the authority</w:t>
      </w:r>
      <w:r w:rsidRPr="00EC7B65">
        <w:rPr>
          <w:szCs w:val="24"/>
        </w:rPr>
        <w:t xml:space="preserve"> level of </w:t>
      </w:r>
      <w:r w:rsidR="00334ECD" w:rsidRPr="00EC7B65">
        <w:rPr>
          <w:szCs w:val="24"/>
        </w:rPr>
        <w:t>SC IFX</w:t>
      </w:r>
      <w:r w:rsidRPr="00EC7B65">
        <w:rPr>
          <w:szCs w:val="24"/>
        </w:rPr>
        <w:t xml:space="preserve"> </w:t>
      </w:r>
      <w:r w:rsidR="000849A1" w:rsidRPr="00EC7B65">
        <w:rPr>
          <w:szCs w:val="24"/>
        </w:rPr>
        <w:t>in the continuing treatment phase</w:t>
      </w:r>
      <w:r w:rsidR="002408AE">
        <w:rPr>
          <w:szCs w:val="24"/>
        </w:rPr>
        <w:t xml:space="preserve"> </w:t>
      </w:r>
      <w:r w:rsidR="00F37FC5">
        <w:rPr>
          <w:szCs w:val="24"/>
        </w:rPr>
        <w:t>since first recommending it for listing</w:t>
      </w:r>
      <w:r w:rsidR="000849A1" w:rsidRPr="00EC7B65">
        <w:rPr>
          <w:szCs w:val="24"/>
        </w:rPr>
        <w:t>.</w:t>
      </w:r>
    </w:p>
    <w:p w14:paraId="7D9A2774" w14:textId="77777777" w:rsidR="00A4129A" w:rsidRDefault="00A4129A">
      <w:pPr>
        <w:jc w:val="left"/>
        <w:rPr>
          <w:rFonts w:asciiTheme="minorHAnsi" w:eastAsiaTheme="minorHAnsi" w:hAnsiTheme="minorHAnsi" w:cstheme="minorBidi"/>
        </w:rPr>
      </w:pPr>
      <w:r>
        <w:br w:type="page"/>
      </w:r>
    </w:p>
    <w:p w14:paraId="1B8790B6" w14:textId="77777777" w:rsidR="00964A9F" w:rsidRPr="00A6439B" w:rsidRDefault="00964A9F" w:rsidP="007A7D8E">
      <w:pPr>
        <w:pStyle w:val="2-SectionHeading"/>
        <w:spacing w:before="120"/>
      </w:pPr>
      <w:r w:rsidRPr="00A6439B">
        <w:lastRenderedPageBreak/>
        <w:t xml:space="preserve">Requested listing </w:t>
      </w:r>
    </w:p>
    <w:p w14:paraId="6A82745A" w14:textId="7571B781" w:rsidR="002128C7" w:rsidRDefault="722A080D" w:rsidP="00874448">
      <w:pPr>
        <w:pStyle w:val="3-BodyText"/>
      </w:pPr>
      <w:r w:rsidRPr="0CEE6DE9">
        <w:t xml:space="preserve">The submission requested changing the restriction level </w:t>
      </w:r>
      <w:r w:rsidR="001D45AA" w:rsidRPr="0CEE6DE9">
        <w:t xml:space="preserve">of </w:t>
      </w:r>
      <w:r w:rsidRPr="0CEE6DE9">
        <w:t xml:space="preserve">the </w:t>
      </w:r>
      <w:r w:rsidR="008438B6">
        <w:t>SC IFX</w:t>
      </w:r>
      <w:r w:rsidR="002128C7">
        <w:t>:</w:t>
      </w:r>
    </w:p>
    <w:p w14:paraId="135AD275" w14:textId="4AC2AD93" w:rsidR="008438B6" w:rsidRDefault="722A080D" w:rsidP="00541450">
      <w:pPr>
        <w:pStyle w:val="3-BodyText"/>
        <w:numPr>
          <w:ilvl w:val="3"/>
          <w:numId w:val="47"/>
        </w:numPr>
        <w:ind w:left="1134"/>
      </w:pPr>
      <w:r w:rsidRPr="0CEE6DE9">
        <w:t xml:space="preserve">continuing treatment </w:t>
      </w:r>
      <w:r w:rsidR="008438B6">
        <w:t xml:space="preserve">listings across all </w:t>
      </w:r>
      <w:r w:rsidR="00FA2BC2">
        <w:t>indications</w:t>
      </w:r>
      <w:r w:rsidR="00416B1C">
        <w:t xml:space="preserve"> </w:t>
      </w:r>
      <w:r w:rsidR="00416B1C" w:rsidRPr="0CEE6DE9">
        <w:t xml:space="preserve">from </w:t>
      </w:r>
      <w:r w:rsidR="00416B1C">
        <w:t>Authority Required</w:t>
      </w:r>
      <w:r w:rsidR="00416B1C" w:rsidRPr="0CEE6DE9">
        <w:t xml:space="preserve"> to </w:t>
      </w:r>
      <w:r w:rsidR="00416B1C">
        <w:t>Streamlined</w:t>
      </w:r>
      <w:r w:rsidR="00416B1C" w:rsidRPr="0CEE6DE9">
        <w:t xml:space="preserve"> </w:t>
      </w:r>
      <w:r w:rsidRPr="0CEE6DE9">
        <w:t xml:space="preserve">to align with other disease-modifying anti-rheumatic drugs (DMARDs) that have </w:t>
      </w:r>
      <w:r w:rsidR="00BB2A86">
        <w:t>Streamlined</w:t>
      </w:r>
      <w:r w:rsidRPr="0CEE6DE9">
        <w:t xml:space="preserve"> restrictions</w:t>
      </w:r>
      <w:r w:rsidR="00DA7A72">
        <w:t>, and</w:t>
      </w:r>
    </w:p>
    <w:p w14:paraId="0EFEB742" w14:textId="20063062" w:rsidR="00F568FC" w:rsidRPr="00874448" w:rsidRDefault="00941B6A" w:rsidP="00541450">
      <w:pPr>
        <w:pStyle w:val="3-BodyText"/>
        <w:numPr>
          <w:ilvl w:val="3"/>
          <w:numId w:val="47"/>
        </w:numPr>
        <w:ind w:left="1134"/>
      </w:pPr>
      <w:r>
        <w:t xml:space="preserve">continuing </w:t>
      </w:r>
      <w:r w:rsidR="002128C7">
        <w:t xml:space="preserve">treatment </w:t>
      </w:r>
      <w:r w:rsidR="00F568FC" w:rsidRPr="0CEE6DE9">
        <w:t xml:space="preserve">balance of supply </w:t>
      </w:r>
      <w:r w:rsidR="008438B6">
        <w:t>listings</w:t>
      </w:r>
      <w:r w:rsidR="00F568FC" w:rsidRPr="0CEE6DE9">
        <w:t xml:space="preserve"> for the CD,</w:t>
      </w:r>
      <w:r w:rsidR="00633572" w:rsidRPr="00633572">
        <w:t xml:space="preserve"> </w:t>
      </w:r>
      <w:r w:rsidR="00633572" w:rsidRPr="0CEE6DE9">
        <w:t>RA</w:t>
      </w:r>
      <w:r w:rsidR="00F568FC" w:rsidRPr="0CEE6DE9">
        <w:t xml:space="preserve"> and UC indications from </w:t>
      </w:r>
      <w:r w:rsidR="00BB2A86">
        <w:t>Authority Required</w:t>
      </w:r>
      <w:r w:rsidR="00F568FC" w:rsidRPr="0CEE6DE9">
        <w:t xml:space="preserve"> to </w:t>
      </w:r>
      <w:r w:rsidR="00BB2A86">
        <w:t>Streamlined</w:t>
      </w:r>
      <w:r w:rsidR="00F568FC" w:rsidRPr="0CEE6DE9">
        <w:t>.</w:t>
      </w:r>
      <w:r w:rsidR="007C724E" w:rsidRPr="008438B6">
        <w:rPr>
          <w:iCs/>
        </w:rPr>
        <w:t xml:space="preserve"> The AS, </w:t>
      </w:r>
      <w:r w:rsidR="001E4E2E">
        <w:rPr>
          <w:iCs/>
        </w:rPr>
        <w:t xml:space="preserve">CPP, </w:t>
      </w:r>
      <w:r w:rsidR="007C724E" w:rsidRPr="008438B6">
        <w:rPr>
          <w:iCs/>
        </w:rPr>
        <w:t xml:space="preserve">PsA, </w:t>
      </w:r>
      <w:r w:rsidR="001E4E2E">
        <w:rPr>
          <w:iCs/>
        </w:rPr>
        <w:t xml:space="preserve">and </w:t>
      </w:r>
      <w:r w:rsidR="007C724E" w:rsidRPr="008438B6">
        <w:rPr>
          <w:iCs/>
        </w:rPr>
        <w:t>RFCD indications were not included in this request</w:t>
      </w:r>
      <w:r w:rsidR="001E4E2E">
        <w:rPr>
          <w:iCs/>
        </w:rPr>
        <w:t xml:space="preserve"> because</w:t>
      </w:r>
      <w:r w:rsidR="007C724E" w:rsidRPr="008438B6">
        <w:rPr>
          <w:iCs/>
        </w:rPr>
        <w:t xml:space="preserve"> their </w:t>
      </w:r>
      <w:r w:rsidR="001736EA">
        <w:rPr>
          <w:iCs/>
        </w:rPr>
        <w:t>listings</w:t>
      </w:r>
      <w:r w:rsidR="001736EA" w:rsidRPr="008438B6">
        <w:rPr>
          <w:iCs/>
        </w:rPr>
        <w:t xml:space="preserve"> </w:t>
      </w:r>
      <w:r w:rsidR="007C724E" w:rsidRPr="008438B6">
        <w:rPr>
          <w:iCs/>
        </w:rPr>
        <w:t xml:space="preserve">do not </w:t>
      </w:r>
      <w:r w:rsidR="00403640">
        <w:rPr>
          <w:iCs/>
        </w:rPr>
        <w:t>restrict the</w:t>
      </w:r>
      <w:r w:rsidR="007C724E" w:rsidRPr="008438B6">
        <w:rPr>
          <w:iCs/>
        </w:rPr>
        <w:t xml:space="preserve"> balance of supply</w:t>
      </w:r>
      <w:r w:rsidR="00403640">
        <w:rPr>
          <w:iCs/>
        </w:rPr>
        <w:t xml:space="preserve"> listing to a</w:t>
      </w:r>
      <w:r w:rsidR="007C724E" w:rsidRPr="008438B6">
        <w:rPr>
          <w:iCs/>
        </w:rPr>
        <w:t xml:space="preserve"> treatment phase.</w:t>
      </w:r>
    </w:p>
    <w:p w14:paraId="568ECDA4" w14:textId="40BDE93C" w:rsidR="00BE53C0" w:rsidRPr="00874448" w:rsidRDefault="00DD66B3" w:rsidP="00F26F07">
      <w:pPr>
        <w:pStyle w:val="3-BodyText"/>
        <w:keepLines/>
        <w:rPr>
          <w:szCs w:val="24"/>
        </w:rPr>
      </w:pPr>
      <w:r w:rsidRPr="00874448">
        <w:rPr>
          <w:szCs w:val="24"/>
        </w:rPr>
        <w:fldChar w:fldCharType="begin" w:fldLock="1"/>
      </w:r>
      <w:r w:rsidRPr="00874448">
        <w:rPr>
          <w:szCs w:val="24"/>
        </w:rPr>
        <w:instrText xml:space="preserve"> REF _Ref188007724 \h </w:instrText>
      </w:r>
      <w:r w:rsidR="00874448">
        <w:rPr>
          <w:szCs w:val="24"/>
        </w:rPr>
        <w:instrText xml:space="preserve"> \* MERGEFORMAT </w:instrText>
      </w:r>
      <w:r w:rsidRPr="00874448">
        <w:rPr>
          <w:szCs w:val="24"/>
        </w:rPr>
      </w:r>
      <w:r w:rsidRPr="00874448">
        <w:rPr>
          <w:szCs w:val="24"/>
        </w:rPr>
        <w:fldChar w:fldCharType="separate"/>
      </w:r>
      <w:r w:rsidR="00134D31" w:rsidRPr="00134D31">
        <w:rPr>
          <w:szCs w:val="24"/>
        </w:rPr>
        <w:t xml:space="preserve">Table </w:t>
      </w:r>
      <w:r w:rsidR="00134D31" w:rsidRPr="00134D31">
        <w:rPr>
          <w:noProof/>
          <w:szCs w:val="24"/>
        </w:rPr>
        <w:t>1</w:t>
      </w:r>
      <w:r w:rsidRPr="00874448">
        <w:rPr>
          <w:szCs w:val="24"/>
        </w:rPr>
        <w:fldChar w:fldCharType="end"/>
      </w:r>
      <w:r w:rsidR="00F017D8" w:rsidRPr="00874448">
        <w:rPr>
          <w:szCs w:val="24"/>
        </w:rPr>
        <w:t xml:space="preserve"> provides a summary of the authority levels </w:t>
      </w:r>
      <w:r w:rsidR="001D45AA" w:rsidRPr="00874448">
        <w:rPr>
          <w:szCs w:val="24"/>
        </w:rPr>
        <w:t xml:space="preserve">of </w:t>
      </w:r>
      <w:r w:rsidR="00334ECD" w:rsidRPr="00874448">
        <w:rPr>
          <w:szCs w:val="24"/>
        </w:rPr>
        <w:t>SC IFX</w:t>
      </w:r>
      <w:r w:rsidR="00F017D8" w:rsidRPr="00874448">
        <w:rPr>
          <w:szCs w:val="24"/>
        </w:rPr>
        <w:t xml:space="preserve"> and </w:t>
      </w:r>
      <w:r w:rsidR="00334ECD" w:rsidRPr="00874448">
        <w:rPr>
          <w:szCs w:val="24"/>
        </w:rPr>
        <w:t>IV IFX</w:t>
      </w:r>
      <w:r w:rsidR="00F017D8" w:rsidRPr="00874448">
        <w:rPr>
          <w:szCs w:val="24"/>
        </w:rPr>
        <w:t xml:space="preserve"> and the requested change</w:t>
      </w:r>
      <w:r w:rsidR="009D0AA8">
        <w:rPr>
          <w:szCs w:val="24"/>
        </w:rPr>
        <w:t>s</w:t>
      </w:r>
      <w:r w:rsidR="00F017D8" w:rsidRPr="00874448">
        <w:rPr>
          <w:szCs w:val="24"/>
        </w:rPr>
        <w:t>.</w:t>
      </w:r>
    </w:p>
    <w:p w14:paraId="14D78C7E" w14:textId="55E10934" w:rsidR="001E280E" w:rsidRPr="00134D31" w:rsidRDefault="00DD66B3" w:rsidP="003E3520">
      <w:pPr>
        <w:pStyle w:val="TableFigureHeading"/>
        <w:keepLines w:val="0"/>
        <w:pageBreakBefore/>
        <w:rPr>
          <w:szCs w:val="20"/>
        </w:rPr>
      </w:pPr>
      <w:bookmarkStart w:id="4" w:name="_Ref188007724"/>
      <w:r w:rsidRPr="00134D31">
        <w:rPr>
          <w:szCs w:val="20"/>
        </w:rPr>
        <w:lastRenderedPageBreak/>
        <w:t xml:space="preserve">Table </w:t>
      </w:r>
      <w:r w:rsidR="00E862AA" w:rsidRPr="00134D31">
        <w:rPr>
          <w:szCs w:val="20"/>
        </w:rPr>
        <w:fldChar w:fldCharType="begin" w:fldLock="1"/>
      </w:r>
      <w:r w:rsidR="00E862AA" w:rsidRPr="00134D31">
        <w:rPr>
          <w:szCs w:val="20"/>
        </w:rPr>
        <w:instrText xml:space="preserve"> SEQ Table \* ARABIC </w:instrText>
      </w:r>
      <w:r w:rsidR="00E862AA" w:rsidRPr="00134D31">
        <w:rPr>
          <w:szCs w:val="20"/>
        </w:rPr>
        <w:fldChar w:fldCharType="separate"/>
      </w:r>
      <w:r w:rsidR="005A00E3" w:rsidRPr="00134D31">
        <w:rPr>
          <w:noProof/>
          <w:szCs w:val="20"/>
        </w:rPr>
        <w:t>1</w:t>
      </w:r>
      <w:r w:rsidR="00E862AA" w:rsidRPr="00134D31">
        <w:rPr>
          <w:noProof/>
          <w:szCs w:val="20"/>
        </w:rPr>
        <w:fldChar w:fldCharType="end"/>
      </w:r>
      <w:bookmarkEnd w:id="4"/>
      <w:r w:rsidRPr="00134D31">
        <w:rPr>
          <w:szCs w:val="20"/>
        </w:rPr>
        <w:t>: A summary of the current authority level</w:t>
      </w:r>
      <w:r w:rsidR="00F017D8" w:rsidRPr="00134D31">
        <w:rPr>
          <w:szCs w:val="20"/>
        </w:rPr>
        <w:t>s</w:t>
      </w:r>
      <w:r w:rsidRPr="00134D31">
        <w:rPr>
          <w:szCs w:val="20"/>
        </w:rPr>
        <w:t xml:space="preserve"> </w:t>
      </w:r>
      <w:r w:rsidR="001D45AA" w:rsidRPr="00134D31">
        <w:rPr>
          <w:szCs w:val="20"/>
        </w:rPr>
        <w:t xml:space="preserve">of </w:t>
      </w:r>
      <w:r w:rsidR="00334ECD" w:rsidRPr="00134D31">
        <w:rPr>
          <w:szCs w:val="20"/>
        </w:rPr>
        <w:t>SC IFX</w:t>
      </w:r>
      <w:r w:rsidRPr="00134D31">
        <w:rPr>
          <w:szCs w:val="20"/>
        </w:rPr>
        <w:t xml:space="preserve"> and </w:t>
      </w:r>
      <w:r w:rsidR="00334ECD" w:rsidRPr="00134D31">
        <w:rPr>
          <w:szCs w:val="20"/>
        </w:rPr>
        <w:t>IV IFX</w:t>
      </w:r>
      <w:r w:rsidR="00F017D8" w:rsidRPr="00134D31">
        <w:rPr>
          <w:szCs w:val="20"/>
        </w:rPr>
        <w:t>,</w:t>
      </w:r>
      <w:r w:rsidRPr="00134D31">
        <w:rPr>
          <w:szCs w:val="20"/>
        </w:rPr>
        <w:t xml:space="preserve"> and the requested authority changes</w:t>
      </w:r>
    </w:p>
    <w:tbl>
      <w:tblPr>
        <w:tblStyle w:val="TableGrid"/>
        <w:tblW w:w="5000" w:type="pct"/>
        <w:tblLayout w:type="fixed"/>
        <w:tblLook w:val="0620" w:firstRow="1" w:lastRow="0" w:firstColumn="0" w:lastColumn="0" w:noHBand="1" w:noVBand="1"/>
        <w:tblCaption w:val="Table 1: A summary of the current authority levels of SC IFX and IV IFX, and the requested authority changes"/>
      </w:tblPr>
      <w:tblGrid>
        <w:gridCol w:w="1130"/>
        <w:gridCol w:w="1702"/>
        <w:gridCol w:w="1132"/>
        <w:gridCol w:w="1560"/>
        <w:gridCol w:w="1985"/>
        <w:gridCol w:w="1507"/>
      </w:tblGrid>
      <w:tr w:rsidR="00B25925" w:rsidRPr="00134D31" w14:paraId="6AF5C70C" w14:textId="77777777" w:rsidTr="007F2017">
        <w:trPr>
          <w:cantSplit/>
          <w:tblHeader/>
        </w:trPr>
        <w:tc>
          <w:tcPr>
            <w:tcW w:w="626" w:type="pct"/>
            <w:vMerge w:val="restart"/>
            <w:shd w:val="clear" w:color="auto" w:fill="D9D9D9" w:themeFill="background1" w:themeFillShade="D9"/>
            <w:vAlign w:val="center"/>
          </w:tcPr>
          <w:p w14:paraId="550D663C" w14:textId="718F85CB" w:rsidR="00382E54" w:rsidRPr="00134D31" w:rsidRDefault="00382E54" w:rsidP="007F2017">
            <w:pPr>
              <w:pStyle w:val="TableText0"/>
              <w:keepNext w:val="0"/>
              <w:jc w:val="center"/>
              <w:rPr>
                <w:szCs w:val="20"/>
              </w:rPr>
            </w:pPr>
            <w:r w:rsidRPr="00134D31">
              <w:rPr>
                <w:b/>
                <w:bCs w:val="0"/>
                <w:szCs w:val="20"/>
              </w:rPr>
              <w:t>Indication</w:t>
            </w:r>
          </w:p>
        </w:tc>
        <w:tc>
          <w:tcPr>
            <w:tcW w:w="2437" w:type="pct"/>
            <w:gridSpan w:val="3"/>
            <w:shd w:val="clear" w:color="auto" w:fill="D9D9D9" w:themeFill="background1" w:themeFillShade="D9"/>
            <w:vAlign w:val="center"/>
          </w:tcPr>
          <w:p w14:paraId="1A195864" w14:textId="53A2C4B9" w:rsidR="00382E54" w:rsidRPr="00134D31" w:rsidRDefault="00334ECD" w:rsidP="007F2017">
            <w:pPr>
              <w:pStyle w:val="TableText0"/>
              <w:keepNext w:val="0"/>
              <w:jc w:val="center"/>
              <w:rPr>
                <w:szCs w:val="20"/>
              </w:rPr>
            </w:pPr>
            <w:r w:rsidRPr="00134D31">
              <w:rPr>
                <w:b/>
                <w:bCs w:val="0"/>
                <w:szCs w:val="20"/>
              </w:rPr>
              <w:t>SC IFX</w:t>
            </w:r>
            <w:r w:rsidR="00382E54" w:rsidRPr="00134D31">
              <w:rPr>
                <w:b/>
                <w:bCs w:val="0"/>
                <w:szCs w:val="20"/>
              </w:rPr>
              <w:t xml:space="preserve"> 120 mg/mL PFP/PFS</w:t>
            </w:r>
          </w:p>
        </w:tc>
        <w:tc>
          <w:tcPr>
            <w:tcW w:w="1937" w:type="pct"/>
            <w:gridSpan w:val="2"/>
            <w:shd w:val="clear" w:color="auto" w:fill="D9D9D9" w:themeFill="background1" w:themeFillShade="D9"/>
            <w:vAlign w:val="center"/>
          </w:tcPr>
          <w:p w14:paraId="70BE25B5" w14:textId="2661CE3E" w:rsidR="00382E54" w:rsidRPr="00134D31" w:rsidRDefault="00334ECD" w:rsidP="007F2017">
            <w:pPr>
              <w:pStyle w:val="TableText0"/>
              <w:keepNext w:val="0"/>
              <w:jc w:val="center"/>
              <w:rPr>
                <w:szCs w:val="20"/>
              </w:rPr>
            </w:pPr>
            <w:r w:rsidRPr="00134D31">
              <w:rPr>
                <w:b/>
                <w:bCs w:val="0"/>
                <w:szCs w:val="20"/>
              </w:rPr>
              <w:t>IV IFX</w:t>
            </w:r>
            <w:r w:rsidR="00382E54" w:rsidRPr="00134D31">
              <w:rPr>
                <w:b/>
                <w:bCs w:val="0"/>
                <w:szCs w:val="20"/>
              </w:rPr>
              <w:t xml:space="preserve"> 100 mg vial</w:t>
            </w:r>
          </w:p>
        </w:tc>
      </w:tr>
      <w:tr w:rsidR="008849F9" w:rsidRPr="00134D31" w14:paraId="66FEFEDC" w14:textId="77777777" w:rsidTr="007F2017">
        <w:trPr>
          <w:cantSplit/>
          <w:tblHeader/>
        </w:trPr>
        <w:tc>
          <w:tcPr>
            <w:tcW w:w="626" w:type="pct"/>
            <w:vMerge/>
            <w:shd w:val="clear" w:color="auto" w:fill="D9D9D9" w:themeFill="background1" w:themeFillShade="D9"/>
            <w:vAlign w:val="center"/>
          </w:tcPr>
          <w:p w14:paraId="4D13C90E" w14:textId="77777777" w:rsidR="00382E54" w:rsidRPr="00134D31" w:rsidRDefault="00382E54" w:rsidP="007F2017">
            <w:pPr>
              <w:pStyle w:val="TableText0"/>
              <w:keepNext w:val="0"/>
              <w:jc w:val="center"/>
              <w:rPr>
                <w:szCs w:val="20"/>
              </w:rPr>
            </w:pPr>
          </w:p>
        </w:tc>
        <w:tc>
          <w:tcPr>
            <w:tcW w:w="944" w:type="pct"/>
            <w:shd w:val="clear" w:color="auto" w:fill="D9D9D9" w:themeFill="background1" w:themeFillShade="D9"/>
            <w:vAlign w:val="center"/>
          </w:tcPr>
          <w:p w14:paraId="0B150F88" w14:textId="7F541C4E" w:rsidR="00382E54" w:rsidRPr="00134D31" w:rsidRDefault="00382E54" w:rsidP="007F2017">
            <w:pPr>
              <w:pStyle w:val="TableText0"/>
              <w:keepNext w:val="0"/>
              <w:jc w:val="center"/>
              <w:rPr>
                <w:szCs w:val="20"/>
              </w:rPr>
            </w:pPr>
            <w:r w:rsidRPr="00134D31">
              <w:rPr>
                <w:b/>
                <w:bCs w:val="0"/>
                <w:szCs w:val="20"/>
              </w:rPr>
              <w:t>Treatment phase/PBS item codes</w:t>
            </w:r>
          </w:p>
        </w:tc>
        <w:tc>
          <w:tcPr>
            <w:tcW w:w="628" w:type="pct"/>
            <w:shd w:val="clear" w:color="auto" w:fill="D9D9D9" w:themeFill="background1" w:themeFillShade="D9"/>
            <w:vAlign w:val="center"/>
          </w:tcPr>
          <w:p w14:paraId="42018808" w14:textId="1DBEADFD" w:rsidR="00382E54" w:rsidRPr="00134D31" w:rsidRDefault="00382E54" w:rsidP="007F2017">
            <w:pPr>
              <w:pStyle w:val="TableText0"/>
              <w:keepNext w:val="0"/>
              <w:jc w:val="center"/>
              <w:rPr>
                <w:szCs w:val="20"/>
              </w:rPr>
            </w:pPr>
            <w:r w:rsidRPr="00134D31">
              <w:rPr>
                <w:b/>
                <w:bCs w:val="0"/>
                <w:szCs w:val="20"/>
              </w:rPr>
              <w:t>Current restriction level</w:t>
            </w:r>
          </w:p>
        </w:tc>
        <w:tc>
          <w:tcPr>
            <w:tcW w:w="865" w:type="pct"/>
            <w:shd w:val="clear" w:color="auto" w:fill="D9D9D9" w:themeFill="background1" w:themeFillShade="D9"/>
            <w:vAlign w:val="center"/>
          </w:tcPr>
          <w:p w14:paraId="4FCC7A84" w14:textId="5B5B86B5" w:rsidR="00382E54" w:rsidRPr="00134D31" w:rsidRDefault="00382E54" w:rsidP="007F2017">
            <w:pPr>
              <w:pStyle w:val="TableText0"/>
              <w:keepNext w:val="0"/>
              <w:jc w:val="center"/>
              <w:rPr>
                <w:szCs w:val="20"/>
              </w:rPr>
            </w:pPr>
            <w:r w:rsidRPr="00134D31">
              <w:rPr>
                <w:b/>
                <w:bCs w:val="0"/>
                <w:szCs w:val="20"/>
              </w:rPr>
              <w:t>Requested restriction level</w:t>
            </w:r>
          </w:p>
        </w:tc>
        <w:tc>
          <w:tcPr>
            <w:tcW w:w="1101" w:type="pct"/>
            <w:shd w:val="clear" w:color="auto" w:fill="D9D9D9" w:themeFill="background1" w:themeFillShade="D9"/>
            <w:vAlign w:val="center"/>
          </w:tcPr>
          <w:p w14:paraId="7284EB19" w14:textId="484B9337" w:rsidR="00382E54" w:rsidRPr="00134D31" w:rsidRDefault="00382E54" w:rsidP="007F2017">
            <w:pPr>
              <w:pStyle w:val="TableText0"/>
              <w:keepNext w:val="0"/>
              <w:jc w:val="center"/>
              <w:rPr>
                <w:szCs w:val="20"/>
              </w:rPr>
            </w:pPr>
            <w:r w:rsidRPr="00134D31">
              <w:rPr>
                <w:b/>
                <w:bCs w:val="0"/>
                <w:szCs w:val="20"/>
              </w:rPr>
              <w:t>Treatment phase/PBS item codes</w:t>
            </w:r>
          </w:p>
        </w:tc>
        <w:tc>
          <w:tcPr>
            <w:tcW w:w="836" w:type="pct"/>
            <w:shd w:val="clear" w:color="auto" w:fill="D9D9D9" w:themeFill="background1" w:themeFillShade="D9"/>
            <w:vAlign w:val="center"/>
          </w:tcPr>
          <w:p w14:paraId="703C136B" w14:textId="0FF21F6E" w:rsidR="00382E54" w:rsidRPr="00134D31" w:rsidRDefault="00382E54" w:rsidP="007F2017">
            <w:pPr>
              <w:pStyle w:val="TableText0"/>
              <w:keepNext w:val="0"/>
              <w:jc w:val="center"/>
              <w:rPr>
                <w:szCs w:val="20"/>
              </w:rPr>
            </w:pPr>
            <w:r w:rsidRPr="00134D31">
              <w:rPr>
                <w:b/>
                <w:bCs w:val="0"/>
                <w:szCs w:val="20"/>
              </w:rPr>
              <w:t>Current restriction level</w:t>
            </w:r>
          </w:p>
        </w:tc>
      </w:tr>
      <w:tr w:rsidR="000706E9" w:rsidRPr="00134D31" w14:paraId="024D9BFB" w14:textId="77777777" w:rsidTr="007F2017">
        <w:trPr>
          <w:cantSplit/>
        </w:trPr>
        <w:tc>
          <w:tcPr>
            <w:tcW w:w="626" w:type="pct"/>
            <w:vMerge w:val="restart"/>
            <w:vAlign w:val="center"/>
          </w:tcPr>
          <w:p w14:paraId="3B9D6BD4" w14:textId="796EA4D0" w:rsidR="00B10218" w:rsidRPr="00134D31" w:rsidRDefault="00B10218" w:rsidP="007F2017">
            <w:pPr>
              <w:pStyle w:val="In-tableHeading"/>
              <w:keepNext w:val="0"/>
              <w:rPr>
                <w:szCs w:val="20"/>
              </w:rPr>
            </w:pPr>
            <w:r w:rsidRPr="00134D31">
              <w:rPr>
                <w:szCs w:val="20"/>
              </w:rPr>
              <w:t>Severe active rheumatoid arthritis</w:t>
            </w:r>
          </w:p>
        </w:tc>
        <w:tc>
          <w:tcPr>
            <w:tcW w:w="944" w:type="pct"/>
            <w:vAlign w:val="center"/>
          </w:tcPr>
          <w:p w14:paraId="213E87E6" w14:textId="2F55894F" w:rsidR="00B10218" w:rsidRPr="00134D31" w:rsidRDefault="00B10218" w:rsidP="007F2017">
            <w:pPr>
              <w:pStyle w:val="TableText0"/>
              <w:keepNext w:val="0"/>
              <w:jc w:val="center"/>
              <w:rPr>
                <w:bCs w:val="0"/>
                <w:szCs w:val="20"/>
              </w:rPr>
            </w:pPr>
            <w:r w:rsidRPr="00134D31">
              <w:rPr>
                <w:szCs w:val="20"/>
              </w:rPr>
              <w:t xml:space="preserve">Continuing </w:t>
            </w:r>
            <w:r w:rsidR="009415B3" w:rsidRPr="00134D31">
              <w:rPr>
                <w:szCs w:val="20"/>
              </w:rPr>
              <w:t>or switching from IV (</w:t>
            </w:r>
            <w:r w:rsidRPr="00134D31">
              <w:rPr>
                <w:szCs w:val="20"/>
              </w:rPr>
              <w:t>12554R, 12553Q</w:t>
            </w:r>
            <w:r w:rsidR="009415B3" w:rsidRPr="00134D31">
              <w:rPr>
                <w:szCs w:val="20"/>
              </w:rPr>
              <w:t>)</w:t>
            </w:r>
          </w:p>
        </w:tc>
        <w:tc>
          <w:tcPr>
            <w:tcW w:w="628" w:type="pct"/>
            <w:vAlign w:val="center"/>
          </w:tcPr>
          <w:p w14:paraId="76F03AE6" w14:textId="63EA649C" w:rsidR="00B10218" w:rsidRPr="00134D31" w:rsidRDefault="00B10218" w:rsidP="007F2017">
            <w:pPr>
              <w:pStyle w:val="TableText0"/>
              <w:keepNext w:val="0"/>
              <w:jc w:val="center"/>
              <w:rPr>
                <w:bCs w:val="0"/>
                <w:szCs w:val="20"/>
              </w:rPr>
            </w:pPr>
            <w:r w:rsidRPr="00134D31">
              <w:rPr>
                <w:szCs w:val="20"/>
              </w:rPr>
              <w:t>Authority Required</w:t>
            </w:r>
          </w:p>
        </w:tc>
        <w:tc>
          <w:tcPr>
            <w:tcW w:w="865" w:type="pct"/>
            <w:vAlign w:val="center"/>
          </w:tcPr>
          <w:p w14:paraId="79107A2B" w14:textId="37914E52" w:rsidR="00B10218" w:rsidRPr="00134D31" w:rsidRDefault="00B10218" w:rsidP="007F2017">
            <w:pPr>
              <w:pStyle w:val="TableText0"/>
              <w:keepNext w:val="0"/>
              <w:jc w:val="center"/>
              <w:rPr>
                <w:bCs w:val="0"/>
                <w:szCs w:val="20"/>
              </w:rPr>
            </w:pPr>
            <w:r w:rsidRPr="00134D31">
              <w:rPr>
                <w:szCs w:val="20"/>
              </w:rPr>
              <w:t>Authority Required (STREAMLINED)</w:t>
            </w:r>
          </w:p>
        </w:tc>
        <w:tc>
          <w:tcPr>
            <w:tcW w:w="1101" w:type="pct"/>
            <w:vAlign w:val="center"/>
          </w:tcPr>
          <w:p w14:paraId="082BC420" w14:textId="46966FE9" w:rsidR="00B10218" w:rsidRPr="00134D31" w:rsidRDefault="002358FC" w:rsidP="007F2017">
            <w:pPr>
              <w:pStyle w:val="TableText0"/>
              <w:keepNext w:val="0"/>
              <w:jc w:val="center"/>
              <w:rPr>
                <w:bCs w:val="0"/>
                <w:szCs w:val="20"/>
              </w:rPr>
            </w:pPr>
            <w:r w:rsidRPr="00134D31">
              <w:rPr>
                <w:szCs w:val="20"/>
              </w:rPr>
              <w:t>First and s</w:t>
            </w:r>
            <w:r w:rsidR="00B10218" w:rsidRPr="00134D31">
              <w:rPr>
                <w:szCs w:val="20"/>
              </w:rPr>
              <w:t>ubsequent continuing</w:t>
            </w:r>
            <w:r w:rsidR="00A4129A">
              <w:rPr>
                <w:szCs w:val="20"/>
              </w:rPr>
              <w:t xml:space="preserve"> </w:t>
            </w:r>
            <w:r w:rsidR="00B10218" w:rsidRPr="00134D31">
              <w:rPr>
                <w:szCs w:val="20"/>
                <w:vertAlign w:val="superscript"/>
              </w:rPr>
              <w:t>a</w:t>
            </w:r>
            <w:r w:rsidR="00B10218" w:rsidRPr="00134D31">
              <w:rPr>
                <w:szCs w:val="20"/>
              </w:rPr>
              <w:t xml:space="preserve"> </w:t>
            </w:r>
            <w:r w:rsidRPr="00134D31">
              <w:rPr>
                <w:szCs w:val="20"/>
              </w:rPr>
              <w:t xml:space="preserve">(13734W, 13700C, </w:t>
            </w:r>
            <w:r w:rsidR="00B10218" w:rsidRPr="00134D31">
              <w:rPr>
                <w:szCs w:val="20"/>
              </w:rPr>
              <w:t>11490R,11483J</w:t>
            </w:r>
            <w:r w:rsidRPr="00134D31">
              <w:rPr>
                <w:szCs w:val="20"/>
              </w:rPr>
              <w:t>)</w:t>
            </w:r>
          </w:p>
        </w:tc>
        <w:tc>
          <w:tcPr>
            <w:tcW w:w="836" w:type="pct"/>
            <w:vAlign w:val="center"/>
          </w:tcPr>
          <w:p w14:paraId="120FC6E3" w14:textId="5782E1FA" w:rsidR="00B10218" w:rsidRPr="00134D31" w:rsidRDefault="00B10218" w:rsidP="007F2017">
            <w:pPr>
              <w:pStyle w:val="TableText0"/>
              <w:keepNext w:val="0"/>
              <w:jc w:val="center"/>
              <w:rPr>
                <w:bCs w:val="0"/>
                <w:szCs w:val="20"/>
              </w:rPr>
            </w:pPr>
            <w:r w:rsidRPr="00134D31">
              <w:rPr>
                <w:szCs w:val="20"/>
              </w:rPr>
              <w:t>Authority Required (STREAMLINED)</w:t>
            </w:r>
          </w:p>
        </w:tc>
      </w:tr>
      <w:tr w:rsidR="000706E9" w:rsidRPr="00134D31" w14:paraId="1675CAD1" w14:textId="77777777" w:rsidTr="007F2017">
        <w:trPr>
          <w:cantSplit/>
        </w:trPr>
        <w:tc>
          <w:tcPr>
            <w:tcW w:w="626" w:type="pct"/>
            <w:vMerge/>
            <w:vAlign w:val="center"/>
          </w:tcPr>
          <w:p w14:paraId="71E2093F" w14:textId="3D657CB9" w:rsidR="00B10218" w:rsidRPr="00134D31" w:rsidRDefault="00B10218" w:rsidP="007F2017">
            <w:pPr>
              <w:pStyle w:val="In-tableHeading"/>
              <w:keepNext w:val="0"/>
              <w:rPr>
                <w:szCs w:val="20"/>
              </w:rPr>
            </w:pPr>
          </w:p>
        </w:tc>
        <w:tc>
          <w:tcPr>
            <w:tcW w:w="944" w:type="pct"/>
            <w:vAlign w:val="center"/>
          </w:tcPr>
          <w:p w14:paraId="4C041285" w14:textId="62D908F5" w:rsidR="00B10218" w:rsidRPr="00134D31" w:rsidRDefault="00B10218" w:rsidP="007F2017">
            <w:pPr>
              <w:pStyle w:val="TableText0"/>
              <w:keepNext w:val="0"/>
              <w:jc w:val="center"/>
              <w:rPr>
                <w:bCs w:val="0"/>
                <w:szCs w:val="20"/>
              </w:rPr>
            </w:pPr>
            <w:r w:rsidRPr="00134D31">
              <w:rPr>
                <w:szCs w:val="20"/>
              </w:rPr>
              <w:t>Balance of supply</w:t>
            </w:r>
            <w:r w:rsidR="009415B3" w:rsidRPr="00134D31">
              <w:rPr>
                <w:szCs w:val="20"/>
              </w:rPr>
              <w:t xml:space="preserve"> for initial and continuing</w:t>
            </w:r>
          </w:p>
          <w:p w14:paraId="0789B9B0" w14:textId="778AED13" w:rsidR="00B10218" w:rsidRPr="00134D31" w:rsidRDefault="009415B3" w:rsidP="007F2017">
            <w:pPr>
              <w:pStyle w:val="TableText0"/>
              <w:keepNext w:val="0"/>
              <w:jc w:val="center"/>
              <w:rPr>
                <w:bCs w:val="0"/>
                <w:szCs w:val="20"/>
              </w:rPr>
            </w:pPr>
            <w:r w:rsidRPr="00134D31">
              <w:rPr>
                <w:szCs w:val="20"/>
              </w:rPr>
              <w:t>(</w:t>
            </w:r>
            <w:r w:rsidR="00B10218" w:rsidRPr="00134D31">
              <w:rPr>
                <w:szCs w:val="20"/>
              </w:rPr>
              <w:t>12566J, 12555T</w:t>
            </w:r>
            <w:r w:rsidRPr="00134D31">
              <w:rPr>
                <w:szCs w:val="20"/>
              </w:rPr>
              <w:t>)</w:t>
            </w:r>
          </w:p>
        </w:tc>
        <w:tc>
          <w:tcPr>
            <w:tcW w:w="628" w:type="pct"/>
            <w:vAlign w:val="center"/>
          </w:tcPr>
          <w:p w14:paraId="49A55BE5" w14:textId="7599488A" w:rsidR="00B10218" w:rsidRPr="00134D31" w:rsidRDefault="00B10218" w:rsidP="007F2017">
            <w:pPr>
              <w:pStyle w:val="TableText0"/>
              <w:keepNext w:val="0"/>
              <w:jc w:val="center"/>
              <w:rPr>
                <w:bCs w:val="0"/>
                <w:szCs w:val="20"/>
              </w:rPr>
            </w:pPr>
            <w:r w:rsidRPr="00134D31">
              <w:rPr>
                <w:szCs w:val="20"/>
              </w:rPr>
              <w:t>Authority Required</w:t>
            </w:r>
          </w:p>
        </w:tc>
        <w:tc>
          <w:tcPr>
            <w:tcW w:w="865" w:type="pct"/>
            <w:vAlign w:val="center"/>
          </w:tcPr>
          <w:p w14:paraId="67C33A8E" w14:textId="5C7678CD" w:rsidR="00B10218" w:rsidRPr="00134D31" w:rsidRDefault="00B10218" w:rsidP="007F2017">
            <w:pPr>
              <w:pStyle w:val="TableText0"/>
              <w:keepNext w:val="0"/>
              <w:jc w:val="center"/>
              <w:rPr>
                <w:bCs w:val="0"/>
                <w:szCs w:val="20"/>
              </w:rPr>
            </w:pPr>
            <w:r w:rsidRPr="00134D31">
              <w:rPr>
                <w:szCs w:val="20"/>
              </w:rPr>
              <w:t>Authority Required (STREAMLINED)</w:t>
            </w:r>
          </w:p>
        </w:tc>
        <w:tc>
          <w:tcPr>
            <w:tcW w:w="1101" w:type="pct"/>
            <w:vAlign w:val="center"/>
          </w:tcPr>
          <w:p w14:paraId="47AA35AC" w14:textId="14501517" w:rsidR="00B10218" w:rsidRPr="00134D31" w:rsidRDefault="00CE73B7" w:rsidP="007F2017">
            <w:pPr>
              <w:pStyle w:val="TableText0"/>
              <w:keepNext w:val="0"/>
              <w:jc w:val="center"/>
              <w:rPr>
                <w:bCs w:val="0"/>
                <w:szCs w:val="20"/>
              </w:rPr>
            </w:pPr>
            <w:r w:rsidRPr="00134D31">
              <w:rPr>
                <w:szCs w:val="20"/>
              </w:rPr>
              <w:t xml:space="preserve">Initial, first continuing, </w:t>
            </w:r>
            <w:r w:rsidR="00185265" w:rsidRPr="00134D31">
              <w:rPr>
                <w:szCs w:val="20"/>
              </w:rPr>
              <w:t>balance of supply for first continuing</w:t>
            </w:r>
            <w:r w:rsidR="00A4129A">
              <w:rPr>
                <w:szCs w:val="20"/>
              </w:rPr>
              <w:t xml:space="preserve"> </w:t>
            </w:r>
            <w:r w:rsidR="00185265" w:rsidRPr="00134D31">
              <w:rPr>
                <w:szCs w:val="20"/>
                <w:vertAlign w:val="superscript"/>
              </w:rPr>
              <w:t>c</w:t>
            </w:r>
            <w:r w:rsidR="00B10218" w:rsidRPr="00134D31">
              <w:rPr>
                <w:szCs w:val="20"/>
              </w:rPr>
              <w:t xml:space="preserve"> </w:t>
            </w:r>
            <w:r w:rsidR="00185265" w:rsidRPr="00134D31">
              <w:rPr>
                <w:szCs w:val="20"/>
              </w:rPr>
              <w:t>(5757B, 6397Q)</w:t>
            </w:r>
          </w:p>
        </w:tc>
        <w:tc>
          <w:tcPr>
            <w:tcW w:w="836" w:type="pct"/>
            <w:vAlign w:val="center"/>
          </w:tcPr>
          <w:p w14:paraId="67D9EA63" w14:textId="31A90B65" w:rsidR="00B10218" w:rsidRPr="00134D31" w:rsidRDefault="00B10218" w:rsidP="007F2017">
            <w:pPr>
              <w:pStyle w:val="TableText0"/>
              <w:keepNext w:val="0"/>
              <w:jc w:val="center"/>
              <w:rPr>
                <w:bCs w:val="0"/>
                <w:szCs w:val="20"/>
              </w:rPr>
            </w:pPr>
            <w:r w:rsidRPr="00134D31">
              <w:rPr>
                <w:szCs w:val="20"/>
              </w:rPr>
              <w:t>Authority Required</w:t>
            </w:r>
          </w:p>
        </w:tc>
      </w:tr>
      <w:tr w:rsidR="008849F9" w:rsidRPr="00134D31" w14:paraId="034DDCBC" w14:textId="77777777" w:rsidTr="007F2017">
        <w:trPr>
          <w:cantSplit/>
        </w:trPr>
        <w:tc>
          <w:tcPr>
            <w:tcW w:w="626" w:type="pct"/>
            <w:vMerge/>
            <w:vAlign w:val="center"/>
          </w:tcPr>
          <w:p w14:paraId="0A9E3B80" w14:textId="77777777" w:rsidR="005F1A06" w:rsidRPr="00134D31" w:rsidRDefault="005F1A06" w:rsidP="007F2017">
            <w:pPr>
              <w:pStyle w:val="In-tableHeading"/>
              <w:keepNext w:val="0"/>
              <w:rPr>
                <w:szCs w:val="20"/>
              </w:rPr>
            </w:pPr>
          </w:p>
        </w:tc>
        <w:tc>
          <w:tcPr>
            <w:tcW w:w="944" w:type="pct"/>
            <w:shd w:val="clear" w:color="auto" w:fill="D9D9D9" w:themeFill="background1" w:themeFillShade="D9"/>
            <w:vAlign w:val="center"/>
          </w:tcPr>
          <w:p w14:paraId="735D6355" w14:textId="39834D61" w:rsidR="005F1A06" w:rsidRPr="00134D31" w:rsidRDefault="005F1A06" w:rsidP="007F2017">
            <w:pPr>
              <w:pStyle w:val="TableText0"/>
              <w:keepNext w:val="0"/>
              <w:jc w:val="center"/>
              <w:rPr>
                <w:szCs w:val="20"/>
              </w:rPr>
            </w:pPr>
            <w:r w:rsidRPr="00134D31">
              <w:rPr>
                <w:bCs w:val="0"/>
                <w:szCs w:val="20"/>
              </w:rPr>
              <w:t>Initial with concurrent IV authority application (12577Y, 12576X)</w:t>
            </w:r>
          </w:p>
        </w:tc>
        <w:tc>
          <w:tcPr>
            <w:tcW w:w="628" w:type="pct"/>
            <w:shd w:val="clear" w:color="auto" w:fill="D9D9D9" w:themeFill="background1" w:themeFillShade="D9"/>
            <w:vAlign w:val="center"/>
          </w:tcPr>
          <w:p w14:paraId="60B898CE" w14:textId="101DDDA3" w:rsidR="005F1A06" w:rsidRPr="00134D31" w:rsidRDefault="005F1A06" w:rsidP="007F2017">
            <w:pPr>
              <w:pStyle w:val="TableText0"/>
              <w:keepNext w:val="0"/>
              <w:jc w:val="center"/>
              <w:rPr>
                <w:szCs w:val="20"/>
              </w:rPr>
            </w:pPr>
            <w:r w:rsidRPr="00134D31">
              <w:rPr>
                <w:szCs w:val="20"/>
              </w:rPr>
              <w:t>Authority Required</w:t>
            </w:r>
          </w:p>
        </w:tc>
        <w:tc>
          <w:tcPr>
            <w:tcW w:w="865" w:type="pct"/>
            <w:shd w:val="clear" w:color="auto" w:fill="D9D9D9" w:themeFill="background1" w:themeFillShade="D9"/>
            <w:vAlign w:val="center"/>
          </w:tcPr>
          <w:p w14:paraId="24CB0A74" w14:textId="64CC6425" w:rsidR="005F1A06" w:rsidRPr="00134D31" w:rsidRDefault="005F1A06" w:rsidP="007F2017">
            <w:pPr>
              <w:pStyle w:val="TableText0"/>
              <w:keepNext w:val="0"/>
              <w:jc w:val="center"/>
              <w:rPr>
                <w:b/>
                <w:bCs w:val="0"/>
                <w:szCs w:val="20"/>
              </w:rPr>
            </w:pPr>
            <w:r w:rsidRPr="00134D31">
              <w:rPr>
                <w:b/>
                <w:bCs w:val="0"/>
                <w:szCs w:val="20"/>
              </w:rPr>
              <w:t>Not requested</w:t>
            </w:r>
          </w:p>
        </w:tc>
        <w:tc>
          <w:tcPr>
            <w:tcW w:w="1101" w:type="pct"/>
            <w:shd w:val="clear" w:color="auto" w:fill="D9D9D9" w:themeFill="background1" w:themeFillShade="D9"/>
            <w:vAlign w:val="center"/>
          </w:tcPr>
          <w:p w14:paraId="1C5CC209" w14:textId="77777777" w:rsidR="005F1A06" w:rsidRPr="00134D31" w:rsidRDefault="005F1A06" w:rsidP="007F2017">
            <w:pPr>
              <w:pStyle w:val="TableText0"/>
              <w:keepNext w:val="0"/>
              <w:jc w:val="center"/>
              <w:rPr>
                <w:szCs w:val="20"/>
              </w:rPr>
            </w:pPr>
          </w:p>
        </w:tc>
        <w:tc>
          <w:tcPr>
            <w:tcW w:w="836" w:type="pct"/>
            <w:shd w:val="clear" w:color="auto" w:fill="D9D9D9" w:themeFill="background1" w:themeFillShade="D9"/>
            <w:vAlign w:val="center"/>
          </w:tcPr>
          <w:p w14:paraId="2D8C8818" w14:textId="77777777" w:rsidR="005F1A06" w:rsidRPr="00134D31" w:rsidRDefault="005F1A06" w:rsidP="007F2017">
            <w:pPr>
              <w:pStyle w:val="TableText0"/>
              <w:keepNext w:val="0"/>
              <w:jc w:val="center"/>
              <w:rPr>
                <w:szCs w:val="20"/>
              </w:rPr>
            </w:pPr>
          </w:p>
        </w:tc>
      </w:tr>
      <w:tr w:rsidR="000706E9" w:rsidRPr="00134D31" w14:paraId="7208311A" w14:textId="77777777" w:rsidTr="007F2017">
        <w:trPr>
          <w:cantSplit/>
        </w:trPr>
        <w:tc>
          <w:tcPr>
            <w:tcW w:w="626" w:type="pct"/>
            <w:vMerge w:val="restart"/>
            <w:vAlign w:val="center"/>
          </w:tcPr>
          <w:p w14:paraId="3FF262C2" w14:textId="78AEA0F7" w:rsidR="0001684A" w:rsidRPr="00134D31" w:rsidRDefault="0001684A" w:rsidP="007F2017">
            <w:pPr>
              <w:pStyle w:val="In-tableHeading"/>
              <w:keepNext w:val="0"/>
              <w:rPr>
                <w:szCs w:val="20"/>
              </w:rPr>
            </w:pPr>
            <w:r w:rsidRPr="00134D31">
              <w:rPr>
                <w:szCs w:val="20"/>
              </w:rPr>
              <w:t>Severe Crohn disease</w:t>
            </w:r>
          </w:p>
        </w:tc>
        <w:tc>
          <w:tcPr>
            <w:tcW w:w="944" w:type="pct"/>
            <w:vAlign w:val="center"/>
          </w:tcPr>
          <w:p w14:paraId="50C3741B" w14:textId="54A70568" w:rsidR="0001684A" w:rsidRPr="00134D31" w:rsidRDefault="0001684A" w:rsidP="007F2017">
            <w:pPr>
              <w:pStyle w:val="TableText0"/>
              <w:keepNext w:val="0"/>
              <w:jc w:val="center"/>
              <w:rPr>
                <w:bCs w:val="0"/>
                <w:szCs w:val="20"/>
              </w:rPr>
            </w:pPr>
            <w:r w:rsidRPr="00134D31">
              <w:rPr>
                <w:szCs w:val="20"/>
              </w:rPr>
              <w:t>Continuing or switching from IV (12560C 12586K)</w:t>
            </w:r>
          </w:p>
        </w:tc>
        <w:tc>
          <w:tcPr>
            <w:tcW w:w="628" w:type="pct"/>
            <w:vAlign w:val="center"/>
          </w:tcPr>
          <w:p w14:paraId="754A2285" w14:textId="3D26EA86" w:rsidR="0001684A" w:rsidRPr="00134D31" w:rsidRDefault="0001684A" w:rsidP="007F2017">
            <w:pPr>
              <w:pStyle w:val="TableText0"/>
              <w:keepNext w:val="0"/>
              <w:jc w:val="center"/>
              <w:rPr>
                <w:bCs w:val="0"/>
                <w:szCs w:val="20"/>
              </w:rPr>
            </w:pPr>
            <w:r w:rsidRPr="00134D31">
              <w:rPr>
                <w:szCs w:val="20"/>
              </w:rPr>
              <w:t>Authority Required</w:t>
            </w:r>
          </w:p>
        </w:tc>
        <w:tc>
          <w:tcPr>
            <w:tcW w:w="865" w:type="pct"/>
            <w:vAlign w:val="center"/>
          </w:tcPr>
          <w:p w14:paraId="381B4C0B" w14:textId="48054895" w:rsidR="0001684A" w:rsidRPr="00134D31" w:rsidRDefault="0001684A" w:rsidP="007F2017">
            <w:pPr>
              <w:pStyle w:val="TableText0"/>
              <w:keepNext w:val="0"/>
              <w:jc w:val="center"/>
              <w:rPr>
                <w:bCs w:val="0"/>
                <w:szCs w:val="20"/>
              </w:rPr>
            </w:pPr>
            <w:r w:rsidRPr="00134D31">
              <w:rPr>
                <w:szCs w:val="20"/>
              </w:rPr>
              <w:t>Authority Required (STREAMLINED)</w:t>
            </w:r>
          </w:p>
        </w:tc>
        <w:tc>
          <w:tcPr>
            <w:tcW w:w="1101" w:type="pct"/>
            <w:vAlign w:val="center"/>
          </w:tcPr>
          <w:p w14:paraId="0A410210" w14:textId="5F45C5DB" w:rsidR="0001684A" w:rsidRPr="00134D31" w:rsidRDefault="0001684A" w:rsidP="007F2017">
            <w:pPr>
              <w:pStyle w:val="TableText0"/>
              <w:keepNext w:val="0"/>
              <w:jc w:val="center"/>
              <w:rPr>
                <w:bCs w:val="0"/>
                <w:szCs w:val="20"/>
              </w:rPr>
            </w:pPr>
            <w:r w:rsidRPr="00134D31">
              <w:rPr>
                <w:szCs w:val="20"/>
              </w:rPr>
              <w:t>Subsequent continuing</w:t>
            </w:r>
            <w:r w:rsidR="00A4129A">
              <w:rPr>
                <w:szCs w:val="20"/>
              </w:rPr>
              <w:t xml:space="preserve"> </w:t>
            </w:r>
            <w:r w:rsidRPr="00134D31">
              <w:rPr>
                <w:szCs w:val="20"/>
                <w:vertAlign w:val="superscript"/>
              </w:rPr>
              <w:t>b</w:t>
            </w:r>
            <w:r w:rsidRPr="00134D31">
              <w:rPr>
                <w:szCs w:val="20"/>
              </w:rPr>
              <w:t xml:space="preserve"> (11396T, 11400B)</w:t>
            </w:r>
          </w:p>
        </w:tc>
        <w:tc>
          <w:tcPr>
            <w:tcW w:w="836" w:type="pct"/>
            <w:vAlign w:val="center"/>
          </w:tcPr>
          <w:p w14:paraId="7AF8DEE6" w14:textId="6F115810" w:rsidR="0001684A" w:rsidRPr="00134D31" w:rsidRDefault="0001684A" w:rsidP="007F2017">
            <w:pPr>
              <w:pStyle w:val="TableText0"/>
              <w:keepNext w:val="0"/>
              <w:jc w:val="center"/>
              <w:rPr>
                <w:bCs w:val="0"/>
                <w:szCs w:val="20"/>
              </w:rPr>
            </w:pPr>
            <w:r w:rsidRPr="00134D31">
              <w:rPr>
                <w:szCs w:val="20"/>
              </w:rPr>
              <w:t>Authority Required (STREAMLINED)</w:t>
            </w:r>
          </w:p>
        </w:tc>
      </w:tr>
      <w:tr w:rsidR="000706E9" w:rsidRPr="00134D31" w14:paraId="4A4BCAF8" w14:textId="77777777" w:rsidTr="007F2017">
        <w:trPr>
          <w:cantSplit/>
        </w:trPr>
        <w:tc>
          <w:tcPr>
            <w:tcW w:w="626" w:type="pct"/>
            <w:vMerge/>
            <w:vAlign w:val="center"/>
          </w:tcPr>
          <w:p w14:paraId="5DCC5C93" w14:textId="77777777" w:rsidR="0001684A" w:rsidRPr="00134D31" w:rsidRDefault="0001684A" w:rsidP="007F2017">
            <w:pPr>
              <w:pStyle w:val="In-tableHeading"/>
              <w:keepNext w:val="0"/>
              <w:rPr>
                <w:szCs w:val="20"/>
              </w:rPr>
            </w:pPr>
          </w:p>
        </w:tc>
        <w:tc>
          <w:tcPr>
            <w:tcW w:w="944" w:type="pct"/>
            <w:vAlign w:val="center"/>
          </w:tcPr>
          <w:p w14:paraId="2871061C" w14:textId="77777777" w:rsidR="0001684A" w:rsidRPr="00134D31" w:rsidRDefault="0001684A" w:rsidP="007F2017">
            <w:pPr>
              <w:pStyle w:val="TableText0"/>
              <w:keepNext w:val="0"/>
              <w:jc w:val="center"/>
              <w:rPr>
                <w:bCs w:val="0"/>
                <w:szCs w:val="20"/>
              </w:rPr>
            </w:pPr>
            <w:r w:rsidRPr="00134D31">
              <w:rPr>
                <w:szCs w:val="20"/>
              </w:rPr>
              <w:t>Balance of supply for initial and continuing</w:t>
            </w:r>
          </w:p>
          <w:p w14:paraId="04084F32" w14:textId="5B4C3576" w:rsidR="0001684A" w:rsidRPr="00134D31" w:rsidRDefault="0001684A" w:rsidP="007F2017">
            <w:pPr>
              <w:pStyle w:val="TableText0"/>
              <w:keepNext w:val="0"/>
              <w:jc w:val="center"/>
              <w:rPr>
                <w:bCs w:val="0"/>
                <w:szCs w:val="20"/>
              </w:rPr>
            </w:pPr>
            <w:r w:rsidRPr="00134D31">
              <w:rPr>
                <w:szCs w:val="20"/>
              </w:rPr>
              <w:t>(12567K, 12597B)</w:t>
            </w:r>
          </w:p>
        </w:tc>
        <w:tc>
          <w:tcPr>
            <w:tcW w:w="628" w:type="pct"/>
            <w:vAlign w:val="center"/>
          </w:tcPr>
          <w:p w14:paraId="4DD2D1D5" w14:textId="4F95C35D" w:rsidR="0001684A" w:rsidRPr="00134D31" w:rsidRDefault="0001684A" w:rsidP="007F2017">
            <w:pPr>
              <w:pStyle w:val="TableText0"/>
              <w:keepNext w:val="0"/>
              <w:jc w:val="center"/>
              <w:rPr>
                <w:bCs w:val="0"/>
                <w:szCs w:val="20"/>
              </w:rPr>
            </w:pPr>
            <w:r w:rsidRPr="00134D31">
              <w:rPr>
                <w:szCs w:val="20"/>
              </w:rPr>
              <w:t>Authority Required</w:t>
            </w:r>
          </w:p>
        </w:tc>
        <w:tc>
          <w:tcPr>
            <w:tcW w:w="865" w:type="pct"/>
            <w:vAlign w:val="center"/>
          </w:tcPr>
          <w:p w14:paraId="2BC8B9B6" w14:textId="0DBE5C7D" w:rsidR="0001684A" w:rsidRPr="00134D31" w:rsidRDefault="0001684A" w:rsidP="007F2017">
            <w:pPr>
              <w:pStyle w:val="TableText0"/>
              <w:keepNext w:val="0"/>
              <w:jc w:val="center"/>
              <w:rPr>
                <w:bCs w:val="0"/>
                <w:szCs w:val="20"/>
              </w:rPr>
            </w:pPr>
            <w:r w:rsidRPr="00134D31">
              <w:rPr>
                <w:szCs w:val="20"/>
              </w:rPr>
              <w:t>Authority Required (STREAMLINED)</w:t>
            </w:r>
          </w:p>
        </w:tc>
        <w:tc>
          <w:tcPr>
            <w:tcW w:w="1101" w:type="pct"/>
            <w:vAlign w:val="center"/>
          </w:tcPr>
          <w:p w14:paraId="1EFD7147" w14:textId="12C44CBC" w:rsidR="00741AC9" w:rsidRPr="00134D31" w:rsidRDefault="00741AC9" w:rsidP="007F2017">
            <w:pPr>
              <w:pStyle w:val="TableText0"/>
              <w:keepNext w:val="0"/>
              <w:jc w:val="center"/>
              <w:rPr>
                <w:szCs w:val="20"/>
              </w:rPr>
            </w:pPr>
            <w:r w:rsidRPr="00134D31">
              <w:rPr>
                <w:szCs w:val="20"/>
              </w:rPr>
              <w:t>Initial, first continuing, balance of supply for first continuing</w:t>
            </w:r>
            <w:r w:rsidR="00A4129A">
              <w:rPr>
                <w:szCs w:val="20"/>
              </w:rPr>
              <w:t xml:space="preserve"> </w:t>
            </w:r>
            <w:r w:rsidRPr="00134D31">
              <w:rPr>
                <w:szCs w:val="20"/>
                <w:vertAlign w:val="superscript"/>
              </w:rPr>
              <w:t>c</w:t>
            </w:r>
            <w:r w:rsidRPr="00134D31">
              <w:rPr>
                <w:szCs w:val="20"/>
              </w:rPr>
              <w:t xml:space="preserve"> (5754W,</w:t>
            </w:r>
          </w:p>
          <w:p w14:paraId="4E895315" w14:textId="4410C2EA" w:rsidR="0001684A" w:rsidRPr="00134D31" w:rsidRDefault="00741AC9" w:rsidP="007F2017">
            <w:pPr>
              <w:pStyle w:val="TableText0"/>
              <w:keepNext w:val="0"/>
              <w:jc w:val="center"/>
              <w:rPr>
                <w:bCs w:val="0"/>
                <w:szCs w:val="20"/>
              </w:rPr>
            </w:pPr>
            <w:r w:rsidRPr="00134D31">
              <w:rPr>
                <w:szCs w:val="20"/>
              </w:rPr>
              <w:t>9613Y)</w:t>
            </w:r>
          </w:p>
        </w:tc>
        <w:tc>
          <w:tcPr>
            <w:tcW w:w="836" w:type="pct"/>
            <w:vAlign w:val="center"/>
          </w:tcPr>
          <w:p w14:paraId="05452FEA" w14:textId="52126FC9" w:rsidR="0001684A" w:rsidRPr="00134D31" w:rsidRDefault="0001684A" w:rsidP="007F2017">
            <w:pPr>
              <w:pStyle w:val="TableText0"/>
              <w:keepNext w:val="0"/>
              <w:jc w:val="center"/>
              <w:rPr>
                <w:bCs w:val="0"/>
                <w:szCs w:val="20"/>
              </w:rPr>
            </w:pPr>
            <w:r w:rsidRPr="00134D31">
              <w:rPr>
                <w:szCs w:val="20"/>
              </w:rPr>
              <w:t>Authority Required</w:t>
            </w:r>
          </w:p>
        </w:tc>
      </w:tr>
      <w:tr w:rsidR="008849F9" w:rsidRPr="00134D31" w14:paraId="579F9252" w14:textId="77777777" w:rsidTr="007F2017">
        <w:trPr>
          <w:cantSplit/>
        </w:trPr>
        <w:tc>
          <w:tcPr>
            <w:tcW w:w="626" w:type="pct"/>
            <w:vMerge/>
            <w:vAlign w:val="center"/>
          </w:tcPr>
          <w:p w14:paraId="3A43E689" w14:textId="77777777" w:rsidR="0001684A" w:rsidRPr="00134D31" w:rsidRDefault="0001684A" w:rsidP="007F2017">
            <w:pPr>
              <w:pStyle w:val="In-tableHeading"/>
              <w:keepNext w:val="0"/>
              <w:rPr>
                <w:szCs w:val="20"/>
              </w:rPr>
            </w:pPr>
          </w:p>
        </w:tc>
        <w:tc>
          <w:tcPr>
            <w:tcW w:w="944" w:type="pct"/>
            <w:shd w:val="clear" w:color="auto" w:fill="D9D9D9" w:themeFill="background1" w:themeFillShade="D9"/>
            <w:vAlign w:val="center"/>
          </w:tcPr>
          <w:p w14:paraId="7E1309D2" w14:textId="7A3CF95F" w:rsidR="00915A8D" w:rsidRPr="00134D31" w:rsidRDefault="0001684A" w:rsidP="007F2017">
            <w:pPr>
              <w:pStyle w:val="TableText0"/>
              <w:keepNext w:val="0"/>
              <w:jc w:val="center"/>
              <w:rPr>
                <w:bCs w:val="0"/>
                <w:szCs w:val="20"/>
              </w:rPr>
            </w:pPr>
            <w:r w:rsidRPr="00134D31">
              <w:rPr>
                <w:bCs w:val="0"/>
                <w:szCs w:val="20"/>
              </w:rPr>
              <w:t>Initial with concurrent IV authority application (</w:t>
            </w:r>
            <w:r w:rsidR="00915A8D" w:rsidRPr="00134D31">
              <w:rPr>
                <w:bCs w:val="0"/>
                <w:szCs w:val="20"/>
              </w:rPr>
              <w:t>12551N,</w:t>
            </w:r>
          </w:p>
          <w:p w14:paraId="59EFF7B3" w14:textId="2AAEB156" w:rsidR="0001684A" w:rsidRPr="00134D31" w:rsidRDefault="00915A8D" w:rsidP="007F2017">
            <w:pPr>
              <w:pStyle w:val="TableText0"/>
              <w:keepNext w:val="0"/>
              <w:jc w:val="center"/>
              <w:rPr>
                <w:szCs w:val="20"/>
              </w:rPr>
            </w:pPr>
            <w:r w:rsidRPr="00134D31">
              <w:rPr>
                <w:bCs w:val="0"/>
                <w:szCs w:val="20"/>
              </w:rPr>
              <w:t>12585J</w:t>
            </w:r>
            <w:r w:rsidR="0001684A" w:rsidRPr="00134D31">
              <w:rPr>
                <w:bCs w:val="0"/>
                <w:szCs w:val="20"/>
              </w:rPr>
              <w:t>)</w:t>
            </w:r>
          </w:p>
        </w:tc>
        <w:tc>
          <w:tcPr>
            <w:tcW w:w="628" w:type="pct"/>
            <w:shd w:val="clear" w:color="auto" w:fill="D9D9D9" w:themeFill="background1" w:themeFillShade="D9"/>
            <w:vAlign w:val="center"/>
          </w:tcPr>
          <w:p w14:paraId="65FE7760" w14:textId="423387BC" w:rsidR="0001684A" w:rsidRPr="00134D31" w:rsidRDefault="0001684A" w:rsidP="007F2017">
            <w:pPr>
              <w:pStyle w:val="TableText0"/>
              <w:keepNext w:val="0"/>
              <w:jc w:val="center"/>
              <w:rPr>
                <w:szCs w:val="20"/>
              </w:rPr>
            </w:pPr>
            <w:r w:rsidRPr="00134D31">
              <w:rPr>
                <w:szCs w:val="20"/>
              </w:rPr>
              <w:t>Authority Required</w:t>
            </w:r>
          </w:p>
        </w:tc>
        <w:tc>
          <w:tcPr>
            <w:tcW w:w="865" w:type="pct"/>
            <w:shd w:val="clear" w:color="auto" w:fill="D9D9D9" w:themeFill="background1" w:themeFillShade="D9"/>
            <w:vAlign w:val="center"/>
          </w:tcPr>
          <w:p w14:paraId="6E36868C" w14:textId="4DEB09DE" w:rsidR="0001684A" w:rsidRPr="00134D31" w:rsidRDefault="0001684A" w:rsidP="007F2017">
            <w:pPr>
              <w:pStyle w:val="TableText0"/>
              <w:keepNext w:val="0"/>
              <w:jc w:val="center"/>
              <w:rPr>
                <w:b/>
                <w:bCs w:val="0"/>
                <w:szCs w:val="20"/>
              </w:rPr>
            </w:pPr>
            <w:r w:rsidRPr="00134D31">
              <w:rPr>
                <w:b/>
                <w:bCs w:val="0"/>
                <w:szCs w:val="20"/>
              </w:rPr>
              <w:t>Not requested</w:t>
            </w:r>
          </w:p>
        </w:tc>
        <w:tc>
          <w:tcPr>
            <w:tcW w:w="1101" w:type="pct"/>
            <w:shd w:val="clear" w:color="auto" w:fill="D9D9D9" w:themeFill="background1" w:themeFillShade="D9"/>
            <w:vAlign w:val="center"/>
          </w:tcPr>
          <w:p w14:paraId="3CD49F8C" w14:textId="77777777" w:rsidR="0001684A" w:rsidRPr="00134D31" w:rsidRDefault="0001684A" w:rsidP="007F2017">
            <w:pPr>
              <w:pStyle w:val="TableText0"/>
              <w:keepNext w:val="0"/>
              <w:jc w:val="center"/>
              <w:rPr>
                <w:szCs w:val="20"/>
              </w:rPr>
            </w:pPr>
          </w:p>
        </w:tc>
        <w:tc>
          <w:tcPr>
            <w:tcW w:w="836" w:type="pct"/>
            <w:shd w:val="clear" w:color="auto" w:fill="D9D9D9" w:themeFill="background1" w:themeFillShade="D9"/>
            <w:vAlign w:val="center"/>
          </w:tcPr>
          <w:p w14:paraId="43F98CE9" w14:textId="77777777" w:rsidR="0001684A" w:rsidRPr="00134D31" w:rsidRDefault="0001684A" w:rsidP="007F2017">
            <w:pPr>
              <w:pStyle w:val="TableText0"/>
              <w:keepNext w:val="0"/>
              <w:jc w:val="center"/>
              <w:rPr>
                <w:szCs w:val="20"/>
              </w:rPr>
            </w:pPr>
          </w:p>
        </w:tc>
      </w:tr>
      <w:tr w:rsidR="000706E9" w:rsidRPr="00134D31" w14:paraId="2BA7DBCF" w14:textId="77777777" w:rsidTr="007F2017">
        <w:trPr>
          <w:cantSplit/>
        </w:trPr>
        <w:tc>
          <w:tcPr>
            <w:tcW w:w="626" w:type="pct"/>
            <w:vMerge w:val="restart"/>
            <w:vAlign w:val="center"/>
          </w:tcPr>
          <w:p w14:paraId="3F509B58" w14:textId="32EF1EA7" w:rsidR="0001684A" w:rsidRPr="00134D31" w:rsidRDefault="0001684A" w:rsidP="007F2017">
            <w:pPr>
              <w:pStyle w:val="In-tableHeading"/>
              <w:keepNext w:val="0"/>
              <w:rPr>
                <w:szCs w:val="20"/>
              </w:rPr>
            </w:pPr>
            <w:r w:rsidRPr="00134D31">
              <w:rPr>
                <w:szCs w:val="20"/>
              </w:rPr>
              <w:t>Moderate to severe ulcerative colitis</w:t>
            </w:r>
          </w:p>
        </w:tc>
        <w:tc>
          <w:tcPr>
            <w:tcW w:w="944" w:type="pct"/>
            <w:vAlign w:val="center"/>
          </w:tcPr>
          <w:p w14:paraId="12646433" w14:textId="39BD065D" w:rsidR="0001684A" w:rsidRPr="00134D31" w:rsidRDefault="0001684A" w:rsidP="007F2017">
            <w:pPr>
              <w:pStyle w:val="TableText0"/>
              <w:keepNext w:val="0"/>
              <w:jc w:val="center"/>
              <w:rPr>
                <w:bCs w:val="0"/>
                <w:szCs w:val="20"/>
              </w:rPr>
            </w:pPr>
            <w:r w:rsidRPr="00134D31">
              <w:rPr>
                <w:szCs w:val="20"/>
              </w:rPr>
              <w:t>Continuing or switching from IV (12587L, 12552P)</w:t>
            </w:r>
          </w:p>
        </w:tc>
        <w:tc>
          <w:tcPr>
            <w:tcW w:w="628" w:type="pct"/>
            <w:vAlign w:val="center"/>
          </w:tcPr>
          <w:p w14:paraId="3064BB37" w14:textId="285757A0" w:rsidR="0001684A" w:rsidRPr="00134D31" w:rsidRDefault="0001684A" w:rsidP="007F2017">
            <w:pPr>
              <w:pStyle w:val="TableText0"/>
              <w:keepNext w:val="0"/>
              <w:jc w:val="center"/>
              <w:rPr>
                <w:bCs w:val="0"/>
                <w:szCs w:val="20"/>
              </w:rPr>
            </w:pPr>
            <w:r w:rsidRPr="00134D31">
              <w:rPr>
                <w:szCs w:val="20"/>
              </w:rPr>
              <w:t>Authority Required</w:t>
            </w:r>
          </w:p>
        </w:tc>
        <w:tc>
          <w:tcPr>
            <w:tcW w:w="865" w:type="pct"/>
            <w:vAlign w:val="center"/>
          </w:tcPr>
          <w:p w14:paraId="236EF9C9" w14:textId="5AEEF183" w:rsidR="0001684A" w:rsidRPr="00134D31" w:rsidRDefault="0001684A" w:rsidP="007F2017">
            <w:pPr>
              <w:pStyle w:val="TableText0"/>
              <w:keepNext w:val="0"/>
              <w:jc w:val="center"/>
              <w:rPr>
                <w:bCs w:val="0"/>
                <w:szCs w:val="20"/>
              </w:rPr>
            </w:pPr>
            <w:r w:rsidRPr="00134D31">
              <w:rPr>
                <w:szCs w:val="20"/>
              </w:rPr>
              <w:t>Authority Required (STREAMLINED)</w:t>
            </w:r>
          </w:p>
        </w:tc>
        <w:tc>
          <w:tcPr>
            <w:tcW w:w="1101" w:type="pct"/>
            <w:vAlign w:val="center"/>
          </w:tcPr>
          <w:p w14:paraId="73714E76" w14:textId="0FC08A89" w:rsidR="0001684A" w:rsidRPr="00134D31" w:rsidRDefault="0001684A" w:rsidP="007F2017">
            <w:pPr>
              <w:pStyle w:val="TableText0"/>
              <w:keepNext w:val="0"/>
              <w:jc w:val="center"/>
              <w:rPr>
                <w:bCs w:val="0"/>
                <w:szCs w:val="20"/>
              </w:rPr>
            </w:pPr>
            <w:r w:rsidRPr="00134D31">
              <w:rPr>
                <w:szCs w:val="20"/>
              </w:rPr>
              <w:t>Continuing treatment</w:t>
            </w:r>
            <w:r w:rsidR="00A4129A">
              <w:rPr>
                <w:szCs w:val="20"/>
              </w:rPr>
              <w:t xml:space="preserve"> </w:t>
            </w:r>
            <w:r w:rsidRPr="00134D31">
              <w:rPr>
                <w:szCs w:val="20"/>
                <w:vertAlign w:val="superscript"/>
              </w:rPr>
              <w:t>b</w:t>
            </w:r>
            <w:r w:rsidRPr="00134D31">
              <w:rPr>
                <w:szCs w:val="20"/>
              </w:rPr>
              <w:t xml:space="preserve"> (11461F, 11796W)</w:t>
            </w:r>
          </w:p>
        </w:tc>
        <w:tc>
          <w:tcPr>
            <w:tcW w:w="836" w:type="pct"/>
            <w:vAlign w:val="center"/>
          </w:tcPr>
          <w:p w14:paraId="5CDBF8C8" w14:textId="09CC53C1" w:rsidR="0001684A" w:rsidRPr="00134D31" w:rsidRDefault="0001684A" w:rsidP="007F2017">
            <w:pPr>
              <w:pStyle w:val="TableText0"/>
              <w:keepNext w:val="0"/>
              <w:jc w:val="center"/>
              <w:rPr>
                <w:bCs w:val="0"/>
                <w:szCs w:val="20"/>
              </w:rPr>
            </w:pPr>
            <w:r w:rsidRPr="00134D31">
              <w:rPr>
                <w:szCs w:val="20"/>
              </w:rPr>
              <w:t>Authority Required (STREAMLINED)</w:t>
            </w:r>
          </w:p>
        </w:tc>
      </w:tr>
      <w:tr w:rsidR="000706E9" w:rsidRPr="00134D31" w14:paraId="1B03FA11" w14:textId="77777777" w:rsidTr="007F2017">
        <w:trPr>
          <w:cantSplit/>
        </w:trPr>
        <w:tc>
          <w:tcPr>
            <w:tcW w:w="626" w:type="pct"/>
            <w:vMerge/>
            <w:vAlign w:val="center"/>
          </w:tcPr>
          <w:p w14:paraId="61048947" w14:textId="77777777" w:rsidR="0001684A" w:rsidRPr="00134D31" w:rsidRDefault="0001684A" w:rsidP="007F2017">
            <w:pPr>
              <w:pStyle w:val="In-tableHeading"/>
              <w:keepNext w:val="0"/>
              <w:rPr>
                <w:szCs w:val="20"/>
              </w:rPr>
            </w:pPr>
          </w:p>
        </w:tc>
        <w:tc>
          <w:tcPr>
            <w:tcW w:w="944" w:type="pct"/>
            <w:vAlign w:val="center"/>
          </w:tcPr>
          <w:p w14:paraId="04E69C48" w14:textId="77777777" w:rsidR="0001684A" w:rsidRPr="00134D31" w:rsidRDefault="0001684A" w:rsidP="007F2017">
            <w:pPr>
              <w:pStyle w:val="TableText0"/>
              <w:keepNext w:val="0"/>
              <w:jc w:val="center"/>
              <w:rPr>
                <w:bCs w:val="0"/>
                <w:szCs w:val="20"/>
              </w:rPr>
            </w:pPr>
            <w:r w:rsidRPr="00134D31">
              <w:rPr>
                <w:szCs w:val="20"/>
              </w:rPr>
              <w:t>Balance of supply for initial and continuing</w:t>
            </w:r>
          </w:p>
          <w:p w14:paraId="06134509" w14:textId="6CD07F5B" w:rsidR="0001684A" w:rsidRPr="00134D31" w:rsidRDefault="0001684A" w:rsidP="007F2017">
            <w:pPr>
              <w:pStyle w:val="TableText0"/>
              <w:keepNext w:val="0"/>
              <w:jc w:val="center"/>
              <w:rPr>
                <w:bCs w:val="0"/>
                <w:szCs w:val="20"/>
              </w:rPr>
            </w:pPr>
            <w:r w:rsidRPr="00134D31">
              <w:rPr>
                <w:szCs w:val="20"/>
              </w:rPr>
              <w:t>(12584H, 12550M)</w:t>
            </w:r>
          </w:p>
        </w:tc>
        <w:tc>
          <w:tcPr>
            <w:tcW w:w="628" w:type="pct"/>
            <w:vAlign w:val="center"/>
          </w:tcPr>
          <w:p w14:paraId="2C4C0E63" w14:textId="4942D650" w:rsidR="0001684A" w:rsidRPr="00134D31" w:rsidRDefault="0001684A" w:rsidP="007F2017">
            <w:pPr>
              <w:pStyle w:val="TableText0"/>
              <w:keepNext w:val="0"/>
              <w:jc w:val="center"/>
              <w:rPr>
                <w:bCs w:val="0"/>
                <w:szCs w:val="20"/>
              </w:rPr>
            </w:pPr>
            <w:r w:rsidRPr="00134D31">
              <w:rPr>
                <w:szCs w:val="20"/>
              </w:rPr>
              <w:t>Authority Required</w:t>
            </w:r>
          </w:p>
        </w:tc>
        <w:tc>
          <w:tcPr>
            <w:tcW w:w="865" w:type="pct"/>
            <w:vAlign w:val="center"/>
          </w:tcPr>
          <w:p w14:paraId="7CD0B491" w14:textId="1BB42115" w:rsidR="0001684A" w:rsidRPr="00134D31" w:rsidRDefault="0001684A" w:rsidP="007F2017">
            <w:pPr>
              <w:pStyle w:val="TableText0"/>
              <w:keepNext w:val="0"/>
              <w:jc w:val="center"/>
              <w:rPr>
                <w:bCs w:val="0"/>
                <w:szCs w:val="20"/>
              </w:rPr>
            </w:pPr>
            <w:r w:rsidRPr="00134D31">
              <w:rPr>
                <w:szCs w:val="20"/>
              </w:rPr>
              <w:t>Authority Required (STREAMLINED)</w:t>
            </w:r>
          </w:p>
        </w:tc>
        <w:tc>
          <w:tcPr>
            <w:tcW w:w="1101" w:type="pct"/>
            <w:vAlign w:val="center"/>
          </w:tcPr>
          <w:p w14:paraId="6DAC1F40" w14:textId="000AFE38" w:rsidR="0001684A" w:rsidRPr="00134D31" w:rsidRDefault="0001684A" w:rsidP="007F2017">
            <w:pPr>
              <w:pStyle w:val="TableText0"/>
              <w:keepNext w:val="0"/>
              <w:jc w:val="center"/>
              <w:rPr>
                <w:bCs w:val="0"/>
                <w:szCs w:val="20"/>
              </w:rPr>
            </w:pPr>
            <w:r w:rsidRPr="00134D31">
              <w:rPr>
                <w:szCs w:val="20"/>
              </w:rPr>
              <w:t xml:space="preserve">Initial, balance of </w:t>
            </w:r>
            <w:r w:rsidR="00A4129A">
              <w:rPr>
                <w:szCs w:val="20"/>
              </w:rPr>
              <w:br/>
            </w:r>
            <w:r w:rsidRPr="00134D31">
              <w:rPr>
                <w:szCs w:val="20"/>
              </w:rPr>
              <w:t>supply</w:t>
            </w:r>
            <w:r w:rsidR="00A4129A">
              <w:rPr>
                <w:szCs w:val="20"/>
              </w:rPr>
              <w:t xml:space="preserve"> </w:t>
            </w:r>
            <w:r w:rsidRPr="00134D31">
              <w:rPr>
                <w:szCs w:val="20"/>
                <w:vertAlign w:val="superscript"/>
              </w:rPr>
              <w:t>c</w:t>
            </w:r>
            <w:r w:rsidRPr="00134D31">
              <w:rPr>
                <w:szCs w:val="20"/>
              </w:rPr>
              <w:t xml:space="preserve"> (10196P, 10184B)</w:t>
            </w:r>
          </w:p>
        </w:tc>
        <w:tc>
          <w:tcPr>
            <w:tcW w:w="836" w:type="pct"/>
            <w:vAlign w:val="center"/>
          </w:tcPr>
          <w:p w14:paraId="7F37CEC3" w14:textId="7FE629E1" w:rsidR="0001684A" w:rsidRPr="00134D31" w:rsidRDefault="0001684A" w:rsidP="007F2017">
            <w:pPr>
              <w:pStyle w:val="TableText0"/>
              <w:keepNext w:val="0"/>
              <w:jc w:val="center"/>
              <w:rPr>
                <w:bCs w:val="0"/>
                <w:szCs w:val="20"/>
              </w:rPr>
            </w:pPr>
            <w:r w:rsidRPr="00134D31">
              <w:rPr>
                <w:szCs w:val="20"/>
              </w:rPr>
              <w:t>Authority Required</w:t>
            </w:r>
          </w:p>
        </w:tc>
      </w:tr>
      <w:tr w:rsidR="008849F9" w:rsidRPr="00134D31" w14:paraId="36362289" w14:textId="77777777" w:rsidTr="007F2017">
        <w:trPr>
          <w:cantSplit/>
        </w:trPr>
        <w:tc>
          <w:tcPr>
            <w:tcW w:w="626" w:type="pct"/>
            <w:vMerge/>
            <w:vAlign w:val="center"/>
          </w:tcPr>
          <w:p w14:paraId="0AED626A" w14:textId="77777777" w:rsidR="0001684A" w:rsidRPr="00134D31" w:rsidRDefault="0001684A" w:rsidP="007F2017">
            <w:pPr>
              <w:pStyle w:val="In-tableHeading"/>
              <w:keepNext w:val="0"/>
              <w:rPr>
                <w:szCs w:val="20"/>
              </w:rPr>
            </w:pPr>
          </w:p>
        </w:tc>
        <w:tc>
          <w:tcPr>
            <w:tcW w:w="944" w:type="pct"/>
            <w:shd w:val="clear" w:color="auto" w:fill="D9D9D9" w:themeFill="background1" w:themeFillShade="D9"/>
            <w:vAlign w:val="center"/>
          </w:tcPr>
          <w:p w14:paraId="4FE53634" w14:textId="6A781014" w:rsidR="0001684A" w:rsidRPr="00134D31" w:rsidRDefault="0001684A" w:rsidP="007F2017">
            <w:pPr>
              <w:pStyle w:val="TableText0"/>
              <w:keepNext w:val="0"/>
              <w:jc w:val="center"/>
              <w:rPr>
                <w:szCs w:val="20"/>
              </w:rPr>
            </w:pPr>
            <w:r w:rsidRPr="00134D31">
              <w:rPr>
                <w:bCs w:val="0"/>
                <w:szCs w:val="20"/>
              </w:rPr>
              <w:t>Initial with concurrent IV authority application (12575W, 12561D)</w:t>
            </w:r>
          </w:p>
        </w:tc>
        <w:tc>
          <w:tcPr>
            <w:tcW w:w="628" w:type="pct"/>
            <w:shd w:val="clear" w:color="auto" w:fill="D9D9D9" w:themeFill="background1" w:themeFillShade="D9"/>
            <w:vAlign w:val="center"/>
          </w:tcPr>
          <w:p w14:paraId="275D3D7D" w14:textId="78CA4A0E" w:rsidR="0001684A" w:rsidRPr="00134D31" w:rsidRDefault="0001684A" w:rsidP="007F2017">
            <w:pPr>
              <w:pStyle w:val="TableText0"/>
              <w:keepNext w:val="0"/>
              <w:jc w:val="center"/>
              <w:rPr>
                <w:szCs w:val="20"/>
              </w:rPr>
            </w:pPr>
            <w:r w:rsidRPr="00134D31">
              <w:rPr>
                <w:szCs w:val="20"/>
              </w:rPr>
              <w:t>Authority Required</w:t>
            </w:r>
          </w:p>
        </w:tc>
        <w:tc>
          <w:tcPr>
            <w:tcW w:w="865" w:type="pct"/>
            <w:shd w:val="clear" w:color="auto" w:fill="D9D9D9" w:themeFill="background1" w:themeFillShade="D9"/>
            <w:vAlign w:val="center"/>
          </w:tcPr>
          <w:p w14:paraId="3F0C9AA9" w14:textId="03880110" w:rsidR="0001684A" w:rsidRPr="00134D31" w:rsidRDefault="0001684A" w:rsidP="007F2017">
            <w:pPr>
              <w:pStyle w:val="TableText0"/>
              <w:keepNext w:val="0"/>
              <w:jc w:val="center"/>
              <w:rPr>
                <w:b/>
                <w:bCs w:val="0"/>
                <w:szCs w:val="20"/>
              </w:rPr>
            </w:pPr>
            <w:r w:rsidRPr="00134D31">
              <w:rPr>
                <w:b/>
                <w:bCs w:val="0"/>
                <w:szCs w:val="20"/>
              </w:rPr>
              <w:t>Not requested</w:t>
            </w:r>
          </w:p>
        </w:tc>
        <w:tc>
          <w:tcPr>
            <w:tcW w:w="1101" w:type="pct"/>
            <w:shd w:val="clear" w:color="auto" w:fill="D9D9D9" w:themeFill="background1" w:themeFillShade="D9"/>
            <w:vAlign w:val="center"/>
          </w:tcPr>
          <w:p w14:paraId="61960C5A" w14:textId="77777777" w:rsidR="0001684A" w:rsidRPr="00134D31" w:rsidRDefault="0001684A" w:rsidP="007F2017">
            <w:pPr>
              <w:pStyle w:val="TableText0"/>
              <w:keepNext w:val="0"/>
              <w:jc w:val="center"/>
              <w:rPr>
                <w:szCs w:val="20"/>
              </w:rPr>
            </w:pPr>
          </w:p>
        </w:tc>
        <w:tc>
          <w:tcPr>
            <w:tcW w:w="836" w:type="pct"/>
            <w:shd w:val="clear" w:color="auto" w:fill="D9D9D9" w:themeFill="background1" w:themeFillShade="D9"/>
            <w:vAlign w:val="center"/>
          </w:tcPr>
          <w:p w14:paraId="5464B30F" w14:textId="77777777" w:rsidR="0001684A" w:rsidRPr="00134D31" w:rsidRDefault="0001684A" w:rsidP="007F2017">
            <w:pPr>
              <w:pStyle w:val="TableText0"/>
              <w:keepNext w:val="0"/>
              <w:jc w:val="center"/>
              <w:rPr>
                <w:szCs w:val="20"/>
              </w:rPr>
            </w:pPr>
          </w:p>
        </w:tc>
      </w:tr>
      <w:tr w:rsidR="008849F9" w:rsidRPr="00134D31" w14:paraId="37BE006D" w14:textId="77777777" w:rsidTr="007F2017">
        <w:trPr>
          <w:cantSplit/>
        </w:trPr>
        <w:tc>
          <w:tcPr>
            <w:tcW w:w="626" w:type="pct"/>
            <w:vMerge w:val="restart"/>
            <w:vAlign w:val="center"/>
          </w:tcPr>
          <w:p w14:paraId="61A86DBD" w14:textId="5A4DE9FF" w:rsidR="0001684A" w:rsidRPr="00134D31" w:rsidRDefault="0001684A" w:rsidP="007F2017">
            <w:pPr>
              <w:pStyle w:val="In-tableHeading"/>
              <w:keepNext w:val="0"/>
              <w:rPr>
                <w:szCs w:val="20"/>
              </w:rPr>
            </w:pPr>
            <w:r w:rsidRPr="00134D31">
              <w:rPr>
                <w:szCs w:val="20"/>
              </w:rPr>
              <w:t>Ankylosing spondylitis</w:t>
            </w:r>
          </w:p>
        </w:tc>
        <w:tc>
          <w:tcPr>
            <w:tcW w:w="944" w:type="pct"/>
            <w:vAlign w:val="center"/>
          </w:tcPr>
          <w:p w14:paraId="1586C7D3" w14:textId="7C4EAA34" w:rsidR="0001684A" w:rsidRPr="00134D31" w:rsidRDefault="0001684A" w:rsidP="007F2017">
            <w:pPr>
              <w:pStyle w:val="TableText0"/>
              <w:keepNext w:val="0"/>
              <w:jc w:val="center"/>
              <w:rPr>
                <w:bCs w:val="0"/>
                <w:szCs w:val="20"/>
              </w:rPr>
            </w:pPr>
            <w:r w:rsidRPr="00134D31">
              <w:rPr>
                <w:szCs w:val="20"/>
              </w:rPr>
              <w:t>Continuing or switching from IV (13048R, 13069W)</w:t>
            </w:r>
          </w:p>
        </w:tc>
        <w:tc>
          <w:tcPr>
            <w:tcW w:w="628" w:type="pct"/>
            <w:vAlign w:val="center"/>
          </w:tcPr>
          <w:p w14:paraId="6EACAD29" w14:textId="3BE192E7" w:rsidR="0001684A" w:rsidRPr="00134D31" w:rsidRDefault="0001684A" w:rsidP="007F2017">
            <w:pPr>
              <w:pStyle w:val="TableText0"/>
              <w:keepNext w:val="0"/>
              <w:jc w:val="center"/>
              <w:rPr>
                <w:bCs w:val="0"/>
                <w:szCs w:val="20"/>
              </w:rPr>
            </w:pPr>
            <w:r w:rsidRPr="00134D31">
              <w:rPr>
                <w:szCs w:val="20"/>
              </w:rPr>
              <w:t>Authority Required</w:t>
            </w:r>
          </w:p>
        </w:tc>
        <w:tc>
          <w:tcPr>
            <w:tcW w:w="865" w:type="pct"/>
            <w:vAlign w:val="center"/>
          </w:tcPr>
          <w:p w14:paraId="717BF0FB" w14:textId="6865EB15" w:rsidR="0001684A" w:rsidRPr="00134D31" w:rsidRDefault="0001684A" w:rsidP="007F2017">
            <w:pPr>
              <w:pStyle w:val="TableText0"/>
              <w:keepNext w:val="0"/>
              <w:jc w:val="center"/>
              <w:rPr>
                <w:bCs w:val="0"/>
                <w:szCs w:val="20"/>
              </w:rPr>
            </w:pPr>
            <w:r w:rsidRPr="00134D31">
              <w:rPr>
                <w:szCs w:val="20"/>
              </w:rPr>
              <w:t>Authority Required (STREAMLINED)</w:t>
            </w:r>
          </w:p>
        </w:tc>
        <w:tc>
          <w:tcPr>
            <w:tcW w:w="1101" w:type="pct"/>
            <w:vAlign w:val="center"/>
          </w:tcPr>
          <w:p w14:paraId="3AD8CD63" w14:textId="6E20EC02" w:rsidR="0001684A" w:rsidRPr="00134D31" w:rsidRDefault="0001684A" w:rsidP="007F2017">
            <w:pPr>
              <w:pStyle w:val="TableText0"/>
              <w:keepNext w:val="0"/>
              <w:jc w:val="center"/>
              <w:rPr>
                <w:bCs w:val="0"/>
                <w:szCs w:val="20"/>
              </w:rPr>
            </w:pPr>
            <w:r w:rsidRPr="00134D31">
              <w:rPr>
                <w:szCs w:val="20"/>
              </w:rPr>
              <w:t>First and subsequent continuing</w:t>
            </w:r>
            <w:r w:rsidR="00A4129A">
              <w:rPr>
                <w:szCs w:val="20"/>
              </w:rPr>
              <w:t xml:space="preserve"> </w:t>
            </w:r>
            <w:r w:rsidRPr="00134D31">
              <w:rPr>
                <w:szCs w:val="20"/>
                <w:vertAlign w:val="superscript"/>
              </w:rPr>
              <w:t>b</w:t>
            </w:r>
            <w:r w:rsidRPr="00134D31">
              <w:rPr>
                <w:szCs w:val="20"/>
              </w:rPr>
              <w:t xml:space="preserve"> (11486M, 11488P)</w:t>
            </w:r>
          </w:p>
        </w:tc>
        <w:tc>
          <w:tcPr>
            <w:tcW w:w="836" w:type="pct"/>
            <w:vAlign w:val="center"/>
          </w:tcPr>
          <w:p w14:paraId="2A4C20B7" w14:textId="1DB161B1" w:rsidR="0001684A" w:rsidRPr="00134D31" w:rsidRDefault="0001684A" w:rsidP="007F2017">
            <w:pPr>
              <w:pStyle w:val="TableText0"/>
              <w:keepNext w:val="0"/>
              <w:jc w:val="center"/>
              <w:rPr>
                <w:bCs w:val="0"/>
                <w:szCs w:val="20"/>
              </w:rPr>
            </w:pPr>
            <w:r w:rsidRPr="00134D31">
              <w:rPr>
                <w:szCs w:val="20"/>
              </w:rPr>
              <w:t>Authority Required (STREAMLINED)</w:t>
            </w:r>
          </w:p>
        </w:tc>
      </w:tr>
      <w:tr w:rsidR="008849F9" w:rsidRPr="00134D31" w14:paraId="149C9C5A" w14:textId="77777777" w:rsidTr="007F2017">
        <w:trPr>
          <w:cantSplit/>
        </w:trPr>
        <w:tc>
          <w:tcPr>
            <w:tcW w:w="626" w:type="pct"/>
            <w:vMerge/>
            <w:vAlign w:val="center"/>
          </w:tcPr>
          <w:p w14:paraId="244764DE" w14:textId="77777777" w:rsidR="0001684A" w:rsidRPr="00134D31" w:rsidRDefault="0001684A" w:rsidP="007F2017">
            <w:pPr>
              <w:pStyle w:val="In-tableHeading"/>
              <w:keepNext w:val="0"/>
              <w:rPr>
                <w:szCs w:val="20"/>
              </w:rPr>
            </w:pPr>
          </w:p>
        </w:tc>
        <w:tc>
          <w:tcPr>
            <w:tcW w:w="944" w:type="pct"/>
            <w:shd w:val="clear" w:color="auto" w:fill="D9D9D9" w:themeFill="background1" w:themeFillShade="D9"/>
            <w:vAlign w:val="center"/>
          </w:tcPr>
          <w:p w14:paraId="5F46D504" w14:textId="1F290308" w:rsidR="0001684A" w:rsidRPr="00134D31" w:rsidRDefault="0001684A" w:rsidP="007F2017">
            <w:pPr>
              <w:pStyle w:val="TableText0"/>
              <w:keepNext w:val="0"/>
              <w:jc w:val="center"/>
              <w:rPr>
                <w:szCs w:val="20"/>
              </w:rPr>
            </w:pPr>
            <w:r w:rsidRPr="00134D31">
              <w:rPr>
                <w:szCs w:val="20"/>
              </w:rPr>
              <w:t>Balance of supply (13075E, 13065P)</w:t>
            </w:r>
          </w:p>
          <w:p w14:paraId="61F55C28" w14:textId="687B7133" w:rsidR="0001684A" w:rsidRPr="00134D31" w:rsidRDefault="0001684A" w:rsidP="007F2017">
            <w:pPr>
              <w:pStyle w:val="TableText0"/>
              <w:keepNext w:val="0"/>
              <w:jc w:val="center"/>
              <w:rPr>
                <w:bCs w:val="0"/>
                <w:szCs w:val="20"/>
              </w:rPr>
            </w:pPr>
            <w:r w:rsidRPr="00134D31">
              <w:rPr>
                <w:bCs w:val="0"/>
                <w:szCs w:val="20"/>
              </w:rPr>
              <w:t>Initial with concurrent IV authority application (13049T, 13057F)</w:t>
            </w:r>
          </w:p>
        </w:tc>
        <w:tc>
          <w:tcPr>
            <w:tcW w:w="628" w:type="pct"/>
            <w:shd w:val="clear" w:color="auto" w:fill="D9D9D9" w:themeFill="background1" w:themeFillShade="D9"/>
            <w:vAlign w:val="center"/>
          </w:tcPr>
          <w:p w14:paraId="1CDD5DA0" w14:textId="0365FB4A" w:rsidR="0001684A" w:rsidRPr="00134D31" w:rsidRDefault="0001684A" w:rsidP="007F2017">
            <w:pPr>
              <w:pStyle w:val="TableText0"/>
              <w:keepNext w:val="0"/>
              <w:jc w:val="center"/>
              <w:rPr>
                <w:bCs w:val="0"/>
                <w:szCs w:val="20"/>
              </w:rPr>
            </w:pPr>
            <w:r w:rsidRPr="00134D31">
              <w:rPr>
                <w:szCs w:val="20"/>
              </w:rPr>
              <w:t>Authority Required</w:t>
            </w:r>
          </w:p>
        </w:tc>
        <w:tc>
          <w:tcPr>
            <w:tcW w:w="865" w:type="pct"/>
            <w:shd w:val="clear" w:color="auto" w:fill="D9D9D9" w:themeFill="background1" w:themeFillShade="D9"/>
            <w:vAlign w:val="center"/>
          </w:tcPr>
          <w:p w14:paraId="735D7699" w14:textId="3CA6F24C" w:rsidR="0001684A" w:rsidRPr="00134D31" w:rsidRDefault="0001684A" w:rsidP="007F2017">
            <w:pPr>
              <w:pStyle w:val="TableText0"/>
              <w:keepNext w:val="0"/>
              <w:jc w:val="center"/>
              <w:rPr>
                <w:bCs w:val="0"/>
                <w:szCs w:val="20"/>
              </w:rPr>
            </w:pPr>
            <w:r w:rsidRPr="00134D31">
              <w:rPr>
                <w:b/>
                <w:bCs w:val="0"/>
                <w:szCs w:val="20"/>
              </w:rPr>
              <w:t>Not requested</w:t>
            </w:r>
          </w:p>
        </w:tc>
        <w:tc>
          <w:tcPr>
            <w:tcW w:w="1101" w:type="pct"/>
            <w:shd w:val="clear" w:color="auto" w:fill="D9D9D9" w:themeFill="background1" w:themeFillShade="D9"/>
            <w:vAlign w:val="center"/>
          </w:tcPr>
          <w:p w14:paraId="639BC39E" w14:textId="40C756A0" w:rsidR="0001684A" w:rsidRPr="00134D31" w:rsidRDefault="0001684A" w:rsidP="007F2017">
            <w:pPr>
              <w:pStyle w:val="TableText0"/>
              <w:keepNext w:val="0"/>
              <w:jc w:val="center"/>
              <w:rPr>
                <w:bCs w:val="0"/>
                <w:szCs w:val="20"/>
              </w:rPr>
            </w:pPr>
            <w:r w:rsidRPr="00134D31">
              <w:rPr>
                <w:szCs w:val="20"/>
              </w:rPr>
              <w:t>Initial, first continuing, balance of supply of first continuing</w:t>
            </w:r>
            <w:r w:rsidR="00A4129A">
              <w:rPr>
                <w:szCs w:val="20"/>
              </w:rPr>
              <w:t xml:space="preserve"> </w:t>
            </w:r>
            <w:r w:rsidRPr="00134D31">
              <w:rPr>
                <w:szCs w:val="20"/>
                <w:vertAlign w:val="superscript"/>
              </w:rPr>
              <w:t>c</w:t>
            </w:r>
            <w:r w:rsidRPr="00134D31">
              <w:rPr>
                <w:szCs w:val="20"/>
              </w:rPr>
              <w:t xml:space="preserve"> (5753T, 6448J)</w:t>
            </w:r>
          </w:p>
        </w:tc>
        <w:tc>
          <w:tcPr>
            <w:tcW w:w="836" w:type="pct"/>
            <w:shd w:val="clear" w:color="auto" w:fill="D9D9D9" w:themeFill="background1" w:themeFillShade="D9"/>
            <w:vAlign w:val="center"/>
          </w:tcPr>
          <w:p w14:paraId="69AC5DEF" w14:textId="4335EB3F" w:rsidR="0001684A" w:rsidRPr="00134D31" w:rsidRDefault="0001684A" w:rsidP="007F2017">
            <w:pPr>
              <w:pStyle w:val="TableText0"/>
              <w:keepNext w:val="0"/>
              <w:jc w:val="center"/>
              <w:rPr>
                <w:bCs w:val="0"/>
                <w:szCs w:val="20"/>
              </w:rPr>
            </w:pPr>
            <w:r w:rsidRPr="00134D31">
              <w:rPr>
                <w:szCs w:val="20"/>
              </w:rPr>
              <w:t>Authority Required</w:t>
            </w:r>
          </w:p>
        </w:tc>
      </w:tr>
      <w:tr w:rsidR="008849F9" w:rsidRPr="00134D31" w14:paraId="768E54DD" w14:textId="77777777" w:rsidTr="007F2017">
        <w:trPr>
          <w:cantSplit/>
        </w:trPr>
        <w:tc>
          <w:tcPr>
            <w:tcW w:w="626" w:type="pct"/>
            <w:vMerge w:val="restart"/>
            <w:vAlign w:val="center"/>
          </w:tcPr>
          <w:p w14:paraId="0F2321BA" w14:textId="5F3663D1" w:rsidR="0001684A" w:rsidRPr="00134D31" w:rsidRDefault="0001684A" w:rsidP="007F2017">
            <w:pPr>
              <w:pStyle w:val="In-tableHeading"/>
              <w:rPr>
                <w:szCs w:val="20"/>
              </w:rPr>
            </w:pPr>
            <w:r w:rsidRPr="00134D31">
              <w:rPr>
                <w:szCs w:val="20"/>
              </w:rPr>
              <w:lastRenderedPageBreak/>
              <w:t>Severe psoriatic arthritis</w:t>
            </w:r>
          </w:p>
        </w:tc>
        <w:tc>
          <w:tcPr>
            <w:tcW w:w="944" w:type="pct"/>
            <w:vAlign w:val="center"/>
          </w:tcPr>
          <w:p w14:paraId="0088CA7E" w14:textId="5D6BB5C7" w:rsidR="0001684A" w:rsidRPr="00134D31" w:rsidRDefault="0001684A" w:rsidP="007F2017">
            <w:pPr>
              <w:pStyle w:val="TableText0"/>
              <w:jc w:val="center"/>
              <w:rPr>
                <w:bCs w:val="0"/>
                <w:szCs w:val="20"/>
              </w:rPr>
            </w:pPr>
            <w:r w:rsidRPr="00134D31">
              <w:rPr>
                <w:szCs w:val="20"/>
              </w:rPr>
              <w:t>Continuing</w:t>
            </w:r>
            <w:r w:rsidR="001E1F05" w:rsidRPr="00134D31">
              <w:rPr>
                <w:szCs w:val="20"/>
              </w:rPr>
              <w:t xml:space="preserve"> or switching from IV</w:t>
            </w:r>
          </w:p>
          <w:p w14:paraId="51D1A506" w14:textId="4DBCA270" w:rsidR="0001684A" w:rsidRPr="00134D31" w:rsidRDefault="001E1F05" w:rsidP="007F2017">
            <w:pPr>
              <w:pStyle w:val="TableText0"/>
              <w:jc w:val="center"/>
              <w:rPr>
                <w:bCs w:val="0"/>
                <w:szCs w:val="20"/>
              </w:rPr>
            </w:pPr>
            <w:r w:rsidRPr="00134D31">
              <w:rPr>
                <w:szCs w:val="20"/>
              </w:rPr>
              <w:t>(</w:t>
            </w:r>
            <w:r w:rsidR="0001684A" w:rsidRPr="00134D31">
              <w:rPr>
                <w:szCs w:val="20"/>
              </w:rPr>
              <w:t>13054C, 13047Q</w:t>
            </w:r>
            <w:r w:rsidRPr="00134D31">
              <w:rPr>
                <w:szCs w:val="20"/>
              </w:rPr>
              <w:t>)</w:t>
            </w:r>
          </w:p>
        </w:tc>
        <w:tc>
          <w:tcPr>
            <w:tcW w:w="628" w:type="pct"/>
            <w:vAlign w:val="center"/>
          </w:tcPr>
          <w:p w14:paraId="72B4C9D1" w14:textId="068E993F" w:rsidR="0001684A" w:rsidRPr="00134D31" w:rsidRDefault="0001684A" w:rsidP="007F2017">
            <w:pPr>
              <w:pStyle w:val="TableText0"/>
              <w:jc w:val="center"/>
              <w:rPr>
                <w:bCs w:val="0"/>
                <w:szCs w:val="20"/>
              </w:rPr>
            </w:pPr>
            <w:r w:rsidRPr="00134D31">
              <w:rPr>
                <w:szCs w:val="20"/>
              </w:rPr>
              <w:t>Authority Required</w:t>
            </w:r>
          </w:p>
        </w:tc>
        <w:tc>
          <w:tcPr>
            <w:tcW w:w="865" w:type="pct"/>
            <w:vAlign w:val="center"/>
          </w:tcPr>
          <w:p w14:paraId="1CAF53AF" w14:textId="28F87745" w:rsidR="0001684A" w:rsidRPr="00134D31" w:rsidRDefault="0001684A" w:rsidP="007F2017">
            <w:pPr>
              <w:pStyle w:val="TableText0"/>
              <w:jc w:val="center"/>
              <w:rPr>
                <w:bCs w:val="0"/>
                <w:szCs w:val="20"/>
              </w:rPr>
            </w:pPr>
            <w:r w:rsidRPr="00134D31">
              <w:rPr>
                <w:szCs w:val="20"/>
              </w:rPr>
              <w:t>Authority Required (STREAMLINED)</w:t>
            </w:r>
          </w:p>
        </w:tc>
        <w:tc>
          <w:tcPr>
            <w:tcW w:w="1101" w:type="pct"/>
            <w:vAlign w:val="center"/>
          </w:tcPr>
          <w:p w14:paraId="0D2A24B0" w14:textId="2030E016" w:rsidR="0001684A" w:rsidRPr="00134D31" w:rsidRDefault="0001684A" w:rsidP="007F2017">
            <w:pPr>
              <w:pStyle w:val="TableText0"/>
              <w:jc w:val="center"/>
              <w:rPr>
                <w:bCs w:val="0"/>
                <w:szCs w:val="20"/>
              </w:rPr>
            </w:pPr>
            <w:r w:rsidRPr="00134D31">
              <w:rPr>
                <w:szCs w:val="20"/>
              </w:rPr>
              <w:t xml:space="preserve">Subsequent </w:t>
            </w:r>
            <w:r w:rsidR="00A4129A">
              <w:rPr>
                <w:szCs w:val="20"/>
              </w:rPr>
              <w:br/>
            </w:r>
            <w:r w:rsidRPr="00134D31">
              <w:rPr>
                <w:szCs w:val="20"/>
              </w:rPr>
              <w:t>continuing</w:t>
            </w:r>
            <w:r w:rsidR="00A4129A">
              <w:rPr>
                <w:szCs w:val="20"/>
              </w:rPr>
              <w:t xml:space="preserve"> </w:t>
            </w:r>
            <w:r w:rsidRPr="00134D31">
              <w:rPr>
                <w:szCs w:val="20"/>
                <w:vertAlign w:val="superscript"/>
              </w:rPr>
              <w:t>b</w:t>
            </w:r>
            <w:r w:rsidRPr="00134D31">
              <w:rPr>
                <w:szCs w:val="20"/>
              </w:rPr>
              <w:t xml:space="preserve"> (11514B, 11515C)</w:t>
            </w:r>
          </w:p>
        </w:tc>
        <w:tc>
          <w:tcPr>
            <w:tcW w:w="836" w:type="pct"/>
            <w:vAlign w:val="center"/>
          </w:tcPr>
          <w:p w14:paraId="24CE2BB0" w14:textId="49DA7ED0" w:rsidR="0001684A" w:rsidRPr="00134D31" w:rsidRDefault="0001684A" w:rsidP="007F2017">
            <w:pPr>
              <w:pStyle w:val="TableText0"/>
              <w:jc w:val="center"/>
              <w:rPr>
                <w:bCs w:val="0"/>
                <w:szCs w:val="20"/>
              </w:rPr>
            </w:pPr>
            <w:r w:rsidRPr="00134D31">
              <w:rPr>
                <w:szCs w:val="20"/>
              </w:rPr>
              <w:t>Authority Required (STREAMLINED)</w:t>
            </w:r>
          </w:p>
        </w:tc>
      </w:tr>
      <w:tr w:rsidR="008849F9" w:rsidRPr="00134D31" w14:paraId="4CB2ED1A" w14:textId="77777777" w:rsidTr="007F2017">
        <w:trPr>
          <w:cantSplit/>
        </w:trPr>
        <w:tc>
          <w:tcPr>
            <w:tcW w:w="626" w:type="pct"/>
            <w:vMerge/>
            <w:vAlign w:val="center"/>
          </w:tcPr>
          <w:p w14:paraId="4A5CC707" w14:textId="77777777" w:rsidR="0001684A" w:rsidRPr="00134D31" w:rsidRDefault="0001684A" w:rsidP="007F2017">
            <w:pPr>
              <w:pStyle w:val="In-tableHeading"/>
              <w:rPr>
                <w:szCs w:val="20"/>
              </w:rPr>
            </w:pPr>
          </w:p>
        </w:tc>
        <w:tc>
          <w:tcPr>
            <w:tcW w:w="944" w:type="pct"/>
            <w:shd w:val="clear" w:color="auto" w:fill="D9D9D9" w:themeFill="background1" w:themeFillShade="D9"/>
            <w:vAlign w:val="center"/>
          </w:tcPr>
          <w:p w14:paraId="7EBCA830" w14:textId="6055280B" w:rsidR="0001684A" w:rsidRPr="00134D31" w:rsidRDefault="0001684A" w:rsidP="007F2017">
            <w:pPr>
              <w:pStyle w:val="TableText0"/>
              <w:jc w:val="center"/>
              <w:rPr>
                <w:bCs w:val="0"/>
                <w:szCs w:val="20"/>
              </w:rPr>
            </w:pPr>
            <w:r w:rsidRPr="00134D31">
              <w:rPr>
                <w:szCs w:val="20"/>
              </w:rPr>
              <w:t>Balance of supply</w:t>
            </w:r>
          </w:p>
          <w:p w14:paraId="644C3B7F" w14:textId="652CB0EC" w:rsidR="0001684A" w:rsidRPr="00134D31" w:rsidRDefault="001E1F05" w:rsidP="007F2017">
            <w:pPr>
              <w:pStyle w:val="TableText0"/>
              <w:jc w:val="center"/>
              <w:rPr>
                <w:bCs w:val="0"/>
                <w:szCs w:val="20"/>
              </w:rPr>
            </w:pPr>
            <w:r w:rsidRPr="00134D31">
              <w:rPr>
                <w:szCs w:val="20"/>
              </w:rPr>
              <w:t>(</w:t>
            </w:r>
            <w:r w:rsidR="0001684A" w:rsidRPr="00134D31">
              <w:rPr>
                <w:szCs w:val="20"/>
              </w:rPr>
              <w:t>13056E</w:t>
            </w:r>
            <w:r w:rsidRPr="00134D31">
              <w:rPr>
                <w:szCs w:val="20"/>
              </w:rPr>
              <w:t>, 13078H)</w:t>
            </w:r>
            <w:r w:rsidR="0075611C" w:rsidRPr="00134D31">
              <w:rPr>
                <w:szCs w:val="20"/>
              </w:rPr>
              <w:t xml:space="preserve"> </w:t>
            </w:r>
            <w:r w:rsidR="0075611C" w:rsidRPr="00134D31">
              <w:rPr>
                <w:bCs w:val="0"/>
                <w:szCs w:val="20"/>
              </w:rPr>
              <w:t>Initial with concurrent IV authority application</w:t>
            </w:r>
            <w:r w:rsidR="0075611C" w:rsidRPr="00134D31">
              <w:rPr>
                <w:szCs w:val="20"/>
              </w:rPr>
              <w:t xml:space="preserve"> (13077G, 13066Q)</w:t>
            </w:r>
          </w:p>
        </w:tc>
        <w:tc>
          <w:tcPr>
            <w:tcW w:w="628" w:type="pct"/>
            <w:shd w:val="clear" w:color="auto" w:fill="D9D9D9" w:themeFill="background1" w:themeFillShade="D9"/>
            <w:vAlign w:val="center"/>
          </w:tcPr>
          <w:p w14:paraId="5B935CD0" w14:textId="2799B2B2" w:rsidR="0001684A" w:rsidRPr="00134D31" w:rsidRDefault="0001684A" w:rsidP="007F2017">
            <w:pPr>
              <w:pStyle w:val="TableText0"/>
              <w:jc w:val="center"/>
              <w:rPr>
                <w:bCs w:val="0"/>
                <w:szCs w:val="20"/>
              </w:rPr>
            </w:pPr>
            <w:r w:rsidRPr="00134D31">
              <w:rPr>
                <w:szCs w:val="20"/>
              </w:rPr>
              <w:t>Authority Required</w:t>
            </w:r>
          </w:p>
        </w:tc>
        <w:tc>
          <w:tcPr>
            <w:tcW w:w="865" w:type="pct"/>
            <w:shd w:val="clear" w:color="auto" w:fill="D9D9D9" w:themeFill="background1" w:themeFillShade="D9"/>
            <w:vAlign w:val="center"/>
          </w:tcPr>
          <w:p w14:paraId="3F5C840F" w14:textId="06DD3915" w:rsidR="0001684A" w:rsidRPr="00134D31" w:rsidRDefault="0001684A" w:rsidP="007F2017">
            <w:pPr>
              <w:pStyle w:val="TableText0"/>
              <w:jc w:val="center"/>
              <w:rPr>
                <w:bCs w:val="0"/>
                <w:szCs w:val="20"/>
              </w:rPr>
            </w:pPr>
            <w:r w:rsidRPr="00134D31">
              <w:rPr>
                <w:b/>
                <w:bCs w:val="0"/>
                <w:szCs w:val="20"/>
              </w:rPr>
              <w:t>Not requested</w:t>
            </w:r>
          </w:p>
        </w:tc>
        <w:tc>
          <w:tcPr>
            <w:tcW w:w="1101" w:type="pct"/>
            <w:shd w:val="clear" w:color="auto" w:fill="D9D9D9" w:themeFill="background1" w:themeFillShade="D9"/>
            <w:vAlign w:val="center"/>
          </w:tcPr>
          <w:p w14:paraId="5B430DE3" w14:textId="0777F64F" w:rsidR="0001684A" w:rsidRPr="00134D31" w:rsidRDefault="00281B5D" w:rsidP="007F2017">
            <w:pPr>
              <w:pStyle w:val="TableText0"/>
              <w:jc w:val="center"/>
              <w:rPr>
                <w:bCs w:val="0"/>
                <w:szCs w:val="20"/>
              </w:rPr>
            </w:pPr>
            <w:r w:rsidRPr="00134D31">
              <w:rPr>
                <w:szCs w:val="20"/>
              </w:rPr>
              <w:t>Initial, first continuing, balance of supply of first continuing</w:t>
            </w:r>
            <w:r w:rsidR="00A4129A">
              <w:rPr>
                <w:szCs w:val="20"/>
              </w:rPr>
              <w:t xml:space="preserve"> </w:t>
            </w:r>
            <w:r w:rsidRPr="00134D31">
              <w:rPr>
                <w:szCs w:val="20"/>
                <w:vertAlign w:val="superscript"/>
              </w:rPr>
              <w:t>c</w:t>
            </w:r>
            <w:r w:rsidR="0001684A" w:rsidRPr="00134D31">
              <w:rPr>
                <w:szCs w:val="20"/>
              </w:rPr>
              <w:t xml:space="preserve"> (</w:t>
            </w:r>
            <w:r w:rsidR="001E1F05" w:rsidRPr="00134D31">
              <w:rPr>
                <w:szCs w:val="20"/>
              </w:rPr>
              <w:t>6496X, 5756Y</w:t>
            </w:r>
            <w:r w:rsidR="0001684A" w:rsidRPr="00134D31">
              <w:rPr>
                <w:szCs w:val="20"/>
              </w:rPr>
              <w:t>)</w:t>
            </w:r>
          </w:p>
        </w:tc>
        <w:tc>
          <w:tcPr>
            <w:tcW w:w="836" w:type="pct"/>
            <w:shd w:val="clear" w:color="auto" w:fill="D9D9D9" w:themeFill="background1" w:themeFillShade="D9"/>
            <w:vAlign w:val="center"/>
          </w:tcPr>
          <w:p w14:paraId="3678A085" w14:textId="129E2EC9" w:rsidR="0001684A" w:rsidRPr="00134D31" w:rsidRDefault="0001684A" w:rsidP="007F2017">
            <w:pPr>
              <w:pStyle w:val="TableText0"/>
              <w:jc w:val="center"/>
              <w:rPr>
                <w:bCs w:val="0"/>
                <w:szCs w:val="20"/>
              </w:rPr>
            </w:pPr>
            <w:r w:rsidRPr="00134D31">
              <w:rPr>
                <w:szCs w:val="20"/>
              </w:rPr>
              <w:t>Authority Required</w:t>
            </w:r>
          </w:p>
        </w:tc>
      </w:tr>
      <w:tr w:rsidR="008849F9" w:rsidRPr="00134D31" w14:paraId="070EA4D3" w14:textId="77777777" w:rsidTr="007F2017">
        <w:trPr>
          <w:cantSplit/>
        </w:trPr>
        <w:tc>
          <w:tcPr>
            <w:tcW w:w="626" w:type="pct"/>
            <w:vMerge w:val="restart"/>
            <w:vAlign w:val="center"/>
          </w:tcPr>
          <w:p w14:paraId="4D5AAC3A" w14:textId="5975996E" w:rsidR="0001684A" w:rsidRPr="00134D31" w:rsidRDefault="0001684A" w:rsidP="007F2017">
            <w:pPr>
              <w:pStyle w:val="In-tableHeading"/>
              <w:keepNext w:val="0"/>
              <w:rPr>
                <w:szCs w:val="20"/>
              </w:rPr>
            </w:pPr>
            <w:r w:rsidRPr="00134D31">
              <w:rPr>
                <w:szCs w:val="20"/>
              </w:rPr>
              <w:t xml:space="preserve">Complex refractory </w:t>
            </w:r>
            <w:r w:rsidR="00512532" w:rsidRPr="00134D31">
              <w:rPr>
                <w:szCs w:val="20"/>
              </w:rPr>
              <w:t xml:space="preserve">fistulising </w:t>
            </w:r>
            <w:r w:rsidRPr="00134D31">
              <w:rPr>
                <w:szCs w:val="20"/>
              </w:rPr>
              <w:t>Crohn disease</w:t>
            </w:r>
          </w:p>
        </w:tc>
        <w:tc>
          <w:tcPr>
            <w:tcW w:w="944" w:type="pct"/>
            <w:vAlign w:val="center"/>
          </w:tcPr>
          <w:p w14:paraId="2A8E1659" w14:textId="0491F8C7" w:rsidR="0001684A" w:rsidRPr="00134D31" w:rsidRDefault="0001684A" w:rsidP="007F2017">
            <w:pPr>
              <w:pStyle w:val="TableText0"/>
              <w:keepNext w:val="0"/>
              <w:jc w:val="center"/>
              <w:rPr>
                <w:bCs w:val="0"/>
                <w:szCs w:val="20"/>
              </w:rPr>
            </w:pPr>
            <w:r w:rsidRPr="00134D31">
              <w:rPr>
                <w:szCs w:val="20"/>
              </w:rPr>
              <w:t>Continuing or switching from IV</w:t>
            </w:r>
            <w:r w:rsidRPr="00134D31" w:rsidDel="00D1060D">
              <w:rPr>
                <w:szCs w:val="20"/>
              </w:rPr>
              <w:t xml:space="preserve"> </w:t>
            </w:r>
            <w:r w:rsidRPr="00134D31">
              <w:rPr>
                <w:szCs w:val="20"/>
              </w:rPr>
              <w:t>(13060J, 13073C)</w:t>
            </w:r>
          </w:p>
        </w:tc>
        <w:tc>
          <w:tcPr>
            <w:tcW w:w="628" w:type="pct"/>
            <w:vAlign w:val="center"/>
          </w:tcPr>
          <w:p w14:paraId="27FC0FAD" w14:textId="6F01A76F" w:rsidR="0001684A" w:rsidRPr="00134D31" w:rsidRDefault="0001684A" w:rsidP="007F2017">
            <w:pPr>
              <w:pStyle w:val="TableText0"/>
              <w:keepNext w:val="0"/>
              <w:jc w:val="center"/>
              <w:rPr>
                <w:bCs w:val="0"/>
                <w:szCs w:val="20"/>
              </w:rPr>
            </w:pPr>
            <w:r w:rsidRPr="00134D31">
              <w:rPr>
                <w:szCs w:val="20"/>
              </w:rPr>
              <w:t>Authority Required</w:t>
            </w:r>
          </w:p>
        </w:tc>
        <w:tc>
          <w:tcPr>
            <w:tcW w:w="865" w:type="pct"/>
            <w:vAlign w:val="center"/>
          </w:tcPr>
          <w:p w14:paraId="0BF2344C" w14:textId="5F046875" w:rsidR="0001684A" w:rsidRPr="00134D31" w:rsidRDefault="0001684A" w:rsidP="007F2017">
            <w:pPr>
              <w:pStyle w:val="TableText0"/>
              <w:keepNext w:val="0"/>
              <w:jc w:val="center"/>
              <w:rPr>
                <w:bCs w:val="0"/>
                <w:szCs w:val="20"/>
              </w:rPr>
            </w:pPr>
            <w:r w:rsidRPr="00134D31">
              <w:rPr>
                <w:szCs w:val="20"/>
              </w:rPr>
              <w:t>Authority Required (STREAMLINED)</w:t>
            </w:r>
          </w:p>
        </w:tc>
        <w:tc>
          <w:tcPr>
            <w:tcW w:w="1101" w:type="pct"/>
            <w:vAlign w:val="center"/>
          </w:tcPr>
          <w:p w14:paraId="65CCEFEB" w14:textId="11F852EE" w:rsidR="0001684A" w:rsidRPr="00134D31" w:rsidRDefault="0001684A" w:rsidP="007F2017">
            <w:pPr>
              <w:pStyle w:val="TableText0"/>
              <w:keepNext w:val="0"/>
              <w:jc w:val="center"/>
              <w:rPr>
                <w:bCs w:val="0"/>
                <w:szCs w:val="20"/>
              </w:rPr>
            </w:pPr>
            <w:r w:rsidRPr="00134D31">
              <w:rPr>
                <w:szCs w:val="20"/>
              </w:rPr>
              <w:t xml:space="preserve">Subsequent </w:t>
            </w:r>
            <w:r w:rsidR="00B16CCF">
              <w:rPr>
                <w:szCs w:val="20"/>
              </w:rPr>
              <w:br/>
            </w:r>
            <w:r w:rsidR="00A4129A">
              <w:rPr>
                <w:szCs w:val="20"/>
              </w:rPr>
              <w:t xml:space="preserve">continuing </w:t>
            </w:r>
            <w:r w:rsidRPr="00134D31">
              <w:rPr>
                <w:szCs w:val="20"/>
                <w:vertAlign w:val="superscript"/>
              </w:rPr>
              <w:t>b</w:t>
            </w:r>
            <w:r w:rsidRPr="00134D31">
              <w:rPr>
                <w:szCs w:val="20"/>
              </w:rPr>
              <w:t xml:space="preserve"> (11423F, 11432Q)</w:t>
            </w:r>
          </w:p>
        </w:tc>
        <w:tc>
          <w:tcPr>
            <w:tcW w:w="836" w:type="pct"/>
            <w:vAlign w:val="center"/>
          </w:tcPr>
          <w:p w14:paraId="021CFFF0" w14:textId="7F090D09" w:rsidR="0001684A" w:rsidRPr="00134D31" w:rsidRDefault="0001684A" w:rsidP="007F2017">
            <w:pPr>
              <w:pStyle w:val="TableText0"/>
              <w:keepNext w:val="0"/>
              <w:jc w:val="center"/>
              <w:rPr>
                <w:bCs w:val="0"/>
                <w:szCs w:val="20"/>
              </w:rPr>
            </w:pPr>
            <w:r w:rsidRPr="00134D31">
              <w:rPr>
                <w:szCs w:val="20"/>
              </w:rPr>
              <w:t>Authority Required (STREAMLINED)</w:t>
            </w:r>
          </w:p>
        </w:tc>
      </w:tr>
      <w:tr w:rsidR="008849F9" w:rsidRPr="00134D31" w14:paraId="135C290B" w14:textId="77777777" w:rsidTr="007F2017">
        <w:trPr>
          <w:cantSplit/>
        </w:trPr>
        <w:tc>
          <w:tcPr>
            <w:tcW w:w="626" w:type="pct"/>
            <w:vMerge/>
            <w:vAlign w:val="center"/>
          </w:tcPr>
          <w:p w14:paraId="450D884E" w14:textId="77777777" w:rsidR="0001684A" w:rsidRPr="00134D31" w:rsidRDefault="0001684A" w:rsidP="007F2017">
            <w:pPr>
              <w:pStyle w:val="In-tableHeading"/>
              <w:keepNext w:val="0"/>
              <w:rPr>
                <w:szCs w:val="20"/>
              </w:rPr>
            </w:pPr>
          </w:p>
        </w:tc>
        <w:tc>
          <w:tcPr>
            <w:tcW w:w="944" w:type="pct"/>
            <w:shd w:val="clear" w:color="auto" w:fill="D9D9D9" w:themeFill="background1" w:themeFillShade="D9"/>
            <w:vAlign w:val="center"/>
          </w:tcPr>
          <w:p w14:paraId="3332F1E0" w14:textId="1171B785" w:rsidR="0001684A" w:rsidRPr="00134D31" w:rsidRDefault="0001684A" w:rsidP="007F2017">
            <w:pPr>
              <w:pStyle w:val="TableText0"/>
              <w:keepNext w:val="0"/>
              <w:jc w:val="center"/>
              <w:rPr>
                <w:bCs w:val="0"/>
                <w:szCs w:val="20"/>
              </w:rPr>
            </w:pPr>
            <w:r w:rsidRPr="00134D31">
              <w:rPr>
                <w:szCs w:val="20"/>
              </w:rPr>
              <w:t xml:space="preserve">Balance of supply (13061K, 13074D), </w:t>
            </w:r>
            <w:r w:rsidRPr="00134D31">
              <w:rPr>
                <w:bCs w:val="0"/>
                <w:szCs w:val="20"/>
              </w:rPr>
              <w:t>Initial with concurrent IV authority application</w:t>
            </w:r>
            <w:r w:rsidRPr="00134D31">
              <w:rPr>
                <w:szCs w:val="20"/>
              </w:rPr>
              <w:t xml:space="preserve"> (13055D, 13072B)</w:t>
            </w:r>
          </w:p>
        </w:tc>
        <w:tc>
          <w:tcPr>
            <w:tcW w:w="628" w:type="pct"/>
            <w:shd w:val="clear" w:color="auto" w:fill="D9D9D9" w:themeFill="background1" w:themeFillShade="D9"/>
            <w:vAlign w:val="center"/>
          </w:tcPr>
          <w:p w14:paraId="4475FA89" w14:textId="529A2BC7" w:rsidR="0001684A" w:rsidRPr="00134D31" w:rsidRDefault="0001684A" w:rsidP="007F2017">
            <w:pPr>
              <w:pStyle w:val="TableText0"/>
              <w:keepNext w:val="0"/>
              <w:jc w:val="center"/>
              <w:rPr>
                <w:bCs w:val="0"/>
                <w:szCs w:val="20"/>
              </w:rPr>
            </w:pPr>
            <w:r w:rsidRPr="00134D31">
              <w:rPr>
                <w:szCs w:val="20"/>
              </w:rPr>
              <w:t>Authority Required</w:t>
            </w:r>
          </w:p>
        </w:tc>
        <w:tc>
          <w:tcPr>
            <w:tcW w:w="865" w:type="pct"/>
            <w:shd w:val="clear" w:color="auto" w:fill="D9D9D9" w:themeFill="background1" w:themeFillShade="D9"/>
            <w:vAlign w:val="center"/>
          </w:tcPr>
          <w:p w14:paraId="7D1943A4" w14:textId="4064BA6D" w:rsidR="0001684A" w:rsidRPr="00134D31" w:rsidRDefault="0001684A" w:rsidP="007F2017">
            <w:pPr>
              <w:pStyle w:val="TableText0"/>
              <w:keepNext w:val="0"/>
              <w:jc w:val="center"/>
              <w:rPr>
                <w:bCs w:val="0"/>
                <w:szCs w:val="20"/>
              </w:rPr>
            </w:pPr>
            <w:r w:rsidRPr="00134D31">
              <w:rPr>
                <w:b/>
                <w:bCs w:val="0"/>
                <w:szCs w:val="20"/>
              </w:rPr>
              <w:t>Not requested</w:t>
            </w:r>
          </w:p>
        </w:tc>
        <w:tc>
          <w:tcPr>
            <w:tcW w:w="1101" w:type="pct"/>
            <w:shd w:val="clear" w:color="auto" w:fill="D9D9D9" w:themeFill="background1" w:themeFillShade="D9"/>
            <w:vAlign w:val="center"/>
          </w:tcPr>
          <w:p w14:paraId="56CF68D2" w14:textId="7E922AA1" w:rsidR="0001684A" w:rsidRPr="00134D31" w:rsidRDefault="0001684A" w:rsidP="007F2017">
            <w:pPr>
              <w:pStyle w:val="TableText0"/>
              <w:keepNext w:val="0"/>
              <w:jc w:val="center"/>
              <w:rPr>
                <w:bCs w:val="0"/>
                <w:szCs w:val="20"/>
              </w:rPr>
            </w:pPr>
            <w:r w:rsidRPr="00134D31">
              <w:rPr>
                <w:szCs w:val="20"/>
              </w:rPr>
              <w:t>Initial, first continuing, balance of supply</w:t>
            </w:r>
            <w:r w:rsidR="00B16CCF">
              <w:rPr>
                <w:szCs w:val="20"/>
              </w:rPr>
              <w:t xml:space="preserve"> </w:t>
            </w:r>
            <w:r w:rsidRPr="00134D31">
              <w:rPr>
                <w:szCs w:val="20"/>
                <w:vertAlign w:val="superscript"/>
              </w:rPr>
              <w:t>c</w:t>
            </w:r>
          </w:p>
          <w:p w14:paraId="4D44DDAB" w14:textId="118EC165" w:rsidR="0001684A" w:rsidRPr="00134D31" w:rsidRDefault="0001684A" w:rsidP="007F2017">
            <w:pPr>
              <w:pStyle w:val="TableText0"/>
              <w:keepNext w:val="0"/>
              <w:jc w:val="center"/>
              <w:rPr>
                <w:bCs w:val="0"/>
                <w:szCs w:val="20"/>
              </w:rPr>
            </w:pPr>
            <w:r w:rsidRPr="00134D31">
              <w:rPr>
                <w:szCs w:val="20"/>
              </w:rPr>
              <w:t>(9654D, 9674E)</w:t>
            </w:r>
          </w:p>
        </w:tc>
        <w:tc>
          <w:tcPr>
            <w:tcW w:w="836" w:type="pct"/>
            <w:shd w:val="clear" w:color="auto" w:fill="D9D9D9" w:themeFill="background1" w:themeFillShade="D9"/>
            <w:vAlign w:val="center"/>
          </w:tcPr>
          <w:p w14:paraId="65F8C2F5" w14:textId="2C9E0C32" w:rsidR="0001684A" w:rsidRPr="00134D31" w:rsidRDefault="0001684A" w:rsidP="007F2017">
            <w:pPr>
              <w:pStyle w:val="TableText0"/>
              <w:keepNext w:val="0"/>
              <w:jc w:val="center"/>
              <w:rPr>
                <w:bCs w:val="0"/>
                <w:szCs w:val="20"/>
              </w:rPr>
            </w:pPr>
            <w:r w:rsidRPr="00134D31">
              <w:rPr>
                <w:szCs w:val="20"/>
              </w:rPr>
              <w:t>Authority Required</w:t>
            </w:r>
          </w:p>
        </w:tc>
      </w:tr>
      <w:tr w:rsidR="008849F9" w:rsidRPr="00134D31" w14:paraId="6D2F2AA6" w14:textId="77777777" w:rsidTr="007F2017">
        <w:trPr>
          <w:cantSplit/>
        </w:trPr>
        <w:tc>
          <w:tcPr>
            <w:tcW w:w="626" w:type="pct"/>
            <w:vMerge w:val="restart"/>
            <w:vAlign w:val="center"/>
          </w:tcPr>
          <w:p w14:paraId="57D5E2AE" w14:textId="1F11B9D6" w:rsidR="0001684A" w:rsidRPr="00134D31" w:rsidRDefault="0001684A" w:rsidP="007F2017">
            <w:pPr>
              <w:pStyle w:val="In-tableHeading"/>
              <w:keepNext w:val="0"/>
              <w:rPr>
                <w:szCs w:val="20"/>
              </w:rPr>
            </w:pPr>
            <w:r w:rsidRPr="00134D31">
              <w:rPr>
                <w:szCs w:val="20"/>
              </w:rPr>
              <w:t>Severe chronic plaque psoriasis</w:t>
            </w:r>
          </w:p>
        </w:tc>
        <w:tc>
          <w:tcPr>
            <w:tcW w:w="944" w:type="pct"/>
            <w:vAlign w:val="center"/>
          </w:tcPr>
          <w:p w14:paraId="781CAD32" w14:textId="5457CD7F" w:rsidR="0001684A" w:rsidRPr="00134D31" w:rsidRDefault="0001684A" w:rsidP="007F2017">
            <w:pPr>
              <w:pStyle w:val="TableText0"/>
              <w:keepNext w:val="0"/>
              <w:jc w:val="center"/>
              <w:rPr>
                <w:bCs w:val="0"/>
                <w:szCs w:val="20"/>
              </w:rPr>
            </w:pPr>
            <w:r w:rsidRPr="00134D31">
              <w:rPr>
                <w:szCs w:val="20"/>
              </w:rPr>
              <w:t>Continuing or switching from IV</w:t>
            </w:r>
          </w:p>
          <w:p w14:paraId="4366179C" w14:textId="1751C21F" w:rsidR="0001684A" w:rsidRPr="00134D31" w:rsidRDefault="0001684A" w:rsidP="007F2017">
            <w:pPr>
              <w:pStyle w:val="TableText0"/>
              <w:keepNext w:val="0"/>
              <w:jc w:val="center"/>
              <w:rPr>
                <w:bCs w:val="0"/>
                <w:szCs w:val="20"/>
              </w:rPr>
            </w:pPr>
            <w:r w:rsidRPr="00134D31">
              <w:rPr>
                <w:szCs w:val="20"/>
              </w:rPr>
              <w:t>(13076F, 13050W)</w:t>
            </w:r>
          </w:p>
        </w:tc>
        <w:tc>
          <w:tcPr>
            <w:tcW w:w="628" w:type="pct"/>
            <w:vAlign w:val="center"/>
          </w:tcPr>
          <w:p w14:paraId="3EA492D0" w14:textId="46469F19" w:rsidR="0001684A" w:rsidRPr="00134D31" w:rsidRDefault="0001684A" w:rsidP="007F2017">
            <w:pPr>
              <w:pStyle w:val="TableText0"/>
              <w:keepNext w:val="0"/>
              <w:jc w:val="center"/>
              <w:rPr>
                <w:bCs w:val="0"/>
                <w:szCs w:val="20"/>
              </w:rPr>
            </w:pPr>
            <w:r w:rsidRPr="00134D31">
              <w:rPr>
                <w:szCs w:val="20"/>
              </w:rPr>
              <w:t>Authority Required</w:t>
            </w:r>
          </w:p>
        </w:tc>
        <w:tc>
          <w:tcPr>
            <w:tcW w:w="865" w:type="pct"/>
            <w:vAlign w:val="center"/>
          </w:tcPr>
          <w:p w14:paraId="4AA118EB" w14:textId="47283AE7" w:rsidR="0001684A" w:rsidRPr="00134D31" w:rsidRDefault="0001684A" w:rsidP="007F2017">
            <w:pPr>
              <w:pStyle w:val="TableText0"/>
              <w:keepNext w:val="0"/>
              <w:jc w:val="center"/>
              <w:rPr>
                <w:bCs w:val="0"/>
                <w:szCs w:val="20"/>
              </w:rPr>
            </w:pPr>
            <w:r w:rsidRPr="00134D31">
              <w:rPr>
                <w:szCs w:val="20"/>
              </w:rPr>
              <w:t>Authority Required (STREAMLINED)</w:t>
            </w:r>
          </w:p>
        </w:tc>
        <w:tc>
          <w:tcPr>
            <w:tcW w:w="1101" w:type="pct"/>
            <w:vAlign w:val="center"/>
          </w:tcPr>
          <w:p w14:paraId="2145C3AB" w14:textId="1C08FC87" w:rsidR="0001684A" w:rsidRPr="00134D31" w:rsidRDefault="0001684A" w:rsidP="007F2017">
            <w:pPr>
              <w:pStyle w:val="TableText0"/>
              <w:keepNext w:val="0"/>
              <w:jc w:val="center"/>
              <w:rPr>
                <w:bCs w:val="0"/>
                <w:szCs w:val="20"/>
              </w:rPr>
            </w:pPr>
            <w:r w:rsidRPr="00134D31">
              <w:rPr>
                <w:szCs w:val="20"/>
              </w:rPr>
              <w:t xml:space="preserve">Subsequent </w:t>
            </w:r>
            <w:r w:rsidR="00B16CCF">
              <w:rPr>
                <w:szCs w:val="20"/>
              </w:rPr>
              <w:br/>
            </w:r>
            <w:r w:rsidRPr="00134D31">
              <w:rPr>
                <w:szCs w:val="20"/>
              </w:rPr>
              <w:t>continuing</w:t>
            </w:r>
            <w:r w:rsidR="00B16CCF">
              <w:rPr>
                <w:szCs w:val="20"/>
              </w:rPr>
              <w:t xml:space="preserve"> </w:t>
            </w:r>
            <w:r w:rsidRPr="00134D31">
              <w:rPr>
                <w:szCs w:val="20"/>
                <w:vertAlign w:val="superscript"/>
              </w:rPr>
              <w:t>b</w:t>
            </w:r>
            <w:r w:rsidRPr="00134D31">
              <w:rPr>
                <w:szCs w:val="20"/>
              </w:rPr>
              <w:t xml:space="preserve"> (11605T,11595G)</w:t>
            </w:r>
          </w:p>
        </w:tc>
        <w:tc>
          <w:tcPr>
            <w:tcW w:w="836" w:type="pct"/>
            <w:vAlign w:val="center"/>
          </w:tcPr>
          <w:p w14:paraId="0C7037DD" w14:textId="3F36F379" w:rsidR="0001684A" w:rsidRPr="00134D31" w:rsidRDefault="0001684A" w:rsidP="007F2017">
            <w:pPr>
              <w:pStyle w:val="TableText0"/>
              <w:keepNext w:val="0"/>
              <w:jc w:val="center"/>
              <w:rPr>
                <w:bCs w:val="0"/>
                <w:szCs w:val="20"/>
              </w:rPr>
            </w:pPr>
            <w:r w:rsidRPr="00134D31">
              <w:rPr>
                <w:szCs w:val="20"/>
              </w:rPr>
              <w:t>Authority Required (STREAMLINED)</w:t>
            </w:r>
          </w:p>
        </w:tc>
      </w:tr>
      <w:tr w:rsidR="008849F9" w:rsidRPr="00134D31" w14:paraId="43EDD627" w14:textId="77777777" w:rsidTr="007F2017">
        <w:trPr>
          <w:cantSplit/>
        </w:trPr>
        <w:tc>
          <w:tcPr>
            <w:tcW w:w="626" w:type="pct"/>
            <w:vMerge/>
            <w:vAlign w:val="center"/>
          </w:tcPr>
          <w:p w14:paraId="0CC6E796" w14:textId="77777777" w:rsidR="0001684A" w:rsidRPr="00134D31" w:rsidRDefault="0001684A" w:rsidP="007F2017">
            <w:pPr>
              <w:pStyle w:val="TableText0"/>
              <w:keepNext w:val="0"/>
              <w:jc w:val="center"/>
              <w:rPr>
                <w:bCs w:val="0"/>
                <w:szCs w:val="20"/>
              </w:rPr>
            </w:pPr>
          </w:p>
        </w:tc>
        <w:tc>
          <w:tcPr>
            <w:tcW w:w="944" w:type="pct"/>
            <w:shd w:val="clear" w:color="auto" w:fill="D9D9D9" w:themeFill="background1" w:themeFillShade="D9"/>
            <w:vAlign w:val="center"/>
          </w:tcPr>
          <w:p w14:paraId="087BF22C" w14:textId="42D71F0C" w:rsidR="0001684A" w:rsidRPr="00134D31" w:rsidRDefault="0001684A" w:rsidP="007F2017">
            <w:pPr>
              <w:pStyle w:val="TableText0"/>
              <w:keepNext w:val="0"/>
              <w:jc w:val="center"/>
              <w:rPr>
                <w:szCs w:val="20"/>
              </w:rPr>
            </w:pPr>
            <w:r w:rsidRPr="00134D31">
              <w:rPr>
                <w:szCs w:val="20"/>
              </w:rPr>
              <w:t>Balance of supply (13070X, 13058G)</w:t>
            </w:r>
          </w:p>
          <w:p w14:paraId="45AF27A7" w14:textId="4225CA09" w:rsidR="0001684A" w:rsidRPr="00134D31" w:rsidRDefault="0001684A" w:rsidP="007F2017">
            <w:pPr>
              <w:pStyle w:val="TableText0"/>
              <w:keepNext w:val="0"/>
              <w:jc w:val="center"/>
              <w:rPr>
                <w:bCs w:val="0"/>
                <w:szCs w:val="20"/>
              </w:rPr>
            </w:pPr>
            <w:r w:rsidRPr="00134D31">
              <w:rPr>
                <w:bCs w:val="0"/>
                <w:szCs w:val="20"/>
              </w:rPr>
              <w:t>Initial with concurrent IV authority application (13062L, 13067R)</w:t>
            </w:r>
          </w:p>
        </w:tc>
        <w:tc>
          <w:tcPr>
            <w:tcW w:w="628" w:type="pct"/>
            <w:shd w:val="clear" w:color="auto" w:fill="D9D9D9" w:themeFill="background1" w:themeFillShade="D9"/>
            <w:vAlign w:val="center"/>
          </w:tcPr>
          <w:p w14:paraId="6B911A6A" w14:textId="51CEF290" w:rsidR="0001684A" w:rsidRPr="00134D31" w:rsidRDefault="0001684A" w:rsidP="007F2017">
            <w:pPr>
              <w:pStyle w:val="TableText0"/>
              <w:keepNext w:val="0"/>
              <w:jc w:val="center"/>
              <w:rPr>
                <w:bCs w:val="0"/>
                <w:szCs w:val="20"/>
              </w:rPr>
            </w:pPr>
            <w:r w:rsidRPr="00134D31">
              <w:rPr>
                <w:szCs w:val="20"/>
              </w:rPr>
              <w:t>Authority Required</w:t>
            </w:r>
          </w:p>
        </w:tc>
        <w:tc>
          <w:tcPr>
            <w:tcW w:w="865" w:type="pct"/>
            <w:shd w:val="clear" w:color="auto" w:fill="D9D9D9" w:themeFill="background1" w:themeFillShade="D9"/>
            <w:vAlign w:val="center"/>
          </w:tcPr>
          <w:p w14:paraId="38AF522A" w14:textId="7206F31E" w:rsidR="0001684A" w:rsidRPr="00134D31" w:rsidRDefault="0001684A" w:rsidP="007F2017">
            <w:pPr>
              <w:pStyle w:val="TableText0"/>
              <w:keepNext w:val="0"/>
              <w:jc w:val="center"/>
              <w:rPr>
                <w:bCs w:val="0"/>
                <w:szCs w:val="20"/>
              </w:rPr>
            </w:pPr>
            <w:r w:rsidRPr="00134D31">
              <w:rPr>
                <w:b/>
                <w:bCs w:val="0"/>
                <w:szCs w:val="20"/>
              </w:rPr>
              <w:t>Not requested</w:t>
            </w:r>
          </w:p>
        </w:tc>
        <w:tc>
          <w:tcPr>
            <w:tcW w:w="1101" w:type="pct"/>
            <w:shd w:val="clear" w:color="auto" w:fill="D9D9D9" w:themeFill="background1" w:themeFillShade="D9"/>
            <w:vAlign w:val="center"/>
          </w:tcPr>
          <w:p w14:paraId="38EFE043" w14:textId="1FCC8A55" w:rsidR="0001684A" w:rsidRPr="00134D31" w:rsidRDefault="0001684A" w:rsidP="007F2017">
            <w:pPr>
              <w:pStyle w:val="TableText0"/>
              <w:keepNext w:val="0"/>
              <w:jc w:val="center"/>
              <w:rPr>
                <w:bCs w:val="0"/>
                <w:szCs w:val="20"/>
              </w:rPr>
            </w:pPr>
            <w:r w:rsidRPr="00134D31">
              <w:rPr>
                <w:szCs w:val="20"/>
              </w:rPr>
              <w:t>Initial, first continuing, balance of supply for initial and continuing</w:t>
            </w:r>
            <w:r w:rsidR="00B16CCF">
              <w:rPr>
                <w:szCs w:val="20"/>
              </w:rPr>
              <w:t xml:space="preserve"> </w:t>
            </w:r>
            <w:r w:rsidRPr="00134D31">
              <w:rPr>
                <w:szCs w:val="20"/>
                <w:vertAlign w:val="superscript"/>
              </w:rPr>
              <w:t xml:space="preserve">c </w:t>
            </w:r>
            <w:r w:rsidRPr="00134D31">
              <w:rPr>
                <w:szCs w:val="20"/>
              </w:rPr>
              <w:t>(5758C, 9617E)</w:t>
            </w:r>
          </w:p>
        </w:tc>
        <w:tc>
          <w:tcPr>
            <w:tcW w:w="836" w:type="pct"/>
            <w:shd w:val="clear" w:color="auto" w:fill="D9D9D9" w:themeFill="background1" w:themeFillShade="D9"/>
            <w:vAlign w:val="center"/>
          </w:tcPr>
          <w:p w14:paraId="657B3D5C" w14:textId="6E7D5F75" w:rsidR="0001684A" w:rsidRPr="00134D31" w:rsidRDefault="0001684A" w:rsidP="007F2017">
            <w:pPr>
              <w:pStyle w:val="TableText0"/>
              <w:keepNext w:val="0"/>
              <w:jc w:val="center"/>
              <w:rPr>
                <w:bCs w:val="0"/>
                <w:szCs w:val="20"/>
              </w:rPr>
            </w:pPr>
            <w:r w:rsidRPr="00134D31">
              <w:rPr>
                <w:szCs w:val="20"/>
              </w:rPr>
              <w:t>Authority Required</w:t>
            </w:r>
          </w:p>
        </w:tc>
      </w:tr>
    </w:tbl>
    <w:p w14:paraId="113A9B5E" w14:textId="2E39BC61" w:rsidR="00DD66B3" w:rsidRPr="00BC13F4" w:rsidRDefault="0089277D" w:rsidP="007C003B">
      <w:pPr>
        <w:pStyle w:val="TableFigureFooter"/>
        <w:rPr>
          <w:szCs w:val="18"/>
        </w:rPr>
      </w:pPr>
      <w:r w:rsidRPr="00BC13F4">
        <w:rPr>
          <w:szCs w:val="18"/>
        </w:rPr>
        <w:t xml:space="preserve">Source: </w:t>
      </w:r>
      <w:r w:rsidR="00E92C05" w:rsidRPr="00BC13F4">
        <w:rPr>
          <w:szCs w:val="18"/>
        </w:rPr>
        <w:t>C</w:t>
      </w:r>
      <w:r w:rsidRPr="00BC13F4">
        <w:rPr>
          <w:szCs w:val="18"/>
        </w:rPr>
        <w:t xml:space="preserve">ompiled by the Secretariat during evaluation </w:t>
      </w:r>
    </w:p>
    <w:p w14:paraId="52C79ED0" w14:textId="17326B05" w:rsidR="00D54F0A" w:rsidRPr="00BC13F4" w:rsidRDefault="37BBA7E7" w:rsidP="007C003B">
      <w:pPr>
        <w:pStyle w:val="TableFigureFooter"/>
        <w:rPr>
          <w:iCs/>
          <w:szCs w:val="18"/>
        </w:rPr>
      </w:pPr>
      <w:r w:rsidRPr="00BC13F4">
        <w:rPr>
          <w:iCs/>
          <w:szCs w:val="18"/>
          <w:vertAlign w:val="superscript"/>
        </w:rPr>
        <w:t>a</w:t>
      </w:r>
      <w:r w:rsidRPr="00BC13F4">
        <w:rPr>
          <w:iCs/>
          <w:szCs w:val="18"/>
        </w:rPr>
        <w:t xml:space="preserve"> </w:t>
      </w:r>
      <w:r w:rsidR="57222D56" w:rsidRPr="00BC13F4">
        <w:rPr>
          <w:iCs/>
          <w:szCs w:val="18"/>
        </w:rPr>
        <w:t>Only the biosimilar brands</w:t>
      </w:r>
      <w:r w:rsidR="00AB0DFF">
        <w:rPr>
          <w:iCs/>
          <w:szCs w:val="18"/>
        </w:rPr>
        <w:t xml:space="preserve"> of IV IFX</w:t>
      </w:r>
      <w:r w:rsidR="39375B5A" w:rsidRPr="00BC13F4">
        <w:rPr>
          <w:iCs/>
          <w:szCs w:val="18"/>
        </w:rPr>
        <w:t xml:space="preserve"> </w:t>
      </w:r>
      <w:r w:rsidR="57222D56" w:rsidRPr="00BC13F4">
        <w:rPr>
          <w:iCs/>
          <w:szCs w:val="18"/>
        </w:rPr>
        <w:t xml:space="preserve">are </w:t>
      </w:r>
      <w:r w:rsidR="00311036">
        <w:rPr>
          <w:iCs/>
          <w:szCs w:val="18"/>
        </w:rPr>
        <w:t>Streamlined</w:t>
      </w:r>
      <w:r w:rsidR="39375B5A" w:rsidRPr="00BC13F4">
        <w:rPr>
          <w:iCs/>
          <w:szCs w:val="18"/>
        </w:rPr>
        <w:t xml:space="preserve"> </w:t>
      </w:r>
      <w:r w:rsidR="002A6497">
        <w:rPr>
          <w:iCs/>
          <w:szCs w:val="18"/>
        </w:rPr>
        <w:t>in</w:t>
      </w:r>
      <w:r w:rsidR="002A6497" w:rsidRPr="00BC13F4">
        <w:rPr>
          <w:iCs/>
          <w:szCs w:val="18"/>
        </w:rPr>
        <w:t xml:space="preserve"> </w:t>
      </w:r>
      <w:r w:rsidR="7ADD2C5D" w:rsidRPr="00BC13F4">
        <w:rPr>
          <w:iCs/>
          <w:szCs w:val="18"/>
        </w:rPr>
        <w:t xml:space="preserve">the </w:t>
      </w:r>
      <w:r w:rsidR="739CE65B" w:rsidRPr="00BC13F4">
        <w:rPr>
          <w:iCs/>
          <w:szCs w:val="18"/>
        </w:rPr>
        <w:t xml:space="preserve">first continuing treatment phase </w:t>
      </w:r>
      <w:r w:rsidR="00311036">
        <w:rPr>
          <w:iCs/>
          <w:szCs w:val="18"/>
        </w:rPr>
        <w:t>of RA</w:t>
      </w:r>
      <w:r w:rsidR="4046F3B7" w:rsidRPr="00BC13F4">
        <w:rPr>
          <w:iCs/>
          <w:szCs w:val="18"/>
        </w:rPr>
        <w:t>, a</w:t>
      </w:r>
      <w:r w:rsidR="03E0D84F" w:rsidRPr="00BC13F4">
        <w:rPr>
          <w:iCs/>
          <w:szCs w:val="18"/>
        </w:rPr>
        <w:t xml:space="preserve">ll brands </w:t>
      </w:r>
      <w:r w:rsidR="00311036">
        <w:rPr>
          <w:iCs/>
          <w:szCs w:val="18"/>
        </w:rPr>
        <w:t>are Streamlined</w:t>
      </w:r>
      <w:r w:rsidR="568287D8" w:rsidRPr="00BC13F4">
        <w:rPr>
          <w:iCs/>
          <w:szCs w:val="18"/>
        </w:rPr>
        <w:t xml:space="preserve"> </w:t>
      </w:r>
      <w:r w:rsidR="00C06620">
        <w:rPr>
          <w:iCs/>
          <w:szCs w:val="18"/>
        </w:rPr>
        <w:t>in</w:t>
      </w:r>
      <w:r w:rsidR="00C06620" w:rsidRPr="00BC13F4">
        <w:rPr>
          <w:iCs/>
          <w:szCs w:val="18"/>
        </w:rPr>
        <w:t xml:space="preserve"> </w:t>
      </w:r>
      <w:r w:rsidR="123EFA8D" w:rsidRPr="00BC13F4">
        <w:rPr>
          <w:iCs/>
          <w:szCs w:val="18"/>
        </w:rPr>
        <w:t xml:space="preserve">the </w:t>
      </w:r>
      <w:r w:rsidR="5D8C8902" w:rsidRPr="00BC13F4">
        <w:rPr>
          <w:iCs/>
          <w:szCs w:val="18"/>
        </w:rPr>
        <w:t>subsequent continuing</w:t>
      </w:r>
      <w:r w:rsidR="568287D8" w:rsidRPr="00BC13F4">
        <w:rPr>
          <w:iCs/>
          <w:szCs w:val="18"/>
        </w:rPr>
        <w:t xml:space="preserve"> treatment</w:t>
      </w:r>
      <w:r w:rsidR="5D8C8902" w:rsidRPr="00BC13F4">
        <w:rPr>
          <w:iCs/>
          <w:szCs w:val="18"/>
        </w:rPr>
        <w:t xml:space="preserve"> </w:t>
      </w:r>
      <w:r w:rsidR="20468902" w:rsidRPr="00BC13F4">
        <w:rPr>
          <w:iCs/>
          <w:szCs w:val="18"/>
        </w:rPr>
        <w:t>phase</w:t>
      </w:r>
      <w:r w:rsidR="123EFA8D" w:rsidRPr="00BC13F4">
        <w:rPr>
          <w:iCs/>
          <w:szCs w:val="18"/>
        </w:rPr>
        <w:t>.</w:t>
      </w:r>
    </w:p>
    <w:p w14:paraId="0AE676D8" w14:textId="6ADD5C80" w:rsidR="009A7967" w:rsidRPr="00BC13F4" w:rsidRDefault="4DCDA231" w:rsidP="007C003B">
      <w:pPr>
        <w:pStyle w:val="TableFigureFooter"/>
        <w:rPr>
          <w:iCs/>
          <w:szCs w:val="18"/>
        </w:rPr>
      </w:pPr>
      <w:r w:rsidRPr="00BC13F4">
        <w:rPr>
          <w:iCs/>
          <w:szCs w:val="18"/>
          <w:vertAlign w:val="superscript"/>
        </w:rPr>
        <w:t>b</w:t>
      </w:r>
      <w:r w:rsidRPr="00BC13F4">
        <w:rPr>
          <w:iCs/>
          <w:szCs w:val="18"/>
        </w:rPr>
        <w:t xml:space="preserve"> </w:t>
      </w:r>
      <w:r w:rsidR="00B17528">
        <w:rPr>
          <w:iCs/>
          <w:szCs w:val="18"/>
        </w:rPr>
        <w:t>O</w:t>
      </w:r>
      <w:r w:rsidR="37BBA7E7" w:rsidRPr="00BC13F4">
        <w:rPr>
          <w:iCs/>
          <w:szCs w:val="18"/>
        </w:rPr>
        <w:t xml:space="preserve">nly applicable to </w:t>
      </w:r>
      <w:r w:rsidR="2069AF40" w:rsidRPr="00BC13F4">
        <w:rPr>
          <w:iCs/>
          <w:szCs w:val="18"/>
        </w:rPr>
        <w:t xml:space="preserve">the </w:t>
      </w:r>
      <w:r w:rsidR="37BBA7E7" w:rsidRPr="00BC13F4">
        <w:rPr>
          <w:iCs/>
          <w:szCs w:val="18"/>
        </w:rPr>
        <w:t xml:space="preserve">biosimilar brands </w:t>
      </w:r>
      <w:r w:rsidR="5B698E2A" w:rsidRPr="00BC13F4">
        <w:rPr>
          <w:iCs/>
          <w:szCs w:val="18"/>
        </w:rPr>
        <w:t xml:space="preserve">of </w:t>
      </w:r>
      <w:r w:rsidR="2069AF40" w:rsidRPr="00BC13F4">
        <w:rPr>
          <w:iCs/>
          <w:szCs w:val="18"/>
        </w:rPr>
        <w:t xml:space="preserve">IV </w:t>
      </w:r>
      <w:r w:rsidR="37BBA7E7" w:rsidRPr="00BC13F4">
        <w:rPr>
          <w:iCs/>
          <w:szCs w:val="18"/>
        </w:rPr>
        <w:t xml:space="preserve">IFX; Inflectra and Renflexis. </w:t>
      </w:r>
    </w:p>
    <w:p w14:paraId="463D44CA" w14:textId="4F1275C7" w:rsidR="009A7967" w:rsidRPr="00BC13F4" w:rsidRDefault="007A3BE6" w:rsidP="007C003B">
      <w:pPr>
        <w:pStyle w:val="TableFigureFooter"/>
        <w:rPr>
          <w:szCs w:val="18"/>
        </w:rPr>
      </w:pPr>
      <w:r w:rsidRPr="00BC13F4">
        <w:rPr>
          <w:szCs w:val="18"/>
          <w:vertAlign w:val="superscript"/>
        </w:rPr>
        <w:t>c</w:t>
      </w:r>
      <w:r w:rsidR="00D54F0A" w:rsidRPr="00BC13F4">
        <w:rPr>
          <w:szCs w:val="18"/>
        </w:rPr>
        <w:t xml:space="preserve"> </w:t>
      </w:r>
      <w:r w:rsidR="00B17528">
        <w:rPr>
          <w:szCs w:val="18"/>
        </w:rPr>
        <w:t>All brands (reference and biosimilars) of</w:t>
      </w:r>
      <w:r w:rsidR="000A1F4E" w:rsidRPr="00BC13F4">
        <w:rPr>
          <w:szCs w:val="18"/>
        </w:rPr>
        <w:t xml:space="preserve"> </w:t>
      </w:r>
      <w:r w:rsidR="00915509" w:rsidRPr="00BC13F4">
        <w:rPr>
          <w:szCs w:val="18"/>
        </w:rPr>
        <w:t xml:space="preserve">IV </w:t>
      </w:r>
      <w:r w:rsidR="009A7967" w:rsidRPr="00BC13F4">
        <w:rPr>
          <w:szCs w:val="18"/>
        </w:rPr>
        <w:t xml:space="preserve">IFX </w:t>
      </w:r>
      <w:r w:rsidR="00B17528">
        <w:rPr>
          <w:szCs w:val="18"/>
        </w:rPr>
        <w:t>are included</w:t>
      </w:r>
      <w:r w:rsidR="001233E7" w:rsidRPr="00BC13F4">
        <w:rPr>
          <w:szCs w:val="18"/>
        </w:rPr>
        <w:t>.</w:t>
      </w:r>
    </w:p>
    <w:p w14:paraId="3D152D7F" w14:textId="15D4DB75" w:rsidR="00CB1B76" w:rsidRPr="00BC13F4" w:rsidRDefault="6BB07CCA" w:rsidP="007C003B">
      <w:pPr>
        <w:pStyle w:val="3-BodyText"/>
        <w:rPr>
          <w:iCs/>
        </w:rPr>
      </w:pPr>
      <w:r w:rsidRPr="00BC13F4">
        <w:rPr>
          <w:iCs/>
        </w:rPr>
        <w:t xml:space="preserve">As outlined in </w:t>
      </w:r>
      <w:r w:rsidR="007718DD" w:rsidRPr="00BC13F4">
        <w:rPr>
          <w:iCs/>
        </w:rPr>
        <w:fldChar w:fldCharType="begin" w:fldLock="1"/>
      </w:r>
      <w:r w:rsidR="007718DD" w:rsidRPr="00BC13F4">
        <w:rPr>
          <w:iCs/>
        </w:rPr>
        <w:instrText xml:space="preserve"> REF _Ref188007724 \h </w:instrText>
      </w:r>
      <w:r w:rsidR="007622FA" w:rsidRPr="00BC13F4">
        <w:rPr>
          <w:iCs/>
        </w:rPr>
        <w:instrText xml:space="preserve"> \* MERGEFORMAT </w:instrText>
      </w:r>
      <w:r w:rsidR="007718DD" w:rsidRPr="00BC13F4">
        <w:rPr>
          <w:iCs/>
        </w:rPr>
      </w:r>
      <w:r w:rsidR="007718DD" w:rsidRPr="00BC13F4">
        <w:rPr>
          <w:iCs/>
        </w:rPr>
        <w:fldChar w:fldCharType="separate"/>
      </w:r>
      <w:r w:rsidR="00134D31" w:rsidRPr="00134D31">
        <w:rPr>
          <w:iCs/>
        </w:rPr>
        <w:t xml:space="preserve">Table </w:t>
      </w:r>
      <w:r w:rsidR="00134D31" w:rsidRPr="00134D31">
        <w:rPr>
          <w:iCs/>
          <w:noProof/>
        </w:rPr>
        <w:t>1</w:t>
      </w:r>
      <w:r w:rsidR="007718DD" w:rsidRPr="00BC13F4">
        <w:rPr>
          <w:iCs/>
        </w:rPr>
        <w:fldChar w:fldCharType="end"/>
      </w:r>
      <w:r w:rsidR="00980827">
        <w:rPr>
          <w:iCs/>
        </w:rPr>
        <w:t>, o</w:t>
      </w:r>
      <w:r w:rsidR="0048344F">
        <w:t>nly</w:t>
      </w:r>
      <w:r w:rsidR="00F27BBA">
        <w:t xml:space="preserve"> the</w:t>
      </w:r>
      <w:r w:rsidR="0048344F">
        <w:t xml:space="preserve"> biosimilar</w:t>
      </w:r>
      <w:r w:rsidR="00F27BBA">
        <w:t xml:space="preserve"> brand</w:t>
      </w:r>
      <w:r w:rsidR="0048344F">
        <w:t>s</w:t>
      </w:r>
      <w:r w:rsidR="008F277D">
        <w:t xml:space="preserve"> of IV IFX</w:t>
      </w:r>
      <w:r w:rsidR="0048344F">
        <w:t xml:space="preserve"> are Streamlined</w:t>
      </w:r>
      <w:r w:rsidR="00980827">
        <w:t xml:space="preserve"> listings</w:t>
      </w:r>
      <w:r w:rsidR="0048344F">
        <w:t xml:space="preserve"> in </w:t>
      </w:r>
      <w:r w:rsidR="00904EC5">
        <w:t xml:space="preserve">the </w:t>
      </w:r>
      <w:r w:rsidR="002C668E">
        <w:t xml:space="preserve">continuing </w:t>
      </w:r>
      <w:r w:rsidR="00904EC5">
        <w:t xml:space="preserve">(first or subsequent) </w:t>
      </w:r>
      <w:r w:rsidR="002C668E">
        <w:t>treatment phases</w:t>
      </w:r>
      <w:r w:rsidR="00810769">
        <w:t xml:space="preserve"> </w:t>
      </w:r>
      <w:r w:rsidR="00F27BBA">
        <w:t xml:space="preserve">of IV IFX with the exception of </w:t>
      </w:r>
      <w:r w:rsidR="00ED500A">
        <w:t xml:space="preserve">the subsequent </w:t>
      </w:r>
      <w:r w:rsidR="00C94640">
        <w:t>treatment phase of RA</w:t>
      </w:r>
      <w:r w:rsidR="00231ADB">
        <w:t xml:space="preserve"> where t</w:t>
      </w:r>
      <w:r w:rsidR="00C94640">
        <w:t xml:space="preserve">he reference </w:t>
      </w:r>
      <w:r w:rsidR="00810769">
        <w:t>brand</w:t>
      </w:r>
      <w:r w:rsidR="00231ADB">
        <w:t xml:space="preserve"> (Remicade)</w:t>
      </w:r>
      <w:r w:rsidR="00C94640">
        <w:t xml:space="preserve"> is a Streamlined listing.</w:t>
      </w:r>
    </w:p>
    <w:p w14:paraId="63C4D588" w14:textId="73A9EC15" w:rsidR="000452D2" w:rsidRPr="00BC13F4" w:rsidRDefault="000452D2" w:rsidP="000452D2">
      <w:pPr>
        <w:pStyle w:val="3-BodyText"/>
        <w:rPr>
          <w:iCs/>
        </w:rPr>
      </w:pPr>
      <w:r w:rsidRPr="00BC13F4">
        <w:rPr>
          <w:iCs/>
        </w:rPr>
        <w:t xml:space="preserve">As the submission did not provide the suggested wording changes associated with lowering the authority level, the Secretariat proposed changes to the Prescribing Instructions for the continuing treatment of SC IFX in line with the current concept codes of the </w:t>
      </w:r>
      <w:r w:rsidR="00F37FC5">
        <w:rPr>
          <w:iCs/>
        </w:rPr>
        <w:t>S</w:t>
      </w:r>
      <w:r w:rsidR="00F37FC5" w:rsidRPr="00BC13F4">
        <w:rPr>
          <w:iCs/>
        </w:rPr>
        <w:t xml:space="preserve">treamlined </w:t>
      </w:r>
      <w:r w:rsidRPr="00BC13F4">
        <w:rPr>
          <w:iCs/>
        </w:rPr>
        <w:t>authority for IV IFX. No other changes to the treatment and clinical criteria across all indications were proposed.</w:t>
      </w:r>
    </w:p>
    <w:p w14:paraId="56929C69" w14:textId="2B684E90" w:rsidR="00280ACD" w:rsidRDefault="00280ACD" w:rsidP="00280ACD">
      <w:pPr>
        <w:pStyle w:val="3-BodyText"/>
      </w:pPr>
      <w:r w:rsidRPr="00787D6D">
        <w:t>An abridged version of the requested listing</w:t>
      </w:r>
      <w:r>
        <w:t>s</w:t>
      </w:r>
      <w:r w:rsidRPr="00787D6D">
        <w:t xml:space="preserve"> is presented below. </w:t>
      </w:r>
      <w:r w:rsidRPr="00C41C9D">
        <w:t>Suggested additions and deletions</w:t>
      </w:r>
      <w:r w:rsidR="005512DC">
        <w:t xml:space="preserve"> to the s</w:t>
      </w:r>
      <w:r w:rsidR="00C5409F">
        <w:t>ubmission’s request are in italics and s</w:t>
      </w:r>
      <w:r w:rsidRPr="00C41C9D">
        <w:t>trikethrough</w:t>
      </w:r>
      <w:r w:rsidR="00C5409F">
        <w:t xml:space="preserve"> respectively</w:t>
      </w:r>
      <w:r w:rsidRPr="00C41C9D">
        <w:t>.</w:t>
      </w:r>
    </w:p>
    <w:p w14:paraId="5B3AADCA" w14:textId="03929830" w:rsidR="006F2FC3" w:rsidRPr="006B61F7" w:rsidRDefault="00A904F4" w:rsidP="00717CC9">
      <w:pPr>
        <w:pStyle w:val="4-SubsectionHeading"/>
        <w:spacing w:after="0"/>
      </w:pPr>
      <w:r w:rsidRPr="006B61F7">
        <w:lastRenderedPageBreak/>
        <w:t>Severe active rheumatoid arthritis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Severe active rheumatoid arthritis "/>
        <w:tblDescription w:val="Treatment phase: Continuing treatment with subcutaneous form or switching from intravenous form to subcutaneous form&#10;&#10;Changes include restriction type to authority required and prescribing instructions"/>
      </w:tblPr>
      <w:tblGrid>
        <w:gridCol w:w="1271"/>
        <w:gridCol w:w="2668"/>
        <w:gridCol w:w="811"/>
        <w:gridCol w:w="812"/>
        <w:gridCol w:w="811"/>
        <w:gridCol w:w="812"/>
        <w:gridCol w:w="1831"/>
      </w:tblGrid>
      <w:tr w:rsidR="00AA24E9" w:rsidRPr="00595457" w14:paraId="090EC971" w14:textId="77777777" w:rsidTr="0CEE6DE9">
        <w:trPr>
          <w:cantSplit/>
          <w:trHeight w:val="20"/>
        </w:trPr>
        <w:tc>
          <w:tcPr>
            <w:tcW w:w="3939" w:type="dxa"/>
            <w:gridSpan w:val="2"/>
            <w:vAlign w:val="center"/>
          </w:tcPr>
          <w:p w14:paraId="6811159C" w14:textId="77777777" w:rsidR="00AA24E9" w:rsidRPr="00595457" w:rsidRDefault="00AA24E9" w:rsidP="00302D60">
            <w:pPr>
              <w:keepLines/>
              <w:rPr>
                <w:rFonts w:ascii="Arial Narrow" w:hAnsi="Arial Narrow" w:cs="Arial"/>
                <w:b/>
                <w:bCs/>
                <w:sz w:val="20"/>
                <w:szCs w:val="20"/>
              </w:rPr>
            </w:pPr>
            <w:r w:rsidRPr="00595457">
              <w:rPr>
                <w:rFonts w:ascii="Arial Narrow" w:hAnsi="Arial Narrow" w:cs="Arial"/>
                <w:b/>
                <w:bCs/>
                <w:sz w:val="20"/>
                <w:szCs w:val="20"/>
              </w:rPr>
              <w:t>MEDICINAL PRODUCT</w:t>
            </w:r>
          </w:p>
          <w:p w14:paraId="72770312" w14:textId="77777777" w:rsidR="00AA24E9" w:rsidRPr="00595457" w:rsidRDefault="00AA24E9" w:rsidP="00302D60">
            <w:pPr>
              <w:keepLines/>
              <w:rPr>
                <w:rFonts w:ascii="Arial Narrow" w:hAnsi="Arial Narrow" w:cs="Arial"/>
                <w:b/>
                <w:sz w:val="20"/>
                <w:szCs w:val="20"/>
              </w:rPr>
            </w:pPr>
            <w:r w:rsidRPr="00595457">
              <w:rPr>
                <w:rFonts w:ascii="Arial Narrow" w:hAnsi="Arial Narrow" w:cs="Arial"/>
                <w:b/>
                <w:bCs/>
                <w:sz w:val="20"/>
                <w:szCs w:val="20"/>
              </w:rPr>
              <w:t>medicinal product pack</w:t>
            </w:r>
          </w:p>
        </w:tc>
        <w:tc>
          <w:tcPr>
            <w:tcW w:w="811" w:type="dxa"/>
            <w:vAlign w:val="center"/>
          </w:tcPr>
          <w:p w14:paraId="5ABDBDFA" w14:textId="77777777" w:rsidR="00AA24E9" w:rsidRPr="00595457" w:rsidRDefault="00AA24E9" w:rsidP="00302D60">
            <w:pPr>
              <w:keepLines/>
              <w:jc w:val="center"/>
              <w:rPr>
                <w:rFonts w:ascii="Arial Narrow" w:hAnsi="Arial Narrow" w:cs="Arial"/>
                <w:b/>
                <w:sz w:val="20"/>
                <w:szCs w:val="20"/>
              </w:rPr>
            </w:pPr>
            <w:r w:rsidRPr="00595457">
              <w:rPr>
                <w:rFonts w:ascii="Arial Narrow" w:hAnsi="Arial Narrow" w:cs="Arial"/>
                <w:b/>
                <w:sz w:val="20"/>
                <w:szCs w:val="20"/>
              </w:rPr>
              <w:t>PBS item code</w:t>
            </w:r>
          </w:p>
        </w:tc>
        <w:tc>
          <w:tcPr>
            <w:tcW w:w="812" w:type="dxa"/>
            <w:vAlign w:val="center"/>
          </w:tcPr>
          <w:p w14:paraId="3C2E0426" w14:textId="77777777" w:rsidR="00AA24E9" w:rsidRPr="00595457" w:rsidRDefault="00AA24E9" w:rsidP="00302D60">
            <w:pPr>
              <w:keepLines/>
              <w:jc w:val="center"/>
              <w:rPr>
                <w:rFonts w:ascii="Arial Narrow" w:hAnsi="Arial Narrow" w:cs="Arial"/>
                <w:b/>
                <w:sz w:val="20"/>
                <w:szCs w:val="20"/>
              </w:rPr>
            </w:pPr>
            <w:r w:rsidRPr="00595457">
              <w:rPr>
                <w:rFonts w:ascii="Arial Narrow" w:hAnsi="Arial Narrow" w:cs="Arial"/>
                <w:b/>
                <w:sz w:val="20"/>
                <w:szCs w:val="20"/>
              </w:rPr>
              <w:t>Max. qty packs</w:t>
            </w:r>
          </w:p>
        </w:tc>
        <w:tc>
          <w:tcPr>
            <w:tcW w:w="811" w:type="dxa"/>
            <w:vAlign w:val="center"/>
          </w:tcPr>
          <w:p w14:paraId="4C6207F6" w14:textId="77777777" w:rsidR="00AA24E9" w:rsidRPr="00595457" w:rsidRDefault="00AA24E9" w:rsidP="00302D60">
            <w:pPr>
              <w:keepLines/>
              <w:jc w:val="center"/>
              <w:rPr>
                <w:rFonts w:ascii="Arial Narrow" w:hAnsi="Arial Narrow" w:cs="Arial"/>
                <w:b/>
                <w:sz w:val="20"/>
                <w:szCs w:val="20"/>
              </w:rPr>
            </w:pPr>
            <w:r w:rsidRPr="00595457">
              <w:rPr>
                <w:rFonts w:ascii="Arial Narrow" w:hAnsi="Arial Narrow" w:cs="Arial"/>
                <w:b/>
                <w:sz w:val="20"/>
                <w:szCs w:val="20"/>
              </w:rPr>
              <w:t>Max. qty units</w:t>
            </w:r>
          </w:p>
        </w:tc>
        <w:tc>
          <w:tcPr>
            <w:tcW w:w="812" w:type="dxa"/>
            <w:vAlign w:val="center"/>
          </w:tcPr>
          <w:p w14:paraId="67D84042" w14:textId="77777777" w:rsidR="00AA24E9" w:rsidRPr="00595457" w:rsidRDefault="4878AC40" w:rsidP="0CEE6DE9">
            <w:pPr>
              <w:keepLines/>
              <w:jc w:val="center"/>
              <w:rPr>
                <w:rFonts w:ascii="Arial Narrow" w:hAnsi="Arial Narrow" w:cs="Arial"/>
                <w:b/>
                <w:bCs/>
                <w:sz w:val="20"/>
                <w:szCs w:val="20"/>
              </w:rPr>
            </w:pPr>
            <w:r w:rsidRPr="00595457">
              <w:rPr>
                <w:rFonts w:ascii="Arial Narrow" w:hAnsi="Arial Narrow" w:cs="Arial"/>
                <w:b/>
                <w:bCs/>
                <w:sz w:val="20"/>
                <w:szCs w:val="20"/>
              </w:rPr>
              <w:t>№.of</w:t>
            </w:r>
          </w:p>
          <w:p w14:paraId="6E260049" w14:textId="77777777" w:rsidR="00AA24E9" w:rsidRPr="00595457" w:rsidRDefault="4878AC40" w:rsidP="0CEE6DE9">
            <w:pPr>
              <w:keepLines/>
              <w:jc w:val="center"/>
              <w:rPr>
                <w:rFonts w:ascii="Arial Narrow" w:hAnsi="Arial Narrow" w:cs="Arial"/>
                <w:b/>
                <w:bCs/>
                <w:sz w:val="20"/>
                <w:szCs w:val="20"/>
              </w:rPr>
            </w:pPr>
            <w:r w:rsidRPr="00595457">
              <w:rPr>
                <w:rFonts w:ascii="Arial Narrow" w:hAnsi="Arial Narrow" w:cs="Arial"/>
                <w:b/>
                <w:bCs/>
                <w:sz w:val="20"/>
                <w:szCs w:val="20"/>
              </w:rPr>
              <w:t>Rpts</w:t>
            </w:r>
          </w:p>
        </w:tc>
        <w:tc>
          <w:tcPr>
            <w:tcW w:w="1831" w:type="dxa"/>
            <w:vAlign w:val="center"/>
          </w:tcPr>
          <w:p w14:paraId="42E5E854" w14:textId="77777777" w:rsidR="00AA24E9" w:rsidRPr="00595457" w:rsidRDefault="00AA24E9" w:rsidP="00302D60">
            <w:pPr>
              <w:keepLines/>
              <w:rPr>
                <w:rFonts w:ascii="Arial Narrow" w:hAnsi="Arial Narrow" w:cs="Arial"/>
                <w:b/>
                <w:sz w:val="20"/>
                <w:szCs w:val="20"/>
                <w:lang w:val="fr-FR"/>
              </w:rPr>
            </w:pPr>
            <w:r w:rsidRPr="00595457">
              <w:rPr>
                <w:rFonts w:ascii="Arial Narrow" w:hAnsi="Arial Narrow" w:cs="Arial"/>
                <w:b/>
                <w:sz w:val="20"/>
                <w:szCs w:val="20"/>
              </w:rPr>
              <w:t>Available brands</w:t>
            </w:r>
          </w:p>
        </w:tc>
      </w:tr>
      <w:tr w:rsidR="00AA24E9" w:rsidRPr="00595457" w14:paraId="5A19CA65" w14:textId="77777777" w:rsidTr="0CEE6DE9">
        <w:trPr>
          <w:cantSplit/>
          <w:trHeight w:val="20"/>
        </w:trPr>
        <w:tc>
          <w:tcPr>
            <w:tcW w:w="9016" w:type="dxa"/>
            <w:gridSpan w:val="7"/>
            <w:vAlign w:val="center"/>
          </w:tcPr>
          <w:p w14:paraId="1752AF3F" w14:textId="6B178144" w:rsidR="00AA24E9" w:rsidRPr="00595457" w:rsidRDefault="00697752" w:rsidP="00302D60">
            <w:pPr>
              <w:keepLines/>
              <w:rPr>
                <w:rFonts w:ascii="Arial Narrow" w:hAnsi="Arial Narrow" w:cs="Arial"/>
                <w:sz w:val="20"/>
                <w:szCs w:val="20"/>
              </w:rPr>
            </w:pPr>
            <w:r w:rsidRPr="00595457">
              <w:rPr>
                <w:rFonts w:ascii="Arial Narrow" w:hAnsi="Arial Narrow" w:cs="Arial"/>
                <w:sz w:val="20"/>
                <w:szCs w:val="20"/>
              </w:rPr>
              <w:t>INFLIXIMAB</w:t>
            </w:r>
          </w:p>
        </w:tc>
      </w:tr>
      <w:tr w:rsidR="00D52290" w:rsidRPr="00595457" w14:paraId="28F8C744" w14:textId="77777777" w:rsidTr="0CEE6DE9">
        <w:trPr>
          <w:cantSplit/>
          <w:trHeight w:val="20"/>
        </w:trPr>
        <w:tc>
          <w:tcPr>
            <w:tcW w:w="3939" w:type="dxa"/>
            <w:gridSpan w:val="2"/>
            <w:vAlign w:val="center"/>
          </w:tcPr>
          <w:p w14:paraId="2A765B9C" w14:textId="719D951F" w:rsidR="00D52290" w:rsidRPr="00595457" w:rsidRDefault="00D52290" w:rsidP="00D52290">
            <w:pPr>
              <w:keepLines/>
              <w:rPr>
                <w:rFonts w:ascii="Arial Narrow" w:hAnsi="Arial Narrow" w:cs="Arial"/>
                <w:sz w:val="20"/>
                <w:szCs w:val="20"/>
              </w:rPr>
            </w:pPr>
            <w:r w:rsidRPr="00595457">
              <w:rPr>
                <w:rFonts w:ascii="Arial Narrow" w:hAnsi="Arial Narrow" w:cs="Arial"/>
                <w:sz w:val="20"/>
                <w:szCs w:val="20"/>
              </w:rPr>
              <w:t>infliximab 120 mg/mL injection, 1 mL pen device</w:t>
            </w:r>
          </w:p>
        </w:tc>
        <w:tc>
          <w:tcPr>
            <w:tcW w:w="811" w:type="dxa"/>
            <w:vAlign w:val="center"/>
          </w:tcPr>
          <w:p w14:paraId="19A53E20" w14:textId="7FBB3CF2" w:rsidR="00D52290" w:rsidRPr="00595457" w:rsidRDefault="00D52290" w:rsidP="00D52290">
            <w:pPr>
              <w:keepLines/>
              <w:jc w:val="center"/>
              <w:rPr>
                <w:rFonts w:ascii="Arial Narrow" w:hAnsi="Arial Narrow" w:cs="Arial"/>
                <w:sz w:val="20"/>
                <w:szCs w:val="20"/>
              </w:rPr>
            </w:pPr>
            <w:r w:rsidRPr="00595457">
              <w:rPr>
                <w:rFonts w:ascii="Arial Narrow" w:hAnsi="Arial Narrow" w:cs="Arial"/>
                <w:sz w:val="20"/>
                <w:szCs w:val="20"/>
              </w:rPr>
              <w:t>12554R</w:t>
            </w:r>
          </w:p>
        </w:tc>
        <w:tc>
          <w:tcPr>
            <w:tcW w:w="812" w:type="dxa"/>
          </w:tcPr>
          <w:p w14:paraId="734D0BEB" w14:textId="58A02842" w:rsidR="00D52290" w:rsidRPr="00595457" w:rsidRDefault="00D52290" w:rsidP="00D5229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tcPr>
          <w:p w14:paraId="6DCF1C59" w14:textId="133563F1" w:rsidR="00D52290" w:rsidRPr="00595457" w:rsidRDefault="00D52290" w:rsidP="00D5229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tcPr>
          <w:p w14:paraId="3D7F646A" w14:textId="0247C09D" w:rsidR="00D52290" w:rsidRPr="00595457" w:rsidRDefault="00D52290" w:rsidP="00D52290">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5B3C0781" w14:textId="306BE73A" w:rsidR="00D52290" w:rsidRPr="00595457" w:rsidRDefault="68B2A1C6" w:rsidP="0CEE6DE9">
            <w:pPr>
              <w:keepLines/>
              <w:rPr>
                <w:rFonts w:ascii="Arial Narrow" w:hAnsi="Arial Narrow" w:cs="Arial"/>
                <w:sz w:val="20"/>
                <w:szCs w:val="20"/>
              </w:rPr>
            </w:pPr>
            <w:r w:rsidRPr="00595457">
              <w:rPr>
                <w:rFonts w:ascii="Arial Narrow" w:hAnsi="Arial Narrow" w:cs="Arial"/>
                <w:sz w:val="20"/>
                <w:szCs w:val="20"/>
              </w:rPr>
              <w:t>Remsima SC</w:t>
            </w:r>
          </w:p>
        </w:tc>
      </w:tr>
      <w:tr w:rsidR="00AA24E9" w:rsidRPr="00595457" w14:paraId="44FCE6FE" w14:textId="77777777" w:rsidTr="0CEE6DE9">
        <w:trPr>
          <w:cantSplit/>
          <w:trHeight w:val="20"/>
        </w:trPr>
        <w:tc>
          <w:tcPr>
            <w:tcW w:w="3939" w:type="dxa"/>
            <w:gridSpan w:val="2"/>
            <w:vAlign w:val="center"/>
          </w:tcPr>
          <w:p w14:paraId="6B0148A7" w14:textId="1875507D" w:rsidR="00AA24E9" w:rsidRPr="00595457" w:rsidRDefault="00442909" w:rsidP="00302D60">
            <w:pPr>
              <w:keepLines/>
              <w:rPr>
                <w:rFonts w:ascii="Arial Narrow" w:hAnsi="Arial Narrow" w:cs="Arial"/>
                <w:sz w:val="20"/>
                <w:szCs w:val="20"/>
              </w:rPr>
            </w:pPr>
            <w:r w:rsidRPr="00595457">
              <w:rPr>
                <w:rFonts w:ascii="Arial Narrow" w:hAnsi="Arial Narrow" w:cs="Arial"/>
                <w:sz w:val="20"/>
                <w:szCs w:val="20"/>
              </w:rPr>
              <w:t>infliximab 120 mg/mL injection, 1 mL syringe</w:t>
            </w:r>
          </w:p>
        </w:tc>
        <w:tc>
          <w:tcPr>
            <w:tcW w:w="811" w:type="dxa"/>
            <w:vAlign w:val="center"/>
          </w:tcPr>
          <w:p w14:paraId="2B4D1D6A" w14:textId="19644C18" w:rsidR="00AA24E9" w:rsidRPr="00595457" w:rsidRDefault="00E22DCE" w:rsidP="00302D60">
            <w:pPr>
              <w:keepLines/>
              <w:jc w:val="center"/>
              <w:rPr>
                <w:rFonts w:ascii="Arial Narrow" w:hAnsi="Arial Narrow" w:cs="Arial"/>
                <w:sz w:val="20"/>
                <w:szCs w:val="20"/>
              </w:rPr>
            </w:pPr>
            <w:r w:rsidRPr="00595457">
              <w:rPr>
                <w:rFonts w:ascii="Arial Narrow" w:hAnsi="Arial Narrow" w:cs="Arial"/>
                <w:sz w:val="20"/>
                <w:szCs w:val="20"/>
              </w:rPr>
              <w:t>12553Q</w:t>
            </w:r>
          </w:p>
        </w:tc>
        <w:tc>
          <w:tcPr>
            <w:tcW w:w="812" w:type="dxa"/>
            <w:vAlign w:val="center"/>
          </w:tcPr>
          <w:p w14:paraId="486E30F7" w14:textId="0ABEFC5E" w:rsidR="00AA24E9" w:rsidRPr="00595457" w:rsidRDefault="00E22DCE"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vAlign w:val="center"/>
          </w:tcPr>
          <w:p w14:paraId="46595C2E" w14:textId="6042DD7A" w:rsidR="00AA24E9" w:rsidRPr="00595457" w:rsidRDefault="00E22DCE"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vAlign w:val="center"/>
          </w:tcPr>
          <w:p w14:paraId="6D32327D" w14:textId="77777777" w:rsidR="00AA24E9" w:rsidRPr="00595457" w:rsidRDefault="00AA24E9" w:rsidP="00302D60">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39C7E730" w14:textId="44AE8543" w:rsidR="00AA24E9" w:rsidRPr="00595457" w:rsidRDefault="5E9CB08A" w:rsidP="0CEE6DE9">
            <w:pPr>
              <w:keepLines/>
              <w:rPr>
                <w:rFonts w:ascii="Arial Narrow" w:hAnsi="Arial Narrow" w:cs="Arial"/>
                <w:sz w:val="20"/>
                <w:szCs w:val="20"/>
              </w:rPr>
            </w:pPr>
            <w:r w:rsidRPr="00595457">
              <w:rPr>
                <w:rFonts w:ascii="Arial Narrow" w:hAnsi="Arial Narrow" w:cs="Arial"/>
                <w:sz w:val="20"/>
                <w:szCs w:val="20"/>
              </w:rPr>
              <w:t>Remsima SC</w:t>
            </w:r>
          </w:p>
        </w:tc>
      </w:tr>
      <w:tr w:rsidR="00AA24E9" w:rsidRPr="00595457" w14:paraId="1CA3A3BB"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1E1C087" w14:textId="1D39AFD0" w:rsidR="00AA24E9" w:rsidRPr="00595457" w:rsidRDefault="00AA24E9" w:rsidP="00302D60">
            <w:pPr>
              <w:rPr>
                <w:rFonts w:ascii="Arial Narrow" w:hAnsi="Arial Narrow" w:cs="Arial"/>
                <w:sz w:val="20"/>
                <w:szCs w:val="20"/>
              </w:rPr>
            </w:pPr>
          </w:p>
        </w:tc>
      </w:tr>
      <w:tr w:rsidR="00AA24E9" w:rsidRPr="00595457" w14:paraId="70D0340B"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CCD089C" w14:textId="3096CE60" w:rsidR="00AA24E9" w:rsidRPr="00595457" w:rsidRDefault="00AA24E9" w:rsidP="00302D60">
            <w:pPr>
              <w:keepLines/>
              <w:rPr>
                <w:rFonts w:ascii="Arial Narrow" w:hAnsi="Arial Narrow" w:cs="Arial"/>
                <w:b/>
                <w:sz w:val="20"/>
                <w:szCs w:val="20"/>
              </w:rPr>
            </w:pPr>
            <w:r w:rsidRPr="00595457">
              <w:rPr>
                <w:rFonts w:ascii="Arial Narrow" w:hAnsi="Arial Narrow"/>
                <w:b/>
                <w:sz w:val="20"/>
                <w:szCs w:val="20"/>
              </w:rPr>
              <w:t xml:space="preserve">Restriction Summary / Treatment of Concept: </w:t>
            </w:r>
          </w:p>
        </w:tc>
      </w:tr>
      <w:tr w:rsidR="00850D5E" w:rsidRPr="00595457" w14:paraId="351E5687" w14:textId="77777777" w:rsidTr="0CEE6DE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E696EFF" w14:textId="2A1D0E90" w:rsidR="00850D5E" w:rsidRPr="00595457" w:rsidRDefault="00850D5E" w:rsidP="00302D60">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83CB63" w14:textId="1A669EBB" w:rsidR="00850D5E" w:rsidRPr="00595457" w:rsidRDefault="00850D5E" w:rsidP="00517E83">
            <w:pPr>
              <w:keepLines/>
              <w:rPr>
                <w:rFonts w:ascii="Arial Narrow" w:hAnsi="Arial Narrow" w:cs="Arial"/>
                <w:sz w:val="20"/>
                <w:szCs w:val="20"/>
              </w:rPr>
            </w:pPr>
            <w:r w:rsidRPr="00595457">
              <w:rPr>
                <w:rFonts w:ascii="Arial Narrow" w:hAnsi="Arial Narrow" w:cs="Arial"/>
                <w:b/>
                <w:sz w:val="20"/>
                <w:szCs w:val="20"/>
              </w:rPr>
              <w:t>Category / Program:</w:t>
            </w:r>
            <w:r w:rsidRPr="00595457">
              <w:rPr>
                <w:rFonts w:ascii="Arial Narrow" w:hAnsi="Arial Narrow" w:cs="Arial"/>
                <w:color w:val="FF0000"/>
                <w:sz w:val="20"/>
                <w:szCs w:val="20"/>
              </w:rPr>
              <w:t xml:space="preserve"> </w:t>
            </w:r>
            <w:r w:rsidRPr="00595457">
              <w:rPr>
                <w:rFonts w:ascii="Arial Narrow" w:eastAsia="Calibri" w:hAnsi="Arial Narrow" w:cs="Arial"/>
                <w:sz w:val="20"/>
                <w:szCs w:val="20"/>
              </w:rPr>
              <w:t xml:space="preserve">GENERAL - General Schedule (Code GE) </w:t>
            </w:r>
          </w:p>
        </w:tc>
      </w:tr>
      <w:tr w:rsidR="00850D5E" w:rsidRPr="00595457" w14:paraId="69F11352"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67EA5068" w14:textId="77777777" w:rsidR="00850D5E" w:rsidRPr="00595457" w:rsidRDefault="00850D5E"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8AD3ED" w14:textId="15B559AC" w:rsidR="00850D5E" w:rsidRPr="00595457" w:rsidRDefault="00850D5E" w:rsidP="00302D60">
            <w:pPr>
              <w:keepLines/>
              <w:rPr>
                <w:rFonts w:ascii="Arial Narrow" w:hAnsi="Arial Narrow" w:cs="Arial"/>
                <w:b/>
                <w:sz w:val="20"/>
                <w:szCs w:val="20"/>
              </w:rPr>
            </w:pPr>
            <w:r w:rsidRPr="00595457">
              <w:rPr>
                <w:rFonts w:ascii="Arial Narrow" w:hAnsi="Arial Narrow" w:cs="Arial"/>
                <w:b/>
                <w:sz w:val="20"/>
                <w:szCs w:val="20"/>
              </w:rPr>
              <w:t xml:space="preserve">Prescriber type: </w:t>
            </w:r>
            <w:r w:rsidRPr="00595457">
              <w:rPr>
                <w:rFonts w:ascii="Arial Narrow" w:hAnsi="Arial Narrow" w:cs="Arial"/>
                <w:sz w:val="20"/>
                <w:szCs w:val="20"/>
              </w:rPr>
              <w:fldChar w:fldCharType="begin" w:fldLock="1">
                <w:ffData>
                  <w:name w:val=""/>
                  <w:enabled/>
                  <w:calcOnExit w:val="0"/>
                  <w:checkBox>
                    <w:sizeAuto/>
                    <w:default w:val="1"/>
                  </w:checkBox>
                </w:ffData>
              </w:fldChar>
            </w:r>
            <w:r w:rsidRPr="00595457">
              <w:rPr>
                <w:rFonts w:ascii="Arial Narrow" w:hAnsi="Arial Narrow" w:cs="Arial"/>
                <w:sz w:val="20"/>
                <w:szCs w:val="20"/>
              </w:rPr>
              <w:instrText xml:space="preserve"> FORMCHECKBOX </w:instrText>
            </w:r>
            <w:r w:rsidRPr="00595457">
              <w:rPr>
                <w:rFonts w:ascii="Arial Narrow" w:hAnsi="Arial Narrow" w:cs="Arial"/>
                <w:sz w:val="20"/>
                <w:szCs w:val="20"/>
              </w:rPr>
            </w:r>
            <w:r w:rsidRPr="00595457">
              <w:rPr>
                <w:rFonts w:ascii="Arial Narrow" w:hAnsi="Arial Narrow" w:cs="Arial"/>
                <w:sz w:val="20"/>
                <w:szCs w:val="20"/>
              </w:rPr>
              <w:fldChar w:fldCharType="separate"/>
            </w:r>
            <w:r w:rsidRPr="00595457">
              <w:rPr>
                <w:rFonts w:ascii="Arial Narrow" w:hAnsi="Arial Narrow" w:cs="Arial"/>
                <w:sz w:val="20"/>
                <w:szCs w:val="20"/>
              </w:rPr>
              <w:fldChar w:fldCharType="end"/>
            </w:r>
            <w:r w:rsidRPr="00595457">
              <w:rPr>
                <w:rFonts w:ascii="Arial Narrow" w:hAnsi="Arial Narrow" w:cs="Arial"/>
                <w:sz w:val="20"/>
                <w:szCs w:val="20"/>
              </w:rPr>
              <w:t xml:space="preserve">Medical Practitioners </w:t>
            </w:r>
          </w:p>
        </w:tc>
      </w:tr>
      <w:tr w:rsidR="00850D5E" w:rsidRPr="00595457" w14:paraId="2903BDB0"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607F241A" w14:textId="77777777" w:rsidR="00850D5E" w:rsidRPr="00595457" w:rsidRDefault="00850D5E"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98E831" w14:textId="5CC17E79" w:rsidR="00850D5E" w:rsidRPr="00595457" w:rsidRDefault="00850D5E" w:rsidP="00302D60">
            <w:pPr>
              <w:keepLines/>
              <w:rPr>
                <w:rFonts w:ascii="Arial Narrow" w:hAnsi="Arial Narrow" w:cs="Arial"/>
                <w:b/>
                <w:sz w:val="20"/>
                <w:szCs w:val="20"/>
              </w:rPr>
            </w:pPr>
            <w:r w:rsidRPr="00595457">
              <w:rPr>
                <w:rFonts w:ascii="Arial Narrow" w:hAnsi="Arial Narrow" w:cs="Arial"/>
                <w:b/>
                <w:sz w:val="20"/>
                <w:szCs w:val="20"/>
              </w:rPr>
              <w:t xml:space="preserve">Restriction type: </w:t>
            </w:r>
          </w:p>
          <w:p w14:paraId="6D10651B" w14:textId="66A55FBA" w:rsidR="00850D5E" w:rsidRPr="00595457" w:rsidRDefault="00850D5E" w:rsidP="0036718C">
            <w:pPr>
              <w:keepLines/>
              <w:jc w:val="left"/>
              <w:rPr>
                <w:rFonts w:ascii="Arial Narrow" w:eastAsia="Calibri" w:hAnsi="Arial Narrow" w:cs="Arial"/>
                <w:color w:val="FF0000"/>
                <w:sz w:val="20"/>
                <w:szCs w:val="20"/>
              </w:rPr>
            </w:pPr>
            <w:r w:rsidRPr="00595457">
              <w:rPr>
                <w:rFonts w:ascii="Arial Narrow" w:eastAsia="Calibri" w:hAnsi="Arial Narrow" w:cs="Arial"/>
                <w:sz w:val="20"/>
                <w:szCs w:val="20"/>
              </w:rPr>
              <w:fldChar w:fldCharType="begin" w:fldLock="1">
                <w:ffData>
                  <w:name w:val=""/>
                  <w:enabled/>
                  <w:calcOnExit w:val="0"/>
                  <w:checkBox>
                    <w:sizeAuto/>
                    <w:default w:val="1"/>
                  </w:checkBox>
                </w:ffData>
              </w:fldChar>
            </w:r>
            <w:r w:rsidRPr="00595457">
              <w:rPr>
                <w:rFonts w:ascii="Arial Narrow" w:eastAsia="Calibri" w:hAnsi="Arial Narrow" w:cs="Arial"/>
                <w:sz w:val="20"/>
                <w:szCs w:val="20"/>
              </w:rPr>
              <w:instrText xml:space="preserve"> FORMCHECKBOX </w:instrText>
            </w:r>
            <w:r w:rsidRPr="00595457">
              <w:rPr>
                <w:rFonts w:ascii="Arial Narrow" w:eastAsia="Calibri" w:hAnsi="Arial Narrow" w:cs="Arial"/>
                <w:sz w:val="20"/>
                <w:szCs w:val="20"/>
              </w:rPr>
            </w:r>
            <w:r w:rsidRPr="00595457">
              <w:rPr>
                <w:rFonts w:ascii="Arial Narrow" w:eastAsia="Calibri" w:hAnsi="Arial Narrow" w:cs="Arial"/>
                <w:sz w:val="20"/>
                <w:szCs w:val="20"/>
              </w:rPr>
              <w:fldChar w:fldCharType="separate"/>
            </w:r>
            <w:r w:rsidRPr="00595457">
              <w:rPr>
                <w:rFonts w:ascii="Arial Narrow" w:eastAsia="Calibri" w:hAnsi="Arial Narrow" w:cs="Arial"/>
                <w:sz w:val="20"/>
                <w:szCs w:val="20"/>
              </w:rPr>
              <w:fldChar w:fldCharType="end"/>
            </w:r>
            <w:r w:rsidRPr="00595457">
              <w:rPr>
                <w:rFonts w:ascii="Arial Narrow" w:eastAsia="Calibri" w:hAnsi="Arial Narrow" w:cs="Arial"/>
                <w:i/>
                <w:iCs/>
                <w:sz w:val="20"/>
                <w:szCs w:val="20"/>
              </w:rPr>
              <w:t xml:space="preserve">Authority Required (Streamlined) </w:t>
            </w:r>
            <w:r w:rsidRPr="00595457">
              <w:rPr>
                <w:rFonts w:ascii="Arial Narrow" w:eastAsia="Calibri" w:hAnsi="Arial Narrow" w:cs="Arial"/>
                <w:i/>
                <w:iCs/>
                <w:color w:val="FF0000"/>
                <w:sz w:val="20"/>
                <w:szCs w:val="20"/>
              </w:rPr>
              <w:br/>
            </w:r>
            <w:r w:rsidRPr="00595457">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595457">
              <w:rPr>
                <w:rFonts w:ascii="Arial Narrow" w:eastAsia="Calibri" w:hAnsi="Arial Narrow" w:cs="Arial"/>
                <w:strike/>
                <w:sz w:val="20"/>
                <w:szCs w:val="20"/>
              </w:rPr>
              <w:instrText xml:space="preserve"> FORMCHECKBOX </w:instrText>
            </w:r>
            <w:r w:rsidRPr="00595457">
              <w:rPr>
                <w:rFonts w:ascii="Arial Narrow" w:eastAsia="Calibri" w:hAnsi="Arial Narrow" w:cs="Arial"/>
                <w:strike/>
                <w:sz w:val="20"/>
                <w:szCs w:val="20"/>
              </w:rPr>
            </w:r>
            <w:r w:rsidRPr="00595457">
              <w:rPr>
                <w:rFonts w:ascii="Arial Narrow" w:eastAsia="Calibri" w:hAnsi="Arial Narrow" w:cs="Arial"/>
                <w:strike/>
                <w:sz w:val="20"/>
                <w:szCs w:val="20"/>
              </w:rPr>
              <w:fldChar w:fldCharType="separate"/>
            </w:r>
            <w:r w:rsidRPr="00595457">
              <w:rPr>
                <w:rFonts w:ascii="Arial Narrow" w:eastAsia="Calibri" w:hAnsi="Arial Narrow" w:cs="Arial"/>
                <w:strike/>
                <w:sz w:val="20"/>
                <w:szCs w:val="20"/>
              </w:rPr>
              <w:fldChar w:fldCharType="end"/>
            </w:r>
            <w:r w:rsidRPr="00595457">
              <w:rPr>
                <w:rFonts w:ascii="Arial Narrow" w:eastAsia="Calibri" w:hAnsi="Arial Narrow" w:cs="Arial"/>
                <w:strike/>
                <w:sz w:val="20"/>
                <w:szCs w:val="20"/>
              </w:rPr>
              <w:t>Authority Required (</w:t>
            </w:r>
            <w:r w:rsidR="008F0FD5" w:rsidRPr="00595457">
              <w:rPr>
                <w:rFonts w:ascii="Arial Narrow" w:eastAsia="Calibri" w:hAnsi="Arial Narrow" w:cs="Arial"/>
                <w:strike/>
                <w:sz w:val="20"/>
                <w:szCs w:val="20"/>
              </w:rPr>
              <w:t>in writing only via post/HPOS upload</w:t>
            </w:r>
            <w:r w:rsidRPr="00595457">
              <w:rPr>
                <w:rFonts w:ascii="Arial Narrow" w:eastAsia="Calibri" w:hAnsi="Arial Narrow" w:cs="Arial"/>
                <w:strike/>
                <w:sz w:val="20"/>
                <w:szCs w:val="20"/>
              </w:rPr>
              <w:t xml:space="preserve">) </w:t>
            </w:r>
          </w:p>
        </w:tc>
      </w:tr>
      <w:tr w:rsidR="00AA24E9" w:rsidRPr="00595457" w14:paraId="5838240A" w14:textId="77777777" w:rsidTr="00365FCC">
        <w:tblPrEx>
          <w:tblCellMar>
            <w:top w:w="15" w:type="dxa"/>
            <w:bottom w:w="15" w:type="dxa"/>
          </w:tblCellMar>
        </w:tblPrEx>
        <w:trPr>
          <w:cantSplit/>
          <w:trHeight w:val="20"/>
        </w:trPr>
        <w:tc>
          <w:tcPr>
            <w:tcW w:w="1271" w:type="dxa"/>
            <w:vAlign w:val="center"/>
          </w:tcPr>
          <w:p w14:paraId="4D5B5EE7" w14:textId="37C48008" w:rsidR="00AA24E9" w:rsidRPr="00595457" w:rsidRDefault="00AA24E9" w:rsidP="00302D60">
            <w:pPr>
              <w:keepLines/>
              <w:jc w:val="center"/>
              <w:rPr>
                <w:rFonts w:ascii="Arial Narrow" w:hAnsi="Arial Narrow"/>
                <w:sz w:val="20"/>
                <w:szCs w:val="20"/>
              </w:rPr>
            </w:pPr>
          </w:p>
        </w:tc>
        <w:tc>
          <w:tcPr>
            <w:tcW w:w="7745" w:type="dxa"/>
            <w:gridSpan w:val="6"/>
            <w:vAlign w:val="center"/>
            <w:hideMark/>
          </w:tcPr>
          <w:p w14:paraId="4554907F" w14:textId="09E07D64" w:rsidR="00AA24E9" w:rsidRPr="00595457" w:rsidRDefault="00AA24E9" w:rsidP="00302D60">
            <w:pPr>
              <w:keepLines/>
              <w:rPr>
                <w:rFonts w:ascii="Arial Narrow" w:hAnsi="Arial Narrow"/>
                <w:color w:val="333333"/>
                <w:sz w:val="20"/>
                <w:szCs w:val="20"/>
              </w:rPr>
            </w:pPr>
            <w:r w:rsidRPr="00595457">
              <w:rPr>
                <w:rFonts w:ascii="Arial Narrow" w:hAnsi="Arial Narrow"/>
                <w:b/>
                <w:bCs/>
                <w:sz w:val="20"/>
                <w:szCs w:val="20"/>
              </w:rPr>
              <w:t>Indication:</w:t>
            </w:r>
            <w:r w:rsidRPr="00595457">
              <w:rPr>
                <w:rFonts w:ascii="Arial Narrow" w:hAnsi="Arial Narrow"/>
                <w:sz w:val="20"/>
                <w:szCs w:val="20"/>
              </w:rPr>
              <w:t xml:space="preserve"> </w:t>
            </w:r>
            <w:r w:rsidR="001E5013" w:rsidRPr="00595457">
              <w:rPr>
                <w:rFonts w:ascii="Arial Narrow" w:hAnsi="Arial Narrow"/>
                <w:sz w:val="20"/>
                <w:szCs w:val="20"/>
              </w:rPr>
              <w:t>Severe active rheumatoid arthritis</w:t>
            </w:r>
          </w:p>
        </w:tc>
      </w:tr>
      <w:tr w:rsidR="00AA24E9" w:rsidRPr="00595457" w14:paraId="79ED3FD7" w14:textId="77777777" w:rsidTr="00365FCC">
        <w:tblPrEx>
          <w:tblCellMar>
            <w:top w:w="15" w:type="dxa"/>
            <w:bottom w:w="15" w:type="dxa"/>
          </w:tblCellMar>
        </w:tblPrEx>
        <w:trPr>
          <w:cantSplit/>
          <w:trHeight w:val="20"/>
        </w:trPr>
        <w:tc>
          <w:tcPr>
            <w:tcW w:w="1271" w:type="dxa"/>
            <w:vAlign w:val="center"/>
          </w:tcPr>
          <w:p w14:paraId="7CCB6D8B" w14:textId="77777777" w:rsidR="00AA24E9" w:rsidRPr="00595457" w:rsidRDefault="00AA24E9" w:rsidP="00302D60">
            <w:pPr>
              <w:jc w:val="center"/>
              <w:rPr>
                <w:rFonts w:ascii="Arial Narrow" w:hAnsi="Arial Narrow"/>
                <w:sz w:val="20"/>
                <w:szCs w:val="20"/>
              </w:rPr>
            </w:pPr>
          </w:p>
        </w:tc>
        <w:tc>
          <w:tcPr>
            <w:tcW w:w="7745" w:type="dxa"/>
            <w:gridSpan w:val="6"/>
            <w:vAlign w:val="center"/>
            <w:hideMark/>
          </w:tcPr>
          <w:p w14:paraId="23366C80" w14:textId="3B9B63EF" w:rsidR="00AA24E9" w:rsidRPr="00595457" w:rsidRDefault="00AA24E9" w:rsidP="00302D60">
            <w:pPr>
              <w:rPr>
                <w:rFonts w:ascii="Arial Narrow" w:hAnsi="Arial Narrow"/>
                <w:sz w:val="20"/>
                <w:szCs w:val="20"/>
              </w:rPr>
            </w:pPr>
            <w:r w:rsidRPr="00595457">
              <w:rPr>
                <w:rFonts w:ascii="Arial Narrow" w:hAnsi="Arial Narrow"/>
                <w:b/>
                <w:bCs/>
                <w:sz w:val="20"/>
                <w:szCs w:val="20"/>
              </w:rPr>
              <w:t>Treatment Phase:</w:t>
            </w:r>
            <w:r w:rsidRPr="00595457">
              <w:rPr>
                <w:rFonts w:ascii="Arial Narrow" w:hAnsi="Arial Narrow"/>
                <w:sz w:val="20"/>
                <w:szCs w:val="20"/>
              </w:rPr>
              <w:t xml:space="preserve"> </w:t>
            </w:r>
            <w:r w:rsidR="00D03C2F" w:rsidRPr="00595457">
              <w:rPr>
                <w:rFonts w:ascii="Arial Narrow" w:hAnsi="Arial Narrow"/>
                <w:sz w:val="20"/>
                <w:szCs w:val="20"/>
              </w:rPr>
              <w:t>Continuing treatment with subcutaneous form or switching from intravenous form to subcutaneous form</w:t>
            </w:r>
          </w:p>
        </w:tc>
      </w:tr>
      <w:tr w:rsidR="006A2544" w:rsidRPr="00595457" w14:paraId="0AF12B95"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556EF88" w14:textId="087084F5" w:rsidR="00BB3298" w:rsidRPr="00595457" w:rsidRDefault="00BB3298" w:rsidP="00BB3298">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2FFBF7" w14:textId="77777777" w:rsidR="006A2544" w:rsidRPr="00595457" w:rsidRDefault="006A2544" w:rsidP="006A2544">
            <w:pPr>
              <w:rPr>
                <w:rFonts w:ascii="Arial Narrow" w:hAnsi="Arial Narrow"/>
                <w:b/>
                <w:bCs/>
                <w:sz w:val="20"/>
                <w:szCs w:val="20"/>
              </w:rPr>
            </w:pPr>
            <w:r w:rsidRPr="00595457">
              <w:rPr>
                <w:rFonts w:ascii="Arial Narrow" w:hAnsi="Arial Narrow"/>
                <w:b/>
                <w:bCs/>
                <w:sz w:val="20"/>
                <w:szCs w:val="20"/>
              </w:rPr>
              <w:t>Prescribing Instructions:</w:t>
            </w:r>
          </w:p>
          <w:p w14:paraId="52E1F81D" w14:textId="77777777" w:rsidR="006A2544" w:rsidRPr="00595457" w:rsidRDefault="006A2544" w:rsidP="006A2544">
            <w:pPr>
              <w:rPr>
                <w:rFonts w:ascii="Arial Narrow" w:hAnsi="Arial Narrow"/>
                <w:sz w:val="20"/>
                <w:szCs w:val="20"/>
              </w:rPr>
            </w:pPr>
            <w:r w:rsidRPr="00595457">
              <w:rPr>
                <w:rFonts w:ascii="Arial Narrow" w:hAnsi="Arial Narrow"/>
                <w:sz w:val="20"/>
                <w:szCs w:val="20"/>
              </w:rPr>
              <w:t>An adequate response to treatment is defined as:</w:t>
            </w:r>
          </w:p>
          <w:p w14:paraId="41F85204" w14:textId="77777777" w:rsidR="006A2544" w:rsidRPr="00595457" w:rsidRDefault="006A2544" w:rsidP="006A2544">
            <w:pPr>
              <w:rPr>
                <w:rFonts w:ascii="Arial Narrow" w:hAnsi="Arial Narrow"/>
                <w:sz w:val="20"/>
                <w:szCs w:val="20"/>
              </w:rPr>
            </w:pPr>
            <w:r w:rsidRPr="00595457">
              <w:rPr>
                <w:rFonts w:ascii="Arial Narrow" w:hAnsi="Arial Narrow"/>
                <w:sz w:val="20"/>
                <w:szCs w:val="20"/>
              </w:rPr>
              <w:t>an ESR no greater than 25 mm per hour or a CRP level no greater than 15 mg per L or either marker reduced by at least 20% from baseline;</w:t>
            </w:r>
          </w:p>
          <w:p w14:paraId="6E6F495A" w14:textId="77777777" w:rsidR="006A2544" w:rsidRPr="00595457" w:rsidRDefault="006A2544" w:rsidP="006A2544">
            <w:pPr>
              <w:rPr>
                <w:rFonts w:ascii="Arial Narrow" w:hAnsi="Arial Narrow"/>
                <w:sz w:val="20"/>
                <w:szCs w:val="20"/>
              </w:rPr>
            </w:pPr>
            <w:r w:rsidRPr="00595457">
              <w:rPr>
                <w:rFonts w:ascii="Arial Narrow" w:hAnsi="Arial Narrow"/>
                <w:sz w:val="20"/>
                <w:szCs w:val="20"/>
              </w:rPr>
              <w:t>AND either of the following:</w:t>
            </w:r>
          </w:p>
          <w:p w14:paraId="3E5E0319" w14:textId="77777777" w:rsidR="006A2544" w:rsidRPr="00595457" w:rsidRDefault="006A2544" w:rsidP="006A2544">
            <w:pPr>
              <w:rPr>
                <w:rFonts w:ascii="Arial Narrow" w:hAnsi="Arial Narrow"/>
                <w:sz w:val="20"/>
                <w:szCs w:val="20"/>
              </w:rPr>
            </w:pPr>
            <w:r w:rsidRPr="00595457">
              <w:rPr>
                <w:rFonts w:ascii="Arial Narrow" w:hAnsi="Arial Narrow"/>
                <w:sz w:val="20"/>
                <w:szCs w:val="20"/>
              </w:rPr>
              <w:t>(a) a reduction in the total active (swollen and tender) joint count by at least 50% from baseline, where baseline is at least 20 active joints; or</w:t>
            </w:r>
          </w:p>
          <w:p w14:paraId="37A9A43C" w14:textId="77777777" w:rsidR="006A2544" w:rsidRPr="00595457" w:rsidRDefault="006A2544" w:rsidP="006A2544">
            <w:pPr>
              <w:rPr>
                <w:rFonts w:ascii="Arial Narrow" w:hAnsi="Arial Narrow"/>
                <w:sz w:val="20"/>
                <w:szCs w:val="20"/>
              </w:rPr>
            </w:pPr>
            <w:r w:rsidRPr="00595457">
              <w:rPr>
                <w:rFonts w:ascii="Arial Narrow" w:hAnsi="Arial Narrow"/>
                <w:sz w:val="20"/>
                <w:szCs w:val="20"/>
              </w:rPr>
              <w:t>(b) a reduction in the number of the following active joints, from at least 4, by at least 50%:</w:t>
            </w:r>
          </w:p>
          <w:p w14:paraId="020E5696" w14:textId="77777777" w:rsidR="006A2544" w:rsidRPr="00595457" w:rsidRDefault="22E3727D" w:rsidP="0CEE6DE9">
            <w:pPr>
              <w:rPr>
                <w:rFonts w:ascii="Arial Narrow" w:hAnsi="Arial Narrow"/>
                <w:sz w:val="20"/>
                <w:szCs w:val="20"/>
              </w:rPr>
            </w:pPr>
            <w:r w:rsidRPr="00595457">
              <w:rPr>
                <w:rFonts w:ascii="Arial Narrow" w:hAnsi="Arial Narrow"/>
                <w:sz w:val="20"/>
                <w:szCs w:val="20"/>
              </w:rPr>
              <w:t>(</w:t>
            </w:r>
            <w:proofErr w:type="spellStart"/>
            <w:r w:rsidRPr="00595457">
              <w:rPr>
                <w:rFonts w:ascii="Arial Narrow" w:hAnsi="Arial Narrow"/>
                <w:sz w:val="20"/>
                <w:szCs w:val="20"/>
              </w:rPr>
              <w:t>i</w:t>
            </w:r>
            <w:proofErr w:type="spellEnd"/>
            <w:r w:rsidRPr="00595457">
              <w:rPr>
                <w:rFonts w:ascii="Arial Narrow" w:hAnsi="Arial Narrow"/>
                <w:sz w:val="20"/>
                <w:szCs w:val="20"/>
              </w:rPr>
              <w:t>) elbow, wrist, knee and/or ankle (assessed as swollen and tender); and/or</w:t>
            </w:r>
          </w:p>
          <w:p w14:paraId="7B1C6239" w14:textId="77777777" w:rsidR="006A2544" w:rsidRPr="00595457" w:rsidRDefault="006A2544" w:rsidP="006A2544">
            <w:pPr>
              <w:rPr>
                <w:rFonts w:ascii="Arial Narrow" w:hAnsi="Arial Narrow"/>
                <w:b/>
                <w:bCs/>
                <w:i/>
                <w:iCs/>
                <w:sz w:val="20"/>
                <w:szCs w:val="20"/>
              </w:rPr>
            </w:pPr>
            <w:r w:rsidRPr="00595457">
              <w:rPr>
                <w:rFonts w:ascii="Arial Narrow" w:hAnsi="Arial Narrow"/>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120057" w:rsidRPr="00595457" w14:paraId="4C29F308"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B6016BB" w14:textId="5FA95A82" w:rsidR="00120057" w:rsidRPr="00595457" w:rsidRDefault="00120057" w:rsidP="5C435A75">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D817BE" w14:textId="77777777" w:rsidR="00120057" w:rsidRPr="00595457" w:rsidRDefault="00120057" w:rsidP="00120057">
            <w:pPr>
              <w:rPr>
                <w:rFonts w:ascii="Arial Narrow" w:hAnsi="Arial Narrow"/>
                <w:b/>
                <w:bCs/>
                <w:i/>
                <w:iCs/>
                <w:sz w:val="20"/>
                <w:szCs w:val="20"/>
              </w:rPr>
            </w:pPr>
            <w:r w:rsidRPr="00595457">
              <w:rPr>
                <w:rFonts w:ascii="Arial Narrow" w:hAnsi="Arial Narrow"/>
                <w:b/>
                <w:bCs/>
                <w:i/>
                <w:iCs/>
                <w:sz w:val="20"/>
                <w:szCs w:val="20"/>
              </w:rPr>
              <w:t>Prescribing Instructions:</w:t>
            </w:r>
          </w:p>
          <w:p w14:paraId="0054B17F" w14:textId="5AC4E924" w:rsidR="00120057" w:rsidRPr="00595457" w:rsidRDefault="00120057" w:rsidP="00120057">
            <w:pPr>
              <w:rPr>
                <w:rFonts w:ascii="Arial Narrow" w:hAnsi="Arial Narrow"/>
                <w:i/>
                <w:iCs/>
                <w:sz w:val="20"/>
                <w:szCs w:val="20"/>
                <w:highlight w:val="yellow"/>
              </w:rPr>
            </w:pPr>
            <w:r w:rsidRPr="00595457">
              <w:rPr>
                <w:rFonts w:ascii="Arial Narrow" w:hAnsi="Arial Narrow"/>
                <w:i/>
                <w:iCs/>
                <w:sz w:val="20"/>
                <w:szCs w:val="20"/>
              </w:rPr>
              <w:t>The assessment of response to treatment must be documented in the patient's medical records and must be no more than 4 weeks old at the time of the authority application.</w:t>
            </w:r>
          </w:p>
        </w:tc>
      </w:tr>
      <w:tr w:rsidR="006A2544" w:rsidRPr="00595457" w14:paraId="44688E37"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121BBE2" w14:textId="7F020D35" w:rsidR="006A2544" w:rsidRPr="00595457" w:rsidRDefault="006A2544" w:rsidP="006A2544">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31B540" w14:textId="77777777" w:rsidR="006A2544" w:rsidRPr="00595457" w:rsidRDefault="006A2544" w:rsidP="006A2544">
            <w:pPr>
              <w:rPr>
                <w:rFonts w:ascii="Arial Narrow" w:hAnsi="Arial Narrow"/>
                <w:b/>
                <w:bCs/>
                <w:sz w:val="20"/>
                <w:szCs w:val="20"/>
              </w:rPr>
            </w:pPr>
            <w:r w:rsidRPr="00595457">
              <w:rPr>
                <w:rFonts w:ascii="Arial Narrow" w:hAnsi="Arial Narrow"/>
                <w:b/>
                <w:bCs/>
                <w:sz w:val="20"/>
                <w:szCs w:val="20"/>
              </w:rPr>
              <w:t>Prescribing Instructions:</w:t>
            </w:r>
          </w:p>
          <w:p w14:paraId="1C034486" w14:textId="77777777" w:rsidR="006A2544" w:rsidRPr="00595457" w:rsidRDefault="22E3727D" w:rsidP="0CEE6DE9">
            <w:pPr>
              <w:rPr>
                <w:rFonts w:ascii="Arial Narrow" w:hAnsi="Arial Narrow"/>
                <w:i/>
                <w:iCs/>
                <w:sz w:val="20"/>
                <w:szCs w:val="20"/>
              </w:rPr>
            </w:pPr>
            <w:r w:rsidRPr="00595457">
              <w:rPr>
                <w:rFonts w:ascii="Arial Narrow" w:hAnsi="Arial Narrow"/>
                <w:sz w:val="20"/>
                <w:szCs w:val="20"/>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0595457">
              <w:rPr>
                <w:rFonts w:ascii="Arial Narrow" w:hAnsi="Arial Narrow"/>
                <w:i/>
                <w:iCs/>
                <w:sz w:val="20"/>
                <w:szCs w:val="20"/>
              </w:rPr>
              <w:t>.</w:t>
            </w:r>
          </w:p>
        </w:tc>
      </w:tr>
      <w:tr w:rsidR="006A2544" w:rsidRPr="00595457" w14:paraId="1EAB74AC"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D066967" w14:textId="3EE1569F" w:rsidR="006A2544" w:rsidRPr="00595457" w:rsidRDefault="006A2544" w:rsidP="006A2544">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064307" w14:textId="77777777" w:rsidR="006A2544" w:rsidRPr="00595457" w:rsidRDefault="006A2544" w:rsidP="006A2544">
            <w:pPr>
              <w:rPr>
                <w:rFonts w:ascii="Arial Narrow" w:hAnsi="Arial Narrow"/>
                <w:b/>
                <w:bCs/>
                <w:strike/>
                <w:sz w:val="20"/>
                <w:szCs w:val="20"/>
              </w:rPr>
            </w:pPr>
            <w:r w:rsidRPr="00595457">
              <w:rPr>
                <w:rFonts w:ascii="Arial Narrow" w:hAnsi="Arial Narrow"/>
                <w:b/>
                <w:bCs/>
                <w:strike/>
                <w:sz w:val="20"/>
                <w:szCs w:val="20"/>
              </w:rPr>
              <w:t>Prescribing Instructions:</w:t>
            </w:r>
          </w:p>
          <w:p w14:paraId="7D461644" w14:textId="77777777" w:rsidR="006A2544" w:rsidRPr="00595457" w:rsidRDefault="006A2544" w:rsidP="006A2544">
            <w:pPr>
              <w:rPr>
                <w:rFonts w:ascii="Arial Narrow" w:hAnsi="Arial Narrow"/>
                <w:strike/>
                <w:sz w:val="20"/>
                <w:szCs w:val="20"/>
              </w:rPr>
            </w:pPr>
            <w:r w:rsidRPr="00595457">
              <w:rPr>
                <w:rFonts w:ascii="Arial Narrow" w:hAnsi="Arial Narrow"/>
                <w:strike/>
                <w:sz w:val="20"/>
                <w:szCs w:val="20"/>
              </w:rPr>
              <w:t>The authority application must be made in writing and must include:</w:t>
            </w:r>
          </w:p>
          <w:p w14:paraId="04D12DC9" w14:textId="77777777" w:rsidR="006A2544" w:rsidRPr="00595457" w:rsidRDefault="006A2544" w:rsidP="006A2544">
            <w:pPr>
              <w:rPr>
                <w:rFonts w:ascii="Arial Narrow" w:hAnsi="Arial Narrow"/>
                <w:strike/>
                <w:sz w:val="20"/>
                <w:szCs w:val="20"/>
              </w:rPr>
            </w:pPr>
            <w:r w:rsidRPr="00595457">
              <w:rPr>
                <w:rFonts w:ascii="Arial Narrow" w:hAnsi="Arial Narrow"/>
                <w:strike/>
                <w:sz w:val="20"/>
                <w:szCs w:val="20"/>
              </w:rPr>
              <w:t>(1) a completed authority prescription form; and</w:t>
            </w:r>
          </w:p>
          <w:p w14:paraId="67D62DE4" w14:textId="77777777" w:rsidR="006A2544" w:rsidRPr="00595457" w:rsidRDefault="22E3727D" w:rsidP="0CEE6DE9">
            <w:pPr>
              <w:rPr>
                <w:rFonts w:ascii="Arial Narrow" w:hAnsi="Arial Narrow"/>
                <w:b/>
                <w:bCs/>
                <w:strike/>
                <w:sz w:val="20"/>
                <w:szCs w:val="20"/>
              </w:rPr>
            </w:pPr>
            <w:r w:rsidRPr="00595457">
              <w:rPr>
                <w:rFonts w:ascii="Arial Narrow" w:hAnsi="Arial Narrow"/>
                <w:strike/>
                <w:sz w:val="20"/>
                <w:szCs w:val="20"/>
              </w:rPr>
              <w:t>(2) a completed authority application form relevant to the indication and treatment phase (the latest version is located on the website specified in the Administrative Advice).</w:t>
            </w:r>
          </w:p>
        </w:tc>
      </w:tr>
      <w:tr w:rsidR="006A2544" w:rsidRPr="00595457" w14:paraId="22ADDA96"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2A7B317" w14:textId="1E298609" w:rsidR="006A2544" w:rsidRPr="00595457" w:rsidRDefault="006A2544" w:rsidP="006A2544">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8E5391" w14:textId="77777777" w:rsidR="006A2544" w:rsidRPr="00595457" w:rsidRDefault="006A2544" w:rsidP="006A2544">
            <w:pPr>
              <w:rPr>
                <w:rFonts w:ascii="Arial Narrow" w:hAnsi="Arial Narrow"/>
                <w:b/>
                <w:bCs/>
                <w:strike/>
                <w:sz w:val="20"/>
                <w:szCs w:val="20"/>
              </w:rPr>
            </w:pPr>
            <w:r w:rsidRPr="00595457">
              <w:rPr>
                <w:rFonts w:ascii="Arial Narrow" w:hAnsi="Arial Narrow"/>
                <w:b/>
                <w:bCs/>
                <w:strike/>
                <w:sz w:val="20"/>
                <w:szCs w:val="20"/>
              </w:rPr>
              <w:t>Prescribing Instructions:</w:t>
            </w:r>
          </w:p>
          <w:p w14:paraId="7D28D630" w14:textId="77777777" w:rsidR="006A2544" w:rsidRPr="00595457" w:rsidRDefault="006A2544" w:rsidP="006A2544">
            <w:pPr>
              <w:rPr>
                <w:rFonts w:ascii="Arial Narrow" w:hAnsi="Arial Narrow"/>
                <w:strike/>
                <w:sz w:val="20"/>
                <w:szCs w:val="20"/>
              </w:rPr>
            </w:pPr>
            <w:r w:rsidRPr="00595457">
              <w:rPr>
                <w:rFonts w:ascii="Arial Narrow" w:hAnsi="Arial Narrow"/>
                <w:strike/>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6A2544" w:rsidRPr="00595457" w14:paraId="524C404F"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2A77CBF" w14:textId="56B655FF" w:rsidR="006A2544" w:rsidRPr="00595457" w:rsidRDefault="006A2544" w:rsidP="006A2544">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694D1A" w14:textId="77777777" w:rsidR="006A2544" w:rsidRPr="00595457" w:rsidRDefault="006A2544" w:rsidP="006A2544">
            <w:pPr>
              <w:rPr>
                <w:rFonts w:ascii="Arial Narrow" w:hAnsi="Arial Narrow"/>
                <w:b/>
                <w:bCs/>
                <w:strike/>
                <w:sz w:val="20"/>
                <w:szCs w:val="20"/>
              </w:rPr>
            </w:pPr>
            <w:r w:rsidRPr="00595457">
              <w:rPr>
                <w:rFonts w:ascii="Arial Narrow" w:hAnsi="Arial Narrow"/>
                <w:b/>
                <w:bCs/>
                <w:strike/>
                <w:sz w:val="20"/>
                <w:szCs w:val="20"/>
              </w:rPr>
              <w:t>Prescribing Instructions:</w:t>
            </w:r>
          </w:p>
          <w:p w14:paraId="58BFD49C" w14:textId="77777777" w:rsidR="006A2544" w:rsidRPr="00595457" w:rsidRDefault="22E3727D" w:rsidP="0CEE6DE9">
            <w:pPr>
              <w:rPr>
                <w:rFonts w:ascii="Arial Narrow" w:hAnsi="Arial Narrow"/>
                <w:strike/>
                <w:sz w:val="20"/>
                <w:szCs w:val="20"/>
              </w:rPr>
            </w:pPr>
            <w:r w:rsidRPr="00595457">
              <w:rPr>
                <w:rFonts w:ascii="Arial Narrow" w:hAnsi="Arial Narrow"/>
                <w:strike/>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646366" w:rsidRPr="00595457" w14:paraId="5D9CFD2A"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444BB44" w14:textId="2C0DF6CC" w:rsidR="00646366" w:rsidRPr="00595457" w:rsidRDefault="00646366" w:rsidP="006A2544">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37BCE5" w14:textId="77777777" w:rsidR="00025E80" w:rsidRPr="00595457" w:rsidRDefault="00025E80" w:rsidP="00025E80">
            <w:pPr>
              <w:rPr>
                <w:rFonts w:ascii="Arial Narrow" w:hAnsi="Arial Narrow"/>
                <w:b/>
                <w:bCs/>
                <w:i/>
                <w:iCs/>
                <w:sz w:val="20"/>
                <w:szCs w:val="20"/>
              </w:rPr>
            </w:pPr>
            <w:r w:rsidRPr="00595457">
              <w:rPr>
                <w:rFonts w:ascii="Arial Narrow" w:hAnsi="Arial Narrow"/>
                <w:b/>
                <w:bCs/>
                <w:i/>
                <w:iCs/>
                <w:sz w:val="20"/>
                <w:szCs w:val="20"/>
              </w:rPr>
              <w:t>Prescribing Instructions:</w:t>
            </w:r>
          </w:p>
          <w:p w14:paraId="3BD10AED" w14:textId="15B6367A" w:rsidR="00646366" w:rsidRPr="00595457" w:rsidRDefault="00025E80" w:rsidP="00025E80">
            <w:pPr>
              <w:rPr>
                <w:rFonts w:ascii="Arial Narrow" w:hAnsi="Arial Narrow"/>
                <w:b/>
                <w:bCs/>
                <w:i/>
                <w:iCs/>
                <w:sz w:val="20"/>
                <w:szCs w:val="20"/>
              </w:rPr>
            </w:pPr>
            <w:r w:rsidRPr="00595457">
              <w:rPr>
                <w:rFonts w:ascii="Arial Narrow" w:hAnsi="Arial Narrow"/>
                <w:i/>
                <w:iCs/>
                <w:sz w:val="20"/>
                <w:szCs w:val="20"/>
              </w:rPr>
              <w:t>If the requirement for concomitant treatment with methotrexate cannot be met because of a contraindication and/or severe intolerance, details must be documented in the patient's medical records.</w:t>
            </w:r>
          </w:p>
        </w:tc>
      </w:tr>
      <w:tr w:rsidR="006A2544" w:rsidRPr="00595457" w14:paraId="76AE3D80"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24BF628" w14:textId="2EC1BDD0" w:rsidR="006A2544" w:rsidRPr="00595457" w:rsidRDefault="006A2544" w:rsidP="006A2544">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2F461B" w14:textId="77777777" w:rsidR="006A2544" w:rsidRPr="00595457" w:rsidRDefault="006A2544" w:rsidP="006A2544">
            <w:pPr>
              <w:rPr>
                <w:rFonts w:ascii="Arial Narrow" w:hAnsi="Arial Narrow"/>
                <w:b/>
                <w:bCs/>
                <w:sz w:val="20"/>
                <w:szCs w:val="20"/>
              </w:rPr>
            </w:pPr>
            <w:r w:rsidRPr="00595457">
              <w:rPr>
                <w:rFonts w:ascii="Arial Narrow" w:hAnsi="Arial Narrow"/>
                <w:b/>
                <w:bCs/>
                <w:sz w:val="20"/>
                <w:szCs w:val="20"/>
              </w:rPr>
              <w:t>Prescribing Instructions:</w:t>
            </w:r>
          </w:p>
          <w:p w14:paraId="7BA15106" w14:textId="77777777" w:rsidR="006A2544" w:rsidRPr="00595457" w:rsidRDefault="006A2544" w:rsidP="006A2544">
            <w:pPr>
              <w:rPr>
                <w:rFonts w:ascii="Arial Narrow" w:hAnsi="Arial Narrow"/>
                <w:sz w:val="20"/>
                <w:szCs w:val="20"/>
              </w:rPr>
            </w:pPr>
            <w:r w:rsidRPr="00595457">
              <w:rPr>
                <w:rFonts w:ascii="Arial Narrow" w:hAnsi="Arial Narrow"/>
                <w:sz w:val="20"/>
                <w:szCs w:val="20"/>
              </w:rPr>
              <w:t>If a patient has either failed or ceased to respond to a PBS-subsidised biological medicine for this condition 5 times, they will not be eligible to receive further PBS-subsidised treatment with a biological medicine for this condition.</w:t>
            </w:r>
          </w:p>
        </w:tc>
      </w:tr>
      <w:tr w:rsidR="006A2544" w:rsidRPr="00595457" w14:paraId="578FE20D"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57A4E1D" w14:textId="599B95E6" w:rsidR="006A2544" w:rsidRPr="00595457" w:rsidRDefault="006A2544" w:rsidP="006A2544">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1376B2" w14:textId="77777777" w:rsidR="006A2544" w:rsidRPr="00595457" w:rsidRDefault="006A2544" w:rsidP="006A2544">
            <w:pPr>
              <w:rPr>
                <w:rFonts w:ascii="Arial Narrow" w:hAnsi="Arial Narrow"/>
                <w:b/>
                <w:bCs/>
                <w:sz w:val="20"/>
                <w:szCs w:val="20"/>
              </w:rPr>
            </w:pPr>
            <w:r w:rsidRPr="00595457">
              <w:rPr>
                <w:rFonts w:ascii="Arial Narrow" w:hAnsi="Arial Narrow"/>
                <w:b/>
                <w:bCs/>
                <w:sz w:val="20"/>
                <w:szCs w:val="20"/>
              </w:rPr>
              <w:t>Prescribing Instructions:</w:t>
            </w:r>
          </w:p>
          <w:p w14:paraId="55BD3B11" w14:textId="77777777" w:rsidR="006A2544" w:rsidRPr="00595457" w:rsidRDefault="22E3727D" w:rsidP="0CEE6DE9">
            <w:pPr>
              <w:rPr>
                <w:rFonts w:ascii="Arial Narrow" w:hAnsi="Arial Narrow"/>
                <w:sz w:val="20"/>
                <w:szCs w:val="20"/>
              </w:rPr>
            </w:pPr>
            <w:r w:rsidRPr="00595457">
              <w:rPr>
                <w:rFonts w:ascii="Arial Narrow" w:hAnsi="Arial Narrow"/>
                <w:sz w:val="20"/>
                <w:szCs w:val="20"/>
              </w:rPr>
              <w:t>If a patient fails to demonstrate a response to treatment with this drug under this restriction they will not be eligible to receive further PBS-subsidised treatment with this drug for this condition.</w:t>
            </w:r>
          </w:p>
        </w:tc>
      </w:tr>
      <w:tr w:rsidR="006A2544" w:rsidRPr="00595457" w14:paraId="7F48352A"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5DFF59F" w14:textId="40D28161" w:rsidR="006A2544" w:rsidRPr="00595457" w:rsidRDefault="006A2544" w:rsidP="006A2544">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DEB9FE" w14:textId="77777777" w:rsidR="006A2544" w:rsidRPr="00595457" w:rsidRDefault="006A2544" w:rsidP="006A2544">
            <w:pPr>
              <w:rPr>
                <w:rFonts w:ascii="Arial Narrow" w:hAnsi="Arial Narrow"/>
                <w:b/>
                <w:bCs/>
                <w:strike/>
                <w:sz w:val="20"/>
                <w:szCs w:val="20"/>
              </w:rPr>
            </w:pPr>
            <w:r w:rsidRPr="00595457">
              <w:rPr>
                <w:rFonts w:ascii="Arial Narrow" w:hAnsi="Arial Narrow"/>
                <w:b/>
                <w:bCs/>
                <w:strike/>
                <w:sz w:val="20"/>
                <w:szCs w:val="20"/>
              </w:rPr>
              <w:t>Prescribing Instructions:</w:t>
            </w:r>
          </w:p>
          <w:p w14:paraId="6A9207F5" w14:textId="77777777" w:rsidR="006A2544" w:rsidRPr="00595457" w:rsidRDefault="22E3727D" w:rsidP="0CEE6DE9">
            <w:pPr>
              <w:rPr>
                <w:rFonts w:ascii="Arial Narrow" w:hAnsi="Arial Narrow"/>
                <w:strike/>
                <w:sz w:val="20"/>
                <w:szCs w:val="20"/>
              </w:rPr>
            </w:pPr>
            <w:r w:rsidRPr="00595457">
              <w:rPr>
                <w:rFonts w:ascii="Arial Narrow" w:hAnsi="Arial Narrow"/>
                <w:strike/>
                <w:sz w:val="20"/>
                <w:szCs w:val="20"/>
              </w:rPr>
              <w:t>At the time of the authority application, medical practitioners should request sufficient quantity for up to 24 weeks of treatment under this restriction.</w:t>
            </w:r>
          </w:p>
        </w:tc>
      </w:tr>
      <w:tr w:rsidR="006A2544" w:rsidRPr="00595457" w14:paraId="461A4CE9"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920B084" w14:textId="5CF297F4" w:rsidR="006A2544" w:rsidRPr="00595457" w:rsidRDefault="006A2544" w:rsidP="006A2544">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206B5B" w14:textId="77777777" w:rsidR="006A2544" w:rsidRPr="00595457" w:rsidRDefault="006A2544" w:rsidP="006A2544">
            <w:pPr>
              <w:rPr>
                <w:rFonts w:ascii="Arial Narrow" w:hAnsi="Arial Narrow"/>
                <w:b/>
                <w:bCs/>
                <w:strike/>
                <w:sz w:val="20"/>
                <w:szCs w:val="20"/>
              </w:rPr>
            </w:pPr>
            <w:r w:rsidRPr="00595457">
              <w:rPr>
                <w:rFonts w:ascii="Arial Narrow" w:hAnsi="Arial Narrow"/>
                <w:b/>
                <w:bCs/>
                <w:strike/>
                <w:sz w:val="20"/>
                <w:szCs w:val="20"/>
              </w:rPr>
              <w:t>Administrative Advice:</w:t>
            </w:r>
          </w:p>
          <w:p w14:paraId="74C34CC2" w14:textId="77777777" w:rsidR="006A2544" w:rsidRPr="00595457" w:rsidRDefault="006A2544" w:rsidP="006A2544">
            <w:pPr>
              <w:rPr>
                <w:rFonts w:ascii="Arial Narrow" w:hAnsi="Arial Narrow"/>
                <w:strike/>
                <w:sz w:val="20"/>
                <w:szCs w:val="20"/>
              </w:rPr>
            </w:pPr>
            <w:r w:rsidRPr="00595457">
              <w:rPr>
                <w:rFonts w:ascii="Arial Narrow" w:hAnsi="Arial Narrow"/>
                <w:strike/>
                <w:sz w:val="20"/>
                <w:szCs w:val="20"/>
              </w:rPr>
              <w:t>Any queries concerning the arrangements to prescribe may be directed to Services Australia on 1800 700 270 (hours of operation 8 a.m. to 5 p.m. Monday to Friday).</w:t>
            </w:r>
          </w:p>
          <w:p w14:paraId="0364B25B" w14:textId="77777777" w:rsidR="006A2544" w:rsidRPr="00595457" w:rsidRDefault="006A2544" w:rsidP="006A2544">
            <w:pPr>
              <w:rPr>
                <w:rFonts w:ascii="Arial Narrow" w:hAnsi="Arial Narrow"/>
                <w:strike/>
                <w:sz w:val="20"/>
                <w:szCs w:val="20"/>
              </w:rPr>
            </w:pPr>
            <w:r w:rsidRPr="00595457">
              <w:rPr>
                <w:rFonts w:ascii="Arial Narrow" w:hAnsi="Arial Narrow"/>
                <w:strike/>
                <w:sz w:val="20"/>
                <w:szCs w:val="20"/>
              </w:rPr>
              <w:t>Prescribing information (including Authority Application forms and other relevant documentation as applicable) is available on the Services Australia website at www.servicesaustralia.gov.au</w:t>
            </w:r>
          </w:p>
          <w:p w14:paraId="491AF48C" w14:textId="77777777" w:rsidR="006A2544" w:rsidRPr="00595457" w:rsidRDefault="22E3727D" w:rsidP="0CEE6DE9">
            <w:pPr>
              <w:rPr>
                <w:rFonts w:ascii="Arial Narrow" w:hAnsi="Arial Narrow"/>
                <w:strike/>
                <w:sz w:val="20"/>
                <w:szCs w:val="20"/>
              </w:rPr>
            </w:pPr>
            <w:r w:rsidRPr="00595457">
              <w:rPr>
                <w:rFonts w:ascii="Arial Narrow" w:hAnsi="Arial Narrow"/>
                <w:strike/>
                <w:sz w:val="20"/>
                <w:szCs w:val="20"/>
              </w:rPr>
              <w:t>Applications for authority to prescribe should be submitted online using the form upload facility in Health Professional Online Services (HPOS) at www.servicesaustralia.gov.au/hpos</w:t>
            </w:r>
          </w:p>
          <w:p w14:paraId="2A246E23" w14:textId="77777777" w:rsidR="006A2544" w:rsidRPr="00595457" w:rsidRDefault="006A2544" w:rsidP="006A2544">
            <w:pPr>
              <w:rPr>
                <w:rFonts w:ascii="Arial Narrow" w:hAnsi="Arial Narrow"/>
                <w:strike/>
                <w:sz w:val="20"/>
                <w:szCs w:val="20"/>
              </w:rPr>
            </w:pPr>
            <w:r w:rsidRPr="00595457">
              <w:rPr>
                <w:rFonts w:ascii="Arial Narrow" w:hAnsi="Arial Narrow"/>
                <w:strike/>
                <w:sz w:val="20"/>
                <w:szCs w:val="20"/>
              </w:rPr>
              <w:t>Or mailed to:</w:t>
            </w:r>
          </w:p>
          <w:p w14:paraId="52A1EEEF" w14:textId="77777777" w:rsidR="006A2544" w:rsidRPr="00595457" w:rsidRDefault="006A2544" w:rsidP="006A2544">
            <w:pPr>
              <w:rPr>
                <w:rFonts w:ascii="Arial Narrow" w:hAnsi="Arial Narrow"/>
                <w:strike/>
                <w:sz w:val="20"/>
                <w:szCs w:val="20"/>
              </w:rPr>
            </w:pPr>
            <w:r w:rsidRPr="00595457">
              <w:rPr>
                <w:rFonts w:ascii="Arial Narrow" w:hAnsi="Arial Narrow"/>
                <w:strike/>
                <w:sz w:val="20"/>
                <w:szCs w:val="20"/>
              </w:rPr>
              <w:t>Services Australia</w:t>
            </w:r>
          </w:p>
          <w:p w14:paraId="295825D6" w14:textId="77777777" w:rsidR="006A2544" w:rsidRPr="00595457" w:rsidRDefault="006A2544" w:rsidP="006A2544">
            <w:pPr>
              <w:rPr>
                <w:rFonts w:ascii="Arial Narrow" w:hAnsi="Arial Narrow"/>
                <w:strike/>
                <w:sz w:val="20"/>
                <w:szCs w:val="20"/>
              </w:rPr>
            </w:pPr>
            <w:r w:rsidRPr="00595457">
              <w:rPr>
                <w:rFonts w:ascii="Arial Narrow" w:hAnsi="Arial Narrow"/>
                <w:strike/>
                <w:sz w:val="20"/>
                <w:szCs w:val="20"/>
              </w:rPr>
              <w:t>Complex Drugs</w:t>
            </w:r>
          </w:p>
          <w:p w14:paraId="35B04282" w14:textId="77777777" w:rsidR="006A2544" w:rsidRPr="00595457" w:rsidRDefault="006A2544" w:rsidP="006A2544">
            <w:pPr>
              <w:rPr>
                <w:rFonts w:ascii="Arial Narrow" w:hAnsi="Arial Narrow"/>
                <w:strike/>
                <w:sz w:val="20"/>
                <w:szCs w:val="20"/>
              </w:rPr>
            </w:pPr>
            <w:r w:rsidRPr="00595457">
              <w:rPr>
                <w:rFonts w:ascii="Arial Narrow" w:hAnsi="Arial Narrow"/>
                <w:strike/>
                <w:sz w:val="20"/>
                <w:szCs w:val="20"/>
              </w:rPr>
              <w:t>Reply Paid 9826</w:t>
            </w:r>
          </w:p>
          <w:p w14:paraId="45F43ECE" w14:textId="77777777" w:rsidR="006A2544" w:rsidRPr="00595457" w:rsidRDefault="006A2544" w:rsidP="006A2544">
            <w:pPr>
              <w:rPr>
                <w:rFonts w:ascii="Arial Narrow" w:hAnsi="Arial Narrow"/>
                <w:b/>
                <w:bCs/>
                <w:strike/>
                <w:sz w:val="20"/>
                <w:szCs w:val="20"/>
              </w:rPr>
            </w:pPr>
            <w:r w:rsidRPr="00595457">
              <w:rPr>
                <w:rFonts w:ascii="Arial Narrow" w:hAnsi="Arial Narrow"/>
                <w:strike/>
                <w:sz w:val="20"/>
                <w:szCs w:val="20"/>
              </w:rPr>
              <w:t>HOBART TAS 7001</w:t>
            </w:r>
          </w:p>
        </w:tc>
      </w:tr>
    </w:tbl>
    <w:p w14:paraId="007FA76E" w14:textId="77777777" w:rsidR="003469AF" w:rsidRPr="00595457" w:rsidRDefault="003469AF" w:rsidP="00365FCC">
      <w:pPr>
        <w:pStyle w:val="TableFigureFooter"/>
        <w:spacing w:after="0"/>
        <w:rPr>
          <w:sz w:val="20"/>
          <w:szCs w:val="20"/>
        </w:rPr>
      </w:pPr>
    </w:p>
    <w:p w14:paraId="40C6629C" w14:textId="147E1967" w:rsidR="005E0050" w:rsidRPr="00595457" w:rsidRDefault="001C4251" w:rsidP="00AC2615">
      <w:pPr>
        <w:pStyle w:val="5-SubsectionSubheading"/>
        <w:rPr>
          <w:rFonts w:ascii="Arial Narrow" w:hAnsi="Arial Narrow"/>
          <w:spacing w:val="5"/>
          <w:kern w:val="28"/>
          <w:sz w:val="20"/>
          <w:szCs w:val="20"/>
        </w:rPr>
      </w:pPr>
      <w:r w:rsidRPr="00595457">
        <w:rPr>
          <w:rFonts w:ascii="Arial Narrow" w:hAnsi="Arial Narrow"/>
          <w:sz w:val="20"/>
          <w:szCs w:val="20"/>
        </w:rPr>
        <w:t>Severe active rheumatoid arthritis</w:t>
      </w:r>
      <w:r w:rsidR="00FD7D7A" w:rsidRPr="00595457">
        <w:rPr>
          <w:rFonts w:ascii="Arial Narrow" w:hAnsi="Arial Narrow"/>
          <w:sz w:val="20"/>
          <w:szCs w:val="20"/>
        </w:rPr>
        <w:t xml:space="preserve"> – </w:t>
      </w:r>
      <w:r w:rsidR="002D6874" w:rsidRPr="00595457">
        <w:rPr>
          <w:rFonts w:ascii="Arial Narrow" w:hAnsi="Arial Narrow"/>
          <w:sz w:val="20"/>
          <w:szCs w:val="20"/>
        </w:rPr>
        <w:t>b</w:t>
      </w:r>
      <w:r w:rsidR="00FA27C1" w:rsidRPr="00595457">
        <w:rPr>
          <w:rFonts w:ascii="Arial Narrow" w:hAnsi="Arial Narrow"/>
          <w:sz w:val="20"/>
          <w:szCs w:val="20"/>
        </w:rPr>
        <w:t xml:space="preserve">alance of </w:t>
      </w:r>
      <w:r w:rsidR="00D342C4" w:rsidRPr="00595457">
        <w:rPr>
          <w:rFonts w:ascii="Arial Narrow" w:hAnsi="Arial Narrow"/>
          <w:sz w:val="20"/>
          <w:szCs w:val="20"/>
        </w:rPr>
        <w:t>s</w:t>
      </w:r>
      <w:r w:rsidR="00FA27C1" w:rsidRPr="00595457">
        <w:rPr>
          <w:rFonts w:ascii="Arial Narrow" w:hAnsi="Arial Narrow"/>
          <w:sz w:val="20"/>
          <w:szCs w:val="20"/>
        </w:rPr>
        <w:t>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Severe active rheumatoid arthritis "/>
        <w:tblDescription w:val="Treatment phase: balance of supply for initial treatment&#10;Changes to clinical criteria and treatment phase"/>
      </w:tblPr>
      <w:tblGrid>
        <w:gridCol w:w="1272"/>
        <w:gridCol w:w="2668"/>
        <w:gridCol w:w="811"/>
        <w:gridCol w:w="811"/>
        <w:gridCol w:w="811"/>
        <w:gridCol w:w="811"/>
        <w:gridCol w:w="1832"/>
      </w:tblGrid>
      <w:tr w:rsidR="00787DB7" w:rsidRPr="00595457" w14:paraId="424C6C0E" w14:textId="77777777" w:rsidTr="0CEE6DE9">
        <w:trPr>
          <w:cantSplit/>
          <w:trHeight w:val="20"/>
        </w:trPr>
        <w:tc>
          <w:tcPr>
            <w:tcW w:w="2184" w:type="pct"/>
            <w:gridSpan w:val="2"/>
            <w:vAlign w:val="center"/>
          </w:tcPr>
          <w:p w14:paraId="300723CE" w14:textId="77777777" w:rsidR="00787DB7" w:rsidRPr="00595457" w:rsidRDefault="00787DB7" w:rsidP="00302D60">
            <w:pPr>
              <w:keepLines/>
              <w:rPr>
                <w:rFonts w:ascii="Arial Narrow" w:hAnsi="Arial Narrow" w:cs="Arial"/>
                <w:b/>
                <w:bCs/>
                <w:sz w:val="20"/>
                <w:szCs w:val="20"/>
              </w:rPr>
            </w:pPr>
            <w:r w:rsidRPr="00595457">
              <w:rPr>
                <w:rFonts w:ascii="Arial Narrow" w:hAnsi="Arial Narrow" w:cs="Arial"/>
                <w:b/>
                <w:bCs/>
                <w:sz w:val="20"/>
                <w:szCs w:val="20"/>
              </w:rPr>
              <w:t>MEDICINAL PRODUCT</w:t>
            </w:r>
          </w:p>
          <w:p w14:paraId="1CF5676F" w14:textId="77777777" w:rsidR="00787DB7" w:rsidRPr="00595457" w:rsidRDefault="00787DB7" w:rsidP="00302D60">
            <w:pPr>
              <w:keepLines/>
              <w:rPr>
                <w:rFonts w:ascii="Arial Narrow" w:hAnsi="Arial Narrow" w:cs="Arial"/>
                <w:b/>
                <w:sz w:val="20"/>
                <w:szCs w:val="20"/>
              </w:rPr>
            </w:pPr>
            <w:r w:rsidRPr="00595457">
              <w:rPr>
                <w:rFonts w:ascii="Arial Narrow" w:hAnsi="Arial Narrow" w:cs="Arial"/>
                <w:b/>
                <w:bCs/>
                <w:sz w:val="20"/>
                <w:szCs w:val="20"/>
              </w:rPr>
              <w:t>medicinal product pack</w:t>
            </w:r>
          </w:p>
        </w:tc>
        <w:tc>
          <w:tcPr>
            <w:tcW w:w="450" w:type="pct"/>
            <w:vAlign w:val="center"/>
          </w:tcPr>
          <w:p w14:paraId="0D8DDFC0" w14:textId="77777777" w:rsidR="00787DB7" w:rsidRPr="00595457" w:rsidRDefault="00787DB7" w:rsidP="00302D60">
            <w:pPr>
              <w:keepLines/>
              <w:jc w:val="center"/>
              <w:rPr>
                <w:rFonts w:ascii="Arial Narrow" w:hAnsi="Arial Narrow" w:cs="Arial"/>
                <w:b/>
                <w:sz w:val="20"/>
                <w:szCs w:val="20"/>
              </w:rPr>
            </w:pPr>
            <w:r w:rsidRPr="00595457">
              <w:rPr>
                <w:rFonts w:ascii="Arial Narrow" w:hAnsi="Arial Narrow" w:cs="Arial"/>
                <w:b/>
                <w:sz w:val="20"/>
                <w:szCs w:val="20"/>
              </w:rPr>
              <w:t>PBS item code</w:t>
            </w:r>
          </w:p>
        </w:tc>
        <w:tc>
          <w:tcPr>
            <w:tcW w:w="450" w:type="pct"/>
            <w:vAlign w:val="center"/>
          </w:tcPr>
          <w:p w14:paraId="16CD74BC" w14:textId="77777777" w:rsidR="00787DB7" w:rsidRPr="00595457" w:rsidRDefault="00787DB7" w:rsidP="00302D60">
            <w:pPr>
              <w:keepLines/>
              <w:jc w:val="center"/>
              <w:rPr>
                <w:rFonts w:ascii="Arial Narrow" w:hAnsi="Arial Narrow" w:cs="Arial"/>
                <w:b/>
                <w:sz w:val="20"/>
                <w:szCs w:val="20"/>
              </w:rPr>
            </w:pPr>
            <w:r w:rsidRPr="00595457">
              <w:rPr>
                <w:rFonts w:ascii="Arial Narrow" w:hAnsi="Arial Narrow" w:cs="Arial"/>
                <w:b/>
                <w:sz w:val="20"/>
                <w:szCs w:val="20"/>
              </w:rPr>
              <w:t>Max. qty packs</w:t>
            </w:r>
          </w:p>
        </w:tc>
        <w:tc>
          <w:tcPr>
            <w:tcW w:w="450" w:type="pct"/>
            <w:vAlign w:val="center"/>
          </w:tcPr>
          <w:p w14:paraId="63041BAC" w14:textId="77777777" w:rsidR="00787DB7" w:rsidRPr="00595457" w:rsidRDefault="00787DB7" w:rsidP="00302D60">
            <w:pPr>
              <w:keepLines/>
              <w:jc w:val="center"/>
              <w:rPr>
                <w:rFonts w:ascii="Arial Narrow" w:hAnsi="Arial Narrow" w:cs="Arial"/>
                <w:b/>
                <w:sz w:val="20"/>
                <w:szCs w:val="20"/>
              </w:rPr>
            </w:pPr>
            <w:r w:rsidRPr="00595457">
              <w:rPr>
                <w:rFonts w:ascii="Arial Narrow" w:hAnsi="Arial Narrow" w:cs="Arial"/>
                <w:b/>
                <w:sz w:val="20"/>
                <w:szCs w:val="20"/>
              </w:rPr>
              <w:t>Max. qty units</w:t>
            </w:r>
          </w:p>
        </w:tc>
        <w:tc>
          <w:tcPr>
            <w:tcW w:w="450" w:type="pct"/>
            <w:vAlign w:val="center"/>
          </w:tcPr>
          <w:p w14:paraId="2FA68B59" w14:textId="77777777" w:rsidR="00787DB7" w:rsidRPr="00595457" w:rsidRDefault="2C6074F5" w:rsidP="0CEE6DE9">
            <w:pPr>
              <w:keepLines/>
              <w:jc w:val="center"/>
              <w:rPr>
                <w:rFonts w:ascii="Arial Narrow" w:hAnsi="Arial Narrow" w:cs="Arial"/>
                <w:b/>
                <w:bCs/>
                <w:sz w:val="20"/>
                <w:szCs w:val="20"/>
              </w:rPr>
            </w:pPr>
            <w:r w:rsidRPr="00595457">
              <w:rPr>
                <w:rFonts w:ascii="Arial Narrow" w:hAnsi="Arial Narrow" w:cs="Arial"/>
                <w:b/>
                <w:bCs/>
                <w:sz w:val="20"/>
                <w:szCs w:val="20"/>
              </w:rPr>
              <w:t>№.of</w:t>
            </w:r>
          </w:p>
          <w:p w14:paraId="233CA475" w14:textId="77777777" w:rsidR="00787DB7" w:rsidRPr="00595457" w:rsidRDefault="2C6074F5" w:rsidP="0CEE6DE9">
            <w:pPr>
              <w:keepLines/>
              <w:jc w:val="center"/>
              <w:rPr>
                <w:rFonts w:ascii="Arial Narrow" w:hAnsi="Arial Narrow" w:cs="Arial"/>
                <w:b/>
                <w:bCs/>
                <w:sz w:val="20"/>
                <w:szCs w:val="20"/>
              </w:rPr>
            </w:pPr>
            <w:r w:rsidRPr="00595457">
              <w:rPr>
                <w:rFonts w:ascii="Arial Narrow" w:hAnsi="Arial Narrow" w:cs="Arial"/>
                <w:b/>
                <w:bCs/>
                <w:sz w:val="20"/>
                <w:szCs w:val="20"/>
              </w:rPr>
              <w:t>Rpts</w:t>
            </w:r>
          </w:p>
        </w:tc>
        <w:tc>
          <w:tcPr>
            <w:tcW w:w="1015" w:type="pct"/>
            <w:vAlign w:val="center"/>
          </w:tcPr>
          <w:p w14:paraId="687DEF26" w14:textId="77777777" w:rsidR="00787DB7" w:rsidRPr="00595457" w:rsidRDefault="00787DB7" w:rsidP="00302D60">
            <w:pPr>
              <w:keepLines/>
              <w:rPr>
                <w:rFonts w:ascii="Arial Narrow" w:hAnsi="Arial Narrow" w:cs="Arial"/>
                <w:b/>
                <w:sz w:val="20"/>
                <w:szCs w:val="20"/>
                <w:lang w:val="fr-FR"/>
              </w:rPr>
            </w:pPr>
            <w:r w:rsidRPr="00595457">
              <w:rPr>
                <w:rFonts w:ascii="Arial Narrow" w:hAnsi="Arial Narrow" w:cs="Arial"/>
                <w:b/>
                <w:sz w:val="20"/>
                <w:szCs w:val="20"/>
              </w:rPr>
              <w:t>Available brands</w:t>
            </w:r>
          </w:p>
        </w:tc>
      </w:tr>
      <w:tr w:rsidR="00787DB7" w:rsidRPr="00595457" w14:paraId="3701B7DB" w14:textId="77777777" w:rsidTr="0CEE6DE9">
        <w:trPr>
          <w:cantSplit/>
          <w:trHeight w:val="20"/>
        </w:trPr>
        <w:tc>
          <w:tcPr>
            <w:tcW w:w="5000" w:type="pct"/>
            <w:gridSpan w:val="7"/>
            <w:vAlign w:val="center"/>
          </w:tcPr>
          <w:p w14:paraId="08DA3A78" w14:textId="77777777" w:rsidR="00787DB7" w:rsidRPr="00595457" w:rsidRDefault="00787DB7" w:rsidP="00302D60">
            <w:pPr>
              <w:keepLines/>
              <w:rPr>
                <w:rFonts w:ascii="Arial Narrow" w:hAnsi="Arial Narrow" w:cs="Arial"/>
                <w:sz w:val="20"/>
                <w:szCs w:val="20"/>
              </w:rPr>
            </w:pPr>
            <w:r w:rsidRPr="00595457">
              <w:rPr>
                <w:rFonts w:ascii="Arial Narrow" w:hAnsi="Arial Narrow" w:cs="Arial"/>
                <w:sz w:val="20"/>
                <w:szCs w:val="20"/>
              </w:rPr>
              <w:t>INFLIXIMAB</w:t>
            </w:r>
          </w:p>
        </w:tc>
      </w:tr>
      <w:tr w:rsidR="00787DB7" w:rsidRPr="00595457" w14:paraId="42217C57" w14:textId="77777777" w:rsidTr="0CEE6DE9">
        <w:trPr>
          <w:cantSplit/>
          <w:trHeight w:val="20"/>
        </w:trPr>
        <w:tc>
          <w:tcPr>
            <w:tcW w:w="2184" w:type="pct"/>
            <w:gridSpan w:val="2"/>
            <w:vAlign w:val="center"/>
          </w:tcPr>
          <w:p w14:paraId="57F7111E" w14:textId="77777777" w:rsidR="00787DB7" w:rsidRPr="00595457" w:rsidRDefault="00787DB7" w:rsidP="00302D60">
            <w:pPr>
              <w:keepLines/>
              <w:rPr>
                <w:rFonts w:ascii="Arial Narrow" w:hAnsi="Arial Narrow" w:cs="Arial"/>
                <w:sz w:val="20"/>
                <w:szCs w:val="20"/>
              </w:rPr>
            </w:pPr>
            <w:r w:rsidRPr="00595457">
              <w:rPr>
                <w:rFonts w:ascii="Arial Narrow" w:hAnsi="Arial Narrow" w:cs="Arial"/>
                <w:sz w:val="20"/>
                <w:szCs w:val="20"/>
              </w:rPr>
              <w:t>infliximab 120 mg/mL injection, 1 mL pen device</w:t>
            </w:r>
          </w:p>
        </w:tc>
        <w:tc>
          <w:tcPr>
            <w:tcW w:w="450" w:type="pct"/>
            <w:vAlign w:val="center"/>
          </w:tcPr>
          <w:p w14:paraId="3C588D75" w14:textId="217708A7" w:rsidR="00787DB7" w:rsidRPr="00595457" w:rsidRDefault="009160B2" w:rsidP="00302D60">
            <w:pPr>
              <w:keepLines/>
              <w:jc w:val="center"/>
              <w:rPr>
                <w:rFonts w:ascii="Arial Narrow" w:hAnsi="Arial Narrow" w:cs="Arial"/>
                <w:sz w:val="20"/>
                <w:szCs w:val="20"/>
              </w:rPr>
            </w:pPr>
            <w:r w:rsidRPr="00595457">
              <w:rPr>
                <w:rFonts w:ascii="Arial Narrow" w:hAnsi="Arial Narrow" w:cs="Arial"/>
                <w:sz w:val="20"/>
                <w:szCs w:val="20"/>
              </w:rPr>
              <w:t>12566J</w:t>
            </w:r>
          </w:p>
        </w:tc>
        <w:tc>
          <w:tcPr>
            <w:tcW w:w="450" w:type="pct"/>
          </w:tcPr>
          <w:p w14:paraId="2C378803" w14:textId="308C7971" w:rsidR="00787DB7" w:rsidRPr="00595457" w:rsidRDefault="009160B2" w:rsidP="00302D60">
            <w:pPr>
              <w:keepLines/>
              <w:jc w:val="center"/>
              <w:rPr>
                <w:rFonts w:ascii="Arial Narrow" w:hAnsi="Arial Narrow" w:cs="Arial"/>
                <w:sz w:val="20"/>
                <w:szCs w:val="20"/>
              </w:rPr>
            </w:pPr>
            <w:r w:rsidRPr="00595457">
              <w:rPr>
                <w:rFonts w:ascii="Arial Narrow" w:hAnsi="Arial Narrow" w:cs="Arial"/>
                <w:sz w:val="20"/>
                <w:szCs w:val="20"/>
              </w:rPr>
              <w:t>1</w:t>
            </w:r>
          </w:p>
        </w:tc>
        <w:tc>
          <w:tcPr>
            <w:tcW w:w="450" w:type="pct"/>
          </w:tcPr>
          <w:p w14:paraId="6969B201" w14:textId="7ADDAAAB" w:rsidR="00787DB7" w:rsidRPr="00595457" w:rsidRDefault="009160B2" w:rsidP="00302D60">
            <w:pPr>
              <w:keepLines/>
              <w:jc w:val="center"/>
              <w:rPr>
                <w:rFonts w:ascii="Arial Narrow" w:hAnsi="Arial Narrow" w:cs="Arial"/>
                <w:sz w:val="20"/>
                <w:szCs w:val="20"/>
              </w:rPr>
            </w:pPr>
            <w:r w:rsidRPr="00595457">
              <w:rPr>
                <w:rFonts w:ascii="Arial Narrow" w:hAnsi="Arial Narrow" w:cs="Arial"/>
                <w:sz w:val="20"/>
                <w:szCs w:val="20"/>
              </w:rPr>
              <w:t>1</w:t>
            </w:r>
          </w:p>
        </w:tc>
        <w:tc>
          <w:tcPr>
            <w:tcW w:w="450" w:type="pct"/>
          </w:tcPr>
          <w:p w14:paraId="16DEC52E" w14:textId="2A118905" w:rsidR="00787DB7" w:rsidRPr="00595457" w:rsidRDefault="009160B2" w:rsidP="00302D60">
            <w:pPr>
              <w:keepLines/>
              <w:jc w:val="center"/>
              <w:rPr>
                <w:rFonts w:ascii="Arial Narrow" w:hAnsi="Arial Narrow" w:cs="Arial"/>
                <w:sz w:val="20"/>
                <w:szCs w:val="20"/>
              </w:rPr>
            </w:pPr>
            <w:r w:rsidRPr="00595457">
              <w:rPr>
                <w:rFonts w:ascii="Arial Narrow" w:hAnsi="Arial Narrow" w:cs="Arial"/>
                <w:sz w:val="20"/>
                <w:szCs w:val="20"/>
              </w:rPr>
              <w:t>0</w:t>
            </w:r>
          </w:p>
        </w:tc>
        <w:tc>
          <w:tcPr>
            <w:tcW w:w="1015" w:type="pct"/>
            <w:vAlign w:val="center"/>
          </w:tcPr>
          <w:p w14:paraId="7B3F3000" w14:textId="77777777" w:rsidR="00787DB7" w:rsidRPr="00595457" w:rsidRDefault="2C6074F5" w:rsidP="0CEE6DE9">
            <w:pPr>
              <w:keepLines/>
              <w:rPr>
                <w:rFonts w:ascii="Arial Narrow" w:hAnsi="Arial Narrow" w:cs="Arial"/>
                <w:sz w:val="20"/>
                <w:szCs w:val="20"/>
              </w:rPr>
            </w:pPr>
            <w:r w:rsidRPr="00595457">
              <w:rPr>
                <w:rFonts w:ascii="Arial Narrow" w:hAnsi="Arial Narrow" w:cs="Arial"/>
                <w:sz w:val="20"/>
                <w:szCs w:val="20"/>
              </w:rPr>
              <w:t>Remsima SC</w:t>
            </w:r>
          </w:p>
        </w:tc>
      </w:tr>
      <w:tr w:rsidR="00787DB7" w:rsidRPr="00595457" w14:paraId="049AEBA6" w14:textId="77777777" w:rsidTr="0CEE6DE9">
        <w:trPr>
          <w:cantSplit/>
          <w:trHeight w:val="20"/>
        </w:trPr>
        <w:tc>
          <w:tcPr>
            <w:tcW w:w="2184" w:type="pct"/>
            <w:gridSpan w:val="2"/>
            <w:vAlign w:val="center"/>
          </w:tcPr>
          <w:p w14:paraId="19ABF7B0" w14:textId="77777777" w:rsidR="00787DB7" w:rsidRPr="00595457" w:rsidRDefault="00787DB7" w:rsidP="00302D60">
            <w:pPr>
              <w:keepLines/>
              <w:rPr>
                <w:rFonts w:ascii="Arial Narrow" w:hAnsi="Arial Narrow" w:cs="Arial"/>
                <w:sz w:val="20"/>
                <w:szCs w:val="20"/>
              </w:rPr>
            </w:pPr>
            <w:r w:rsidRPr="00595457">
              <w:rPr>
                <w:rFonts w:ascii="Arial Narrow" w:hAnsi="Arial Narrow" w:cs="Arial"/>
                <w:sz w:val="20"/>
                <w:szCs w:val="20"/>
              </w:rPr>
              <w:t>infliximab 120 mg/mL injection, 1 mL syringe</w:t>
            </w:r>
          </w:p>
        </w:tc>
        <w:tc>
          <w:tcPr>
            <w:tcW w:w="450" w:type="pct"/>
            <w:vAlign w:val="center"/>
          </w:tcPr>
          <w:p w14:paraId="7549EBDB" w14:textId="36979D87" w:rsidR="00787DB7" w:rsidRPr="00595457" w:rsidRDefault="00A455F1" w:rsidP="00302D60">
            <w:pPr>
              <w:keepLines/>
              <w:jc w:val="center"/>
              <w:rPr>
                <w:rFonts w:ascii="Arial Narrow" w:hAnsi="Arial Narrow" w:cs="Arial"/>
                <w:sz w:val="20"/>
                <w:szCs w:val="20"/>
              </w:rPr>
            </w:pPr>
            <w:r w:rsidRPr="00595457">
              <w:rPr>
                <w:rFonts w:ascii="Arial Narrow" w:hAnsi="Arial Narrow" w:cs="Arial"/>
                <w:sz w:val="20"/>
                <w:szCs w:val="20"/>
              </w:rPr>
              <w:t>12555T</w:t>
            </w:r>
          </w:p>
        </w:tc>
        <w:tc>
          <w:tcPr>
            <w:tcW w:w="450" w:type="pct"/>
            <w:vAlign w:val="center"/>
          </w:tcPr>
          <w:p w14:paraId="2FEA375B" w14:textId="21C226B8" w:rsidR="00787DB7" w:rsidRPr="00595457" w:rsidRDefault="009160B2" w:rsidP="00302D60">
            <w:pPr>
              <w:keepLines/>
              <w:jc w:val="center"/>
              <w:rPr>
                <w:rFonts w:ascii="Arial Narrow" w:hAnsi="Arial Narrow" w:cs="Arial"/>
                <w:sz w:val="20"/>
                <w:szCs w:val="20"/>
              </w:rPr>
            </w:pPr>
            <w:r w:rsidRPr="00595457">
              <w:rPr>
                <w:rFonts w:ascii="Arial Narrow" w:hAnsi="Arial Narrow" w:cs="Arial"/>
                <w:sz w:val="20"/>
                <w:szCs w:val="20"/>
              </w:rPr>
              <w:t>1</w:t>
            </w:r>
          </w:p>
        </w:tc>
        <w:tc>
          <w:tcPr>
            <w:tcW w:w="450" w:type="pct"/>
            <w:vAlign w:val="center"/>
          </w:tcPr>
          <w:p w14:paraId="475A6F35" w14:textId="2600CF6D" w:rsidR="00787DB7" w:rsidRPr="00595457" w:rsidRDefault="009160B2" w:rsidP="00302D60">
            <w:pPr>
              <w:keepLines/>
              <w:jc w:val="center"/>
              <w:rPr>
                <w:rFonts w:ascii="Arial Narrow" w:hAnsi="Arial Narrow" w:cs="Arial"/>
                <w:sz w:val="20"/>
                <w:szCs w:val="20"/>
              </w:rPr>
            </w:pPr>
            <w:r w:rsidRPr="00595457">
              <w:rPr>
                <w:rFonts w:ascii="Arial Narrow" w:hAnsi="Arial Narrow" w:cs="Arial"/>
                <w:sz w:val="20"/>
                <w:szCs w:val="20"/>
              </w:rPr>
              <w:t>1</w:t>
            </w:r>
          </w:p>
        </w:tc>
        <w:tc>
          <w:tcPr>
            <w:tcW w:w="450" w:type="pct"/>
            <w:vAlign w:val="center"/>
          </w:tcPr>
          <w:p w14:paraId="7369133A" w14:textId="283E8A59" w:rsidR="00787DB7" w:rsidRPr="00595457" w:rsidRDefault="009160B2" w:rsidP="00302D60">
            <w:pPr>
              <w:keepLines/>
              <w:jc w:val="center"/>
              <w:rPr>
                <w:rFonts w:ascii="Arial Narrow" w:hAnsi="Arial Narrow" w:cs="Arial"/>
                <w:sz w:val="20"/>
                <w:szCs w:val="20"/>
              </w:rPr>
            </w:pPr>
            <w:r w:rsidRPr="00595457">
              <w:rPr>
                <w:rFonts w:ascii="Arial Narrow" w:hAnsi="Arial Narrow" w:cs="Arial"/>
                <w:sz w:val="20"/>
                <w:szCs w:val="20"/>
              </w:rPr>
              <w:t>0</w:t>
            </w:r>
          </w:p>
        </w:tc>
        <w:tc>
          <w:tcPr>
            <w:tcW w:w="1015" w:type="pct"/>
            <w:vAlign w:val="center"/>
          </w:tcPr>
          <w:p w14:paraId="21138325" w14:textId="77777777" w:rsidR="00787DB7" w:rsidRPr="00595457" w:rsidRDefault="2C6074F5" w:rsidP="0CEE6DE9">
            <w:pPr>
              <w:keepLines/>
              <w:rPr>
                <w:rFonts w:ascii="Arial Narrow" w:hAnsi="Arial Narrow" w:cs="Arial"/>
                <w:sz w:val="20"/>
                <w:szCs w:val="20"/>
              </w:rPr>
            </w:pPr>
            <w:r w:rsidRPr="00595457">
              <w:rPr>
                <w:rFonts w:ascii="Arial Narrow" w:hAnsi="Arial Narrow" w:cs="Arial"/>
                <w:sz w:val="20"/>
                <w:szCs w:val="20"/>
              </w:rPr>
              <w:t>Remsima SC</w:t>
            </w:r>
          </w:p>
        </w:tc>
      </w:tr>
      <w:tr w:rsidR="00787DB7" w:rsidRPr="00595457" w14:paraId="606DF5AD" w14:textId="77777777" w:rsidTr="0CEE6DE9">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464F048A" w14:textId="77777777" w:rsidR="00787DB7" w:rsidRPr="00595457" w:rsidRDefault="00787DB7" w:rsidP="00302D60">
            <w:pPr>
              <w:rPr>
                <w:rFonts w:ascii="Arial Narrow" w:hAnsi="Arial Narrow" w:cs="Arial"/>
                <w:sz w:val="20"/>
                <w:szCs w:val="20"/>
              </w:rPr>
            </w:pPr>
          </w:p>
        </w:tc>
      </w:tr>
      <w:tr w:rsidR="00787DB7" w:rsidRPr="00595457" w14:paraId="6BE2798F" w14:textId="77777777" w:rsidTr="0CEE6DE9">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7576DBFD" w14:textId="749F9E7D" w:rsidR="00787DB7" w:rsidRPr="00595457" w:rsidRDefault="00787DB7" w:rsidP="00302D60">
            <w:pPr>
              <w:keepLines/>
              <w:rPr>
                <w:rFonts w:ascii="Arial Narrow" w:hAnsi="Arial Narrow" w:cs="Arial"/>
                <w:b/>
                <w:sz w:val="20"/>
                <w:szCs w:val="20"/>
              </w:rPr>
            </w:pPr>
            <w:r w:rsidRPr="00595457">
              <w:rPr>
                <w:rFonts w:ascii="Arial Narrow" w:hAnsi="Arial Narrow"/>
                <w:b/>
                <w:sz w:val="20"/>
                <w:szCs w:val="20"/>
              </w:rPr>
              <w:t>Restriction Summary</w:t>
            </w:r>
            <w:r w:rsidR="00E003AC">
              <w:rPr>
                <w:rFonts w:ascii="Arial Narrow" w:hAnsi="Arial Narrow"/>
                <w:b/>
                <w:sz w:val="20"/>
                <w:szCs w:val="20"/>
              </w:rPr>
              <w:t xml:space="preserve"> </w:t>
            </w:r>
            <w:r w:rsidRPr="00595457">
              <w:rPr>
                <w:rFonts w:ascii="Arial Narrow" w:hAnsi="Arial Narrow"/>
                <w:b/>
                <w:sz w:val="20"/>
                <w:szCs w:val="20"/>
              </w:rPr>
              <w:t xml:space="preserve">/ Treatment of Concept: </w:t>
            </w:r>
          </w:p>
        </w:tc>
      </w:tr>
      <w:tr w:rsidR="00787DB7" w:rsidRPr="00595457" w14:paraId="11326C26" w14:textId="77777777" w:rsidTr="0CEE6DE9">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6A5E5E81" w14:textId="7421AFE7" w:rsidR="00787DB7" w:rsidRPr="00595457" w:rsidRDefault="00787DB7" w:rsidP="00302D60">
            <w:pPr>
              <w:jc w:val="center"/>
              <w:rPr>
                <w:rFonts w:ascii="Arial Narrow" w:hAnsi="Arial Narrow" w:cs="Arial"/>
                <w:b/>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415C68EF" w14:textId="77777777" w:rsidR="00787DB7" w:rsidRPr="00595457" w:rsidRDefault="00787DB7" w:rsidP="00302D60">
            <w:pPr>
              <w:keepLines/>
              <w:rPr>
                <w:rFonts w:ascii="Arial Narrow" w:hAnsi="Arial Narrow" w:cs="Arial"/>
                <w:sz w:val="20"/>
                <w:szCs w:val="20"/>
              </w:rPr>
            </w:pPr>
            <w:r w:rsidRPr="00595457">
              <w:rPr>
                <w:rFonts w:ascii="Arial Narrow" w:hAnsi="Arial Narrow" w:cs="Arial"/>
                <w:b/>
                <w:sz w:val="20"/>
                <w:szCs w:val="20"/>
              </w:rPr>
              <w:t>Category / Program:</w:t>
            </w:r>
            <w:r w:rsidRPr="00595457">
              <w:rPr>
                <w:rFonts w:ascii="Arial Narrow" w:hAnsi="Arial Narrow" w:cs="Arial"/>
                <w:color w:val="FF0000"/>
                <w:sz w:val="20"/>
                <w:szCs w:val="20"/>
              </w:rPr>
              <w:t xml:space="preserve"> </w:t>
            </w:r>
            <w:r w:rsidRPr="00595457">
              <w:rPr>
                <w:rFonts w:ascii="Arial Narrow" w:eastAsia="Calibri" w:hAnsi="Arial Narrow" w:cs="Arial"/>
                <w:sz w:val="20"/>
                <w:szCs w:val="20"/>
              </w:rPr>
              <w:t xml:space="preserve">GENERAL - General Schedule (Code GE) </w:t>
            </w:r>
          </w:p>
        </w:tc>
      </w:tr>
      <w:tr w:rsidR="00787DB7" w:rsidRPr="00595457" w14:paraId="70ED0747" w14:textId="77777777" w:rsidTr="0CEE6DE9">
        <w:tblPrEx>
          <w:tblCellMar>
            <w:top w:w="15" w:type="dxa"/>
            <w:bottom w:w="15" w:type="dxa"/>
          </w:tblCellMar>
          <w:tblLook w:val="04A0" w:firstRow="1" w:lastRow="0" w:firstColumn="1" w:lastColumn="0" w:noHBand="0" w:noVBand="1"/>
        </w:tblPrEx>
        <w:trPr>
          <w:trHeight w:val="20"/>
        </w:trPr>
        <w:tc>
          <w:tcPr>
            <w:tcW w:w="705" w:type="pct"/>
            <w:vMerge/>
          </w:tcPr>
          <w:p w14:paraId="566BA0AE" w14:textId="77777777" w:rsidR="00787DB7" w:rsidRPr="00595457" w:rsidRDefault="00787DB7" w:rsidP="00302D60">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7A0019DC" w14:textId="77777777" w:rsidR="00787DB7" w:rsidRPr="00595457" w:rsidRDefault="00787DB7" w:rsidP="00302D60">
            <w:pPr>
              <w:keepLines/>
              <w:rPr>
                <w:rFonts w:ascii="Arial Narrow" w:hAnsi="Arial Narrow" w:cs="Arial"/>
                <w:b/>
                <w:sz w:val="20"/>
                <w:szCs w:val="20"/>
              </w:rPr>
            </w:pPr>
            <w:r w:rsidRPr="00595457">
              <w:rPr>
                <w:rFonts w:ascii="Arial Narrow" w:hAnsi="Arial Narrow" w:cs="Arial"/>
                <w:b/>
                <w:sz w:val="20"/>
                <w:szCs w:val="20"/>
              </w:rPr>
              <w:t xml:space="preserve">Prescriber type: </w:t>
            </w:r>
            <w:r w:rsidRPr="00595457">
              <w:rPr>
                <w:rFonts w:ascii="Arial Narrow" w:hAnsi="Arial Narrow" w:cs="Arial"/>
                <w:sz w:val="20"/>
                <w:szCs w:val="20"/>
              </w:rPr>
              <w:fldChar w:fldCharType="begin" w:fldLock="1">
                <w:ffData>
                  <w:name w:val=""/>
                  <w:enabled/>
                  <w:calcOnExit w:val="0"/>
                  <w:checkBox>
                    <w:sizeAuto/>
                    <w:default w:val="1"/>
                  </w:checkBox>
                </w:ffData>
              </w:fldChar>
            </w:r>
            <w:r w:rsidRPr="00595457">
              <w:rPr>
                <w:rFonts w:ascii="Arial Narrow" w:hAnsi="Arial Narrow" w:cs="Arial"/>
                <w:sz w:val="20"/>
                <w:szCs w:val="20"/>
              </w:rPr>
              <w:instrText xml:space="preserve"> FORMCHECKBOX </w:instrText>
            </w:r>
            <w:r w:rsidRPr="00595457">
              <w:rPr>
                <w:rFonts w:ascii="Arial Narrow" w:hAnsi="Arial Narrow" w:cs="Arial"/>
                <w:sz w:val="20"/>
                <w:szCs w:val="20"/>
              </w:rPr>
            </w:r>
            <w:r w:rsidRPr="00595457">
              <w:rPr>
                <w:rFonts w:ascii="Arial Narrow" w:hAnsi="Arial Narrow" w:cs="Arial"/>
                <w:sz w:val="20"/>
                <w:szCs w:val="20"/>
              </w:rPr>
              <w:fldChar w:fldCharType="separate"/>
            </w:r>
            <w:r w:rsidRPr="00595457">
              <w:rPr>
                <w:rFonts w:ascii="Arial Narrow" w:hAnsi="Arial Narrow" w:cs="Arial"/>
                <w:sz w:val="20"/>
                <w:szCs w:val="20"/>
              </w:rPr>
              <w:fldChar w:fldCharType="end"/>
            </w:r>
            <w:r w:rsidRPr="00595457">
              <w:rPr>
                <w:rFonts w:ascii="Arial Narrow" w:hAnsi="Arial Narrow" w:cs="Arial"/>
                <w:sz w:val="20"/>
                <w:szCs w:val="20"/>
              </w:rPr>
              <w:t xml:space="preserve">Medical Practitioners </w:t>
            </w:r>
          </w:p>
        </w:tc>
      </w:tr>
      <w:tr w:rsidR="00787DB7" w:rsidRPr="00595457" w14:paraId="52B50122" w14:textId="77777777" w:rsidTr="0CEE6DE9">
        <w:tblPrEx>
          <w:tblCellMar>
            <w:top w:w="15" w:type="dxa"/>
            <w:bottom w:w="15" w:type="dxa"/>
          </w:tblCellMar>
          <w:tblLook w:val="04A0" w:firstRow="1" w:lastRow="0" w:firstColumn="1" w:lastColumn="0" w:noHBand="0" w:noVBand="1"/>
        </w:tblPrEx>
        <w:trPr>
          <w:trHeight w:val="20"/>
        </w:trPr>
        <w:tc>
          <w:tcPr>
            <w:tcW w:w="705" w:type="pct"/>
            <w:vMerge/>
          </w:tcPr>
          <w:p w14:paraId="503D2075" w14:textId="77777777" w:rsidR="00787DB7" w:rsidRPr="00595457" w:rsidRDefault="00787DB7" w:rsidP="00302D60">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tcPr>
          <w:p w14:paraId="54131779" w14:textId="77777777" w:rsidR="00787DB7" w:rsidRPr="00595457" w:rsidRDefault="00787DB7" w:rsidP="00BC361F">
            <w:pPr>
              <w:keepLines/>
              <w:jc w:val="left"/>
              <w:rPr>
                <w:rFonts w:ascii="Arial Narrow" w:hAnsi="Arial Narrow" w:cs="Arial"/>
                <w:b/>
                <w:sz w:val="20"/>
                <w:szCs w:val="20"/>
              </w:rPr>
            </w:pPr>
            <w:r w:rsidRPr="00595457">
              <w:rPr>
                <w:rFonts w:ascii="Arial Narrow" w:hAnsi="Arial Narrow" w:cs="Arial"/>
                <w:b/>
                <w:sz w:val="20"/>
                <w:szCs w:val="20"/>
              </w:rPr>
              <w:t xml:space="preserve">Restriction type: </w:t>
            </w:r>
          </w:p>
          <w:p w14:paraId="7B78572B" w14:textId="7D335EAF" w:rsidR="00787DB7" w:rsidRPr="00595457" w:rsidRDefault="00DD75EC" w:rsidP="00BC361F">
            <w:pPr>
              <w:keepLines/>
              <w:jc w:val="left"/>
              <w:rPr>
                <w:rFonts w:ascii="Arial Narrow" w:eastAsia="Calibri" w:hAnsi="Arial Narrow" w:cs="Arial"/>
                <w:color w:val="FF0000"/>
                <w:sz w:val="20"/>
                <w:szCs w:val="20"/>
              </w:rPr>
            </w:pPr>
            <w:r w:rsidRPr="00595457">
              <w:rPr>
                <w:rFonts w:ascii="Arial Narrow" w:eastAsia="Calibri" w:hAnsi="Arial Narrow" w:cs="Arial"/>
                <w:sz w:val="20"/>
                <w:szCs w:val="20"/>
              </w:rPr>
              <w:fldChar w:fldCharType="begin" w:fldLock="1">
                <w:ffData>
                  <w:name w:val=""/>
                  <w:enabled/>
                  <w:calcOnExit w:val="0"/>
                  <w:checkBox>
                    <w:sizeAuto/>
                    <w:default w:val="1"/>
                  </w:checkBox>
                </w:ffData>
              </w:fldChar>
            </w:r>
            <w:r w:rsidRPr="00595457">
              <w:rPr>
                <w:rFonts w:ascii="Arial Narrow" w:eastAsia="Calibri" w:hAnsi="Arial Narrow" w:cs="Arial"/>
                <w:sz w:val="20"/>
                <w:szCs w:val="20"/>
              </w:rPr>
              <w:instrText xml:space="preserve"> FORMCHECKBOX </w:instrText>
            </w:r>
            <w:r w:rsidRPr="00595457">
              <w:rPr>
                <w:rFonts w:ascii="Arial Narrow" w:eastAsia="Calibri" w:hAnsi="Arial Narrow" w:cs="Arial"/>
                <w:sz w:val="20"/>
                <w:szCs w:val="20"/>
              </w:rPr>
            </w:r>
            <w:r w:rsidRPr="00595457">
              <w:rPr>
                <w:rFonts w:ascii="Arial Narrow" w:eastAsia="Calibri" w:hAnsi="Arial Narrow" w:cs="Arial"/>
                <w:sz w:val="20"/>
                <w:szCs w:val="20"/>
              </w:rPr>
              <w:fldChar w:fldCharType="separate"/>
            </w:r>
            <w:r w:rsidRPr="00595457">
              <w:rPr>
                <w:rFonts w:ascii="Arial Narrow" w:eastAsia="Calibri" w:hAnsi="Arial Narrow" w:cs="Arial"/>
                <w:sz w:val="20"/>
                <w:szCs w:val="20"/>
              </w:rPr>
              <w:fldChar w:fldCharType="end"/>
            </w:r>
            <w:r w:rsidR="00BE6BFD" w:rsidRPr="00595457">
              <w:rPr>
                <w:rFonts w:ascii="Arial Narrow" w:eastAsia="Calibri" w:hAnsi="Arial Narrow" w:cs="Arial"/>
                <w:sz w:val="20"/>
                <w:szCs w:val="20"/>
              </w:rPr>
              <w:t xml:space="preserve"> </w:t>
            </w:r>
            <w:r w:rsidR="00787DB7" w:rsidRPr="00595457">
              <w:rPr>
                <w:rFonts w:ascii="Arial Narrow" w:eastAsia="Calibri" w:hAnsi="Arial Narrow" w:cs="Arial"/>
                <w:sz w:val="20"/>
                <w:szCs w:val="20"/>
              </w:rPr>
              <w:t xml:space="preserve">Authority Required (telephone/online PBS Authorities system) </w:t>
            </w:r>
          </w:p>
        </w:tc>
      </w:tr>
      <w:tr w:rsidR="00787DB7" w:rsidRPr="00595457" w14:paraId="4769DDFB" w14:textId="77777777" w:rsidTr="00365FCC">
        <w:tblPrEx>
          <w:tblCellMar>
            <w:top w:w="15" w:type="dxa"/>
            <w:bottom w:w="15" w:type="dxa"/>
          </w:tblCellMar>
        </w:tblPrEx>
        <w:trPr>
          <w:cantSplit/>
          <w:trHeight w:val="20"/>
        </w:trPr>
        <w:tc>
          <w:tcPr>
            <w:tcW w:w="705" w:type="pct"/>
            <w:vAlign w:val="center"/>
          </w:tcPr>
          <w:p w14:paraId="04F96094" w14:textId="4B662C1A" w:rsidR="00787DB7" w:rsidRPr="00595457" w:rsidRDefault="00787DB7" w:rsidP="00302D60">
            <w:pPr>
              <w:keepLines/>
              <w:jc w:val="center"/>
              <w:rPr>
                <w:rFonts w:ascii="Arial Narrow" w:hAnsi="Arial Narrow"/>
                <w:sz w:val="20"/>
                <w:szCs w:val="20"/>
              </w:rPr>
            </w:pPr>
          </w:p>
        </w:tc>
        <w:tc>
          <w:tcPr>
            <w:tcW w:w="4295" w:type="pct"/>
            <w:gridSpan w:val="6"/>
            <w:vAlign w:val="center"/>
            <w:hideMark/>
          </w:tcPr>
          <w:p w14:paraId="6DFABE77" w14:textId="77777777" w:rsidR="00787DB7" w:rsidRPr="00595457" w:rsidRDefault="00787DB7" w:rsidP="00302D60">
            <w:pPr>
              <w:keepLines/>
              <w:rPr>
                <w:rFonts w:ascii="Arial Narrow" w:hAnsi="Arial Narrow"/>
                <w:color w:val="333333"/>
                <w:sz w:val="20"/>
                <w:szCs w:val="20"/>
              </w:rPr>
            </w:pPr>
            <w:r w:rsidRPr="00595457">
              <w:rPr>
                <w:rFonts w:ascii="Arial Narrow" w:hAnsi="Arial Narrow"/>
                <w:b/>
                <w:bCs/>
                <w:sz w:val="20"/>
                <w:szCs w:val="20"/>
              </w:rPr>
              <w:t>Indication:</w:t>
            </w:r>
            <w:r w:rsidRPr="00595457">
              <w:rPr>
                <w:rFonts w:ascii="Arial Narrow" w:hAnsi="Arial Narrow"/>
                <w:sz w:val="20"/>
                <w:szCs w:val="20"/>
              </w:rPr>
              <w:t xml:space="preserve"> Severe active rheumatoid arthritis</w:t>
            </w:r>
          </w:p>
        </w:tc>
      </w:tr>
      <w:tr w:rsidR="00787DB7" w:rsidRPr="00595457" w14:paraId="5D934D8D" w14:textId="77777777" w:rsidTr="00365FCC">
        <w:tblPrEx>
          <w:tblCellMar>
            <w:top w:w="15" w:type="dxa"/>
            <w:bottom w:w="15" w:type="dxa"/>
          </w:tblCellMar>
        </w:tblPrEx>
        <w:trPr>
          <w:cantSplit/>
          <w:trHeight w:val="20"/>
        </w:trPr>
        <w:tc>
          <w:tcPr>
            <w:tcW w:w="705" w:type="pct"/>
            <w:vAlign w:val="center"/>
          </w:tcPr>
          <w:p w14:paraId="4375BEAD" w14:textId="77777777" w:rsidR="00787DB7" w:rsidRPr="00595457" w:rsidRDefault="00787DB7" w:rsidP="00302D60">
            <w:pPr>
              <w:jc w:val="center"/>
              <w:rPr>
                <w:rFonts w:ascii="Arial Narrow" w:hAnsi="Arial Narrow"/>
                <w:sz w:val="20"/>
                <w:szCs w:val="20"/>
              </w:rPr>
            </w:pPr>
          </w:p>
        </w:tc>
        <w:tc>
          <w:tcPr>
            <w:tcW w:w="4295" w:type="pct"/>
            <w:gridSpan w:val="6"/>
            <w:vAlign w:val="center"/>
            <w:hideMark/>
          </w:tcPr>
          <w:p w14:paraId="1720BA2F" w14:textId="44CE36C5" w:rsidR="00787DB7" w:rsidRPr="00595457" w:rsidRDefault="00787DB7" w:rsidP="00302D60">
            <w:pPr>
              <w:rPr>
                <w:rFonts w:ascii="Arial Narrow" w:hAnsi="Arial Narrow"/>
                <w:sz w:val="20"/>
                <w:szCs w:val="20"/>
              </w:rPr>
            </w:pPr>
            <w:r w:rsidRPr="00595457">
              <w:rPr>
                <w:rFonts w:ascii="Arial Narrow" w:hAnsi="Arial Narrow"/>
                <w:b/>
                <w:bCs/>
                <w:sz w:val="20"/>
                <w:szCs w:val="20"/>
              </w:rPr>
              <w:t>Treatment Phase:</w:t>
            </w:r>
            <w:r w:rsidRPr="00595457">
              <w:rPr>
                <w:rFonts w:ascii="Arial Narrow" w:hAnsi="Arial Narrow"/>
                <w:sz w:val="20"/>
                <w:szCs w:val="20"/>
              </w:rPr>
              <w:t xml:space="preserve"> </w:t>
            </w:r>
            <w:r w:rsidR="00D654B7" w:rsidRPr="00595457">
              <w:rPr>
                <w:rFonts w:ascii="Arial Narrow" w:hAnsi="Arial Narrow"/>
                <w:sz w:val="20"/>
                <w:szCs w:val="20"/>
              </w:rPr>
              <w:t>Balance of supply</w:t>
            </w:r>
            <w:r w:rsidR="009160B2" w:rsidRPr="00595457">
              <w:rPr>
                <w:rFonts w:ascii="Arial Narrow" w:hAnsi="Arial Narrow"/>
                <w:sz w:val="20"/>
                <w:szCs w:val="20"/>
              </w:rPr>
              <w:t xml:space="preserve"> for Initial treatment</w:t>
            </w:r>
            <w:r w:rsidR="009160B2" w:rsidRPr="00595457">
              <w:rPr>
                <w:rFonts w:ascii="Arial Narrow" w:hAnsi="Arial Narrow"/>
                <w:strike/>
                <w:sz w:val="20"/>
                <w:szCs w:val="20"/>
              </w:rPr>
              <w:t>, Continuing treatment</w:t>
            </w:r>
            <w:r w:rsidR="009160B2" w:rsidRPr="00595457">
              <w:rPr>
                <w:rFonts w:ascii="Arial Narrow" w:hAnsi="Arial Narrow"/>
                <w:sz w:val="20"/>
                <w:szCs w:val="20"/>
              </w:rPr>
              <w:t xml:space="preserve"> - subcutaneous form</w:t>
            </w:r>
          </w:p>
        </w:tc>
      </w:tr>
      <w:tr w:rsidR="00787DB7" w:rsidRPr="00595457" w14:paraId="7E6FD4D9" w14:textId="77777777" w:rsidTr="0CEE6DE9">
        <w:tblPrEx>
          <w:tblCellMar>
            <w:top w:w="15" w:type="dxa"/>
            <w:bottom w:w="15" w:type="dxa"/>
          </w:tblCellMar>
          <w:tblLook w:val="04A0" w:firstRow="1" w:lastRow="0" w:firstColumn="1" w:lastColumn="0" w:noHBand="0" w:noVBand="1"/>
        </w:tblPrEx>
        <w:trPr>
          <w:cantSplit/>
          <w:trHeight w:val="20"/>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317A153" w14:textId="29B6AC9A" w:rsidR="00787DB7" w:rsidRPr="00595457" w:rsidRDefault="00787DB7" w:rsidP="00302D60">
            <w:pPr>
              <w:jc w:val="center"/>
              <w:rPr>
                <w:rFonts w:ascii="Arial Narrow" w:hAnsi="Arial Narrow"/>
                <w:sz w:val="20"/>
                <w:szCs w:val="20"/>
                <w:highlight w:val="yellow"/>
              </w:rPr>
            </w:pPr>
          </w:p>
        </w:tc>
        <w:tc>
          <w:tcPr>
            <w:tcW w:w="429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8257D2" w14:textId="6332D59A" w:rsidR="00787DB7" w:rsidRPr="00595457" w:rsidRDefault="00B05996" w:rsidP="00302D60">
            <w:pPr>
              <w:rPr>
                <w:rFonts w:ascii="Arial Narrow" w:hAnsi="Arial Narrow"/>
                <w:b/>
                <w:bCs/>
                <w:sz w:val="20"/>
                <w:szCs w:val="20"/>
                <w:highlight w:val="yellow"/>
              </w:rPr>
            </w:pPr>
            <w:r w:rsidRPr="00595457">
              <w:rPr>
                <w:rFonts w:ascii="Arial Narrow" w:hAnsi="Arial Narrow"/>
                <w:b/>
                <w:bCs/>
                <w:sz w:val="20"/>
                <w:szCs w:val="20"/>
              </w:rPr>
              <w:t>Clinical criteria:</w:t>
            </w:r>
          </w:p>
        </w:tc>
      </w:tr>
      <w:tr w:rsidR="00787DB7" w:rsidRPr="00595457" w14:paraId="27B96DDE" w14:textId="77777777" w:rsidTr="0CEE6DE9">
        <w:tblPrEx>
          <w:tblCellMar>
            <w:top w:w="15" w:type="dxa"/>
            <w:bottom w:w="15" w:type="dxa"/>
          </w:tblCellMar>
          <w:tblLook w:val="04A0" w:firstRow="1" w:lastRow="0" w:firstColumn="1" w:lastColumn="0" w:noHBand="0" w:noVBand="1"/>
        </w:tblPrEx>
        <w:trPr>
          <w:cantSplit/>
          <w:trHeight w:val="20"/>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3458690" w14:textId="60084A8A" w:rsidR="00787DB7" w:rsidRPr="00595457" w:rsidRDefault="00787DB7" w:rsidP="00302D60">
            <w:pPr>
              <w:jc w:val="center"/>
              <w:rPr>
                <w:rFonts w:ascii="Arial Narrow" w:hAnsi="Arial Narrow"/>
                <w:sz w:val="20"/>
                <w:szCs w:val="20"/>
              </w:rPr>
            </w:pPr>
          </w:p>
        </w:tc>
        <w:tc>
          <w:tcPr>
            <w:tcW w:w="429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41E34B" w14:textId="4BDF67A0" w:rsidR="00787DB7" w:rsidRPr="00595457" w:rsidRDefault="00D925E2" w:rsidP="00D925E2">
            <w:pPr>
              <w:rPr>
                <w:rFonts w:ascii="Arial Narrow" w:hAnsi="Arial Narrow"/>
                <w:sz w:val="20"/>
                <w:szCs w:val="20"/>
              </w:rPr>
            </w:pPr>
            <w:r w:rsidRPr="00595457">
              <w:rPr>
                <w:rFonts w:ascii="Arial Narrow" w:hAnsi="Arial Narrow"/>
                <w:sz w:val="20"/>
                <w:szCs w:val="20"/>
              </w:rPr>
              <w:t xml:space="preserve">The treatment must provide no more than the balance of up to 22 weeks treatment available under the Initial treatment - subcutaneous form; </w:t>
            </w:r>
            <w:r w:rsidRPr="00595457">
              <w:rPr>
                <w:rFonts w:ascii="Arial Narrow" w:hAnsi="Arial Narrow"/>
                <w:strike/>
                <w:sz w:val="20"/>
                <w:szCs w:val="20"/>
              </w:rPr>
              <w:t>or</w:t>
            </w:r>
          </w:p>
        </w:tc>
      </w:tr>
      <w:tr w:rsidR="00787DB7" w:rsidRPr="00595457" w14:paraId="729267FD" w14:textId="77777777" w:rsidTr="0CEE6DE9">
        <w:tblPrEx>
          <w:tblCellMar>
            <w:top w:w="15" w:type="dxa"/>
            <w:bottom w:w="15" w:type="dxa"/>
          </w:tblCellMar>
          <w:tblLook w:val="04A0" w:firstRow="1" w:lastRow="0" w:firstColumn="1" w:lastColumn="0" w:noHBand="0" w:noVBand="1"/>
        </w:tblPrEx>
        <w:trPr>
          <w:cantSplit/>
          <w:trHeight w:val="20"/>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FB8AB47" w14:textId="39206B9F" w:rsidR="00787DB7" w:rsidRPr="00595457" w:rsidRDefault="00787DB7" w:rsidP="00302D60">
            <w:pPr>
              <w:jc w:val="center"/>
              <w:rPr>
                <w:rFonts w:ascii="Arial Narrow" w:hAnsi="Arial Narrow"/>
                <w:strike/>
                <w:sz w:val="20"/>
                <w:szCs w:val="20"/>
              </w:rPr>
            </w:pPr>
          </w:p>
        </w:tc>
        <w:tc>
          <w:tcPr>
            <w:tcW w:w="429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C17AD7" w14:textId="5560A122" w:rsidR="00787DB7" w:rsidRPr="00595457" w:rsidRDefault="005D05B2" w:rsidP="00302D60">
            <w:pPr>
              <w:rPr>
                <w:rFonts w:ascii="Arial Narrow" w:hAnsi="Arial Narrow"/>
                <w:strike/>
                <w:sz w:val="20"/>
                <w:szCs w:val="20"/>
              </w:rPr>
            </w:pPr>
            <w:r w:rsidRPr="00595457">
              <w:rPr>
                <w:rFonts w:ascii="Arial Narrow" w:hAnsi="Arial Narrow"/>
                <w:strike/>
                <w:sz w:val="20"/>
                <w:szCs w:val="20"/>
              </w:rPr>
              <w:t>The treatment must provide no more than the balance of up to 24 weeks treatment available under the Continuing treatment - subcutaneous form</w:t>
            </w:r>
          </w:p>
        </w:tc>
      </w:tr>
      <w:tr w:rsidR="00787DB7" w:rsidRPr="00595457" w14:paraId="6B02C8AA" w14:textId="77777777" w:rsidTr="0CEE6DE9">
        <w:tblPrEx>
          <w:tblCellMar>
            <w:top w:w="15" w:type="dxa"/>
            <w:bottom w:w="15" w:type="dxa"/>
          </w:tblCellMar>
          <w:tblLook w:val="04A0" w:firstRow="1" w:lastRow="0" w:firstColumn="1" w:lastColumn="0" w:noHBand="0" w:noVBand="1"/>
        </w:tblPrEx>
        <w:trPr>
          <w:cantSplit/>
          <w:trHeight w:val="20"/>
        </w:trPr>
        <w:tc>
          <w:tcPr>
            <w:tcW w:w="705" w:type="pct"/>
            <w:vAlign w:val="center"/>
          </w:tcPr>
          <w:p w14:paraId="6C02F493" w14:textId="73E08419" w:rsidR="00787DB7" w:rsidRPr="00595457" w:rsidRDefault="00787DB7" w:rsidP="00302D60">
            <w:pPr>
              <w:jc w:val="center"/>
              <w:rPr>
                <w:rFonts w:ascii="Arial Narrow" w:hAnsi="Arial Narrow"/>
                <w:sz w:val="20"/>
                <w:szCs w:val="20"/>
              </w:rPr>
            </w:pPr>
          </w:p>
        </w:tc>
        <w:tc>
          <w:tcPr>
            <w:tcW w:w="4295" w:type="pct"/>
            <w:gridSpan w:val="6"/>
            <w:vAlign w:val="center"/>
          </w:tcPr>
          <w:p w14:paraId="2FA86A4D" w14:textId="28E4F287" w:rsidR="00787DB7" w:rsidRPr="00595457" w:rsidRDefault="00787DB7" w:rsidP="00376A7C">
            <w:pPr>
              <w:ind w:left="-57"/>
              <w:rPr>
                <w:rFonts w:ascii="Arial Narrow" w:hAnsi="Arial Narrow"/>
                <w:bCs/>
                <w:sz w:val="20"/>
                <w:szCs w:val="20"/>
              </w:rPr>
            </w:pPr>
            <w:r w:rsidRPr="00595457">
              <w:rPr>
                <w:rFonts w:ascii="Arial Narrow" w:hAnsi="Arial Narrow"/>
                <w:b/>
                <w:bCs/>
                <w:sz w:val="20"/>
                <w:szCs w:val="20"/>
              </w:rPr>
              <w:t xml:space="preserve">Administrative Advice: </w:t>
            </w:r>
            <w:r w:rsidRPr="00595457">
              <w:rPr>
                <w:rFonts w:ascii="Arial Narrow" w:hAnsi="Arial Narrow"/>
                <w:bCs/>
                <w:sz w:val="20"/>
                <w:szCs w:val="20"/>
              </w:rPr>
              <w:t xml:space="preserve">Applications for authorisation under this restriction may be made in real time using the Online PBS Authorities system (see </w:t>
            </w:r>
            <w:hyperlink r:id="rId8" w:history="1">
              <w:r w:rsidRPr="00595457">
                <w:rPr>
                  <w:rStyle w:val="Hyperlink"/>
                  <w:rFonts w:ascii="Arial Narrow" w:hAnsi="Arial Narrow"/>
                  <w:bCs/>
                  <w:sz w:val="20"/>
                  <w:szCs w:val="20"/>
                </w:rPr>
                <w:t>www.servicesaustralia.gov.au/HPOS</w:t>
              </w:r>
            </w:hyperlink>
            <w:r w:rsidRPr="00595457">
              <w:rPr>
                <w:rFonts w:ascii="Arial Narrow" w:hAnsi="Arial Narrow"/>
                <w:bCs/>
                <w:sz w:val="20"/>
                <w:szCs w:val="20"/>
              </w:rPr>
              <w:t>) or by telephone by contacting Services Australia on 1800 700 270 (hours of operation 8 a.m. to 5 p.m. Monday to Friday). </w:t>
            </w:r>
          </w:p>
        </w:tc>
      </w:tr>
    </w:tbl>
    <w:p w14:paraId="46B3659E" w14:textId="77777777" w:rsidR="00721589" w:rsidRDefault="00721589" w:rsidP="00365FCC">
      <w:pPr>
        <w:pStyle w:val="TableFigureFooter"/>
        <w:spacing w:after="0"/>
      </w:pPr>
    </w:p>
    <w:p w14:paraId="35755CDD" w14:textId="4D72C319" w:rsidR="006B61F7" w:rsidRPr="00314BC0" w:rsidRDefault="00314BC0" w:rsidP="00717CC9">
      <w:pPr>
        <w:pStyle w:val="4-SubsectionHeading"/>
        <w:spacing w:after="0"/>
      </w:pPr>
      <w:r w:rsidRPr="00314BC0">
        <w:lastRenderedPageBreak/>
        <w:t>Severe Crohn disease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severe Chron disease"/>
        <w:tblDescription w:val="Treatment phase: continuing treatment with subcutaneous form or switching from intravenous form to subcutaenous form&#10;&#10;Changes to prescribing instructions, restriction type and administrative advice"/>
      </w:tblPr>
      <w:tblGrid>
        <w:gridCol w:w="1271"/>
        <w:gridCol w:w="2668"/>
        <w:gridCol w:w="811"/>
        <w:gridCol w:w="812"/>
        <w:gridCol w:w="811"/>
        <w:gridCol w:w="812"/>
        <w:gridCol w:w="1831"/>
      </w:tblGrid>
      <w:tr w:rsidR="005F5CC4" w:rsidRPr="00595457" w14:paraId="6C287041" w14:textId="77777777" w:rsidTr="0CEE6DE9">
        <w:trPr>
          <w:cantSplit/>
          <w:trHeight w:val="20"/>
        </w:trPr>
        <w:tc>
          <w:tcPr>
            <w:tcW w:w="3939" w:type="dxa"/>
            <w:gridSpan w:val="2"/>
            <w:vAlign w:val="center"/>
          </w:tcPr>
          <w:p w14:paraId="685812F5" w14:textId="77777777" w:rsidR="005F5CC4" w:rsidRPr="00595457" w:rsidRDefault="005F5CC4" w:rsidP="00302D60">
            <w:pPr>
              <w:keepLines/>
              <w:rPr>
                <w:rFonts w:ascii="Arial Narrow" w:hAnsi="Arial Narrow" w:cs="Arial"/>
                <w:b/>
                <w:bCs/>
                <w:sz w:val="20"/>
                <w:szCs w:val="20"/>
              </w:rPr>
            </w:pPr>
            <w:r w:rsidRPr="00595457">
              <w:rPr>
                <w:rFonts w:ascii="Arial Narrow" w:hAnsi="Arial Narrow" w:cs="Arial"/>
                <w:b/>
                <w:bCs/>
                <w:sz w:val="20"/>
                <w:szCs w:val="20"/>
              </w:rPr>
              <w:t>MEDICINAL PRODUCT</w:t>
            </w:r>
          </w:p>
          <w:p w14:paraId="15DC233D" w14:textId="77777777" w:rsidR="005F5CC4" w:rsidRPr="00595457" w:rsidRDefault="005F5CC4" w:rsidP="00302D60">
            <w:pPr>
              <w:keepLines/>
              <w:rPr>
                <w:rFonts w:ascii="Arial Narrow" w:hAnsi="Arial Narrow" w:cs="Arial"/>
                <w:b/>
                <w:sz w:val="20"/>
                <w:szCs w:val="20"/>
              </w:rPr>
            </w:pPr>
            <w:r w:rsidRPr="00595457">
              <w:rPr>
                <w:rFonts w:ascii="Arial Narrow" w:hAnsi="Arial Narrow" w:cs="Arial"/>
                <w:b/>
                <w:bCs/>
                <w:sz w:val="20"/>
                <w:szCs w:val="20"/>
              </w:rPr>
              <w:t>medicinal product pack</w:t>
            </w:r>
          </w:p>
        </w:tc>
        <w:tc>
          <w:tcPr>
            <w:tcW w:w="811" w:type="dxa"/>
            <w:vAlign w:val="center"/>
          </w:tcPr>
          <w:p w14:paraId="394093A8" w14:textId="77777777" w:rsidR="005F5CC4" w:rsidRPr="00595457" w:rsidRDefault="005F5CC4" w:rsidP="00302D60">
            <w:pPr>
              <w:keepLines/>
              <w:jc w:val="center"/>
              <w:rPr>
                <w:rFonts w:ascii="Arial Narrow" w:hAnsi="Arial Narrow" w:cs="Arial"/>
                <w:b/>
                <w:sz w:val="20"/>
                <w:szCs w:val="20"/>
              </w:rPr>
            </w:pPr>
            <w:r w:rsidRPr="00595457">
              <w:rPr>
                <w:rFonts w:ascii="Arial Narrow" w:hAnsi="Arial Narrow" w:cs="Arial"/>
                <w:b/>
                <w:sz w:val="20"/>
                <w:szCs w:val="20"/>
              </w:rPr>
              <w:t>PBS item code</w:t>
            </w:r>
          </w:p>
        </w:tc>
        <w:tc>
          <w:tcPr>
            <w:tcW w:w="812" w:type="dxa"/>
            <w:vAlign w:val="center"/>
          </w:tcPr>
          <w:p w14:paraId="7D6D6C38" w14:textId="77777777" w:rsidR="005F5CC4" w:rsidRPr="00595457" w:rsidRDefault="005F5CC4" w:rsidP="00302D60">
            <w:pPr>
              <w:keepLines/>
              <w:jc w:val="center"/>
              <w:rPr>
                <w:rFonts w:ascii="Arial Narrow" w:hAnsi="Arial Narrow" w:cs="Arial"/>
                <w:b/>
                <w:sz w:val="20"/>
                <w:szCs w:val="20"/>
              </w:rPr>
            </w:pPr>
            <w:r w:rsidRPr="00595457">
              <w:rPr>
                <w:rFonts w:ascii="Arial Narrow" w:hAnsi="Arial Narrow" w:cs="Arial"/>
                <w:b/>
                <w:sz w:val="20"/>
                <w:szCs w:val="20"/>
              </w:rPr>
              <w:t>Max. qty packs</w:t>
            </w:r>
          </w:p>
        </w:tc>
        <w:tc>
          <w:tcPr>
            <w:tcW w:w="811" w:type="dxa"/>
            <w:vAlign w:val="center"/>
          </w:tcPr>
          <w:p w14:paraId="69DD9887" w14:textId="77777777" w:rsidR="005F5CC4" w:rsidRPr="00595457" w:rsidRDefault="005F5CC4" w:rsidP="00302D60">
            <w:pPr>
              <w:keepLines/>
              <w:jc w:val="center"/>
              <w:rPr>
                <w:rFonts w:ascii="Arial Narrow" w:hAnsi="Arial Narrow" w:cs="Arial"/>
                <w:b/>
                <w:sz w:val="20"/>
                <w:szCs w:val="20"/>
              </w:rPr>
            </w:pPr>
            <w:r w:rsidRPr="00595457">
              <w:rPr>
                <w:rFonts w:ascii="Arial Narrow" w:hAnsi="Arial Narrow" w:cs="Arial"/>
                <w:b/>
                <w:sz w:val="20"/>
                <w:szCs w:val="20"/>
              </w:rPr>
              <w:t>Max. qty units</w:t>
            </w:r>
          </w:p>
        </w:tc>
        <w:tc>
          <w:tcPr>
            <w:tcW w:w="812" w:type="dxa"/>
            <w:vAlign w:val="center"/>
          </w:tcPr>
          <w:p w14:paraId="75315A5E" w14:textId="77777777" w:rsidR="005F5CC4" w:rsidRPr="00595457" w:rsidRDefault="799A08DE" w:rsidP="0CEE6DE9">
            <w:pPr>
              <w:keepLines/>
              <w:jc w:val="center"/>
              <w:rPr>
                <w:rFonts w:ascii="Arial Narrow" w:hAnsi="Arial Narrow" w:cs="Arial"/>
                <w:b/>
                <w:bCs/>
                <w:sz w:val="20"/>
                <w:szCs w:val="20"/>
              </w:rPr>
            </w:pPr>
            <w:r w:rsidRPr="00595457">
              <w:rPr>
                <w:rFonts w:ascii="Arial Narrow" w:hAnsi="Arial Narrow" w:cs="Arial"/>
                <w:b/>
                <w:bCs/>
                <w:sz w:val="20"/>
                <w:szCs w:val="20"/>
              </w:rPr>
              <w:t>№.of</w:t>
            </w:r>
          </w:p>
          <w:p w14:paraId="0164B480" w14:textId="77777777" w:rsidR="005F5CC4" w:rsidRPr="00595457" w:rsidRDefault="799A08DE" w:rsidP="0CEE6DE9">
            <w:pPr>
              <w:keepLines/>
              <w:jc w:val="center"/>
              <w:rPr>
                <w:rFonts w:ascii="Arial Narrow" w:hAnsi="Arial Narrow" w:cs="Arial"/>
                <w:b/>
                <w:bCs/>
                <w:sz w:val="20"/>
                <w:szCs w:val="20"/>
              </w:rPr>
            </w:pPr>
            <w:r w:rsidRPr="00595457">
              <w:rPr>
                <w:rFonts w:ascii="Arial Narrow" w:hAnsi="Arial Narrow" w:cs="Arial"/>
                <w:b/>
                <w:bCs/>
                <w:sz w:val="20"/>
                <w:szCs w:val="20"/>
              </w:rPr>
              <w:t>Rpts</w:t>
            </w:r>
          </w:p>
        </w:tc>
        <w:tc>
          <w:tcPr>
            <w:tcW w:w="1831" w:type="dxa"/>
            <w:vAlign w:val="center"/>
          </w:tcPr>
          <w:p w14:paraId="0F6D38CB" w14:textId="77777777" w:rsidR="005F5CC4" w:rsidRPr="00595457" w:rsidRDefault="005F5CC4" w:rsidP="00302D60">
            <w:pPr>
              <w:keepLines/>
              <w:rPr>
                <w:rFonts w:ascii="Arial Narrow" w:hAnsi="Arial Narrow" w:cs="Arial"/>
                <w:b/>
                <w:sz w:val="20"/>
                <w:szCs w:val="20"/>
                <w:lang w:val="fr-FR"/>
              </w:rPr>
            </w:pPr>
            <w:r w:rsidRPr="00595457">
              <w:rPr>
                <w:rFonts w:ascii="Arial Narrow" w:hAnsi="Arial Narrow" w:cs="Arial"/>
                <w:b/>
                <w:sz w:val="20"/>
                <w:szCs w:val="20"/>
              </w:rPr>
              <w:t>Available brands</w:t>
            </w:r>
          </w:p>
        </w:tc>
      </w:tr>
      <w:tr w:rsidR="005F5CC4" w:rsidRPr="00595457" w14:paraId="244B020F" w14:textId="77777777" w:rsidTr="0CEE6DE9">
        <w:trPr>
          <w:cantSplit/>
          <w:trHeight w:val="20"/>
        </w:trPr>
        <w:tc>
          <w:tcPr>
            <w:tcW w:w="9016" w:type="dxa"/>
            <w:gridSpan w:val="7"/>
            <w:vAlign w:val="center"/>
          </w:tcPr>
          <w:p w14:paraId="66674EE8" w14:textId="77777777" w:rsidR="005F5CC4" w:rsidRPr="00595457" w:rsidRDefault="005F5CC4" w:rsidP="00302D60">
            <w:pPr>
              <w:keepLines/>
              <w:rPr>
                <w:rFonts w:ascii="Arial Narrow" w:hAnsi="Arial Narrow" w:cs="Arial"/>
                <w:sz w:val="20"/>
                <w:szCs w:val="20"/>
              </w:rPr>
            </w:pPr>
            <w:r w:rsidRPr="00595457">
              <w:rPr>
                <w:rFonts w:ascii="Arial Narrow" w:hAnsi="Arial Narrow" w:cs="Arial"/>
                <w:sz w:val="20"/>
                <w:szCs w:val="20"/>
              </w:rPr>
              <w:t>INFLIXIMAB</w:t>
            </w:r>
          </w:p>
        </w:tc>
      </w:tr>
      <w:tr w:rsidR="005F5CC4" w:rsidRPr="00595457" w14:paraId="0BF04005" w14:textId="77777777" w:rsidTr="0CEE6DE9">
        <w:trPr>
          <w:cantSplit/>
          <w:trHeight w:val="20"/>
        </w:trPr>
        <w:tc>
          <w:tcPr>
            <w:tcW w:w="3939" w:type="dxa"/>
            <w:gridSpan w:val="2"/>
            <w:vAlign w:val="center"/>
          </w:tcPr>
          <w:p w14:paraId="6C9AC2E0" w14:textId="77777777" w:rsidR="005F5CC4" w:rsidRPr="00595457" w:rsidRDefault="005F5CC4" w:rsidP="00302D60">
            <w:pPr>
              <w:keepLines/>
              <w:rPr>
                <w:rFonts w:ascii="Arial Narrow" w:hAnsi="Arial Narrow" w:cs="Arial"/>
                <w:sz w:val="20"/>
                <w:szCs w:val="20"/>
              </w:rPr>
            </w:pPr>
            <w:r w:rsidRPr="00595457">
              <w:rPr>
                <w:rFonts w:ascii="Arial Narrow" w:hAnsi="Arial Narrow" w:cs="Arial"/>
                <w:sz w:val="20"/>
                <w:szCs w:val="20"/>
              </w:rPr>
              <w:t>infliximab 120 mg/mL injection, 1 mL pen device</w:t>
            </w:r>
          </w:p>
        </w:tc>
        <w:tc>
          <w:tcPr>
            <w:tcW w:w="811" w:type="dxa"/>
            <w:vAlign w:val="center"/>
          </w:tcPr>
          <w:p w14:paraId="08330BE1" w14:textId="799D7C56" w:rsidR="005F5CC4" w:rsidRPr="00595457" w:rsidRDefault="000B603B" w:rsidP="00302D60">
            <w:pPr>
              <w:keepLines/>
              <w:jc w:val="center"/>
              <w:rPr>
                <w:rFonts w:ascii="Arial Narrow" w:hAnsi="Arial Narrow" w:cs="Arial"/>
                <w:sz w:val="20"/>
                <w:szCs w:val="20"/>
              </w:rPr>
            </w:pPr>
            <w:r w:rsidRPr="00595457">
              <w:rPr>
                <w:rFonts w:ascii="Arial Narrow" w:hAnsi="Arial Narrow" w:cs="Arial"/>
                <w:sz w:val="20"/>
                <w:szCs w:val="20"/>
              </w:rPr>
              <w:t>12560C</w:t>
            </w:r>
          </w:p>
        </w:tc>
        <w:tc>
          <w:tcPr>
            <w:tcW w:w="812" w:type="dxa"/>
          </w:tcPr>
          <w:p w14:paraId="295B7DFF" w14:textId="77777777" w:rsidR="005F5CC4" w:rsidRPr="00595457" w:rsidRDefault="005F5CC4"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tcPr>
          <w:p w14:paraId="35FD6F83" w14:textId="77777777" w:rsidR="005F5CC4" w:rsidRPr="00595457" w:rsidRDefault="005F5CC4"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tcPr>
          <w:p w14:paraId="56ABC031" w14:textId="77777777" w:rsidR="005F5CC4" w:rsidRPr="00595457" w:rsidRDefault="005F5CC4" w:rsidP="00302D60">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15F8FC35" w14:textId="77777777" w:rsidR="005F5CC4" w:rsidRPr="00595457" w:rsidRDefault="799A08DE" w:rsidP="0CEE6DE9">
            <w:pPr>
              <w:keepLines/>
              <w:rPr>
                <w:rFonts w:ascii="Arial Narrow" w:hAnsi="Arial Narrow" w:cs="Arial"/>
                <w:sz w:val="20"/>
                <w:szCs w:val="20"/>
              </w:rPr>
            </w:pPr>
            <w:r w:rsidRPr="00595457">
              <w:rPr>
                <w:rFonts w:ascii="Arial Narrow" w:hAnsi="Arial Narrow" w:cs="Arial"/>
                <w:sz w:val="20"/>
                <w:szCs w:val="20"/>
              </w:rPr>
              <w:t>Remsima SC</w:t>
            </w:r>
          </w:p>
        </w:tc>
      </w:tr>
      <w:tr w:rsidR="005F5CC4" w:rsidRPr="00595457" w14:paraId="14ABAE10" w14:textId="77777777" w:rsidTr="0CEE6DE9">
        <w:trPr>
          <w:cantSplit/>
          <w:trHeight w:val="20"/>
        </w:trPr>
        <w:tc>
          <w:tcPr>
            <w:tcW w:w="3939" w:type="dxa"/>
            <w:gridSpan w:val="2"/>
            <w:vAlign w:val="center"/>
          </w:tcPr>
          <w:p w14:paraId="1AD4AD3A" w14:textId="77777777" w:rsidR="005F5CC4" w:rsidRPr="00595457" w:rsidRDefault="005F5CC4" w:rsidP="00302D60">
            <w:pPr>
              <w:keepLines/>
              <w:rPr>
                <w:rFonts w:ascii="Arial Narrow" w:hAnsi="Arial Narrow" w:cs="Arial"/>
                <w:sz w:val="20"/>
                <w:szCs w:val="20"/>
              </w:rPr>
            </w:pPr>
            <w:r w:rsidRPr="00595457">
              <w:rPr>
                <w:rFonts w:ascii="Arial Narrow" w:hAnsi="Arial Narrow" w:cs="Arial"/>
                <w:sz w:val="20"/>
                <w:szCs w:val="20"/>
              </w:rPr>
              <w:t>infliximab 120 mg/mL injection, 1 mL syringe</w:t>
            </w:r>
          </w:p>
        </w:tc>
        <w:tc>
          <w:tcPr>
            <w:tcW w:w="811" w:type="dxa"/>
            <w:vAlign w:val="center"/>
          </w:tcPr>
          <w:p w14:paraId="6C064064" w14:textId="648667C5" w:rsidR="005F5CC4" w:rsidRPr="00595457" w:rsidRDefault="00B02836" w:rsidP="00302D60">
            <w:pPr>
              <w:keepLines/>
              <w:jc w:val="center"/>
              <w:rPr>
                <w:rFonts w:ascii="Arial Narrow" w:hAnsi="Arial Narrow" w:cs="Arial"/>
                <w:sz w:val="20"/>
                <w:szCs w:val="20"/>
              </w:rPr>
            </w:pPr>
            <w:r w:rsidRPr="00595457">
              <w:rPr>
                <w:rFonts w:ascii="Arial Narrow" w:hAnsi="Arial Narrow" w:cs="Arial"/>
                <w:sz w:val="20"/>
                <w:szCs w:val="20"/>
              </w:rPr>
              <w:t>12586K</w:t>
            </w:r>
          </w:p>
        </w:tc>
        <w:tc>
          <w:tcPr>
            <w:tcW w:w="812" w:type="dxa"/>
            <w:vAlign w:val="center"/>
          </w:tcPr>
          <w:p w14:paraId="46E1309E" w14:textId="77777777" w:rsidR="005F5CC4" w:rsidRPr="00595457" w:rsidRDefault="005F5CC4"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vAlign w:val="center"/>
          </w:tcPr>
          <w:p w14:paraId="4812F3A4" w14:textId="77777777" w:rsidR="005F5CC4" w:rsidRPr="00595457" w:rsidRDefault="005F5CC4"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vAlign w:val="center"/>
          </w:tcPr>
          <w:p w14:paraId="1A19B70B" w14:textId="77777777" w:rsidR="005F5CC4" w:rsidRPr="00595457" w:rsidRDefault="005F5CC4" w:rsidP="00302D60">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678FDA04" w14:textId="77777777" w:rsidR="005F5CC4" w:rsidRPr="00595457" w:rsidRDefault="799A08DE" w:rsidP="0CEE6DE9">
            <w:pPr>
              <w:keepLines/>
              <w:rPr>
                <w:rFonts w:ascii="Arial Narrow" w:hAnsi="Arial Narrow" w:cs="Arial"/>
                <w:sz w:val="20"/>
                <w:szCs w:val="20"/>
              </w:rPr>
            </w:pPr>
            <w:r w:rsidRPr="00595457">
              <w:rPr>
                <w:rFonts w:ascii="Arial Narrow" w:hAnsi="Arial Narrow" w:cs="Arial"/>
                <w:sz w:val="20"/>
                <w:szCs w:val="20"/>
              </w:rPr>
              <w:t>Remsima SC</w:t>
            </w:r>
          </w:p>
        </w:tc>
      </w:tr>
      <w:tr w:rsidR="005F5CC4" w:rsidRPr="00595457" w14:paraId="79C518F7"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94150CA" w14:textId="77777777" w:rsidR="005F5CC4" w:rsidRPr="00595457" w:rsidRDefault="005F5CC4" w:rsidP="00302D60">
            <w:pPr>
              <w:rPr>
                <w:rFonts w:ascii="Arial Narrow" w:hAnsi="Arial Narrow" w:cs="Arial"/>
                <w:sz w:val="20"/>
                <w:szCs w:val="20"/>
              </w:rPr>
            </w:pPr>
          </w:p>
        </w:tc>
      </w:tr>
      <w:tr w:rsidR="005F5CC4" w:rsidRPr="00595457" w14:paraId="6E59DC2C"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95BB5CB" w14:textId="58C7C319" w:rsidR="005F5CC4" w:rsidRPr="00595457" w:rsidRDefault="005F5CC4" w:rsidP="00302D60">
            <w:pPr>
              <w:keepLines/>
              <w:rPr>
                <w:rFonts w:ascii="Arial Narrow" w:hAnsi="Arial Narrow" w:cs="Arial"/>
                <w:b/>
                <w:sz w:val="20"/>
                <w:szCs w:val="20"/>
              </w:rPr>
            </w:pPr>
            <w:r w:rsidRPr="00595457">
              <w:rPr>
                <w:rFonts w:ascii="Arial Narrow" w:hAnsi="Arial Narrow"/>
                <w:b/>
                <w:sz w:val="20"/>
                <w:szCs w:val="20"/>
              </w:rPr>
              <w:t>Restriction Summary / Treatment of Concept:</w:t>
            </w:r>
            <w:r w:rsidR="00412B1F" w:rsidRPr="00595457">
              <w:rPr>
                <w:rFonts w:ascii="Arial Narrow" w:hAnsi="Arial Narrow"/>
                <w:sz w:val="20"/>
                <w:szCs w:val="20"/>
              </w:rPr>
              <w:t xml:space="preserve"> </w:t>
            </w:r>
          </w:p>
        </w:tc>
      </w:tr>
      <w:tr w:rsidR="005F5CC4" w:rsidRPr="00595457" w14:paraId="7DFD39C3" w14:textId="77777777" w:rsidTr="0CEE6DE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860835E" w14:textId="17D7F165" w:rsidR="005F5CC4" w:rsidRPr="00595457" w:rsidRDefault="005F5CC4" w:rsidP="00302D60">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99C5887" w14:textId="77777777" w:rsidR="005F5CC4" w:rsidRPr="00595457" w:rsidRDefault="005F5CC4" w:rsidP="00302D60">
            <w:pPr>
              <w:keepLines/>
              <w:rPr>
                <w:rFonts w:ascii="Arial Narrow" w:hAnsi="Arial Narrow" w:cs="Arial"/>
                <w:sz w:val="20"/>
                <w:szCs w:val="20"/>
              </w:rPr>
            </w:pPr>
            <w:r w:rsidRPr="00595457">
              <w:rPr>
                <w:rFonts w:ascii="Arial Narrow" w:hAnsi="Arial Narrow" w:cs="Arial"/>
                <w:b/>
                <w:sz w:val="20"/>
                <w:szCs w:val="20"/>
              </w:rPr>
              <w:t>Category / Program:</w:t>
            </w:r>
            <w:r w:rsidRPr="00595457">
              <w:rPr>
                <w:rFonts w:ascii="Arial Narrow" w:hAnsi="Arial Narrow" w:cs="Arial"/>
                <w:color w:val="FF0000"/>
                <w:sz w:val="20"/>
                <w:szCs w:val="20"/>
              </w:rPr>
              <w:t xml:space="preserve"> </w:t>
            </w:r>
            <w:r w:rsidRPr="00595457">
              <w:rPr>
                <w:rFonts w:ascii="Arial Narrow" w:eastAsia="Calibri" w:hAnsi="Arial Narrow" w:cs="Arial"/>
                <w:sz w:val="20"/>
                <w:szCs w:val="20"/>
              </w:rPr>
              <w:t xml:space="preserve">GENERAL - General Schedule (Code GE) </w:t>
            </w:r>
          </w:p>
        </w:tc>
      </w:tr>
      <w:tr w:rsidR="005F5CC4" w:rsidRPr="00595457" w14:paraId="48946933"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769DDE74" w14:textId="77777777" w:rsidR="005F5CC4" w:rsidRPr="00595457" w:rsidRDefault="005F5CC4"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16C08A5" w14:textId="77777777" w:rsidR="005F5CC4" w:rsidRPr="00595457" w:rsidRDefault="005F5CC4" w:rsidP="00302D60">
            <w:pPr>
              <w:keepLines/>
              <w:rPr>
                <w:rFonts w:ascii="Arial Narrow" w:hAnsi="Arial Narrow" w:cs="Arial"/>
                <w:b/>
                <w:sz w:val="20"/>
                <w:szCs w:val="20"/>
              </w:rPr>
            </w:pPr>
            <w:r w:rsidRPr="00595457">
              <w:rPr>
                <w:rFonts w:ascii="Arial Narrow" w:hAnsi="Arial Narrow" w:cs="Arial"/>
                <w:b/>
                <w:sz w:val="20"/>
                <w:szCs w:val="20"/>
              </w:rPr>
              <w:t xml:space="preserve">Prescriber type: </w:t>
            </w:r>
            <w:r w:rsidRPr="00595457">
              <w:rPr>
                <w:rFonts w:ascii="Arial Narrow" w:hAnsi="Arial Narrow" w:cs="Arial"/>
                <w:sz w:val="20"/>
                <w:szCs w:val="20"/>
              </w:rPr>
              <w:fldChar w:fldCharType="begin" w:fldLock="1">
                <w:ffData>
                  <w:name w:val=""/>
                  <w:enabled/>
                  <w:calcOnExit w:val="0"/>
                  <w:checkBox>
                    <w:sizeAuto/>
                    <w:default w:val="1"/>
                  </w:checkBox>
                </w:ffData>
              </w:fldChar>
            </w:r>
            <w:r w:rsidRPr="00595457">
              <w:rPr>
                <w:rFonts w:ascii="Arial Narrow" w:hAnsi="Arial Narrow" w:cs="Arial"/>
                <w:sz w:val="20"/>
                <w:szCs w:val="20"/>
              </w:rPr>
              <w:instrText xml:space="preserve"> FORMCHECKBOX </w:instrText>
            </w:r>
            <w:r w:rsidRPr="00595457">
              <w:rPr>
                <w:rFonts w:ascii="Arial Narrow" w:hAnsi="Arial Narrow" w:cs="Arial"/>
                <w:sz w:val="20"/>
                <w:szCs w:val="20"/>
              </w:rPr>
            </w:r>
            <w:r w:rsidRPr="00595457">
              <w:rPr>
                <w:rFonts w:ascii="Arial Narrow" w:hAnsi="Arial Narrow" w:cs="Arial"/>
                <w:sz w:val="20"/>
                <w:szCs w:val="20"/>
              </w:rPr>
              <w:fldChar w:fldCharType="separate"/>
            </w:r>
            <w:r w:rsidRPr="00595457">
              <w:rPr>
                <w:rFonts w:ascii="Arial Narrow" w:hAnsi="Arial Narrow" w:cs="Arial"/>
                <w:sz w:val="20"/>
                <w:szCs w:val="20"/>
              </w:rPr>
              <w:fldChar w:fldCharType="end"/>
            </w:r>
            <w:r w:rsidRPr="00595457">
              <w:rPr>
                <w:rFonts w:ascii="Arial Narrow" w:hAnsi="Arial Narrow" w:cs="Arial"/>
                <w:sz w:val="20"/>
                <w:szCs w:val="20"/>
              </w:rPr>
              <w:t xml:space="preserve">Medical Practitioners </w:t>
            </w:r>
          </w:p>
        </w:tc>
      </w:tr>
      <w:tr w:rsidR="005F5CC4" w:rsidRPr="00595457" w14:paraId="508A3CEE"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00949968" w14:textId="77777777" w:rsidR="005F5CC4" w:rsidRPr="00595457" w:rsidRDefault="005F5CC4"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FCDD005" w14:textId="77777777" w:rsidR="005F5CC4" w:rsidRPr="00595457" w:rsidRDefault="005F5CC4" w:rsidP="00302D60">
            <w:pPr>
              <w:keepLines/>
              <w:rPr>
                <w:rFonts w:ascii="Arial Narrow" w:hAnsi="Arial Narrow" w:cs="Arial"/>
                <w:b/>
                <w:sz w:val="20"/>
                <w:szCs w:val="20"/>
              </w:rPr>
            </w:pPr>
            <w:r w:rsidRPr="00595457">
              <w:rPr>
                <w:rFonts w:ascii="Arial Narrow" w:hAnsi="Arial Narrow" w:cs="Arial"/>
                <w:b/>
                <w:sz w:val="20"/>
                <w:szCs w:val="20"/>
              </w:rPr>
              <w:t xml:space="preserve">Restriction type: </w:t>
            </w:r>
          </w:p>
          <w:p w14:paraId="75B23438" w14:textId="669DECC1" w:rsidR="005F5CC4" w:rsidRPr="00595457" w:rsidRDefault="005F5CC4" w:rsidP="00302D60">
            <w:pPr>
              <w:keepLines/>
              <w:jc w:val="left"/>
              <w:rPr>
                <w:rFonts w:ascii="Arial Narrow" w:eastAsia="Calibri" w:hAnsi="Arial Narrow" w:cs="Arial"/>
                <w:color w:val="FF0000"/>
                <w:sz w:val="20"/>
                <w:szCs w:val="20"/>
              </w:rPr>
            </w:pPr>
            <w:r w:rsidRPr="00595457">
              <w:rPr>
                <w:rFonts w:ascii="Arial Narrow" w:eastAsia="Calibri" w:hAnsi="Arial Narrow" w:cs="Arial"/>
                <w:sz w:val="20"/>
                <w:szCs w:val="20"/>
              </w:rPr>
              <w:fldChar w:fldCharType="begin" w:fldLock="1">
                <w:ffData>
                  <w:name w:val=""/>
                  <w:enabled/>
                  <w:calcOnExit w:val="0"/>
                  <w:checkBox>
                    <w:sizeAuto/>
                    <w:default w:val="1"/>
                  </w:checkBox>
                </w:ffData>
              </w:fldChar>
            </w:r>
            <w:r w:rsidRPr="00595457">
              <w:rPr>
                <w:rFonts w:ascii="Arial Narrow" w:eastAsia="Calibri" w:hAnsi="Arial Narrow" w:cs="Arial"/>
                <w:sz w:val="20"/>
                <w:szCs w:val="20"/>
              </w:rPr>
              <w:instrText xml:space="preserve"> FORMCHECKBOX </w:instrText>
            </w:r>
            <w:r w:rsidRPr="00595457">
              <w:rPr>
                <w:rFonts w:ascii="Arial Narrow" w:eastAsia="Calibri" w:hAnsi="Arial Narrow" w:cs="Arial"/>
                <w:sz w:val="20"/>
                <w:szCs w:val="20"/>
              </w:rPr>
            </w:r>
            <w:r w:rsidRPr="00595457">
              <w:rPr>
                <w:rFonts w:ascii="Arial Narrow" w:eastAsia="Calibri" w:hAnsi="Arial Narrow" w:cs="Arial"/>
                <w:sz w:val="20"/>
                <w:szCs w:val="20"/>
              </w:rPr>
              <w:fldChar w:fldCharType="separate"/>
            </w:r>
            <w:r w:rsidRPr="00595457">
              <w:rPr>
                <w:rFonts w:ascii="Arial Narrow" w:eastAsia="Calibri" w:hAnsi="Arial Narrow" w:cs="Arial"/>
                <w:sz w:val="20"/>
                <w:szCs w:val="20"/>
              </w:rPr>
              <w:fldChar w:fldCharType="end"/>
            </w:r>
            <w:r w:rsidRPr="00595457">
              <w:rPr>
                <w:rFonts w:ascii="Arial Narrow" w:eastAsia="Calibri" w:hAnsi="Arial Narrow" w:cs="Arial"/>
                <w:i/>
                <w:iCs/>
                <w:sz w:val="20"/>
                <w:szCs w:val="20"/>
              </w:rPr>
              <w:t>Authority Required (Streamlined)</w:t>
            </w:r>
            <w:r w:rsidRPr="00595457">
              <w:rPr>
                <w:rFonts w:ascii="Arial Narrow" w:eastAsia="Calibri" w:hAnsi="Arial Narrow" w:cs="Arial"/>
                <w:sz w:val="20"/>
                <w:szCs w:val="20"/>
              </w:rPr>
              <w:t xml:space="preserve"> </w:t>
            </w:r>
            <w:r w:rsidRPr="00595457">
              <w:rPr>
                <w:rFonts w:ascii="Arial Narrow" w:eastAsia="Calibri" w:hAnsi="Arial Narrow" w:cs="Arial"/>
                <w:color w:val="FF0000"/>
                <w:sz w:val="20"/>
                <w:szCs w:val="20"/>
              </w:rPr>
              <w:br/>
            </w:r>
            <w:r w:rsidRPr="00595457">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595457">
              <w:rPr>
                <w:rFonts w:ascii="Arial Narrow" w:eastAsia="Calibri" w:hAnsi="Arial Narrow" w:cs="Arial"/>
                <w:strike/>
                <w:sz w:val="20"/>
                <w:szCs w:val="20"/>
              </w:rPr>
              <w:instrText xml:space="preserve"> FORMCHECKBOX </w:instrText>
            </w:r>
            <w:r w:rsidRPr="00595457">
              <w:rPr>
                <w:rFonts w:ascii="Arial Narrow" w:eastAsia="Calibri" w:hAnsi="Arial Narrow" w:cs="Arial"/>
                <w:strike/>
                <w:sz w:val="20"/>
                <w:szCs w:val="20"/>
              </w:rPr>
            </w:r>
            <w:r w:rsidRPr="00595457">
              <w:rPr>
                <w:rFonts w:ascii="Arial Narrow" w:eastAsia="Calibri" w:hAnsi="Arial Narrow" w:cs="Arial"/>
                <w:strike/>
                <w:sz w:val="20"/>
                <w:szCs w:val="20"/>
              </w:rPr>
              <w:fldChar w:fldCharType="separate"/>
            </w:r>
            <w:r w:rsidRPr="00595457">
              <w:rPr>
                <w:rFonts w:ascii="Arial Narrow" w:eastAsia="Calibri" w:hAnsi="Arial Narrow" w:cs="Arial"/>
                <w:strike/>
                <w:sz w:val="20"/>
                <w:szCs w:val="20"/>
              </w:rPr>
              <w:fldChar w:fldCharType="end"/>
            </w:r>
            <w:r w:rsidRPr="00595457">
              <w:rPr>
                <w:rFonts w:ascii="Arial Narrow" w:eastAsia="Calibri" w:hAnsi="Arial Narrow" w:cs="Arial"/>
                <w:strike/>
                <w:sz w:val="20"/>
                <w:szCs w:val="20"/>
              </w:rPr>
              <w:t>Authority Required (</w:t>
            </w:r>
            <w:r w:rsidR="00D72791" w:rsidRPr="00595457">
              <w:rPr>
                <w:rFonts w:ascii="Arial Narrow" w:eastAsia="Calibri" w:hAnsi="Arial Narrow" w:cs="Arial"/>
                <w:strike/>
                <w:sz w:val="20"/>
                <w:szCs w:val="20"/>
              </w:rPr>
              <w:t>in writing only via post/HPOS upload</w:t>
            </w:r>
            <w:r w:rsidRPr="00595457">
              <w:rPr>
                <w:rFonts w:ascii="Arial Narrow" w:eastAsia="Calibri" w:hAnsi="Arial Narrow" w:cs="Arial"/>
                <w:strike/>
                <w:sz w:val="20"/>
                <w:szCs w:val="20"/>
              </w:rPr>
              <w:t xml:space="preserve">) </w:t>
            </w:r>
          </w:p>
        </w:tc>
      </w:tr>
      <w:tr w:rsidR="005F5CC4" w:rsidRPr="00595457" w14:paraId="4DBD76E8" w14:textId="77777777" w:rsidTr="00365FCC">
        <w:tblPrEx>
          <w:tblCellMar>
            <w:top w:w="15" w:type="dxa"/>
            <w:bottom w:w="15" w:type="dxa"/>
          </w:tblCellMar>
        </w:tblPrEx>
        <w:trPr>
          <w:cantSplit/>
          <w:trHeight w:val="20"/>
        </w:trPr>
        <w:tc>
          <w:tcPr>
            <w:tcW w:w="1271" w:type="dxa"/>
            <w:vAlign w:val="center"/>
          </w:tcPr>
          <w:p w14:paraId="62506893" w14:textId="52546DBC" w:rsidR="005F5CC4" w:rsidRPr="00595457" w:rsidRDefault="005F5CC4" w:rsidP="00302D60">
            <w:pPr>
              <w:keepLines/>
              <w:jc w:val="center"/>
              <w:rPr>
                <w:rFonts w:ascii="Arial Narrow" w:hAnsi="Arial Narrow"/>
                <w:sz w:val="20"/>
                <w:szCs w:val="20"/>
              </w:rPr>
            </w:pPr>
          </w:p>
        </w:tc>
        <w:tc>
          <w:tcPr>
            <w:tcW w:w="7745" w:type="dxa"/>
            <w:gridSpan w:val="6"/>
            <w:vAlign w:val="center"/>
            <w:hideMark/>
          </w:tcPr>
          <w:p w14:paraId="41C8C1BE" w14:textId="349779BB" w:rsidR="005F5CC4" w:rsidRPr="00595457" w:rsidRDefault="005F5CC4" w:rsidP="00302D60">
            <w:pPr>
              <w:keepLines/>
              <w:rPr>
                <w:rFonts w:ascii="Arial Narrow" w:hAnsi="Arial Narrow"/>
                <w:color w:val="333333"/>
                <w:sz w:val="20"/>
                <w:szCs w:val="20"/>
              </w:rPr>
            </w:pPr>
            <w:r w:rsidRPr="00595457">
              <w:rPr>
                <w:rFonts w:ascii="Arial Narrow" w:hAnsi="Arial Narrow"/>
                <w:b/>
                <w:bCs/>
                <w:sz w:val="20"/>
                <w:szCs w:val="20"/>
              </w:rPr>
              <w:t>Indication:</w:t>
            </w:r>
            <w:r w:rsidRPr="00595457">
              <w:rPr>
                <w:rFonts w:ascii="Arial Narrow" w:hAnsi="Arial Narrow"/>
                <w:sz w:val="20"/>
                <w:szCs w:val="20"/>
              </w:rPr>
              <w:t xml:space="preserve"> </w:t>
            </w:r>
            <w:r w:rsidR="00A15419" w:rsidRPr="00595457">
              <w:rPr>
                <w:rFonts w:ascii="Arial Narrow" w:hAnsi="Arial Narrow"/>
                <w:sz w:val="20"/>
                <w:szCs w:val="20"/>
              </w:rPr>
              <w:t>Severe Crohn disease</w:t>
            </w:r>
          </w:p>
        </w:tc>
      </w:tr>
      <w:tr w:rsidR="005F5CC4" w:rsidRPr="00595457" w14:paraId="1F71860E" w14:textId="77777777" w:rsidTr="00365FCC">
        <w:tblPrEx>
          <w:tblCellMar>
            <w:top w:w="15" w:type="dxa"/>
            <w:bottom w:w="15" w:type="dxa"/>
          </w:tblCellMar>
        </w:tblPrEx>
        <w:trPr>
          <w:cantSplit/>
          <w:trHeight w:val="20"/>
        </w:trPr>
        <w:tc>
          <w:tcPr>
            <w:tcW w:w="1271" w:type="dxa"/>
            <w:vAlign w:val="center"/>
          </w:tcPr>
          <w:p w14:paraId="788776CC" w14:textId="77777777" w:rsidR="005F5CC4" w:rsidRPr="00595457" w:rsidRDefault="005F5CC4" w:rsidP="00302D60">
            <w:pPr>
              <w:jc w:val="center"/>
              <w:rPr>
                <w:rFonts w:ascii="Arial Narrow" w:hAnsi="Arial Narrow"/>
                <w:sz w:val="20"/>
                <w:szCs w:val="20"/>
              </w:rPr>
            </w:pPr>
          </w:p>
        </w:tc>
        <w:tc>
          <w:tcPr>
            <w:tcW w:w="7745" w:type="dxa"/>
            <w:gridSpan w:val="6"/>
            <w:vAlign w:val="center"/>
            <w:hideMark/>
          </w:tcPr>
          <w:p w14:paraId="7FE56C1D" w14:textId="77777777" w:rsidR="005F5CC4" w:rsidRPr="00595457" w:rsidRDefault="005F5CC4" w:rsidP="00302D60">
            <w:pPr>
              <w:rPr>
                <w:rFonts w:ascii="Arial Narrow" w:hAnsi="Arial Narrow"/>
                <w:sz w:val="20"/>
                <w:szCs w:val="20"/>
              </w:rPr>
            </w:pPr>
            <w:r w:rsidRPr="00595457">
              <w:rPr>
                <w:rFonts w:ascii="Arial Narrow" w:hAnsi="Arial Narrow"/>
                <w:b/>
                <w:bCs/>
                <w:sz w:val="20"/>
                <w:szCs w:val="20"/>
              </w:rPr>
              <w:t>Treatment Phase:</w:t>
            </w:r>
            <w:r w:rsidRPr="00595457">
              <w:rPr>
                <w:rFonts w:ascii="Arial Narrow" w:hAnsi="Arial Narrow"/>
                <w:sz w:val="20"/>
                <w:szCs w:val="20"/>
              </w:rPr>
              <w:t xml:space="preserve"> Continuing treatment with subcutaneous form or switching from intravenous form to subcutaneous form</w:t>
            </w:r>
          </w:p>
        </w:tc>
      </w:tr>
      <w:tr w:rsidR="00FC2186" w:rsidRPr="00595457" w14:paraId="4BBBF0ED"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9D84C52" w14:textId="71C8044A" w:rsidR="00FC2186" w:rsidRPr="00595457" w:rsidRDefault="00FC2186" w:rsidP="00FC2186">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9F4D0DC" w14:textId="77777777" w:rsidR="00FC2186" w:rsidRPr="00595457" w:rsidRDefault="00FC2186" w:rsidP="00FC2186">
            <w:pPr>
              <w:rPr>
                <w:rFonts w:ascii="Arial Narrow" w:hAnsi="Arial Narrow"/>
                <w:b/>
                <w:bCs/>
                <w:strike/>
                <w:sz w:val="20"/>
                <w:szCs w:val="20"/>
              </w:rPr>
            </w:pPr>
            <w:r w:rsidRPr="00595457">
              <w:rPr>
                <w:rFonts w:ascii="Arial Narrow" w:hAnsi="Arial Narrow"/>
                <w:b/>
                <w:bCs/>
                <w:strike/>
                <w:sz w:val="20"/>
                <w:szCs w:val="20"/>
              </w:rPr>
              <w:t>Prescribing Instructions:</w:t>
            </w:r>
          </w:p>
          <w:p w14:paraId="1FFD776B" w14:textId="77777777" w:rsidR="00FC2186" w:rsidRPr="00595457" w:rsidRDefault="00FC2186" w:rsidP="00FC2186">
            <w:pPr>
              <w:rPr>
                <w:rFonts w:ascii="Arial Narrow" w:hAnsi="Arial Narrow"/>
                <w:strike/>
                <w:sz w:val="20"/>
                <w:szCs w:val="20"/>
              </w:rPr>
            </w:pPr>
            <w:r w:rsidRPr="00595457">
              <w:rPr>
                <w:rFonts w:ascii="Arial Narrow" w:hAnsi="Arial Narrow"/>
                <w:strike/>
                <w:sz w:val="20"/>
                <w:szCs w:val="20"/>
              </w:rPr>
              <w:t>Applications for authorisation must be made in writing and must include:</w:t>
            </w:r>
          </w:p>
          <w:p w14:paraId="59DB0223" w14:textId="77777777" w:rsidR="00FC2186" w:rsidRPr="00595457" w:rsidRDefault="00FC2186" w:rsidP="00FC2186">
            <w:pPr>
              <w:rPr>
                <w:rFonts w:ascii="Arial Narrow" w:hAnsi="Arial Narrow"/>
                <w:strike/>
                <w:sz w:val="20"/>
                <w:szCs w:val="20"/>
              </w:rPr>
            </w:pPr>
            <w:r w:rsidRPr="00595457">
              <w:rPr>
                <w:rFonts w:ascii="Arial Narrow" w:hAnsi="Arial Narrow"/>
                <w:strike/>
                <w:sz w:val="20"/>
                <w:szCs w:val="20"/>
              </w:rPr>
              <w:t>(a) a completed authority prescription form; and</w:t>
            </w:r>
          </w:p>
          <w:p w14:paraId="41EDD062" w14:textId="77777777" w:rsidR="00FC2186" w:rsidRPr="00595457" w:rsidRDefault="00FC2186" w:rsidP="00FC2186">
            <w:pPr>
              <w:rPr>
                <w:rFonts w:ascii="Arial Narrow" w:hAnsi="Arial Narrow"/>
                <w:strike/>
                <w:sz w:val="20"/>
                <w:szCs w:val="20"/>
              </w:rPr>
            </w:pPr>
            <w:r w:rsidRPr="00595457">
              <w:rPr>
                <w:rFonts w:ascii="Arial Narrow" w:hAnsi="Arial Narrow"/>
                <w:strike/>
                <w:sz w:val="20"/>
                <w:szCs w:val="20"/>
              </w:rPr>
              <w:t>(b) a completed Crohn Disease PBS Authority Application - Supporting Information Form which includes the following:</w:t>
            </w:r>
          </w:p>
          <w:p w14:paraId="5B600702" w14:textId="77777777" w:rsidR="00FC2186" w:rsidRPr="00595457" w:rsidRDefault="025792D8" w:rsidP="0CEE6DE9">
            <w:pPr>
              <w:rPr>
                <w:rFonts w:ascii="Arial Narrow" w:hAnsi="Arial Narrow"/>
                <w:strike/>
                <w:sz w:val="20"/>
                <w:szCs w:val="20"/>
              </w:rPr>
            </w:pPr>
            <w:r w:rsidRPr="00595457">
              <w:rPr>
                <w:rFonts w:ascii="Arial Narrow" w:hAnsi="Arial Narrow"/>
                <w:strike/>
                <w:sz w:val="20"/>
                <w:szCs w:val="20"/>
              </w:rPr>
              <w:t>(</w:t>
            </w:r>
            <w:proofErr w:type="spellStart"/>
            <w:r w:rsidRPr="00595457">
              <w:rPr>
                <w:rFonts w:ascii="Arial Narrow" w:hAnsi="Arial Narrow"/>
                <w:strike/>
                <w:sz w:val="20"/>
                <w:szCs w:val="20"/>
              </w:rPr>
              <w:t>i</w:t>
            </w:r>
            <w:proofErr w:type="spellEnd"/>
            <w:r w:rsidRPr="00595457">
              <w:rPr>
                <w:rFonts w:ascii="Arial Narrow" w:hAnsi="Arial Narrow"/>
                <w:strike/>
                <w:sz w:val="20"/>
                <w:szCs w:val="20"/>
              </w:rPr>
              <w:t>) the completed Crohn Disease Activity Index (CDAI) Score calculation sheet including the date of the assessment of the patient's condition, if relevant; or</w:t>
            </w:r>
          </w:p>
          <w:p w14:paraId="0DF9B58A" w14:textId="77777777" w:rsidR="00FC2186" w:rsidRPr="00595457" w:rsidRDefault="025792D8" w:rsidP="0CEE6DE9">
            <w:pPr>
              <w:rPr>
                <w:rFonts w:ascii="Arial Narrow" w:hAnsi="Arial Narrow"/>
                <w:strike/>
                <w:sz w:val="20"/>
                <w:szCs w:val="20"/>
              </w:rPr>
            </w:pPr>
            <w:r w:rsidRPr="00595457">
              <w:rPr>
                <w:rFonts w:ascii="Arial Narrow" w:hAnsi="Arial Narrow"/>
                <w:strike/>
                <w:sz w:val="20"/>
                <w:szCs w:val="20"/>
              </w:rPr>
              <w:t>(ii) the reports and dates of the pathology test or diagnostic imaging test(s) used to assess response to therapy for patients with short gut syndrome, extensive small intestine disease or an ostomy, if relevant; and</w:t>
            </w:r>
          </w:p>
          <w:p w14:paraId="3FB6327E" w14:textId="77777777" w:rsidR="00FC2186" w:rsidRPr="00595457" w:rsidRDefault="00FC2186" w:rsidP="00FC2186">
            <w:pPr>
              <w:rPr>
                <w:rFonts w:ascii="Arial Narrow" w:hAnsi="Arial Narrow"/>
                <w:b/>
                <w:bCs/>
                <w:strike/>
                <w:sz w:val="20"/>
                <w:szCs w:val="20"/>
              </w:rPr>
            </w:pPr>
            <w:r w:rsidRPr="00595457">
              <w:rPr>
                <w:rFonts w:ascii="Arial Narrow" w:hAnsi="Arial Narrow"/>
                <w:strike/>
                <w:sz w:val="20"/>
                <w:szCs w:val="20"/>
              </w:rPr>
              <w:t>(iii) the date of clinical assessment.</w:t>
            </w:r>
          </w:p>
        </w:tc>
      </w:tr>
      <w:tr w:rsidR="00FC2186" w:rsidRPr="00595457" w14:paraId="311BF7AB"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416962F" w14:textId="7CB3AA62" w:rsidR="00FC2186" w:rsidRPr="00595457" w:rsidRDefault="00FC2186" w:rsidP="00FC2186">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18C33A1" w14:textId="77777777" w:rsidR="00FC2186" w:rsidRPr="00595457" w:rsidRDefault="00FC2186" w:rsidP="00FC2186">
            <w:pPr>
              <w:rPr>
                <w:rFonts w:ascii="Arial Narrow" w:hAnsi="Arial Narrow"/>
                <w:b/>
                <w:bCs/>
                <w:strike/>
                <w:sz w:val="20"/>
                <w:szCs w:val="20"/>
              </w:rPr>
            </w:pPr>
            <w:r w:rsidRPr="00595457">
              <w:rPr>
                <w:rFonts w:ascii="Arial Narrow" w:hAnsi="Arial Narrow"/>
                <w:b/>
                <w:bCs/>
                <w:strike/>
                <w:sz w:val="20"/>
                <w:szCs w:val="20"/>
              </w:rPr>
              <w:t>Prescribing Instructions:</w:t>
            </w:r>
          </w:p>
          <w:p w14:paraId="2AA5AE49" w14:textId="77777777" w:rsidR="00FC2186" w:rsidRPr="00595457" w:rsidRDefault="00FC2186" w:rsidP="00FC2186">
            <w:pPr>
              <w:rPr>
                <w:rFonts w:ascii="Arial Narrow" w:hAnsi="Arial Narrow"/>
                <w:strike/>
                <w:sz w:val="20"/>
                <w:szCs w:val="20"/>
              </w:rPr>
            </w:pPr>
            <w:r w:rsidRPr="00595457">
              <w:rPr>
                <w:rFonts w:ascii="Arial Narrow" w:hAnsi="Arial Narrow"/>
                <w:strike/>
                <w:sz w:val="20"/>
                <w:szCs w:val="20"/>
              </w:rPr>
              <w:t>An application for the continuing treatment must be accompanied with the assessment of response conducted up to 12 weeks of therapy and no later than 4 weeks from the date of completion of treatment. This will enable ongoing treatment for those who meet the continuing restriction for PBS-subsidised treatment.</w:t>
            </w:r>
          </w:p>
        </w:tc>
      </w:tr>
      <w:tr w:rsidR="00FC2186" w:rsidRPr="00595457" w14:paraId="54F40701"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8F92A19" w14:textId="139C6FEF" w:rsidR="00FC2186" w:rsidRPr="00595457" w:rsidRDefault="00FC2186" w:rsidP="00FC2186">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9D0C5CB" w14:textId="77777777" w:rsidR="00FC2186" w:rsidRPr="00595457" w:rsidRDefault="00FC2186" w:rsidP="00FC2186">
            <w:pPr>
              <w:rPr>
                <w:rFonts w:ascii="Arial Narrow" w:hAnsi="Arial Narrow"/>
                <w:b/>
                <w:bCs/>
                <w:sz w:val="20"/>
                <w:szCs w:val="20"/>
              </w:rPr>
            </w:pPr>
            <w:r w:rsidRPr="00595457">
              <w:rPr>
                <w:rFonts w:ascii="Arial Narrow" w:hAnsi="Arial Narrow"/>
                <w:b/>
                <w:bCs/>
                <w:sz w:val="20"/>
                <w:szCs w:val="20"/>
              </w:rPr>
              <w:t>Prescribing Instructions:</w:t>
            </w:r>
          </w:p>
          <w:p w14:paraId="4940C5E0" w14:textId="77777777" w:rsidR="00FC2186" w:rsidRPr="00595457" w:rsidRDefault="025792D8" w:rsidP="0CEE6DE9">
            <w:pPr>
              <w:rPr>
                <w:rFonts w:ascii="Arial Narrow" w:hAnsi="Arial Narrow"/>
                <w:sz w:val="20"/>
                <w:szCs w:val="20"/>
              </w:rPr>
            </w:pPr>
            <w:r w:rsidRPr="00595457">
              <w:rPr>
                <w:rFonts w:ascii="Arial Narrow" w:hAnsi="Arial Narrow"/>
                <w:sz w:val="20"/>
                <w:szCs w:val="20"/>
              </w:rPr>
              <w:t>The patient remains eligible to receive continuing treatment with the same biological medicine in courses of up to 24 weeks providing they continue to sustain an adequate response. It is recommended that a patient be reviewed within 4 weeks prior to completing their current course of treatment.</w:t>
            </w:r>
          </w:p>
        </w:tc>
      </w:tr>
      <w:tr w:rsidR="00FC2186" w:rsidRPr="00595457" w14:paraId="2AD87DBD"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0BD8908" w14:textId="737EE0E3" w:rsidR="00FC2186" w:rsidRPr="00595457" w:rsidRDefault="00FC2186" w:rsidP="00FC2186">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23EBF4F" w14:textId="77777777" w:rsidR="00FC2186" w:rsidRPr="00595457" w:rsidRDefault="00FC2186" w:rsidP="00FC2186">
            <w:pPr>
              <w:rPr>
                <w:rFonts w:ascii="Arial Narrow" w:hAnsi="Arial Narrow"/>
                <w:b/>
                <w:bCs/>
                <w:strike/>
                <w:sz w:val="20"/>
                <w:szCs w:val="20"/>
              </w:rPr>
            </w:pPr>
            <w:r w:rsidRPr="00595457">
              <w:rPr>
                <w:rFonts w:ascii="Arial Narrow" w:hAnsi="Arial Narrow"/>
                <w:b/>
                <w:bCs/>
                <w:strike/>
                <w:sz w:val="20"/>
                <w:szCs w:val="20"/>
              </w:rPr>
              <w:t>Prescribing Instructions:</w:t>
            </w:r>
          </w:p>
          <w:p w14:paraId="6C3E3DDF" w14:textId="77777777" w:rsidR="00FC2186" w:rsidRPr="00595457" w:rsidRDefault="025792D8" w:rsidP="0CEE6DE9">
            <w:pPr>
              <w:rPr>
                <w:rFonts w:ascii="Arial Narrow" w:hAnsi="Arial Narrow"/>
                <w:strike/>
                <w:sz w:val="20"/>
                <w:szCs w:val="20"/>
              </w:rPr>
            </w:pPr>
            <w:r w:rsidRPr="00595457">
              <w:rPr>
                <w:rFonts w:ascii="Arial Narrow" w:hAnsi="Arial Narrow"/>
                <w:strike/>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FC2186" w:rsidRPr="00595457" w14:paraId="47F75E1B"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E5C7A86" w14:textId="65866617" w:rsidR="00FC2186" w:rsidRPr="00595457" w:rsidRDefault="00FC2186" w:rsidP="00FC2186">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D54FBB" w14:textId="77777777" w:rsidR="00FC2186" w:rsidRPr="00595457" w:rsidRDefault="00FC2186" w:rsidP="00FC2186">
            <w:pPr>
              <w:rPr>
                <w:rFonts w:ascii="Arial Narrow" w:hAnsi="Arial Narrow"/>
                <w:b/>
                <w:bCs/>
                <w:sz w:val="20"/>
                <w:szCs w:val="20"/>
              </w:rPr>
            </w:pPr>
            <w:r w:rsidRPr="00595457">
              <w:rPr>
                <w:rFonts w:ascii="Arial Narrow" w:hAnsi="Arial Narrow"/>
                <w:b/>
                <w:bCs/>
                <w:sz w:val="20"/>
                <w:szCs w:val="20"/>
              </w:rPr>
              <w:t>Prescribing Instructions:</w:t>
            </w:r>
          </w:p>
          <w:p w14:paraId="2E6085BD" w14:textId="77777777" w:rsidR="00FC2186" w:rsidRPr="00595457" w:rsidRDefault="025792D8" w:rsidP="0CEE6DE9">
            <w:pPr>
              <w:rPr>
                <w:rFonts w:ascii="Arial Narrow" w:hAnsi="Arial Narrow"/>
                <w:sz w:val="20"/>
                <w:szCs w:val="20"/>
              </w:rPr>
            </w:pPr>
            <w:r w:rsidRPr="00595457">
              <w:rPr>
                <w:rFonts w:ascii="Arial Narrow" w:hAnsi="Arial Narrow"/>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FC2186" w:rsidRPr="00595457" w14:paraId="0BA58455"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7E1FF5B" w14:textId="7007637C" w:rsidR="00FC2186" w:rsidRPr="00595457" w:rsidRDefault="00FC2186" w:rsidP="00FC2186">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40E4630" w14:textId="77777777" w:rsidR="00FC2186" w:rsidRPr="00595457" w:rsidRDefault="00FC2186" w:rsidP="00FC2186">
            <w:pPr>
              <w:rPr>
                <w:rFonts w:ascii="Arial Narrow" w:hAnsi="Arial Narrow"/>
                <w:b/>
                <w:bCs/>
                <w:sz w:val="20"/>
                <w:szCs w:val="20"/>
              </w:rPr>
            </w:pPr>
            <w:r w:rsidRPr="00595457">
              <w:rPr>
                <w:rFonts w:ascii="Arial Narrow" w:hAnsi="Arial Narrow"/>
                <w:b/>
                <w:bCs/>
                <w:sz w:val="20"/>
                <w:szCs w:val="20"/>
              </w:rPr>
              <w:t>Prescribing Instructions:</w:t>
            </w:r>
          </w:p>
          <w:p w14:paraId="22A76A4B" w14:textId="77777777" w:rsidR="00FC2186" w:rsidRPr="00595457" w:rsidRDefault="00FC2186" w:rsidP="00FC2186">
            <w:pPr>
              <w:rPr>
                <w:rFonts w:ascii="Arial Narrow" w:hAnsi="Arial Narrow"/>
                <w:sz w:val="20"/>
                <w:szCs w:val="20"/>
              </w:rPr>
            </w:pPr>
            <w:r w:rsidRPr="00595457">
              <w:rPr>
                <w:rFonts w:ascii="Arial Narrow" w:hAnsi="Arial Narrow"/>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FC2186" w:rsidRPr="00595457" w14:paraId="54D51A72"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7D2767C" w14:textId="668071CC" w:rsidR="00FC2186" w:rsidRPr="00595457" w:rsidRDefault="00FC2186" w:rsidP="00FC2186">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0186970" w14:textId="77777777" w:rsidR="00FC2186" w:rsidRPr="00595457" w:rsidRDefault="00FC2186" w:rsidP="00FC2186">
            <w:pPr>
              <w:rPr>
                <w:rFonts w:ascii="Arial Narrow" w:hAnsi="Arial Narrow"/>
                <w:b/>
                <w:bCs/>
                <w:strike/>
                <w:sz w:val="20"/>
                <w:szCs w:val="20"/>
              </w:rPr>
            </w:pPr>
            <w:r w:rsidRPr="00595457">
              <w:rPr>
                <w:rFonts w:ascii="Arial Narrow" w:hAnsi="Arial Narrow"/>
                <w:b/>
                <w:bCs/>
                <w:strike/>
                <w:sz w:val="20"/>
                <w:szCs w:val="20"/>
              </w:rPr>
              <w:t>Prescribing Instructions:</w:t>
            </w:r>
          </w:p>
          <w:p w14:paraId="1391A0DE" w14:textId="77777777" w:rsidR="00FC2186" w:rsidRPr="00595457" w:rsidRDefault="025792D8" w:rsidP="0CEE6DE9">
            <w:pPr>
              <w:rPr>
                <w:rFonts w:ascii="Arial Narrow" w:hAnsi="Arial Narrow"/>
                <w:strike/>
                <w:sz w:val="20"/>
                <w:szCs w:val="20"/>
              </w:rPr>
            </w:pPr>
            <w:r w:rsidRPr="00595457">
              <w:rPr>
                <w:rFonts w:ascii="Arial Narrow" w:hAnsi="Arial Narrow"/>
                <w:strike/>
                <w:sz w:val="20"/>
                <w:szCs w:val="20"/>
              </w:rPr>
              <w:t>At the time of the authority application, medical practitioners should request sufficient quantity for up to 24 weeks of treatment under this restriction.</w:t>
            </w:r>
          </w:p>
        </w:tc>
      </w:tr>
      <w:tr w:rsidR="00FC2186" w:rsidRPr="00595457" w14:paraId="007BF544"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E64714B" w14:textId="689A92B9" w:rsidR="00FC2186" w:rsidRPr="00595457" w:rsidRDefault="00FC2186" w:rsidP="00FC2186">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E5AF09C" w14:textId="77777777" w:rsidR="00FC2186" w:rsidRPr="00595457" w:rsidRDefault="00FC2186" w:rsidP="00FC2186">
            <w:pPr>
              <w:rPr>
                <w:rFonts w:ascii="Arial Narrow" w:hAnsi="Arial Narrow"/>
                <w:b/>
                <w:bCs/>
                <w:strike/>
                <w:sz w:val="20"/>
                <w:szCs w:val="20"/>
              </w:rPr>
            </w:pPr>
            <w:r w:rsidRPr="00595457">
              <w:rPr>
                <w:rFonts w:ascii="Arial Narrow" w:hAnsi="Arial Narrow"/>
                <w:b/>
                <w:bCs/>
                <w:strike/>
                <w:sz w:val="20"/>
                <w:szCs w:val="20"/>
              </w:rPr>
              <w:t>Prescribing Instructions:</w:t>
            </w:r>
          </w:p>
          <w:p w14:paraId="41CD6A83" w14:textId="6EB733A1" w:rsidR="00FC2186" w:rsidRPr="00595457" w:rsidRDefault="00FC2186" w:rsidP="00FC2186">
            <w:pPr>
              <w:rPr>
                <w:rFonts w:ascii="Arial Narrow" w:hAnsi="Arial Narrow"/>
                <w:strike/>
                <w:sz w:val="20"/>
                <w:szCs w:val="20"/>
              </w:rPr>
            </w:pPr>
            <w:r w:rsidRPr="00595457">
              <w:rPr>
                <w:rFonts w:ascii="Arial Narrow" w:hAnsi="Arial Narrow"/>
                <w:strike/>
                <w:sz w:val="20"/>
                <w:szCs w:val="20"/>
              </w:rPr>
              <w:t xml:space="preserve">If fewer than 5 repeats are requested at the time of the application, authority approvals for sufficient repeats to complete 24 weeks treatment may be requested by telephone or electronically via the Online PBS Authorities system and authorised through the </w:t>
            </w:r>
            <w:r w:rsidR="00D654B7" w:rsidRPr="00595457">
              <w:rPr>
                <w:rFonts w:ascii="Arial Narrow" w:hAnsi="Arial Narrow"/>
                <w:strike/>
                <w:sz w:val="20"/>
                <w:szCs w:val="20"/>
              </w:rPr>
              <w:t>Balance of supply</w:t>
            </w:r>
            <w:r w:rsidRPr="00595457">
              <w:rPr>
                <w:rFonts w:ascii="Arial Narrow" w:hAnsi="Arial Narrow"/>
                <w:strike/>
                <w:sz w:val="20"/>
                <w:szCs w:val="20"/>
              </w:rPr>
              <w:t xml:space="preserve"> treatment phase PBS restriction. Under no circumstances will immediate assessment approvals be granted for continuing authority applications, or for treatment that would otherwise extend the continuing treatment period.</w:t>
            </w:r>
          </w:p>
        </w:tc>
      </w:tr>
      <w:tr w:rsidR="00FC2186" w:rsidRPr="00595457" w14:paraId="767E08A1"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8C30426" w14:textId="2456D85B" w:rsidR="00FC2186" w:rsidRPr="00595457" w:rsidRDefault="00FC2186" w:rsidP="00FC2186">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83006E" w14:textId="77777777" w:rsidR="00FC2186" w:rsidRPr="00595457" w:rsidRDefault="00FC2186" w:rsidP="00FC2186">
            <w:pPr>
              <w:rPr>
                <w:rFonts w:ascii="Arial Narrow" w:hAnsi="Arial Narrow"/>
                <w:b/>
                <w:bCs/>
                <w:strike/>
                <w:sz w:val="20"/>
                <w:szCs w:val="20"/>
              </w:rPr>
            </w:pPr>
            <w:r w:rsidRPr="00595457">
              <w:rPr>
                <w:rFonts w:ascii="Arial Narrow" w:hAnsi="Arial Narrow"/>
                <w:b/>
                <w:bCs/>
                <w:strike/>
                <w:sz w:val="20"/>
                <w:szCs w:val="20"/>
              </w:rPr>
              <w:t>Administrative Advice:</w:t>
            </w:r>
          </w:p>
          <w:p w14:paraId="58B45D37" w14:textId="77777777" w:rsidR="00FC2186" w:rsidRPr="00595457" w:rsidRDefault="00FC2186" w:rsidP="00FC2186">
            <w:pPr>
              <w:rPr>
                <w:rFonts w:ascii="Arial Narrow" w:hAnsi="Arial Narrow"/>
                <w:strike/>
                <w:sz w:val="20"/>
                <w:szCs w:val="20"/>
              </w:rPr>
            </w:pPr>
            <w:r w:rsidRPr="00595457">
              <w:rPr>
                <w:rFonts w:ascii="Arial Narrow" w:hAnsi="Arial Narrow"/>
                <w:strike/>
                <w:sz w:val="20"/>
                <w:szCs w:val="20"/>
              </w:rPr>
              <w:t>Any queries concerning the arrangements to prescribe may be directed to Services Australia on 1800 700 270 (hours of operation 8 a.m. to 5 p.m. EST Monday to Friday).</w:t>
            </w:r>
          </w:p>
          <w:p w14:paraId="1A68FE58" w14:textId="77777777" w:rsidR="00FC2186" w:rsidRPr="00595457" w:rsidRDefault="00FC2186" w:rsidP="00FC2186">
            <w:pPr>
              <w:rPr>
                <w:rFonts w:ascii="Arial Narrow" w:hAnsi="Arial Narrow"/>
                <w:strike/>
                <w:sz w:val="20"/>
                <w:szCs w:val="20"/>
              </w:rPr>
            </w:pPr>
            <w:r w:rsidRPr="00595457">
              <w:rPr>
                <w:rFonts w:ascii="Arial Narrow" w:hAnsi="Arial Narrow"/>
                <w:strike/>
                <w:sz w:val="20"/>
                <w:szCs w:val="20"/>
              </w:rPr>
              <w:t>Prescribing information (including Authority Application forms and other relevant documentation as applicable) is available on the Services Australia website at www.servicesaustralia.gov.au</w:t>
            </w:r>
          </w:p>
          <w:p w14:paraId="48F23702" w14:textId="77777777" w:rsidR="00FC2186" w:rsidRPr="00595457" w:rsidRDefault="025792D8" w:rsidP="0CEE6DE9">
            <w:pPr>
              <w:rPr>
                <w:rFonts w:ascii="Arial Narrow" w:hAnsi="Arial Narrow"/>
                <w:strike/>
                <w:sz w:val="20"/>
                <w:szCs w:val="20"/>
              </w:rPr>
            </w:pPr>
            <w:r w:rsidRPr="00595457">
              <w:rPr>
                <w:rFonts w:ascii="Arial Narrow" w:hAnsi="Arial Narrow"/>
                <w:strike/>
                <w:sz w:val="20"/>
                <w:szCs w:val="20"/>
              </w:rPr>
              <w:t>Applications for authority to prescribe should be submitted online using the form upload facility in Health Professional Online Services (HPOS) at www.servicesaustralia.gov.au/hpos</w:t>
            </w:r>
          </w:p>
          <w:p w14:paraId="0F3514AE" w14:textId="77777777" w:rsidR="00FC2186" w:rsidRPr="00595457" w:rsidRDefault="00FC2186" w:rsidP="00FC2186">
            <w:pPr>
              <w:rPr>
                <w:rFonts w:ascii="Arial Narrow" w:hAnsi="Arial Narrow"/>
                <w:strike/>
                <w:sz w:val="20"/>
                <w:szCs w:val="20"/>
              </w:rPr>
            </w:pPr>
            <w:r w:rsidRPr="00595457">
              <w:rPr>
                <w:rFonts w:ascii="Arial Narrow" w:hAnsi="Arial Narrow"/>
                <w:strike/>
                <w:sz w:val="20"/>
                <w:szCs w:val="20"/>
              </w:rPr>
              <w:t>Or mailed to:</w:t>
            </w:r>
          </w:p>
          <w:p w14:paraId="02671F99" w14:textId="77777777" w:rsidR="00FC2186" w:rsidRPr="00595457" w:rsidRDefault="00FC2186" w:rsidP="00FC2186">
            <w:pPr>
              <w:rPr>
                <w:rFonts w:ascii="Arial Narrow" w:hAnsi="Arial Narrow"/>
                <w:strike/>
                <w:sz w:val="20"/>
                <w:szCs w:val="20"/>
              </w:rPr>
            </w:pPr>
            <w:r w:rsidRPr="00595457">
              <w:rPr>
                <w:rFonts w:ascii="Arial Narrow" w:hAnsi="Arial Narrow"/>
                <w:strike/>
                <w:sz w:val="20"/>
                <w:szCs w:val="20"/>
              </w:rPr>
              <w:t>Services Australia</w:t>
            </w:r>
          </w:p>
          <w:p w14:paraId="4933CF87" w14:textId="77777777" w:rsidR="00FC2186" w:rsidRPr="00595457" w:rsidRDefault="00FC2186" w:rsidP="00FC2186">
            <w:pPr>
              <w:rPr>
                <w:rFonts w:ascii="Arial Narrow" w:hAnsi="Arial Narrow"/>
                <w:strike/>
                <w:sz w:val="20"/>
                <w:szCs w:val="20"/>
              </w:rPr>
            </w:pPr>
            <w:r w:rsidRPr="00595457">
              <w:rPr>
                <w:rFonts w:ascii="Arial Narrow" w:hAnsi="Arial Narrow"/>
                <w:strike/>
                <w:sz w:val="20"/>
                <w:szCs w:val="20"/>
              </w:rPr>
              <w:t>Complex Drugs</w:t>
            </w:r>
          </w:p>
          <w:p w14:paraId="63AD488F" w14:textId="77777777" w:rsidR="00FC2186" w:rsidRPr="00595457" w:rsidRDefault="00FC2186" w:rsidP="00FC2186">
            <w:pPr>
              <w:rPr>
                <w:rFonts w:ascii="Arial Narrow" w:hAnsi="Arial Narrow"/>
                <w:strike/>
                <w:sz w:val="20"/>
                <w:szCs w:val="20"/>
              </w:rPr>
            </w:pPr>
            <w:r w:rsidRPr="00595457">
              <w:rPr>
                <w:rFonts w:ascii="Arial Narrow" w:hAnsi="Arial Narrow"/>
                <w:strike/>
                <w:sz w:val="20"/>
                <w:szCs w:val="20"/>
              </w:rPr>
              <w:t>Reply Paid 9826</w:t>
            </w:r>
          </w:p>
          <w:p w14:paraId="09C5709E" w14:textId="77777777" w:rsidR="00FC2186" w:rsidRPr="00595457" w:rsidRDefault="00FC2186" w:rsidP="00FC2186">
            <w:pPr>
              <w:rPr>
                <w:rFonts w:ascii="Arial Narrow" w:hAnsi="Arial Narrow"/>
                <w:b/>
                <w:bCs/>
                <w:strike/>
                <w:sz w:val="20"/>
                <w:szCs w:val="20"/>
              </w:rPr>
            </w:pPr>
            <w:r w:rsidRPr="00595457">
              <w:rPr>
                <w:rFonts w:ascii="Arial Narrow" w:hAnsi="Arial Narrow"/>
                <w:strike/>
                <w:sz w:val="20"/>
                <w:szCs w:val="20"/>
              </w:rPr>
              <w:t>HOBART TAS 7001</w:t>
            </w:r>
          </w:p>
        </w:tc>
      </w:tr>
    </w:tbl>
    <w:p w14:paraId="7C667B28" w14:textId="77777777" w:rsidR="003A1F60" w:rsidRDefault="003A1F60" w:rsidP="00365FCC">
      <w:pPr>
        <w:pStyle w:val="TableFigureFooter"/>
        <w:spacing w:after="0"/>
      </w:pPr>
    </w:p>
    <w:p w14:paraId="54A6C01E" w14:textId="5EB90E4D" w:rsidR="00EF3B07" w:rsidRPr="00B37E6C" w:rsidRDefault="00FD7D7A" w:rsidP="00AC2615">
      <w:pPr>
        <w:pStyle w:val="5-SubsectionSubheading"/>
      </w:pPr>
      <w:r w:rsidRPr="00B37E6C">
        <w:t xml:space="preserve">Severe Crohn disease – </w:t>
      </w:r>
      <w:r w:rsidR="002D6874">
        <w:t>b</w:t>
      </w:r>
      <w:r w:rsidR="00FA27C1">
        <w:t xml:space="preserve">alance of </w:t>
      </w:r>
      <w:r w:rsidR="002D6874">
        <w:t>s</w:t>
      </w:r>
      <w:r w:rsidR="00FA27C1">
        <w:t>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Severe Chron disease"/>
        <w:tblDescription w:val="Treatment phase: Balance of supply for Initial treatment, subcutaneous form&#10;Changes to clinical criteria "/>
      </w:tblPr>
      <w:tblGrid>
        <w:gridCol w:w="1271"/>
        <w:gridCol w:w="2668"/>
        <w:gridCol w:w="811"/>
        <w:gridCol w:w="812"/>
        <w:gridCol w:w="811"/>
        <w:gridCol w:w="812"/>
        <w:gridCol w:w="1831"/>
      </w:tblGrid>
      <w:tr w:rsidR="00384EC5" w:rsidRPr="001428E9" w14:paraId="13E95762" w14:textId="77777777" w:rsidTr="0CEE6DE9">
        <w:trPr>
          <w:cantSplit/>
          <w:trHeight w:val="20"/>
        </w:trPr>
        <w:tc>
          <w:tcPr>
            <w:tcW w:w="3939" w:type="dxa"/>
            <w:gridSpan w:val="2"/>
            <w:vAlign w:val="center"/>
          </w:tcPr>
          <w:p w14:paraId="416B4E7D" w14:textId="77777777" w:rsidR="00384EC5" w:rsidRPr="00595457" w:rsidRDefault="00384EC5" w:rsidP="00302D60">
            <w:pPr>
              <w:keepLines/>
              <w:rPr>
                <w:rFonts w:ascii="Arial Narrow" w:hAnsi="Arial Narrow" w:cs="Arial"/>
                <w:b/>
                <w:bCs/>
                <w:sz w:val="20"/>
                <w:szCs w:val="20"/>
              </w:rPr>
            </w:pPr>
            <w:r w:rsidRPr="00595457">
              <w:rPr>
                <w:rFonts w:ascii="Arial Narrow" w:hAnsi="Arial Narrow" w:cs="Arial"/>
                <w:b/>
                <w:bCs/>
                <w:sz w:val="20"/>
                <w:szCs w:val="20"/>
              </w:rPr>
              <w:t>MEDICINAL PRODUCT</w:t>
            </w:r>
          </w:p>
          <w:p w14:paraId="4CAEE541" w14:textId="77777777" w:rsidR="00384EC5" w:rsidRPr="00595457" w:rsidRDefault="00384EC5" w:rsidP="00302D60">
            <w:pPr>
              <w:keepLines/>
              <w:rPr>
                <w:rFonts w:ascii="Arial Narrow" w:hAnsi="Arial Narrow" w:cs="Arial"/>
                <w:b/>
                <w:sz w:val="20"/>
                <w:szCs w:val="20"/>
              </w:rPr>
            </w:pPr>
            <w:r w:rsidRPr="00595457">
              <w:rPr>
                <w:rFonts w:ascii="Arial Narrow" w:hAnsi="Arial Narrow" w:cs="Arial"/>
                <w:b/>
                <w:bCs/>
                <w:sz w:val="20"/>
                <w:szCs w:val="20"/>
              </w:rPr>
              <w:t>medicinal product pack</w:t>
            </w:r>
          </w:p>
        </w:tc>
        <w:tc>
          <w:tcPr>
            <w:tcW w:w="811" w:type="dxa"/>
            <w:vAlign w:val="center"/>
          </w:tcPr>
          <w:p w14:paraId="6C9DD244" w14:textId="77777777" w:rsidR="00384EC5" w:rsidRPr="00595457" w:rsidRDefault="00384EC5" w:rsidP="00302D60">
            <w:pPr>
              <w:keepLines/>
              <w:jc w:val="center"/>
              <w:rPr>
                <w:rFonts w:ascii="Arial Narrow" w:hAnsi="Arial Narrow" w:cs="Arial"/>
                <w:b/>
                <w:sz w:val="20"/>
                <w:szCs w:val="20"/>
              </w:rPr>
            </w:pPr>
            <w:r w:rsidRPr="00595457">
              <w:rPr>
                <w:rFonts w:ascii="Arial Narrow" w:hAnsi="Arial Narrow" w:cs="Arial"/>
                <w:b/>
                <w:sz w:val="20"/>
                <w:szCs w:val="20"/>
              </w:rPr>
              <w:t>PBS item code</w:t>
            </w:r>
          </w:p>
        </w:tc>
        <w:tc>
          <w:tcPr>
            <w:tcW w:w="812" w:type="dxa"/>
            <w:vAlign w:val="center"/>
          </w:tcPr>
          <w:p w14:paraId="7D986ADE" w14:textId="77777777" w:rsidR="00384EC5" w:rsidRPr="00595457" w:rsidRDefault="00384EC5" w:rsidP="00302D60">
            <w:pPr>
              <w:keepLines/>
              <w:jc w:val="center"/>
              <w:rPr>
                <w:rFonts w:ascii="Arial Narrow" w:hAnsi="Arial Narrow" w:cs="Arial"/>
                <w:b/>
                <w:sz w:val="20"/>
                <w:szCs w:val="20"/>
              </w:rPr>
            </w:pPr>
            <w:r w:rsidRPr="00595457">
              <w:rPr>
                <w:rFonts w:ascii="Arial Narrow" w:hAnsi="Arial Narrow" w:cs="Arial"/>
                <w:b/>
                <w:sz w:val="20"/>
                <w:szCs w:val="20"/>
              </w:rPr>
              <w:t>Max. qty packs</w:t>
            </w:r>
          </w:p>
        </w:tc>
        <w:tc>
          <w:tcPr>
            <w:tcW w:w="811" w:type="dxa"/>
            <w:vAlign w:val="center"/>
          </w:tcPr>
          <w:p w14:paraId="5B48C3B4" w14:textId="77777777" w:rsidR="00384EC5" w:rsidRPr="00595457" w:rsidRDefault="00384EC5" w:rsidP="00302D60">
            <w:pPr>
              <w:keepLines/>
              <w:jc w:val="center"/>
              <w:rPr>
                <w:rFonts w:ascii="Arial Narrow" w:hAnsi="Arial Narrow" w:cs="Arial"/>
                <w:b/>
                <w:sz w:val="20"/>
                <w:szCs w:val="20"/>
              </w:rPr>
            </w:pPr>
            <w:r w:rsidRPr="00595457">
              <w:rPr>
                <w:rFonts w:ascii="Arial Narrow" w:hAnsi="Arial Narrow" w:cs="Arial"/>
                <w:b/>
                <w:sz w:val="20"/>
                <w:szCs w:val="20"/>
              </w:rPr>
              <w:t>Max. qty units</w:t>
            </w:r>
          </w:p>
        </w:tc>
        <w:tc>
          <w:tcPr>
            <w:tcW w:w="812" w:type="dxa"/>
            <w:vAlign w:val="center"/>
          </w:tcPr>
          <w:p w14:paraId="1188B060" w14:textId="77777777" w:rsidR="00384EC5" w:rsidRPr="00595457" w:rsidRDefault="039F4750" w:rsidP="0CEE6DE9">
            <w:pPr>
              <w:keepLines/>
              <w:jc w:val="center"/>
              <w:rPr>
                <w:rFonts w:ascii="Arial Narrow" w:hAnsi="Arial Narrow" w:cs="Arial"/>
                <w:b/>
                <w:bCs/>
                <w:sz w:val="20"/>
                <w:szCs w:val="20"/>
              </w:rPr>
            </w:pPr>
            <w:r w:rsidRPr="00595457">
              <w:rPr>
                <w:rFonts w:ascii="Arial Narrow" w:hAnsi="Arial Narrow" w:cs="Arial"/>
                <w:b/>
                <w:bCs/>
                <w:sz w:val="20"/>
                <w:szCs w:val="20"/>
              </w:rPr>
              <w:t>№.of</w:t>
            </w:r>
          </w:p>
          <w:p w14:paraId="43E32080" w14:textId="77777777" w:rsidR="00384EC5" w:rsidRPr="00595457" w:rsidRDefault="039F4750" w:rsidP="0CEE6DE9">
            <w:pPr>
              <w:keepLines/>
              <w:jc w:val="center"/>
              <w:rPr>
                <w:rFonts w:ascii="Arial Narrow" w:hAnsi="Arial Narrow" w:cs="Arial"/>
                <w:b/>
                <w:bCs/>
                <w:sz w:val="20"/>
                <w:szCs w:val="20"/>
              </w:rPr>
            </w:pPr>
            <w:r w:rsidRPr="00595457">
              <w:rPr>
                <w:rFonts w:ascii="Arial Narrow" w:hAnsi="Arial Narrow" w:cs="Arial"/>
                <w:b/>
                <w:bCs/>
                <w:sz w:val="20"/>
                <w:szCs w:val="20"/>
              </w:rPr>
              <w:t>Rpts</w:t>
            </w:r>
          </w:p>
        </w:tc>
        <w:tc>
          <w:tcPr>
            <w:tcW w:w="1831" w:type="dxa"/>
            <w:vAlign w:val="center"/>
          </w:tcPr>
          <w:p w14:paraId="7B62AF3B" w14:textId="77777777" w:rsidR="00384EC5" w:rsidRPr="00595457" w:rsidRDefault="00384EC5" w:rsidP="00302D60">
            <w:pPr>
              <w:keepLines/>
              <w:rPr>
                <w:rFonts w:ascii="Arial Narrow" w:hAnsi="Arial Narrow" w:cs="Arial"/>
                <w:b/>
                <w:sz w:val="20"/>
                <w:szCs w:val="20"/>
                <w:lang w:val="fr-FR"/>
              </w:rPr>
            </w:pPr>
            <w:r w:rsidRPr="00595457">
              <w:rPr>
                <w:rFonts w:ascii="Arial Narrow" w:hAnsi="Arial Narrow" w:cs="Arial"/>
                <w:b/>
                <w:sz w:val="20"/>
                <w:szCs w:val="20"/>
              </w:rPr>
              <w:t>Available brands</w:t>
            </w:r>
          </w:p>
        </w:tc>
      </w:tr>
      <w:tr w:rsidR="00384EC5" w:rsidRPr="001428E9" w14:paraId="55C60FB2" w14:textId="77777777" w:rsidTr="0CEE6DE9">
        <w:trPr>
          <w:cantSplit/>
          <w:trHeight w:val="20"/>
        </w:trPr>
        <w:tc>
          <w:tcPr>
            <w:tcW w:w="9016" w:type="dxa"/>
            <w:gridSpan w:val="7"/>
            <w:vAlign w:val="center"/>
          </w:tcPr>
          <w:p w14:paraId="79CA0245" w14:textId="77777777" w:rsidR="00384EC5" w:rsidRPr="00595457" w:rsidRDefault="00384EC5" w:rsidP="00302D60">
            <w:pPr>
              <w:keepLines/>
              <w:rPr>
                <w:rFonts w:ascii="Arial Narrow" w:hAnsi="Arial Narrow" w:cs="Arial"/>
                <w:sz w:val="20"/>
                <w:szCs w:val="20"/>
              </w:rPr>
            </w:pPr>
            <w:r w:rsidRPr="00595457">
              <w:rPr>
                <w:rFonts w:ascii="Arial Narrow" w:hAnsi="Arial Narrow" w:cs="Arial"/>
                <w:sz w:val="20"/>
                <w:szCs w:val="20"/>
              </w:rPr>
              <w:t>INFLIXIMAB</w:t>
            </w:r>
          </w:p>
        </w:tc>
      </w:tr>
      <w:tr w:rsidR="00384EC5" w:rsidRPr="001428E9" w14:paraId="7FE433FC" w14:textId="77777777" w:rsidTr="0CEE6DE9">
        <w:trPr>
          <w:cantSplit/>
          <w:trHeight w:val="20"/>
        </w:trPr>
        <w:tc>
          <w:tcPr>
            <w:tcW w:w="3939" w:type="dxa"/>
            <w:gridSpan w:val="2"/>
            <w:vAlign w:val="center"/>
          </w:tcPr>
          <w:p w14:paraId="2A54F89B" w14:textId="77777777" w:rsidR="00384EC5" w:rsidRPr="00595457" w:rsidRDefault="00384EC5" w:rsidP="00302D60">
            <w:pPr>
              <w:keepLines/>
              <w:rPr>
                <w:rFonts w:ascii="Arial Narrow" w:hAnsi="Arial Narrow" w:cs="Arial"/>
                <w:sz w:val="20"/>
                <w:szCs w:val="20"/>
              </w:rPr>
            </w:pPr>
            <w:r w:rsidRPr="00595457">
              <w:rPr>
                <w:rFonts w:ascii="Arial Narrow" w:hAnsi="Arial Narrow" w:cs="Arial"/>
                <w:sz w:val="20"/>
                <w:szCs w:val="20"/>
              </w:rPr>
              <w:t>infliximab 120 mg/mL injection, 1 mL pen device</w:t>
            </w:r>
          </w:p>
        </w:tc>
        <w:tc>
          <w:tcPr>
            <w:tcW w:w="811" w:type="dxa"/>
            <w:vAlign w:val="center"/>
          </w:tcPr>
          <w:p w14:paraId="18D21D17" w14:textId="4BEB48DA" w:rsidR="00384EC5" w:rsidRPr="00595457" w:rsidRDefault="00C14D1A" w:rsidP="00302D60">
            <w:pPr>
              <w:keepLines/>
              <w:jc w:val="center"/>
              <w:rPr>
                <w:rFonts w:ascii="Arial Narrow" w:hAnsi="Arial Narrow" w:cs="Arial"/>
                <w:sz w:val="20"/>
                <w:szCs w:val="20"/>
              </w:rPr>
            </w:pPr>
            <w:r w:rsidRPr="00595457">
              <w:rPr>
                <w:rFonts w:ascii="Arial Narrow" w:hAnsi="Arial Narrow" w:cs="Arial"/>
                <w:sz w:val="20"/>
                <w:szCs w:val="20"/>
              </w:rPr>
              <w:t>12567K</w:t>
            </w:r>
          </w:p>
        </w:tc>
        <w:tc>
          <w:tcPr>
            <w:tcW w:w="812" w:type="dxa"/>
          </w:tcPr>
          <w:p w14:paraId="4FB2B978" w14:textId="70B3A187" w:rsidR="00384EC5" w:rsidRPr="00595457" w:rsidRDefault="00C14D1A"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tcPr>
          <w:p w14:paraId="168220B0" w14:textId="1F6693E9" w:rsidR="00384EC5" w:rsidRPr="00595457" w:rsidRDefault="00C14D1A"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tcPr>
          <w:p w14:paraId="192CCF97" w14:textId="77777777" w:rsidR="00384EC5" w:rsidRPr="00595457" w:rsidRDefault="00384EC5" w:rsidP="00302D60">
            <w:pPr>
              <w:keepLines/>
              <w:jc w:val="center"/>
              <w:rPr>
                <w:rFonts w:ascii="Arial Narrow" w:hAnsi="Arial Narrow" w:cs="Arial"/>
                <w:sz w:val="20"/>
                <w:szCs w:val="20"/>
              </w:rPr>
            </w:pPr>
            <w:r w:rsidRPr="00595457">
              <w:rPr>
                <w:rFonts w:ascii="Arial Narrow" w:hAnsi="Arial Narrow" w:cs="Arial"/>
                <w:sz w:val="20"/>
                <w:szCs w:val="20"/>
              </w:rPr>
              <w:t>0</w:t>
            </w:r>
          </w:p>
        </w:tc>
        <w:tc>
          <w:tcPr>
            <w:tcW w:w="1831" w:type="dxa"/>
            <w:vAlign w:val="center"/>
          </w:tcPr>
          <w:p w14:paraId="67248A8D" w14:textId="77777777" w:rsidR="00384EC5" w:rsidRPr="00595457" w:rsidRDefault="039F4750" w:rsidP="0CEE6DE9">
            <w:pPr>
              <w:keepLines/>
              <w:rPr>
                <w:rFonts w:ascii="Arial Narrow" w:hAnsi="Arial Narrow" w:cs="Arial"/>
                <w:sz w:val="20"/>
                <w:szCs w:val="20"/>
              </w:rPr>
            </w:pPr>
            <w:r w:rsidRPr="00595457">
              <w:rPr>
                <w:rFonts w:ascii="Arial Narrow" w:hAnsi="Arial Narrow" w:cs="Arial"/>
                <w:sz w:val="20"/>
                <w:szCs w:val="20"/>
              </w:rPr>
              <w:t>Remsima SC</w:t>
            </w:r>
          </w:p>
        </w:tc>
      </w:tr>
      <w:tr w:rsidR="00384EC5" w:rsidRPr="001428E9" w14:paraId="174859C3" w14:textId="77777777" w:rsidTr="0CEE6DE9">
        <w:trPr>
          <w:cantSplit/>
          <w:trHeight w:val="20"/>
        </w:trPr>
        <w:tc>
          <w:tcPr>
            <w:tcW w:w="3939" w:type="dxa"/>
            <w:gridSpan w:val="2"/>
            <w:vAlign w:val="center"/>
          </w:tcPr>
          <w:p w14:paraId="70AB58E8" w14:textId="77777777" w:rsidR="00384EC5" w:rsidRPr="00595457" w:rsidRDefault="00384EC5" w:rsidP="00302D60">
            <w:pPr>
              <w:keepLines/>
              <w:rPr>
                <w:rFonts w:ascii="Arial Narrow" w:hAnsi="Arial Narrow" w:cs="Arial"/>
                <w:sz w:val="20"/>
                <w:szCs w:val="20"/>
              </w:rPr>
            </w:pPr>
            <w:r w:rsidRPr="00595457">
              <w:rPr>
                <w:rFonts w:ascii="Arial Narrow" w:hAnsi="Arial Narrow" w:cs="Arial"/>
                <w:sz w:val="20"/>
                <w:szCs w:val="20"/>
              </w:rPr>
              <w:t>infliximab 120 mg/mL injection, 1 mL syringe</w:t>
            </w:r>
          </w:p>
        </w:tc>
        <w:tc>
          <w:tcPr>
            <w:tcW w:w="811" w:type="dxa"/>
            <w:vAlign w:val="center"/>
          </w:tcPr>
          <w:p w14:paraId="787EC0FA" w14:textId="6CF95EBC" w:rsidR="00384EC5" w:rsidRPr="00595457" w:rsidRDefault="002907D9" w:rsidP="00302D60">
            <w:pPr>
              <w:keepLines/>
              <w:jc w:val="center"/>
              <w:rPr>
                <w:rFonts w:ascii="Arial Narrow" w:hAnsi="Arial Narrow" w:cs="Arial"/>
                <w:sz w:val="20"/>
                <w:szCs w:val="20"/>
              </w:rPr>
            </w:pPr>
            <w:r w:rsidRPr="00595457">
              <w:rPr>
                <w:rFonts w:ascii="Arial Narrow" w:hAnsi="Arial Narrow" w:cs="Arial"/>
                <w:sz w:val="20"/>
                <w:szCs w:val="20"/>
              </w:rPr>
              <w:t>12597B</w:t>
            </w:r>
          </w:p>
        </w:tc>
        <w:tc>
          <w:tcPr>
            <w:tcW w:w="812" w:type="dxa"/>
            <w:vAlign w:val="center"/>
          </w:tcPr>
          <w:p w14:paraId="31BE2B09" w14:textId="0BD9470F" w:rsidR="00384EC5" w:rsidRPr="00595457" w:rsidRDefault="00EE37AE"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vAlign w:val="center"/>
          </w:tcPr>
          <w:p w14:paraId="6785C79E" w14:textId="585175F9" w:rsidR="00384EC5" w:rsidRPr="00595457" w:rsidRDefault="00EE37AE"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vAlign w:val="center"/>
          </w:tcPr>
          <w:p w14:paraId="1247DFF4" w14:textId="77777777" w:rsidR="00384EC5" w:rsidRPr="00595457" w:rsidRDefault="00384EC5" w:rsidP="00302D60">
            <w:pPr>
              <w:keepLines/>
              <w:jc w:val="center"/>
              <w:rPr>
                <w:rFonts w:ascii="Arial Narrow" w:hAnsi="Arial Narrow" w:cs="Arial"/>
                <w:sz w:val="20"/>
                <w:szCs w:val="20"/>
              </w:rPr>
            </w:pPr>
            <w:r w:rsidRPr="00595457">
              <w:rPr>
                <w:rFonts w:ascii="Arial Narrow" w:hAnsi="Arial Narrow" w:cs="Arial"/>
                <w:sz w:val="20"/>
                <w:szCs w:val="20"/>
              </w:rPr>
              <w:t>0</w:t>
            </w:r>
          </w:p>
        </w:tc>
        <w:tc>
          <w:tcPr>
            <w:tcW w:w="1831" w:type="dxa"/>
            <w:vAlign w:val="center"/>
          </w:tcPr>
          <w:p w14:paraId="6A67482A" w14:textId="77777777" w:rsidR="00384EC5" w:rsidRPr="00595457" w:rsidRDefault="039F4750" w:rsidP="0CEE6DE9">
            <w:pPr>
              <w:keepLines/>
              <w:rPr>
                <w:rFonts w:ascii="Arial Narrow" w:hAnsi="Arial Narrow" w:cs="Arial"/>
                <w:sz w:val="20"/>
                <w:szCs w:val="20"/>
              </w:rPr>
            </w:pPr>
            <w:r w:rsidRPr="00595457">
              <w:rPr>
                <w:rFonts w:ascii="Arial Narrow" w:hAnsi="Arial Narrow" w:cs="Arial"/>
                <w:sz w:val="20"/>
                <w:szCs w:val="20"/>
              </w:rPr>
              <w:t>Remsima SC</w:t>
            </w:r>
          </w:p>
        </w:tc>
      </w:tr>
      <w:tr w:rsidR="00384EC5" w:rsidRPr="001428E9" w14:paraId="4DA77206"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DA853E6" w14:textId="77777777" w:rsidR="00384EC5" w:rsidRPr="00595457" w:rsidRDefault="00384EC5" w:rsidP="00302D60">
            <w:pPr>
              <w:rPr>
                <w:rFonts w:ascii="Arial Narrow" w:hAnsi="Arial Narrow" w:cs="Arial"/>
                <w:sz w:val="20"/>
                <w:szCs w:val="20"/>
              </w:rPr>
            </w:pPr>
          </w:p>
        </w:tc>
      </w:tr>
      <w:tr w:rsidR="00384EC5" w:rsidRPr="001428E9" w14:paraId="212E7C78"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BCE375C" w14:textId="6C82CD59" w:rsidR="00384EC5" w:rsidRPr="00595457" w:rsidRDefault="615EBE48" w:rsidP="73796C13">
            <w:pPr>
              <w:keepLines/>
              <w:rPr>
                <w:rFonts w:ascii="Arial Narrow" w:hAnsi="Arial Narrow" w:cs="Arial"/>
                <w:b/>
                <w:bCs/>
                <w:sz w:val="20"/>
                <w:szCs w:val="20"/>
              </w:rPr>
            </w:pPr>
            <w:r w:rsidRPr="00595457">
              <w:rPr>
                <w:rFonts w:ascii="Arial Narrow" w:hAnsi="Arial Narrow"/>
                <w:b/>
                <w:bCs/>
                <w:sz w:val="20"/>
                <w:szCs w:val="20"/>
              </w:rPr>
              <w:t xml:space="preserve">Restriction Summary / Treatment of Concept: </w:t>
            </w:r>
          </w:p>
        </w:tc>
      </w:tr>
      <w:tr w:rsidR="00384EC5" w:rsidRPr="001428E9" w14:paraId="2D825F76" w14:textId="77777777" w:rsidTr="0CEE6DE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F69DC57" w14:textId="692DABF9" w:rsidR="00384EC5" w:rsidRPr="00595457" w:rsidRDefault="00384EC5" w:rsidP="00302D60">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36B9CA" w14:textId="77777777" w:rsidR="00384EC5" w:rsidRPr="00595457" w:rsidRDefault="00384EC5" w:rsidP="00302D60">
            <w:pPr>
              <w:keepLines/>
              <w:rPr>
                <w:rFonts w:ascii="Arial Narrow" w:hAnsi="Arial Narrow" w:cs="Arial"/>
                <w:sz w:val="20"/>
                <w:szCs w:val="20"/>
              </w:rPr>
            </w:pPr>
            <w:r w:rsidRPr="00595457">
              <w:rPr>
                <w:rFonts w:ascii="Arial Narrow" w:hAnsi="Arial Narrow" w:cs="Arial"/>
                <w:b/>
                <w:sz w:val="20"/>
                <w:szCs w:val="20"/>
              </w:rPr>
              <w:t>Category / Program:</w:t>
            </w:r>
            <w:r w:rsidRPr="00595457">
              <w:rPr>
                <w:rFonts w:ascii="Arial Narrow" w:hAnsi="Arial Narrow" w:cs="Arial"/>
                <w:color w:val="FF0000"/>
                <w:sz w:val="20"/>
                <w:szCs w:val="20"/>
              </w:rPr>
              <w:t xml:space="preserve"> </w:t>
            </w:r>
            <w:r w:rsidRPr="00595457">
              <w:rPr>
                <w:rFonts w:ascii="Arial Narrow" w:eastAsia="Calibri" w:hAnsi="Arial Narrow" w:cs="Arial"/>
                <w:sz w:val="20"/>
                <w:szCs w:val="20"/>
              </w:rPr>
              <w:t xml:space="preserve">GENERAL - General Schedule (Code GE) </w:t>
            </w:r>
          </w:p>
        </w:tc>
      </w:tr>
      <w:tr w:rsidR="00384EC5" w:rsidRPr="001428E9" w14:paraId="7F7DD104"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7D950D0D" w14:textId="77777777" w:rsidR="00384EC5" w:rsidRPr="00595457" w:rsidRDefault="00384EC5"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A22AE19" w14:textId="77777777" w:rsidR="00384EC5" w:rsidRPr="00595457" w:rsidRDefault="00384EC5" w:rsidP="00302D60">
            <w:pPr>
              <w:keepLines/>
              <w:rPr>
                <w:rFonts w:ascii="Arial Narrow" w:hAnsi="Arial Narrow" w:cs="Arial"/>
                <w:b/>
                <w:sz w:val="20"/>
                <w:szCs w:val="20"/>
              </w:rPr>
            </w:pPr>
            <w:r w:rsidRPr="00595457">
              <w:rPr>
                <w:rFonts w:ascii="Arial Narrow" w:hAnsi="Arial Narrow" w:cs="Arial"/>
                <w:b/>
                <w:sz w:val="20"/>
                <w:szCs w:val="20"/>
              </w:rPr>
              <w:t xml:space="preserve">Prescriber type: </w:t>
            </w:r>
            <w:r w:rsidRPr="00595457">
              <w:rPr>
                <w:rFonts w:ascii="Arial Narrow" w:hAnsi="Arial Narrow" w:cs="Arial"/>
                <w:sz w:val="20"/>
                <w:szCs w:val="20"/>
              </w:rPr>
              <w:fldChar w:fldCharType="begin" w:fldLock="1">
                <w:ffData>
                  <w:name w:val=""/>
                  <w:enabled/>
                  <w:calcOnExit w:val="0"/>
                  <w:checkBox>
                    <w:sizeAuto/>
                    <w:default w:val="1"/>
                  </w:checkBox>
                </w:ffData>
              </w:fldChar>
            </w:r>
            <w:r w:rsidRPr="00595457">
              <w:rPr>
                <w:rFonts w:ascii="Arial Narrow" w:hAnsi="Arial Narrow" w:cs="Arial"/>
                <w:sz w:val="20"/>
                <w:szCs w:val="20"/>
              </w:rPr>
              <w:instrText xml:space="preserve"> FORMCHECKBOX </w:instrText>
            </w:r>
            <w:r w:rsidRPr="00595457">
              <w:rPr>
                <w:rFonts w:ascii="Arial Narrow" w:hAnsi="Arial Narrow" w:cs="Arial"/>
                <w:sz w:val="20"/>
                <w:szCs w:val="20"/>
              </w:rPr>
            </w:r>
            <w:r w:rsidRPr="00595457">
              <w:rPr>
                <w:rFonts w:ascii="Arial Narrow" w:hAnsi="Arial Narrow" w:cs="Arial"/>
                <w:sz w:val="20"/>
                <w:szCs w:val="20"/>
              </w:rPr>
              <w:fldChar w:fldCharType="separate"/>
            </w:r>
            <w:r w:rsidRPr="00595457">
              <w:rPr>
                <w:rFonts w:ascii="Arial Narrow" w:hAnsi="Arial Narrow" w:cs="Arial"/>
                <w:sz w:val="20"/>
                <w:szCs w:val="20"/>
              </w:rPr>
              <w:fldChar w:fldCharType="end"/>
            </w:r>
            <w:r w:rsidRPr="00595457">
              <w:rPr>
                <w:rFonts w:ascii="Arial Narrow" w:hAnsi="Arial Narrow" w:cs="Arial"/>
                <w:sz w:val="20"/>
                <w:szCs w:val="20"/>
              </w:rPr>
              <w:t xml:space="preserve">Medical Practitioners </w:t>
            </w:r>
          </w:p>
        </w:tc>
      </w:tr>
      <w:tr w:rsidR="00384EC5" w:rsidRPr="00D56F94" w14:paraId="5DEF937B"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18C881CA" w14:textId="77777777" w:rsidR="00384EC5" w:rsidRPr="00595457" w:rsidRDefault="00384EC5"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57206C7" w14:textId="152B65C0" w:rsidR="53CD3B6A" w:rsidRPr="00595457" w:rsidRDefault="615EBE48" w:rsidP="73796C13">
            <w:pPr>
              <w:keepLines/>
              <w:rPr>
                <w:rFonts w:ascii="Arial Narrow" w:hAnsi="Arial Narrow" w:cs="Arial"/>
                <w:b/>
                <w:sz w:val="20"/>
                <w:szCs w:val="20"/>
              </w:rPr>
            </w:pPr>
            <w:r w:rsidRPr="00595457">
              <w:rPr>
                <w:rFonts w:ascii="Arial Narrow" w:hAnsi="Arial Narrow" w:cs="Arial"/>
                <w:b/>
                <w:bCs/>
                <w:sz w:val="20"/>
                <w:szCs w:val="20"/>
              </w:rPr>
              <w:t xml:space="preserve">Restriction type: </w:t>
            </w:r>
          </w:p>
          <w:p w14:paraId="162D2BA2" w14:textId="773D8C5C" w:rsidR="006C0F08" w:rsidRPr="00595457" w:rsidRDefault="006C0F08" w:rsidP="006C0F08">
            <w:pPr>
              <w:keepLines/>
              <w:rPr>
                <w:rFonts w:ascii="Arial Narrow" w:eastAsia="Calibri" w:hAnsi="Arial Narrow" w:cs="Arial"/>
                <w:strike/>
                <w:color w:val="FF0000"/>
                <w:sz w:val="20"/>
                <w:szCs w:val="20"/>
              </w:rPr>
            </w:pPr>
            <w:r w:rsidRPr="00595457">
              <w:rPr>
                <w:rFonts w:ascii="Arial Narrow" w:eastAsia="Calibri" w:hAnsi="Arial Narrow" w:cs="Arial"/>
                <w:sz w:val="20"/>
                <w:szCs w:val="20"/>
              </w:rPr>
              <w:fldChar w:fldCharType="begin" w:fldLock="1">
                <w:ffData>
                  <w:name w:val=""/>
                  <w:enabled/>
                  <w:calcOnExit w:val="0"/>
                  <w:checkBox>
                    <w:sizeAuto/>
                    <w:default w:val="1"/>
                  </w:checkBox>
                </w:ffData>
              </w:fldChar>
            </w:r>
            <w:r w:rsidRPr="00595457">
              <w:rPr>
                <w:rFonts w:ascii="Arial Narrow" w:eastAsia="Calibri" w:hAnsi="Arial Narrow" w:cs="Arial"/>
                <w:sz w:val="20"/>
                <w:szCs w:val="20"/>
              </w:rPr>
              <w:instrText xml:space="preserve"> FORMCHECKBOX </w:instrText>
            </w:r>
            <w:r w:rsidRPr="00595457">
              <w:rPr>
                <w:rFonts w:ascii="Arial Narrow" w:eastAsia="Calibri" w:hAnsi="Arial Narrow" w:cs="Arial"/>
                <w:sz w:val="20"/>
                <w:szCs w:val="20"/>
              </w:rPr>
            </w:r>
            <w:r w:rsidRPr="00595457">
              <w:rPr>
                <w:rFonts w:ascii="Arial Narrow" w:eastAsia="Calibri" w:hAnsi="Arial Narrow" w:cs="Arial"/>
                <w:sz w:val="20"/>
                <w:szCs w:val="20"/>
              </w:rPr>
              <w:fldChar w:fldCharType="separate"/>
            </w:r>
            <w:r w:rsidRPr="00595457">
              <w:rPr>
                <w:rFonts w:ascii="Arial Narrow" w:eastAsia="Calibri" w:hAnsi="Arial Narrow" w:cs="Arial"/>
                <w:sz w:val="20"/>
                <w:szCs w:val="20"/>
              </w:rPr>
              <w:fldChar w:fldCharType="end"/>
            </w:r>
            <w:r w:rsidR="615EBE48" w:rsidRPr="00595457">
              <w:rPr>
                <w:rFonts w:ascii="Arial Narrow" w:eastAsia="Calibri" w:hAnsi="Arial Narrow" w:cs="Arial"/>
                <w:sz w:val="20"/>
                <w:szCs w:val="20"/>
              </w:rPr>
              <w:t xml:space="preserve"> Authority Required (telephone/online PBS Authorities system)</w:t>
            </w:r>
            <w:r w:rsidR="615EBE48" w:rsidRPr="00595457">
              <w:rPr>
                <w:rFonts w:ascii="Arial Narrow" w:eastAsia="Calibri" w:hAnsi="Arial Narrow" w:cs="Arial"/>
                <w:strike/>
                <w:sz w:val="20"/>
                <w:szCs w:val="20"/>
              </w:rPr>
              <w:t xml:space="preserve"> </w:t>
            </w:r>
          </w:p>
        </w:tc>
      </w:tr>
      <w:tr w:rsidR="00384EC5" w:rsidRPr="001428E9" w14:paraId="2AA06A6D" w14:textId="77777777" w:rsidTr="00365FCC">
        <w:tblPrEx>
          <w:tblCellMar>
            <w:top w:w="15" w:type="dxa"/>
            <w:bottom w:w="15" w:type="dxa"/>
          </w:tblCellMar>
        </w:tblPrEx>
        <w:trPr>
          <w:cantSplit/>
          <w:trHeight w:val="20"/>
        </w:trPr>
        <w:tc>
          <w:tcPr>
            <w:tcW w:w="1271" w:type="dxa"/>
            <w:vAlign w:val="center"/>
          </w:tcPr>
          <w:p w14:paraId="4AF9C746" w14:textId="182B658C" w:rsidR="00384EC5" w:rsidRPr="00595457" w:rsidRDefault="00384EC5" w:rsidP="00302D60">
            <w:pPr>
              <w:keepLines/>
              <w:jc w:val="center"/>
              <w:rPr>
                <w:rFonts w:ascii="Arial Narrow" w:hAnsi="Arial Narrow"/>
                <w:sz w:val="20"/>
                <w:szCs w:val="20"/>
              </w:rPr>
            </w:pPr>
          </w:p>
        </w:tc>
        <w:tc>
          <w:tcPr>
            <w:tcW w:w="7745" w:type="dxa"/>
            <w:gridSpan w:val="6"/>
            <w:vAlign w:val="center"/>
            <w:hideMark/>
          </w:tcPr>
          <w:p w14:paraId="6B5EB05A" w14:textId="386AE930" w:rsidR="00384EC5" w:rsidRPr="00595457" w:rsidRDefault="00384EC5" w:rsidP="00302D60">
            <w:pPr>
              <w:keepLines/>
              <w:rPr>
                <w:rFonts w:ascii="Arial Narrow" w:hAnsi="Arial Narrow"/>
                <w:color w:val="333333"/>
                <w:sz w:val="20"/>
                <w:szCs w:val="20"/>
              </w:rPr>
            </w:pPr>
            <w:r w:rsidRPr="00595457">
              <w:rPr>
                <w:rFonts w:ascii="Arial Narrow" w:hAnsi="Arial Narrow"/>
                <w:b/>
                <w:bCs/>
                <w:sz w:val="20"/>
                <w:szCs w:val="20"/>
              </w:rPr>
              <w:t>Indication:</w:t>
            </w:r>
            <w:r w:rsidRPr="00595457">
              <w:rPr>
                <w:rFonts w:ascii="Arial Narrow" w:hAnsi="Arial Narrow"/>
                <w:sz w:val="20"/>
                <w:szCs w:val="20"/>
              </w:rPr>
              <w:t xml:space="preserve"> </w:t>
            </w:r>
            <w:r w:rsidR="00570F13" w:rsidRPr="00595457">
              <w:rPr>
                <w:rFonts w:ascii="Arial Narrow" w:hAnsi="Arial Narrow"/>
                <w:sz w:val="20"/>
                <w:szCs w:val="20"/>
              </w:rPr>
              <w:t>Severe Crohn disease</w:t>
            </w:r>
          </w:p>
        </w:tc>
      </w:tr>
      <w:tr w:rsidR="00384EC5" w:rsidRPr="001428E9" w14:paraId="79AB892E" w14:textId="77777777" w:rsidTr="00365FCC">
        <w:tblPrEx>
          <w:tblCellMar>
            <w:top w:w="15" w:type="dxa"/>
            <w:bottom w:w="15" w:type="dxa"/>
          </w:tblCellMar>
        </w:tblPrEx>
        <w:trPr>
          <w:cantSplit/>
          <w:trHeight w:val="20"/>
        </w:trPr>
        <w:tc>
          <w:tcPr>
            <w:tcW w:w="1271" w:type="dxa"/>
            <w:vAlign w:val="center"/>
          </w:tcPr>
          <w:p w14:paraId="671FA9A4" w14:textId="77777777" w:rsidR="00384EC5" w:rsidRPr="00595457" w:rsidRDefault="00384EC5" w:rsidP="00302D60">
            <w:pPr>
              <w:jc w:val="center"/>
              <w:rPr>
                <w:rFonts w:ascii="Arial Narrow" w:hAnsi="Arial Narrow"/>
                <w:sz w:val="20"/>
                <w:szCs w:val="20"/>
              </w:rPr>
            </w:pPr>
          </w:p>
        </w:tc>
        <w:tc>
          <w:tcPr>
            <w:tcW w:w="7745" w:type="dxa"/>
            <w:gridSpan w:val="6"/>
            <w:vAlign w:val="center"/>
            <w:hideMark/>
          </w:tcPr>
          <w:p w14:paraId="44BBF4CF" w14:textId="14B0AFE7" w:rsidR="00384EC5" w:rsidRPr="00595457" w:rsidRDefault="615EBE48" w:rsidP="00302D60">
            <w:pPr>
              <w:rPr>
                <w:rFonts w:ascii="Arial Narrow" w:hAnsi="Arial Narrow"/>
                <w:sz w:val="20"/>
                <w:szCs w:val="20"/>
              </w:rPr>
            </w:pPr>
            <w:r w:rsidRPr="00595457">
              <w:rPr>
                <w:rFonts w:ascii="Arial Narrow" w:hAnsi="Arial Narrow"/>
                <w:b/>
                <w:bCs/>
                <w:sz w:val="20"/>
                <w:szCs w:val="20"/>
              </w:rPr>
              <w:t>Treatment Phase:</w:t>
            </w:r>
            <w:r w:rsidRPr="00595457">
              <w:rPr>
                <w:rFonts w:ascii="Arial Narrow" w:hAnsi="Arial Narrow"/>
                <w:sz w:val="20"/>
                <w:szCs w:val="20"/>
              </w:rPr>
              <w:t xml:space="preserve"> </w:t>
            </w:r>
            <w:r w:rsidR="00D654B7" w:rsidRPr="00595457">
              <w:rPr>
                <w:rFonts w:ascii="Arial Narrow" w:hAnsi="Arial Narrow"/>
                <w:sz w:val="20"/>
                <w:szCs w:val="20"/>
              </w:rPr>
              <w:t>Balance of supply</w:t>
            </w:r>
            <w:r w:rsidRPr="00595457">
              <w:rPr>
                <w:rFonts w:ascii="Arial Narrow" w:hAnsi="Arial Narrow"/>
                <w:sz w:val="20"/>
                <w:szCs w:val="20"/>
              </w:rPr>
              <w:t xml:space="preserve"> for Initial treatment</w:t>
            </w:r>
            <w:r w:rsidRPr="00595457">
              <w:rPr>
                <w:rFonts w:ascii="Arial Narrow" w:hAnsi="Arial Narrow"/>
                <w:strike/>
                <w:sz w:val="20"/>
                <w:szCs w:val="20"/>
              </w:rPr>
              <w:t>, Continuing treatment</w:t>
            </w:r>
            <w:r w:rsidRPr="00595457">
              <w:rPr>
                <w:rFonts w:ascii="Arial Narrow" w:hAnsi="Arial Narrow"/>
                <w:sz w:val="20"/>
                <w:szCs w:val="20"/>
              </w:rPr>
              <w:t xml:space="preserve"> - subcutaneous form</w:t>
            </w:r>
          </w:p>
        </w:tc>
      </w:tr>
      <w:tr w:rsidR="00384EC5" w:rsidRPr="006A2544" w14:paraId="3C964B6C"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4BA9DB3" w14:textId="53E36986" w:rsidR="00384EC5" w:rsidRPr="00595457" w:rsidRDefault="00384EC5" w:rsidP="00302D60">
            <w:pPr>
              <w:jc w:val="center"/>
              <w:rPr>
                <w:rFonts w:ascii="Arial Narrow" w:hAnsi="Arial Narrow"/>
                <w:sz w:val="20"/>
                <w:szCs w:val="20"/>
                <w:highlight w:val="yellow"/>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40BCC2" w14:textId="77777777" w:rsidR="00384EC5" w:rsidRPr="00595457" w:rsidRDefault="00384EC5" w:rsidP="00302D60">
            <w:pPr>
              <w:rPr>
                <w:rFonts w:ascii="Arial Narrow" w:hAnsi="Arial Narrow"/>
                <w:b/>
                <w:bCs/>
                <w:sz w:val="20"/>
                <w:szCs w:val="20"/>
                <w:highlight w:val="yellow"/>
              </w:rPr>
            </w:pPr>
            <w:r w:rsidRPr="00595457">
              <w:rPr>
                <w:rFonts w:ascii="Arial Narrow" w:hAnsi="Arial Narrow"/>
                <w:b/>
                <w:bCs/>
                <w:sz w:val="20"/>
                <w:szCs w:val="20"/>
              </w:rPr>
              <w:t>Clinical criteria:</w:t>
            </w:r>
          </w:p>
        </w:tc>
      </w:tr>
      <w:tr w:rsidR="00384EC5" w:rsidRPr="006A2544" w14:paraId="60E280E3"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CD84C1E" w14:textId="56542653" w:rsidR="00384EC5" w:rsidRPr="00595457" w:rsidRDefault="00384EC5" w:rsidP="00302D6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ED0B97" w14:textId="71A9075B" w:rsidR="00384EC5" w:rsidRPr="00595457" w:rsidRDefault="147BF96C" w:rsidP="0CEE6DE9">
            <w:pPr>
              <w:rPr>
                <w:rFonts w:ascii="Arial Narrow" w:hAnsi="Arial Narrow"/>
                <w:sz w:val="20"/>
                <w:szCs w:val="20"/>
              </w:rPr>
            </w:pPr>
            <w:r w:rsidRPr="00595457">
              <w:rPr>
                <w:rFonts w:ascii="Arial Narrow" w:hAnsi="Arial Narrow"/>
                <w:sz w:val="20"/>
                <w:szCs w:val="20"/>
              </w:rPr>
              <w:t>Patient must have received insufficient therapy with this drug under the Initial treatment with subcutaneous form to complete 14 to 16 weeks initial treatment (intravenous and subcutaneous inclusive)</w:t>
            </w:r>
            <w:r w:rsidRPr="00595457">
              <w:rPr>
                <w:rFonts w:ascii="Arial Narrow" w:hAnsi="Arial Narrow"/>
                <w:strike/>
                <w:sz w:val="20"/>
                <w:szCs w:val="20"/>
              </w:rPr>
              <w:t>; or</w:t>
            </w:r>
          </w:p>
        </w:tc>
      </w:tr>
      <w:tr w:rsidR="00384EC5" w:rsidRPr="006A2544" w14:paraId="0C00BF9F"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C7766EB" w14:textId="754F2686" w:rsidR="00384EC5" w:rsidRPr="00595457" w:rsidRDefault="00384EC5" w:rsidP="00302D60">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B43923" w14:textId="1BE28708" w:rsidR="00384EC5" w:rsidRPr="00595457" w:rsidRDefault="009D1C4B" w:rsidP="009D1C4B">
            <w:pPr>
              <w:rPr>
                <w:rFonts w:ascii="Arial Narrow" w:hAnsi="Arial Narrow"/>
                <w:strike/>
                <w:sz w:val="20"/>
                <w:szCs w:val="20"/>
              </w:rPr>
            </w:pPr>
            <w:r w:rsidRPr="00595457">
              <w:rPr>
                <w:rFonts w:ascii="Arial Narrow" w:hAnsi="Arial Narrow"/>
                <w:strike/>
                <w:sz w:val="20"/>
                <w:szCs w:val="20"/>
              </w:rPr>
              <w:t>Patient must have received insufficient therapy with this drug for this condition under the continuing treatment with subcutaneous form restriction to complete 24 weeks treatment</w:t>
            </w:r>
          </w:p>
        </w:tc>
      </w:tr>
      <w:tr w:rsidR="00D6405B" w:rsidRPr="006A2544" w14:paraId="2F88F494"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7D1A34F" w14:textId="77777777" w:rsidR="00D6405B" w:rsidRPr="00595457" w:rsidRDefault="00D6405B" w:rsidP="00302D6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72CF56" w14:textId="035ECB0F" w:rsidR="00D6405B" w:rsidRPr="00595457" w:rsidRDefault="009D1C4B" w:rsidP="00302D60">
            <w:pPr>
              <w:rPr>
                <w:rFonts w:ascii="Arial Narrow" w:hAnsi="Arial Narrow"/>
                <w:sz w:val="20"/>
                <w:szCs w:val="20"/>
              </w:rPr>
            </w:pPr>
            <w:r w:rsidRPr="00595457">
              <w:rPr>
                <w:rFonts w:ascii="Arial Narrow" w:hAnsi="Arial Narrow"/>
                <w:sz w:val="20"/>
                <w:szCs w:val="20"/>
              </w:rPr>
              <w:t>AND</w:t>
            </w:r>
          </w:p>
        </w:tc>
      </w:tr>
      <w:tr w:rsidR="009D1C4B" w:rsidRPr="009D1C4B" w14:paraId="1893FCC3"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E4BDD44" w14:textId="7885E3DA" w:rsidR="009D1C4B" w:rsidRPr="00595457" w:rsidRDefault="009D1C4B" w:rsidP="009D1C4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7437F8" w14:textId="77777777" w:rsidR="009D1C4B" w:rsidRPr="00595457" w:rsidRDefault="009D1C4B" w:rsidP="009D1C4B">
            <w:pPr>
              <w:rPr>
                <w:rFonts w:ascii="Arial Narrow" w:hAnsi="Arial Narrow"/>
                <w:b/>
                <w:bCs/>
                <w:sz w:val="20"/>
                <w:szCs w:val="20"/>
              </w:rPr>
            </w:pPr>
            <w:r w:rsidRPr="00595457">
              <w:rPr>
                <w:rFonts w:ascii="Arial Narrow" w:hAnsi="Arial Narrow"/>
                <w:b/>
                <w:bCs/>
                <w:sz w:val="20"/>
                <w:szCs w:val="20"/>
              </w:rPr>
              <w:t>Clinical criteria:</w:t>
            </w:r>
          </w:p>
        </w:tc>
      </w:tr>
      <w:tr w:rsidR="009D1C4B" w:rsidRPr="009D1C4B" w14:paraId="6393D863"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0548C40" w14:textId="43832818" w:rsidR="009D1C4B" w:rsidRPr="00595457" w:rsidRDefault="009D1C4B" w:rsidP="009D1C4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952AB2" w14:textId="7D5A11D9" w:rsidR="009D1C4B" w:rsidRPr="00595457" w:rsidRDefault="009D1C4B" w:rsidP="009D1C4B">
            <w:pPr>
              <w:rPr>
                <w:rFonts w:ascii="Arial Narrow" w:hAnsi="Arial Narrow"/>
                <w:sz w:val="20"/>
                <w:szCs w:val="20"/>
              </w:rPr>
            </w:pPr>
            <w:r w:rsidRPr="00595457">
              <w:rPr>
                <w:rFonts w:ascii="Arial Narrow" w:hAnsi="Arial Narrow"/>
                <w:sz w:val="20"/>
                <w:szCs w:val="20"/>
              </w:rPr>
              <w:t>The treatment must provide no more than the balance of doses up to 14 to 16 weeks therapy available under Initial treatment - subcutaneous form</w:t>
            </w:r>
            <w:r w:rsidRPr="00595457">
              <w:rPr>
                <w:rFonts w:ascii="Arial Narrow" w:hAnsi="Arial Narrow"/>
                <w:strike/>
                <w:sz w:val="20"/>
                <w:szCs w:val="20"/>
              </w:rPr>
              <w:t>; or</w:t>
            </w:r>
          </w:p>
        </w:tc>
      </w:tr>
      <w:tr w:rsidR="009D1C4B" w:rsidRPr="009D1C4B" w14:paraId="7B09C41C"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9E14181" w14:textId="19A5EAFA" w:rsidR="009D1C4B" w:rsidRPr="00595457" w:rsidRDefault="009D1C4B" w:rsidP="009D1C4B">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ACF27" w14:textId="40E29B4A" w:rsidR="009D1C4B" w:rsidRPr="00595457" w:rsidRDefault="009D1C4B" w:rsidP="009D1C4B">
            <w:pPr>
              <w:rPr>
                <w:rFonts w:ascii="Arial Narrow" w:hAnsi="Arial Narrow"/>
                <w:strike/>
                <w:sz w:val="20"/>
                <w:szCs w:val="20"/>
              </w:rPr>
            </w:pPr>
            <w:r w:rsidRPr="00595457">
              <w:rPr>
                <w:rFonts w:ascii="Arial Narrow" w:hAnsi="Arial Narrow"/>
                <w:strike/>
                <w:sz w:val="20"/>
                <w:szCs w:val="20"/>
              </w:rPr>
              <w:t>The treatment must provide no more than the balance of up to 24 weeks treatment available under the Continuing treatment - subcutaneous form</w:t>
            </w:r>
          </w:p>
        </w:tc>
      </w:tr>
      <w:tr w:rsidR="00384EC5" w:rsidRPr="001428E9" w14:paraId="3793C6FF" w14:textId="77777777" w:rsidTr="0CEE6DE9">
        <w:tblPrEx>
          <w:tblCellMar>
            <w:top w:w="15" w:type="dxa"/>
            <w:bottom w:w="15" w:type="dxa"/>
          </w:tblCellMar>
          <w:tblLook w:val="04A0" w:firstRow="1" w:lastRow="0" w:firstColumn="1" w:lastColumn="0" w:noHBand="0" w:noVBand="1"/>
        </w:tblPrEx>
        <w:trPr>
          <w:cantSplit/>
          <w:trHeight w:val="20"/>
        </w:trPr>
        <w:tc>
          <w:tcPr>
            <w:tcW w:w="1271" w:type="dxa"/>
            <w:vAlign w:val="center"/>
          </w:tcPr>
          <w:p w14:paraId="5E00D7B3" w14:textId="775669B1" w:rsidR="00384EC5" w:rsidRPr="00595457" w:rsidRDefault="00384EC5" w:rsidP="00302D60">
            <w:pPr>
              <w:jc w:val="center"/>
              <w:rPr>
                <w:rFonts w:ascii="Arial Narrow" w:hAnsi="Arial Narrow"/>
                <w:sz w:val="20"/>
                <w:szCs w:val="20"/>
              </w:rPr>
            </w:pPr>
          </w:p>
        </w:tc>
        <w:tc>
          <w:tcPr>
            <w:tcW w:w="7745" w:type="dxa"/>
            <w:gridSpan w:val="6"/>
            <w:vAlign w:val="center"/>
          </w:tcPr>
          <w:p w14:paraId="615FE9A8" w14:textId="77777777" w:rsidR="00384EC5" w:rsidRPr="00595457" w:rsidRDefault="00384EC5" w:rsidP="00302D60">
            <w:pPr>
              <w:ind w:left="-57"/>
              <w:rPr>
                <w:rFonts w:ascii="Arial Narrow" w:hAnsi="Arial Narrow"/>
                <w:bCs/>
                <w:sz w:val="20"/>
                <w:szCs w:val="20"/>
              </w:rPr>
            </w:pPr>
            <w:r w:rsidRPr="00595457">
              <w:rPr>
                <w:rFonts w:ascii="Arial Narrow" w:hAnsi="Arial Narrow"/>
                <w:b/>
                <w:bCs/>
                <w:sz w:val="20"/>
                <w:szCs w:val="20"/>
              </w:rPr>
              <w:t xml:space="preserve">Administrative Advice: </w:t>
            </w:r>
            <w:r w:rsidRPr="00595457">
              <w:rPr>
                <w:rFonts w:ascii="Arial Narrow" w:hAnsi="Arial Narrow"/>
                <w:bCs/>
                <w:sz w:val="20"/>
                <w:szCs w:val="20"/>
              </w:rPr>
              <w:t xml:space="preserve">Applications for authorisation under this restriction may be made in real time using the Online PBS Authorities system (see </w:t>
            </w:r>
            <w:hyperlink r:id="rId9" w:history="1">
              <w:r w:rsidRPr="00595457">
                <w:rPr>
                  <w:rStyle w:val="Hyperlink"/>
                  <w:rFonts w:ascii="Arial Narrow" w:hAnsi="Arial Narrow"/>
                  <w:bCs/>
                  <w:sz w:val="20"/>
                  <w:szCs w:val="20"/>
                </w:rPr>
                <w:t>www.servicesaustralia.gov.au/HPOS</w:t>
              </w:r>
            </w:hyperlink>
            <w:r w:rsidRPr="00595457">
              <w:rPr>
                <w:rFonts w:ascii="Arial Narrow" w:hAnsi="Arial Narrow"/>
                <w:bCs/>
                <w:sz w:val="20"/>
                <w:szCs w:val="20"/>
              </w:rPr>
              <w:t>) or by telephone by contacting Services Australia on 1800 700 270 (hours of operation 8 a.m. to 5 p.m. Monday to Friday). </w:t>
            </w:r>
          </w:p>
        </w:tc>
      </w:tr>
    </w:tbl>
    <w:p w14:paraId="42334263" w14:textId="77777777" w:rsidR="00721589" w:rsidRDefault="00721589" w:rsidP="00365FCC">
      <w:pPr>
        <w:pStyle w:val="TableFigureFooter"/>
        <w:spacing w:after="0"/>
      </w:pPr>
    </w:p>
    <w:p w14:paraId="31E51A35" w14:textId="10FFD8F7" w:rsidR="000A13FD" w:rsidRPr="00FE0A18" w:rsidRDefault="00FE0A18" w:rsidP="00717CC9">
      <w:pPr>
        <w:pStyle w:val="4-SubsectionHeading"/>
        <w:spacing w:after="0"/>
      </w:pPr>
      <w:r w:rsidRPr="00FE0A18">
        <w:t>Moderate to severe ulcerative colitis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moderate to severe ulcerative colitis"/>
        <w:tblDescription w:val="Treatment phase: continuing treatment with subcutaneous form or switching from intravenous form to subcutaneous form &#10;Changes to restriction type and prescribing instructions, and removal of administrative advice"/>
      </w:tblPr>
      <w:tblGrid>
        <w:gridCol w:w="1271"/>
        <w:gridCol w:w="2668"/>
        <w:gridCol w:w="811"/>
        <w:gridCol w:w="812"/>
        <w:gridCol w:w="811"/>
        <w:gridCol w:w="812"/>
        <w:gridCol w:w="1831"/>
      </w:tblGrid>
      <w:tr w:rsidR="000A13FD" w:rsidRPr="007118D3" w14:paraId="34DA1571" w14:textId="77777777" w:rsidTr="0CEE6DE9">
        <w:trPr>
          <w:cantSplit/>
          <w:trHeight w:val="20"/>
        </w:trPr>
        <w:tc>
          <w:tcPr>
            <w:tcW w:w="3939" w:type="dxa"/>
            <w:gridSpan w:val="2"/>
            <w:vAlign w:val="center"/>
          </w:tcPr>
          <w:p w14:paraId="3493250F" w14:textId="77777777" w:rsidR="000A13FD" w:rsidRPr="00595457" w:rsidRDefault="000A13FD" w:rsidP="00302D60">
            <w:pPr>
              <w:keepLines/>
              <w:rPr>
                <w:rFonts w:ascii="Arial Narrow" w:hAnsi="Arial Narrow" w:cs="Arial"/>
                <w:b/>
                <w:bCs/>
                <w:sz w:val="20"/>
                <w:szCs w:val="20"/>
              </w:rPr>
            </w:pPr>
            <w:r w:rsidRPr="00595457">
              <w:rPr>
                <w:rFonts w:ascii="Arial Narrow" w:hAnsi="Arial Narrow" w:cs="Arial"/>
                <w:b/>
                <w:bCs/>
                <w:sz w:val="20"/>
                <w:szCs w:val="20"/>
              </w:rPr>
              <w:t>MEDICINAL PRODUCT</w:t>
            </w:r>
          </w:p>
          <w:p w14:paraId="0C01716A" w14:textId="77777777" w:rsidR="000A13FD" w:rsidRPr="00595457" w:rsidRDefault="000A13FD" w:rsidP="00302D60">
            <w:pPr>
              <w:keepLines/>
              <w:rPr>
                <w:rFonts w:ascii="Arial Narrow" w:hAnsi="Arial Narrow" w:cs="Arial"/>
                <w:b/>
                <w:sz w:val="20"/>
                <w:szCs w:val="20"/>
              </w:rPr>
            </w:pPr>
            <w:r w:rsidRPr="00595457">
              <w:rPr>
                <w:rFonts w:ascii="Arial Narrow" w:hAnsi="Arial Narrow" w:cs="Arial"/>
                <w:b/>
                <w:bCs/>
                <w:sz w:val="20"/>
                <w:szCs w:val="20"/>
              </w:rPr>
              <w:t>medicinal product pack</w:t>
            </w:r>
          </w:p>
        </w:tc>
        <w:tc>
          <w:tcPr>
            <w:tcW w:w="811" w:type="dxa"/>
            <w:vAlign w:val="center"/>
          </w:tcPr>
          <w:p w14:paraId="2E68B57E" w14:textId="77777777" w:rsidR="000A13FD" w:rsidRPr="00595457" w:rsidRDefault="000A13FD" w:rsidP="00302D60">
            <w:pPr>
              <w:keepLines/>
              <w:jc w:val="center"/>
              <w:rPr>
                <w:rFonts w:ascii="Arial Narrow" w:hAnsi="Arial Narrow" w:cs="Arial"/>
                <w:b/>
                <w:sz w:val="20"/>
                <w:szCs w:val="20"/>
              </w:rPr>
            </w:pPr>
            <w:r w:rsidRPr="00595457">
              <w:rPr>
                <w:rFonts w:ascii="Arial Narrow" w:hAnsi="Arial Narrow" w:cs="Arial"/>
                <w:b/>
                <w:sz w:val="20"/>
                <w:szCs w:val="20"/>
              </w:rPr>
              <w:t>PBS item code</w:t>
            </w:r>
          </w:p>
        </w:tc>
        <w:tc>
          <w:tcPr>
            <w:tcW w:w="812" w:type="dxa"/>
            <w:vAlign w:val="center"/>
          </w:tcPr>
          <w:p w14:paraId="02076F48" w14:textId="77777777" w:rsidR="000A13FD" w:rsidRPr="00595457" w:rsidRDefault="000A13FD" w:rsidP="00302D60">
            <w:pPr>
              <w:keepLines/>
              <w:jc w:val="center"/>
              <w:rPr>
                <w:rFonts w:ascii="Arial Narrow" w:hAnsi="Arial Narrow" w:cs="Arial"/>
                <w:b/>
                <w:sz w:val="20"/>
                <w:szCs w:val="20"/>
              </w:rPr>
            </w:pPr>
            <w:r w:rsidRPr="00595457">
              <w:rPr>
                <w:rFonts w:ascii="Arial Narrow" w:hAnsi="Arial Narrow" w:cs="Arial"/>
                <w:b/>
                <w:sz w:val="20"/>
                <w:szCs w:val="20"/>
              </w:rPr>
              <w:t>Max. qty packs</w:t>
            </w:r>
          </w:p>
        </w:tc>
        <w:tc>
          <w:tcPr>
            <w:tcW w:w="811" w:type="dxa"/>
            <w:vAlign w:val="center"/>
          </w:tcPr>
          <w:p w14:paraId="7244BBB9" w14:textId="77777777" w:rsidR="000A13FD" w:rsidRPr="00595457" w:rsidRDefault="000A13FD" w:rsidP="00302D60">
            <w:pPr>
              <w:keepLines/>
              <w:jc w:val="center"/>
              <w:rPr>
                <w:rFonts w:ascii="Arial Narrow" w:hAnsi="Arial Narrow" w:cs="Arial"/>
                <w:b/>
                <w:sz w:val="20"/>
                <w:szCs w:val="20"/>
              </w:rPr>
            </w:pPr>
            <w:r w:rsidRPr="00595457">
              <w:rPr>
                <w:rFonts w:ascii="Arial Narrow" w:hAnsi="Arial Narrow" w:cs="Arial"/>
                <w:b/>
                <w:sz w:val="20"/>
                <w:szCs w:val="20"/>
              </w:rPr>
              <w:t>Max. qty units</w:t>
            </w:r>
          </w:p>
        </w:tc>
        <w:tc>
          <w:tcPr>
            <w:tcW w:w="812" w:type="dxa"/>
            <w:vAlign w:val="center"/>
          </w:tcPr>
          <w:p w14:paraId="51E2AC9B" w14:textId="77777777" w:rsidR="000A13FD" w:rsidRPr="00595457" w:rsidRDefault="2552B567" w:rsidP="0CEE6DE9">
            <w:pPr>
              <w:keepLines/>
              <w:jc w:val="center"/>
              <w:rPr>
                <w:rFonts w:ascii="Arial Narrow" w:hAnsi="Arial Narrow" w:cs="Arial"/>
                <w:b/>
                <w:bCs/>
                <w:sz w:val="20"/>
                <w:szCs w:val="20"/>
              </w:rPr>
            </w:pPr>
            <w:r w:rsidRPr="00595457">
              <w:rPr>
                <w:rFonts w:ascii="Arial Narrow" w:hAnsi="Arial Narrow" w:cs="Arial"/>
                <w:b/>
                <w:bCs/>
                <w:sz w:val="20"/>
                <w:szCs w:val="20"/>
              </w:rPr>
              <w:t>№.of</w:t>
            </w:r>
          </w:p>
          <w:p w14:paraId="0004A595" w14:textId="77777777" w:rsidR="000A13FD" w:rsidRPr="00595457" w:rsidRDefault="2552B567" w:rsidP="0CEE6DE9">
            <w:pPr>
              <w:keepLines/>
              <w:jc w:val="center"/>
              <w:rPr>
                <w:rFonts w:ascii="Arial Narrow" w:hAnsi="Arial Narrow" w:cs="Arial"/>
                <w:b/>
                <w:bCs/>
                <w:sz w:val="20"/>
                <w:szCs w:val="20"/>
              </w:rPr>
            </w:pPr>
            <w:r w:rsidRPr="00595457">
              <w:rPr>
                <w:rFonts w:ascii="Arial Narrow" w:hAnsi="Arial Narrow" w:cs="Arial"/>
                <w:b/>
                <w:bCs/>
                <w:sz w:val="20"/>
                <w:szCs w:val="20"/>
              </w:rPr>
              <w:t>Rpts</w:t>
            </w:r>
          </w:p>
        </w:tc>
        <w:tc>
          <w:tcPr>
            <w:tcW w:w="1831" w:type="dxa"/>
            <w:vAlign w:val="center"/>
          </w:tcPr>
          <w:p w14:paraId="4D50EE7D" w14:textId="77777777" w:rsidR="000A13FD" w:rsidRPr="00595457" w:rsidRDefault="000A13FD" w:rsidP="00302D60">
            <w:pPr>
              <w:keepLines/>
              <w:rPr>
                <w:rFonts w:ascii="Arial Narrow" w:hAnsi="Arial Narrow" w:cs="Arial"/>
                <w:b/>
                <w:sz w:val="20"/>
                <w:szCs w:val="20"/>
                <w:lang w:val="fr-FR"/>
              </w:rPr>
            </w:pPr>
            <w:r w:rsidRPr="00595457">
              <w:rPr>
                <w:rFonts w:ascii="Arial Narrow" w:hAnsi="Arial Narrow" w:cs="Arial"/>
                <w:b/>
                <w:sz w:val="20"/>
                <w:szCs w:val="20"/>
              </w:rPr>
              <w:t>Available brands</w:t>
            </w:r>
          </w:p>
        </w:tc>
      </w:tr>
      <w:tr w:rsidR="000A13FD" w:rsidRPr="007118D3" w14:paraId="0B91AB55" w14:textId="77777777" w:rsidTr="0CEE6DE9">
        <w:trPr>
          <w:cantSplit/>
          <w:trHeight w:val="20"/>
        </w:trPr>
        <w:tc>
          <w:tcPr>
            <w:tcW w:w="9016" w:type="dxa"/>
            <w:gridSpan w:val="7"/>
            <w:vAlign w:val="center"/>
          </w:tcPr>
          <w:p w14:paraId="2D756432" w14:textId="77777777" w:rsidR="000A13FD" w:rsidRPr="00595457" w:rsidRDefault="000A13FD" w:rsidP="00302D60">
            <w:pPr>
              <w:keepLines/>
              <w:rPr>
                <w:rFonts w:ascii="Arial Narrow" w:hAnsi="Arial Narrow" w:cs="Arial"/>
                <w:sz w:val="20"/>
                <w:szCs w:val="20"/>
              </w:rPr>
            </w:pPr>
            <w:r w:rsidRPr="00595457">
              <w:rPr>
                <w:rFonts w:ascii="Arial Narrow" w:hAnsi="Arial Narrow" w:cs="Arial"/>
                <w:sz w:val="20"/>
                <w:szCs w:val="20"/>
              </w:rPr>
              <w:t>INFLIXIMAB</w:t>
            </w:r>
          </w:p>
        </w:tc>
      </w:tr>
      <w:tr w:rsidR="000A13FD" w:rsidRPr="007118D3" w14:paraId="4A36D462" w14:textId="77777777" w:rsidTr="0CEE6DE9">
        <w:trPr>
          <w:cantSplit/>
          <w:trHeight w:val="20"/>
        </w:trPr>
        <w:tc>
          <w:tcPr>
            <w:tcW w:w="3939" w:type="dxa"/>
            <w:gridSpan w:val="2"/>
            <w:vAlign w:val="center"/>
          </w:tcPr>
          <w:p w14:paraId="6E669532" w14:textId="77777777" w:rsidR="000A13FD" w:rsidRPr="00595457" w:rsidRDefault="000A13FD" w:rsidP="00302D60">
            <w:pPr>
              <w:keepLines/>
              <w:rPr>
                <w:rFonts w:ascii="Arial Narrow" w:hAnsi="Arial Narrow" w:cs="Arial"/>
                <w:sz w:val="20"/>
                <w:szCs w:val="20"/>
              </w:rPr>
            </w:pPr>
            <w:r w:rsidRPr="00595457">
              <w:rPr>
                <w:rFonts w:ascii="Arial Narrow" w:hAnsi="Arial Narrow" w:cs="Arial"/>
                <w:sz w:val="20"/>
                <w:szCs w:val="20"/>
              </w:rPr>
              <w:t>infliximab 120 mg/mL injection, 1 mL pen device</w:t>
            </w:r>
          </w:p>
        </w:tc>
        <w:tc>
          <w:tcPr>
            <w:tcW w:w="811" w:type="dxa"/>
            <w:vAlign w:val="center"/>
          </w:tcPr>
          <w:p w14:paraId="70769DA4" w14:textId="1803E080" w:rsidR="000A13FD" w:rsidRPr="00595457" w:rsidRDefault="00E078A9" w:rsidP="00302D60">
            <w:pPr>
              <w:keepLines/>
              <w:jc w:val="center"/>
              <w:rPr>
                <w:rFonts w:ascii="Arial Narrow" w:hAnsi="Arial Narrow" w:cs="Arial"/>
                <w:sz w:val="20"/>
                <w:szCs w:val="20"/>
              </w:rPr>
            </w:pPr>
            <w:r w:rsidRPr="00595457">
              <w:rPr>
                <w:rFonts w:ascii="Arial Narrow" w:hAnsi="Arial Narrow" w:cs="Arial"/>
                <w:sz w:val="20"/>
                <w:szCs w:val="20"/>
              </w:rPr>
              <w:t>12587L</w:t>
            </w:r>
          </w:p>
        </w:tc>
        <w:tc>
          <w:tcPr>
            <w:tcW w:w="812" w:type="dxa"/>
          </w:tcPr>
          <w:p w14:paraId="118A8DCC" w14:textId="77777777" w:rsidR="000A13FD" w:rsidRPr="00595457" w:rsidRDefault="000A13FD"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tcPr>
          <w:p w14:paraId="0B6E9046" w14:textId="77777777" w:rsidR="000A13FD" w:rsidRPr="00595457" w:rsidRDefault="000A13FD"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tcPr>
          <w:p w14:paraId="2BA173A5" w14:textId="77777777" w:rsidR="000A13FD" w:rsidRPr="00595457" w:rsidRDefault="000A13FD" w:rsidP="00302D60">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6BDE4CD7" w14:textId="77777777" w:rsidR="000A13FD" w:rsidRPr="00595457" w:rsidRDefault="2552B567" w:rsidP="0CEE6DE9">
            <w:pPr>
              <w:keepLines/>
              <w:rPr>
                <w:rFonts w:ascii="Arial Narrow" w:hAnsi="Arial Narrow" w:cs="Arial"/>
                <w:sz w:val="20"/>
                <w:szCs w:val="20"/>
              </w:rPr>
            </w:pPr>
            <w:r w:rsidRPr="00595457">
              <w:rPr>
                <w:rFonts w:ascii="Arial Narrow" w:hAnsi="Arial Narrow" w:cs="Arial"/>
                <w:sz w:val="20"/>
                <w:szCs w:val="20"/>
              </w:rPr>
              <w:t>Remsima SC</w:t>
            </w:r>
          </w:p>
        </w:tc>
      </w:tr>
      <w:tr w:rsidR="000A13FD" w:rsidRPr="007118D3" w14:paraId="78CFF615" w14:textId="77777777" w:rsidTr="0CEE6DE9">
        <w:trPr>
          <w:cantSplit/>
          <w:trHeight w:val="20"/>
        </w:trPr>
        <w:tc>
          <w:tcPr>
            <w:tcW w:w="3939" w:type="dxa"/>
            <w:gridSpan w:val="2"/>
            <w:vAlign w:val="center"/>
          </w:tcPr>
          <w:p w14:paraId="347E8C3E" w14:textId="77777777" w:rsidR="000A13FD" w:rsidRPr="00595457" w:rsidRDefault="000A13FD" w:rsidP="00302D60">
            <w:pPr>
              <w:keepLines/>
              <w:rPr>
                <w:rFonts w:ascii="Arial Narrow" w:hAnsi="Arial Narrow" w:cs="Arial"/>
                <w:sz w:val="20"/>
                <w:szCs w:val="20"/>
              </w:rPr>
            </w:pPr>
            <w:r w:rsidRPr="00595457">
              <w:rPr>
                <w:rFonts w:ascii="Arial Narrow" w:hAnsi="Arial Narrow" w:cs="Arial"/>
                <w:sz w:val="20"/>
                <w:szCs w:val="20"/>
              </w:rPr>
              <w:t>infliximab 120 mg/mL injection, 1 mL syringe</w:t>
            </w:r>
          </w:p>
        </w:tc>
        <w:tc>
          <w:tcPr>
            <w:tcW w:w="811" w:type="dxa"/>
            <w:vAlign w:val="center"/>
          </w:tcPr>
          <w:p w14:paraId="75D6FBCA" w14:textId="18EF61E4" w:rsidR="000A13FD" w:rsidRPr="00595457" w:rsidRDefault="00C674D9" w:rsidP="00302D60">
            <w:pPr>
              <w:keepLines/>
              <w:jc w:val="center"/>
              <w:rPr>
                <w:rFonts w:ascii="Arial Narrow" w:hAnsi="Arial Narrow" w:cs="Arial"/>
                <w:sz w:val="20"/>
                <w:szCs w:val="20"/>
              </w:rPr>
            </w:pPr>
            <w:r w:rsidRPr="00595457">
              <w:rPr>
                <w:rFonts w:ascii="Arial Narrow" w:hAnsi="Arial Narrow" w:cs="Arial"/>
                <w:sz w:val="20"/>
                <w:szCs w:val="20"/>
              </w:rPr>
              <w:t>12552P</w:t>
            </w:r>
          </w:p>
        </w:tc>
        <w:tc>
          <w:tcPr>
            <w:tcW w:w="812" w:type="dxa"/>
            <w:vAlign w:val="center"/>
          </w:tcPr>
          <w:p w14:paraId="53866958" w14:textId="77777777" w:rsidR="000A13FD" w:rsidRPr="00595457" w:rsidRDefault="000A13FD"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vAlign w:val="center"/>
          </w:tcPr>
          <w:p w14:paraId="668443A3" w14:textId="77777777" w:rsidR="000A13FD" w:rsidRPr="00595457" w:rsidRDefault="000A13FD"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vAlign w:val="center"/>
          </w:tcPr>
          <w:p w14:paraId="7B23A8EA" w14:textId="77777777" w:rsidR="000A13FD" w:rsidRPr="00595457" w:rsidRDefault="000A13FD" w:rsidP="00302D60">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22141E02" w14:textId="77777777" w:rsidR="000A13FD" w:rsidRPr="00595457" w:rsidRDefault="2552B567" w:rsidP="0CEE6DE9">
            <w:pPr>
              <w:keepLines/>
              <w:rPr>
                <w:rFonts w:ascii="Arial Narrow" w:hAnsi="Arial Narrow" w:cs="Arial"/>
                <w:sz w:val="20"/>
                <w:szCs w:val="20"/>
              </w:rPr>
            </w:pPr>
            <w:r w:rsidRPr="00595457">
              <w:rPr>
                <w:rFonts w:ascii="Arial Narrow" w:hAnsi="Arial Narrow" w:cs="Arial"/>
                <w:sz w:val="20"/>
                <w:szCs w:val="20"/>
              </w:rPr>
              <w:t>Remsima SC</w:t>
            </w:r>
          </w:p>
        </w:tc>
      </w:tr>
      <w:tr w:rsidR="000A13FD" w:rsidRPr="007118D3" w14:paraId="452060AC"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D208F25" w14:textId="77777777" w:rsidR="000A13FD" w:rsidRPr="00595457" w:rsidRDefault="000A13FD" w:rsidP="00302D60">
            <w:pPr>
              <w:rPr>
                <w:rFonts w:ascii="Arial Narrow" w:hAnsi="Arial Narrow" w:cs="Arial"/>
                <w:sz w:val="20"/>
                <w:szCs w:val="20"/>
              </w:rPr>
            </w:pPr>
          </w:p>
        </w:tc>
      </w:tr>
      <w:tr w:rsidR="000A13FD" w:rsidRPr="007118D3" w14:paraId="01ED592A"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6298559" w14:textId="749C2AD6" w:rsidR="000A13FD" w:rsidRPr="00595457" w:rsidRDefault="000A13FD" w:rsidP="00302D60">
            <w:pPr>
              <w:keepLines/>
              <w:rPr>
                <w:rFonts w:ascii="Arial Narrow" w:hAnsi="Arial Narrow" w:cs="Arial"/>
                <w:b/>
                <w:sz w:val="20"/>
                <w:szCs w:val="20"/>
              </w:rPr>
            </w:pPr>
            <w:r w:rsidRPr="00595457">
              <w:rPr>
                <w:rFonts w:ascii="Arial Narrow" w:hAnsi="Arial Narrow"/>
                <w:b/>
                <w:sz w:val="20"/>
                <w:szCs w:val="20"/>
              </w:rPr>
              <w:t>Restriction Summary / Treatment of Concept:</w:t>
            </w:r>
            <w:r w:rsidRPr="00595457">
              <w:rPr>
                <w:rFonts w:ascii="Arial Narrow" w:hAnsi="Arial Narrow"/>
                <w:sz w:val="20"/>
                <w:szCs w:val="20"/>
              </w:rPr>
              <w:t xml:space="preserve"> </w:t>
            </w:r>
          </w:p>
        </w:tc>
      </w:tr>
      <w:tr w:rsidR="000A13FD" w:rsidRPr="007118D3" w14:paraId="12CFEC2E" w14:textId="77777777" w:rsidTr="0CEE6DE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9824BB8" w14:textId="34F18DB9" w:rsidR="000A13FD" w:rsidRPr="00595457" w:rsidRDefault="000A13FD" w:rsidP="00302D60">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9F92CF" w14:textId="77777777" w:rsidR="000A13FD" w:rsidRPr="00595457" w:rsidRDefault="000A13FD" w:rsidP="00302D60">
            <w:pPr>
              <w:keepLines/>
              <w:rPr>
                <w:rFonts w:ascii="Arial Narrow" w:hAnsi="Arial Narrow" w:cs="Arial"/>
                <w:sz w:val="20"/>
                <w:szCs w:val="20"/>
              </w:rPr>
            </w:pPr>
            <w:r w:rsidRPr="00595457">
              <w:rPr>
                <w:rFonts w:ascii="Arial Narrow" w:hAnsi="Arial Narrow" w:cs="Arial"/>
                <w:b/>
                <w:sz w:val="20"/>
                <w:szCs w:val="20"/>
              </w:rPr>
              <w:t>Category / Program:</w:t>
            </w:r>
            <w:r w:rsidRPr="00595457">
              <w:rPr>
                <w:rFonts w:ascii="Arial Narrow" w:hAnsi="Arial Narrow" w:cs="Arial"/>
                <w:color w:val="FF0000"/>
                <w:sz w:val="20"/>
                <w:szCs w:val="20"/>
              </w:rPr>
              <w:t xml:space="preserve"> </w:t>
            </w:r>
            <w:r w:rsidRPr="00595457">
              <w:rPr>
                <w:rFonts w:ascii="Arial Narrow" w:eastAsia="Calibri" w:hAnsi="Arial Narrow" w:cs="Arial"/>
                <w:sz w:val="20"/>
                <w:szCs w:val="20"/>
              </w:rPr>
              <w:t xml:space="preserve">GENERAL - General Schedule (Code GE) </w:t>
            </w:r>
          </w:p>
        </w:tc>
      </w:tr>
      <w:tr w:rsidR="000A13FD" w:rsidRPr="007118D3" w14:paraId="3E4BCF94"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4DA454DC" w14:textId="77777777" w:rsidR="000A13FD" w:rsidRPr="00595457" w:rsidRDefault="000A13FD"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5865F2" w14:textId="77777777" w:rsidR="000A13FD" w:rsidRPr="00595457" w:rsidRDefault="000A13FD" w:rsidP="00302D60">
            <w:pPr>
              <w:keepLines/>
              <w:rPr>
                <w:rFonts w:ascii="Arial Narrow" w:hAnsi="Arial Narrow" w:cs="Arial"/>
                <w:b/>
                <w:sz w:val="20"/>
                <w:szCs w:val="20"/>
              </w:rPr>
            </w:pPr>
            <w:r w:rsidRPr="00595457">
              <w:rPr>
                <w:rFonts w:ascii="Arial Narrow" w:hAnsi="Arial Narrow" w:cs="Arial"/>
                <w:b/>
                <w:sz w:val="20"/>
                <w:szCs w:val="20"/>
              </w:rPr>
              <w:t xml:space="preserve">Prescriber type: </w:t>
            </w:r>
            <w:r w:rsidRPr="00595457">
              <w:rPr>
                <w:rFonts w:ascii="Arial Narrow" w:hAnsi="Arial Narrow" w:cs="Arial"/>
                <w:sz w:val="20"/>
                <w:szCs w:val="20"/>
              </w:rPr>
              <w:fldChar w:fldCharType="begin" w:fldLock="1">
                <w:ffData>
                  <w:name w:val=""/>
                  <w:enabled/>
                  <w:calcOnExit w:val="0"/>
                  <w:checkBox>
                    <w:sizeAuto/>
                    <w:default w:val="1"/>
                  </w:checkBox>
                </w:ffData>
              </w:fldChar>
            </w:r>
            <w:r w:rsidRPr="00595457">
              <w:rPr>
                <w:rFonts w:ascii="Arial Narrow" w:hAnsi="Arial Narrow" w:cs="Arial"/>
                <w:sz w:val="20"/>
                <w:szCs w:val="20"/>
              </w:rPr>
              <w:instrText xml:space="preserve"> FORMCHECKBOX </w:instrText>
            </w:r>
            <w:r w:rsidRPr="00595457">
              <w:rPr>
                <w:rFonts w:ascii="Arial Narrow" w:hAnsi="Arial Narrow" w:cs="Arial"/>
                <w:sz w:val="20"/>
                <w:szCs w:val="20"/>
              </w:rPr>
            </w:r>
            <w:r w:rsidRPr="00595457">
              <w:rPr>
                <w:rFonts w:ascii="Arial Narrow" w:hAnsi="Arial Narrow" w:cs="Arial"/>
                <w:sz w:val="20"/>
                <w:szCs w:val="20"/>
              </w:rPr>
              <w:fldChar w:fldCharType="separate"/>
            </w:r>
            <w:r w:rsidRPr="00595457">
              <w:rPr>
                <w:rFonts w:ascii="Arial Narrow" w:hAnsi="Arial Narrow" w:cs="Arial"/>
                <w:sz w:val="20"/>
                <w:szCs w:val="20"/>
              </w:rPr>
              <w:fldChar w:fldCharType="end"/>
            </w:r>
            <w:r w:rsidRPr="00595457">
              <w:rPr>
                <w:rFonts w:ascii="Arial Narrow" w:hAnsi="Arial Narrow" w:cs="Arial"/>
                <w:sz w:val="20"/>
                <w:szCs w:val="20"/>
              </w:rPr>
              <w:t xml:space="preserve">Medical Practitioners </w:t>
            </w:r>
          </w:p>
        </w:tc>
      </w:tr>
      <w:tr w:rsidR="000A13FD" w:rsidRPr="007118D3" w14:paraId="15F10267"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7D67325C" w14:textId="77777777" w:rsidR="000A13FD" w:rsidRPr="00595457" w:rsidRDefault="000A13FD"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B03EC34" w14:textId="77777777" w:rsidR="000A13FD" w:rsidRPr="00595457" w:rsidRDefault="000A13FD" w:rsidP="00302D60">
            <w:pPr>
              <w:keepLines/>
              <w:rPr>
                <w:rFonts w:ascii="Arial Narrow" w:hAnsi="Arial Narrow" w:cs="Arial"/>
                <w:b/>
                <w:sz w:val="20"/>
                <w:szCs w:val="20"/>
              </w:rPr>
            </w:pPr>
            <w:r w:rsidRPr="00595457">
              <w:rPr>
                <w:rFonts w:ascii="Arial Narrow" w:hAnsi="Arial Narrow" w:cs="Arial"/>
                <w:b/>
                <w:sz w:val="20"/>
                <w:szCs w:val="20"/>
              </w:rPr>
              <w:t xml:space="preserve">Restriction type: </w:t>
            </w:r>
          </w:p>
          <w:p w14:paraId="60897F99" w14:textId="77777777" w:rsidR="000A13FD" w:rsidRPr="00595457" w:rsidRDefault="000A13FD" w:rsidP="00302D60">
            <w:pPr>
              <w:keepLines/>
              <w:jc w:val="left"/>
              <w:rPr>
                <w:rFonts w:ascii="Arial Narrow" w:eastAsia="Calibri" w:hAnsi="Arial Narrow" w:cs="Arial"/>
                <w:color w:val="FF0000"/>
                <w:sz w:val="20"/>
                <w:szCs w:val="20"/>
              </w:rPr>
            </w:pPr>
            <w:r w:rsidRPr="00595457">
              <w:rPr>
                <w:rFonts w:ascii="Arial Narrow" w:eastAsia="Calibri" w:hAnsi="Arial Narrow" w:cs="Arial"/>
                <w:sz w:val="20"/>
                <w:szCs w:val="20"/>
              </w:rPr>
              <w:fldChar w:fldCharType="begin" w:fldLock="1">
                <w:ffData>
                  <w:name w:val=""/>
                  <w:enabled/>
                  <w:calcOnExit w:val="0"/>
                  <w:checkBox>
                    <w:sizeAuto/>
                    <w:default w:val="1"/>
                  </w:checkBox>
                </w:ffData>
              </w:fldChar>
            </w:r>
            <w:r w:rsidRPr="00595457">
              <w:rPr>
                <w:rFonts w:ascii="Arial Narrow" w:eastAsia="Calibri" w:hAnsi="Arial Narrow" w:cs="Arial"/>
                <w:sz w:val="20"/>
                <w:szCs w:val="20"/>
              </w:rPr>
              <w:instrText xml:space="preserve"> FORMCHECKBOX </w:instrText>
            </w:r>
            <w:r w:rsidRPr="00595457">
              <w:rPr>
                <w:rFonts w:ascii="Arial Narrow" w:eastAsia="Calibri" w:hAnsi="Arial Narrow" w:cs="Arial"/>
                <w:sz w:val="20"/>
                <w:szCs w:val="20"/>
              </w:rPr>
            </w:r>
            <w:r w:rsidRPr="00595457">
              <w:rPr>
                <w:rFonts w:ascii="Arial Narrow" w:eastAsia="Calibri" w:hAnsi="Arial Narrow" w:cs="Arial"/>
                <w:sz w:val="20"/>
                <w:szCs w:val="20"/>
              </w:rPr>
              <w:fldChar w:fldCharType="separate"/>
            </w:r>
            <w:r w:rsidRPr="00595457">
              <w:rPr>
                <w:rFonts w:ascii="Arial Narrow" w:eastAsia="Calibri" w:hAnsi="Arial Narrow" w:cs="Arial"/>
                <w:sz w:val="20"/>
                <w:szCs w:val="20"/>
              </w:rPr>
              <w:fldChar w:fldCharType="end"/>
            </w:r>
            <w:r w:rsidRPr="00595457">
              <w:rPr>
                <w:rFonts w:ascii="Arial Narrow" w:eastAsia="Calibri" w:hAnsi="Arial Narrow" w:cs="Arial"/>
                <w:i/>
                <w:iCs/>
                <w:sz w:val="20"/>
                <w:szCs w:val="20"/>
              </w:rPr>
              <w:t xml:space="preserve">Authority Required (Streamlined) </w:t>
            </w:r>
            <w:r w:rsidRPr="00595457">
              <w:rPr>
                <w:rFonts w:ascii="Arial Narrow" w:eastAsia="Calibri" w:hAnsi="Arial Narrow" w:cs="Arial"/>
                <w:i/>
                <w:iCs/>
                <w:color w:val="FF0000"/>
                <w:sz w:val="20"/>
                <w:szCs w:val="20"/>
              </w:rPr>
              <w:br/>
            </w:r>
            <w:r w:rsidRPr="00595457">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595457">
              <w:rPr>
                <w:rFonts w:ascii="Arial Narrow" w:eastAsia="Calibri" w:hAnsi="Arial Narrow" w:cs="Arial"/>
                <w:strike/>
                <w:sz w:val="20"/>
                <w:szCs w:val="20"/>
              </w:rPr>
              <w:instrText xml:space="preserve"> FORMCHECKBOX </w:instrText>
            </w:r>
            <w:r w:rsidRPr="00595457">
              <w:rPr>
                <w:rFonts w:ascii="Arial Narrow" w:eastAsia="Calibri" w:hAnsi="Arial Narrow" w:cs="Arial"/>
                <w:strike/>
                <w:sz w:val="20"/>
                <w:szCs w:val="20"/>
              </w:rPr>
            </w:r>
            <w:r w:rsidRPr="00595457">
              <w:rPr>
                <w:rFonts w:ascii="Arial Narrow" w:eastAsia="Calibri" w:hAnsi="Arial Narrow" w:cs="Arial"/>
                <w:strike/>
                <w:sz w:val="20"/>
                <w:szCs w:val="20"/>
              </w:rPr>
              <w:fldChar w:fldCharType="separate"/>
            </w:r>
            <w:r w:rsidRPr="00595457">
              <w:rPr>
                <w:rFonts w:ascii="Arial Narrow" w:eastAsia="Calibri" w:hAnsi="Arial Narrow" w:cs="Arial"/>
                <w:strike/>
                <w:sz w:val="20"/>
                <w:szCs w:val="20"/>
              </w:rPr>
              <w:fldChar w:fldCharType="end"/>
            </w:r>
            <w:r w:rsidRPr="00595457">
              <w:rPr>
                <w:rFonts w:ascii="Arial Narrow" w:eastAsia="Calibri" w:hAnsi="Arial Narrow" w:cs="Arial"/>
                <w:strike/>
                <w:sz w:val="20"/>
                <w:szCs w:val="20"/>
              </w:rPr>
              <w:t xml:space="preserve">Authority Required (telephone/online PBS Authorities system) </w:t>
            </w:r>
          </w:p>
        </w:tc>
      </w:tr>
      <w:tr w:rsidR="000A13FD" w:rsidRPr="007118D3" w14:paraId="616E7098" w14:textId="77777777" w:rsidTr="00365FCC">
        <w:tblPrEx>
          <w:tblCellMar>
            <w:top w:w="15" w:type="dxa"/>
            <w:bottom w:w="15" w:type="dxa"/>
          </w:tblCellMar>
        </w:tblPrEx>
        <w:trPr>
          <w:cantSplit/>
          <w:trHeight w:val="20"/>
        </w:trPr>
        <w:tc>
          <w:tcPr>
            <w:tcW w:w="1271" w:type="dxa"/>
            <w:vAlign w:val="center"/>
          </w:tcPr>
          <w:p w14:paraId="59F5D985" w14:textId="31D6B592" w:rsidR="000A13FD" w:rsidRPr="00595457" w:rsidRDefault="000A13FD" w:rsidP="00302D60">
            <w:pPr>
              <w:keepLines/>
              <w:jc w:val="center"/>
              <w:rPr>
                <w:rFonts w:ascii="Arial Narrow" w:hAnsi="Arial Narrow"/>
                <w:sz w:val="20"/>
                <w:szCs w:val="20"/>
              </w:rPr>
            </w:pPr>
          </w:p>
        </w:tc>
        <w:tc>
          <w:tcPr>
            <w:tcW w:w="7745" w:type="dxa"/>
            <w:gridSpan w:val="6"/>
            <w:vAlign w:val="center"/>
            <w:hideMark/>
          </w:tcPr>
          <w:p w14:paraId="47A6B4AF" w14:textId="6C0838D3" w:rsidR="000A13FD" w:rsidRPr="00595457" w:rsidRDefault="000A13FD" w:rsidP="00302D60">
            <w:pPr>
              <w:keepLines/>
              <w:rPr>
                <w:rFonts w:ascii="Arial Narrow" w:hAnsi="Arial Narrow"/>
                <w:color w:val="333333"/>
                <w:sz w:val="20"/>
                <w:szCs w:val="20"/>
              </w:rPr>
            </w:pPr>
            <w:r w:rsidRPr="00595457">
              <w:rPr>
                <w:rFonts w:ascii="Arial Narrow" w:hAnsi="Arial Narrow"/>
                <w:b/>
                <w:bCs/>
                <w:sz w:val="20"/>
                <w:szCs w:val="20"/>
              </w:rPr>
              <w:t>Indication:</w:t>
            </w:r>
            <w:r w:rsidRPr="00595457">
              <w:rPr>
                <w:rFonts w:ascii="Arial Narrow" w:hAnsi="Arial Narrow"/>
                <w:sz w:val="20"/>
                <w:szCs w:val="20"/>
              </w:rPr>
              <w:t xml:space="preserve"> </w:t>
            </w:r>
            <w:r w:rsidR="00EF2276" w:rsidRPr="00595457">
              <w:rPr>
                <w:rFonts w:ascii="Arial Narrow" w:hAnsi="Arial Narrow"/>
                <w:sz w:val="20"/>
                <w:szCs w:val="20"/>
              </w:rPr>
              <w:t>Moderate to severe ulcerative colitis</w:t>
            </w:r>
          </w:p>
        </w:tc>
      </w:tr>
      <w:tr w:rsidR="000A13FD" w:rsidRPr="007118D3" w14:paraId="42DDDE38" w14:textId="77777777" w:rsidTr="00365FCC">
        <w:tblPrEx>
          <w:tblCellMar>
            <w:top w:w="15" w:type="dxa"/>
            <w:bottom w:w="15" w:type="dxa"/>
          </w:tblCellMar>
        </w:tblPrEx>
        <w:trPr>
          <w:cantSplit/>
          <w:trHeight w:val="20"/>
        </w:trPr>
        <w:tc>
          <w:tcPr>
            <w:tcW w:w="1271" w:type="dxa"/>
            <w:vAlign w:val="center"/>
          </w:tcPr>
          <w:p w14:paraId="64E25AF2" w14:textId="77777777" w:rsidR="000A13FD" w:rsidRPr="00595457" w:rsidRDefault="000A13FD" w:rsidP="00302D60">
            <w:pPr>
              <w:jc w:val="center"/>
              <w:rPr>
                <w:rFonts w:ascii="Arial Narrow" w:hAnsi="Arial Narrow"/>
                <w:sz w:val="20"/>
                <w:szCs w:val="20"/>
              </w:rPr>
            </w:pPr>
          </w:p>
        </w:tc>
        <w:tc>
          <w:tcPr>
            <w:tcW w:w="7745" w:type="dxa"/>
            <w:gridSpan w:val="6"/>
            <w:vAlign w:val="center"/>
            <w:hideMark/>
          </w:tcPr>
          <w:p w14:paraId="5AC7ED0C" w14:textId="77777777" w:rsidR="000A13FD" w:rsidRPr="00595457" w:rsidRDefault="000A13FD" w:rsidP="00302D60">
            <w:pPr>
              <w:rPr>
                <w:rFonts w:ascii="Arial Narrow" w:hAnsi="Arial Narrow"/>
                <w:sz w:val="20"/>
                <w:szCs w:val="20"/>
              </w:rPr>
            </w:pPr>
            <w:r w:rsidRPr="00595457">
              <w:rPr>
                <w:rFonts w:ascii="Arial Narrow" w:hAnsi="Arial Narrow"/>
                <w:b/>
                <w:bCs/>
                <w:sz w:val="20"/>
                <w:szCs w:val="20"/>
              </w:rPr>
              <w:t>Treatment Phase:</w:t>
            </w:r>
            <w:r w:rsidRPr="00595457">
              <w:rPr>
                <w:rFonts w:ascii="Arial Narrow" w:hAnsi="Arial Narrow"/>
                <w:sz w:val="20"/>
                <w:szCs w:val="20"/>
              </w:rPr>
              <w:t xml:space="preserve"> Continuing treatment with subcutaneous form or switching from intravenous form to subcutaneous form</w:t>
            </w:r>
          </w:p>
        </w:tc>
      </w:tr>
      <w:tr w:rsidR="00A7476C" w:rsidRPr="007118D3" w14:paraId="5053E446"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C63B1E3" w14:textId="150060D5" w:rsidR="00A7476C" w:rsidRPr="00595457" w:rsidRDefault="00A7476C" w:rsidP="00A7476C">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AC2D40" w14:textId="77777777" w:rsidR="00A7476C" w:rsidRPr="00595457" w:rsidRDefault="00A7476C" w:rsidP="00A7476C">
            <w:pPr>
              <w:rPr>
                <w:rFonts w:ascii="Arial Narrow" w:hAnsi="Arial Narrow"/>
                <w:b/>
                <w:bCs/>
                <w:sz w:val="20"/>
                <w:szCs w:val="20"/>
              </w:rPr>
            </w:pPr>
            <w:r w:rsidRPr="00595457">
              <w:rPr>
                <w:rFonts w:ascii="Arial Narrow" w:hAnsi="Arial Narrow"/>
                <w:b/>
                <w:bCs/>
                <w:sz w:val="20"/>
                <w:szCs w:val="20"/>
              </w:rPr>
              <w:t>Prescribing Instructions:</w:t>
            </w:r>
          </w:p>
          <w:p w14:paraId="0350DDA6" w14:textId="77777777" w:rsidR="00A7476C" w:rsidRPr="00595457" w:rsidRDefault="50683313" w:rsidP="0CEE6DE9">
            <w:pPr>
              <w:rPr>
                <w:rFonts w:ascii="Arial Narrow" w:hAnsi="Arial Narrow"/>
                <w:sz w:val="20"/>
                <w:szCs w:val="20"/>
              </w:rPr>
            </w:pPr>
            <w:r w:rsidRPr="00595457">
              <w:rPr>
                <w:rFonts w:ascii="Arial Narrow" w:hAnsi="Arial Narrow"/>
                <w:sz w:val="20"/>
                <w:szCs w:val="20"/>
              </w:rPr>
              <w:t xml:space="preserve">Patients who have failed to maintain a partial Mayo clinic score less than or equal to 2, with no </w:t>
            </w:r>
            <w:proofErr w:type="spellStart"/>
            <w:r w:rsidRPr="00595457">
              <w:rPr>
                <w:rFonts w:ascii="Arial Narrow" w:hAnsi="Arial Narrow"/>
                <w:sz w:val="20"/>
                <w:szCs w:val="20"/>
              </w:rPr>
              <w:t>subscore</w:t>
            </w:r>
            <w:proofErr w:type="spellEnd"/>
            <w:r w:rsidRPr="00595457">
              <w:rPr>
                <w:rFonts w:ascii="Arial Narrow" w:hAnsi="Arial Narrow"/>
                <w:sz w:val="20"/>
                <w:szCs w:val="20"/>
              </w:rPr>
              <w:t xml:space="preserve"> greater than 1 with continuing treatment with this drug, will not be eligible to receive further PBS-subsidised treatment with this drug.</w:t>
            </w:r>
          </w:p>
        </w:tc>
      </w:tr>
      <w:tr w:rsidR="00A7476C" w:rsidRPr="007118D3" w14:paraId="04E52351"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D692966" w14:textId="4A8F8719" w:rsidR="00A7476C" w:rsidRPr="00595457" w:rsidRDefault="00A7476C" w:rsidP="00A7476C">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6601FA" w14:textId="77777777" w:rsidR="00A7476C" w:rsidRPr="00595457" w:rsidRDefault="00A7476C" w:rsidP="00A7476C">
            <w:pPr>
              <w:rPr>
                <w:rFonts w:ascii="Arial Narrow" w:hAnsi="Arial Narrow"/>
                <w:b/>
                <w:bCs/>
                <w:sz w:val="20"/>
                <w:szCs w:val="20"/>
              </w:rPr>
            </w:pPr>
            <w:r w:rsidRPr="00595457">
              <w:rPr>
                <w:rFonts w:ascii="Arial Narrow" w:hAnsi="Arial Narrow"/>
                <w:b/>
                <w:bCs/>
                <w:sz w:val="20"/>
                <w:szCs w:val="20"/>
              </w:rPr>
              <w:t>Prescribing Instructions:</w:t>
            </w:r>
          </w:p>
          <w:p w14:paraId="12669815" w14:textId="77777777" w:rsidR="00A7476C" w:rsidRPr="00595457" w:rsidRDefault="00A7476C" w:rsidP="00A7476C">
            <w:pPr>
              <w:rPr>
                <w:rFonts w:ascii="Arial Narrow" w:hAnsi="Arial Narrow"/>
                <w:sz w:val="20"/>
                <w:szCs w:val="20"/>
              </w:rPr>
            </w:pPr>
            <w:r w:rsidRPr="00595457">
              <w:rPr>
                <w:rFonts w:ascii="Arial Narrow" w:hAnsi="Arial Narrow"/>
                <w:sz w:val="20"/>
                <w:szCs w:val="20"/>
              </w:rPr>
              <w:t>Patients are eligible to receive continuing treatment with this drug in courses of up to 24 weeks providing they continue to sustain a response.</w:t>
            </w:r>
          </w:p>
        </w:tc>
      </w:tr>
      <w:tr w:rsidR="00A7476C" w:rsidRPr="007118D3" w14:paraId="4CC59168"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5888B0D" w14:textId="7F3E9B00" w:rsidR="00A7476C" w:rsidRPr="00595457" w:rsidRDefault="00A7476C" w:rsidP="00A7476C">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4B6D81" w14:textId="77777777" w:rsidR="00A7476C" w:rsidRPr="00595457" w:rsidRDefault="00A7476C" w:rsidP="00A7476C">
            <w:pPr>
              <w:rPr>
                <w:rFonts w:ascii="Arial Narrow" w:hAnsi="Arial Narrow"/>
                <w:b/>
                <w:bCs/>
                <w:strike/>
                <w:sz w:val="20"/>
                <w:szCs w:val="20"/>
              </w:rPr>
            </w:pPr>
            <w:r w:rsidRPr="00595457">
              <w:rPr>
                <w:rFonts w:ascii="Arial Narrow" w:hAnsi="Arial Narrow"/>
                <w:b/>
                <w:bCs/>
                <w:strike/>
                <w:sz w:val="20"/>
                <w:szCs w:val="20"/>
              </w:rPr>
              <w:t>Prescribing Instructions:</w:t>
            </w:r>
          </w:p>
          <w:p w14:paraId="62B4CA66" w14:textId="77777777" w:rsidR="00A7476C" w:rsidRPr="00595457" w:rsidRDefault="50683313" w:rsidP="0CEE6DE9">
            <w:pPr>
              <w:rPr>
                <w:rFonts w:ascii="Arial Narrow" w:hAnsi="Arial Narrow"/>
                <w:b/>
                <w:bCs/>
                <w:strike/>
                <w:sz w:val="20"/>
                <w:szCs w:val="20"/>
              </w:rPr>
            </w:pPr>
            <w:r w:rsidRPr="00595457">
              <w:rPr>
                <w:rFonts w:ascii="Arial Narrow" w:hAnsi="Arial Narrow"/>
                <w:strike/>
                <w:sz w:val="20"/>
                <w:szCs w:val="20"/>
              </w:rPr>
              <w:t>At the time of the authority application, medical practitioners should request sufficient quantity for up to 24 weeks of treatment under this restriction</w:t>
            </w:r>
            <w:r w:rsidRPr="00595457">
              <w:rPr>
                <w:rFonts w:ascii="Arial Narrow" w:hAnsi="Arial Narrow"/>
                <w:b/>
                <w:bCs/>
                <w:strike/>
                <w:sz w:val="20"/>
                <w:szCs w:val="20"/>
              </w:rPr>
              <w:t>.</w:t>
            </w:r>
          </w:p>
        </w:tc>
      </w:tr>
      <w:tr w:rsidR="00A7476C" w:rsidRPr="007118D3" w14:paraId="201A6F5B"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2682144" w14:textId="1FCD55CC" w:rsidR="00A7476C" w:rsidRPr="00595457" w:rsidRDefault="00A7476C" w:rsidP="00A7476C">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D10969" w14:textId="77777777" w:rsidR="00A7476C" w:rsidRPr="00595457" w:rsidRDefault="00A7476C" w:rsidP="00A7476C">
            <w:pPr>
              <w:rPr>
                <w:rFonts w:ascii="Arial Narrow" w:hAnsi="Arial Narrow"/>
                <w:b/>
                <w:bCs/>
                <w:strike/>
                <w:sz w:val="20"/>
                <w:szCs w:val="20"/>
              </w:rPr>
            </w:pPr>
            <w:r w:rsidRPr="00595457">
              <w:rPr>
                <w:rFonts w:ascii="Arial Narrow" w:hAnsi="Arial Narrow"/>
                <w:b/>
                <w:bCs/>
                <w:strike/>
                <w:sz w:val="20"/>
                <w:szCs w:val="20"/>
              </w:rPr>
              <w:t>Prescribing Instructions:</w:t>
            </w:r>
          </w:p>
          <w:p w14:paraId="11630DF0" w14:textId="77777777" w:rsidR="00A7476C" w:rsidRPr="00595457" w:rsidRDefault="50683313" w:rsidP="0CEE6DE9">
            <w:pPr>
              <w:rPr>
                <w:rFonts w:ascii="Arial Narrow" w:hAnsi="Arial Narrow"/>
                <w:strike/>
                <w:sz w:val="20"/>
                <w:szCs w:val="20"/>
              </w:rPr>
            </w:pPr>
            <w:r w:rsidRPr="00595457">
              <w:rPr>
                <w:rFonts w:ascii="Arial Narrow" w:hAnsi="Arial Narrow"/>
                <w:strike/>
                <w:sz w:val="20"/>
                <w:szCs w:val="20"/>
              </w:rP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p>
        </w:tc>
      </w:tr>
      <w:tr w:rsidR="00A7476C" w:rsidRPr="007118D3" w14:paraId="383C500D"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12EAE42" w14:textId="23614442" w:rsidR="00A7476C" w:rsidRPr="00595457" w:rsidRDefault="00A7476C" w:rsidP="00A7476C">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DFD64B" w14:textId="77777777" w:rsidR="00A7476C" w:rsidRPr="00595457" w:rsidRDefault="00A7476C" w:rsidP="00A7476C">
            <w:pPr>
              <w:rPr>
                <w:rFonts w:ascii="Arial Narrow" w:hAnsi="Arial Narrow"/>
                <w:b/>
                <w:bCs/>
                <w:sz w:val="20"/>
                <w:szCs w:val="20"/>
              </w:rPr>
            </w:pPr>
            <w:r w:rsidRPr="00595457">
              <w:rPr>
                <w:rFonts w:ascii="Arial Narrow" w:hAnsi="Arial Narrow"/>
                <w:b/>
                <w:bCs/>
                <w:sz w:val="20"/>
                <w:szCs w:val="20"/>
              </w:rPr>
              <w:t>Prescribing Instructions:</w:t>
            </w:r>
          </w:p>
          <w:p w14:paraId="342CDD8E" w14:textId="77777777" w:rsidR="00A7476C" w:rsidRPr="00595457" w:rsidRDefault="50683313" w:rsidP="0CEE6DE9">
            <w:pPr>
              <w:rPr>
                <w:rFonts w:ascii="Arial Narrow" w:hAnsi="Arial Narrow"/>
                <w:sz w:val="20"/>
                <w:szCs w:val="20"/>
              </w:rPr>
            </w:pPr>
            <w:r w:rsidRPr="00595457">
              <w:rPr>
                <w:rFonts w:ascii="Arial Narrow" w:hAnsi="Arial Narrow"/>
                <w:sz w:val="20"/>
                <w:szCs w:val="20"/>
              </w:rPr>
              <w:t>The patient remains eligible to receive continuing treatment with the same biological medicine in courses of up to 24 weeks providing they continue to sustain an adequate response. It is recommended that a patient be reviewed within 4 weeks prior to completing their current course of treatment.</w:t>
            </w:r>
          </w:p>
        </w:tc>
      </w:tr>
      <w:tr w:rsidR="00A7476C" w:rsidRPr="007118D3" w14:paraId="7773CABE"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CD7D6CA" w14:textId="658466F3" w:rsidR="00A7476C" w:rsidRPr="00595457" w:rsidRDefault="00A7476C" w:rsidP="00A7476C">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57FBF0" w14:textId="77777777" w:rsidR="00A7476C" w:rsidRPr="00595457" w:rsidRDefault="00A7476C" w:rsidP="00A7476C">
            <w:pPr>
              <w:rPr>
                <w:rFonts w:ascii="Arial Narrow" w:hAnsi="Arial Narrow"/>
                <w:b/>
                <w:bCs/>
                <w:strike/>
                <w:sz w:val="20"/>
                <w:szCs w:val="20"/>
              </w:rPr>
            </w:pPr>
            <w:r w:rsidRPr="00595457">
              <w:rPr>
                <w:rFonts w:ascii="Arial Narrow" w:hAnsi="Arial Narrow"/>
                <w:b/>
                <w:bCs/>
                <w:strike/>
                <w:sz w:val="20"/>
                <w:szCs w:val="20"/>
              </w:rPr>
              <w:t>Prescribing Instructions:</w:t>
            </w:r>
          </w:p>
          <w:p w14:paraId="6D69306E" w14:textId="77777777" w:rsidR="00A7476C" w:rsidRPr="00595457" w:rsidRDefault="50683313" w:rsidP="0CEE6DE9">
            <w:pPr>
              <w:rPr>
                <w:rFonts w:ascii="Arial Narrow" w:hAnsi="Arial Narrow"/>
                <w:strike/>
                <w:sz w:val="20"/>
                <w:szCs w:val="20"/>
              </w:rPr>
            </w:pPr>
            <w:r w:rsidRPr="00595457">
              <w:rPr>
                <w:rFonts w:ascii="Arial Narrow" w:hAnsi="Arial Narrow"/>
                <w:strike/>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7476C" w:rsidRPr="007118D3" w14:paraId="39988682"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035D2AF" w14:textId="236E635A" w:rsidR="00A7476C" w:rsidRPr="00595457" w:rsidRDefault="00A7476C" w:rsidP="00A7476C">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E06090" w14:textId="77777777" w:rsidR="00A7476C" w:rsidRPr="00595457" w:rsidRDefault="00A7476C" w:rsidP="00A7476C">
            <w:pPr>
              <w:rPr>
                <w:rFonts w:ascii="Arial Narrow" w:hAnsi="Arial Narrow"/>
                <w:b/>
                <w:bCs/>
                <w:sz w:val="20"/>
                <w:szCs w:val="20"/>
              </w:rPr>
            </w:pPr>
            <w:r w:rsidRPr="00595457">
              <w:rPr>
                <w:rFonts w:ascii="Arial Narrow" w:hAnsi="Arial Narrow"/>
                <w:b/>
                <w:bCs/>
                <w:sz w:val="20"/>
                <w:szCs w:val="20"/>
              </w:rPr>
              <w:t>Prescribing Instructions:</w:t>
            </w:r>
          </w:p>
          <w:p w14:paraId="09E537C0" w14:textId="77777777" w:rsidR="00A7476C" w:rsidRPr="00595457" w:rsidRDefault="50683313" w:rsidP="0CEE6DE9">
            <w:pPr>
              <w:rPr>
                <w:rFonts w:ascii="Arial Narrow" w:hAnsi="Arial Narrow"/>
                <w:sz w:val="20"/>
                <w:szCs w:val="20"/>
              </w:rPr>
            </w:pPr>
            <w:r w:rsidRPr="00595457">
              <w:rPr>
                <w:rFonts w:ascii="Arial Narrow" w:hAnsi="Arial Narrow"/>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A7476C" w:rsidRPr="007118D3" w14:paraId="621BCE15"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B6D0730" w14:textId="5CE63CD3" w:rsidR="00A7476C" w:rsidRPr="00595457" w:rsidRDefault="00A7476C" w:rsidP="00A7476C">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B98DBD" w14:textId="77777777" w:rsidR="00A7476C" w:rsidRPr="00595457" w:rsidRDefault="00A7476C" w:rsidP="00A7476C">
            <w:pPr>
              <w:rPr>
                <w:rFonts w:ascii="Arial Narrow" w:hAnsi="Arial Narrow"/>
                <w:b/>
                <w:bCs/>
                <w:sz w:val="20"/>
                <w:szCs w:val="20"/>
              </w:rPr>
            </w:pPr>
            <w:r w:rsidRPr="00595457">
              <w:rPr>
                <w:rFonts w:ascii="Arial Narrow" w:hAnsi="Arial Narrow"/>
                <w:b/>
                <w:bCs/>
                <w:sz w:val="20"/>
                <w:szCs w:val="20"/>
              </w:rPr>
              <w:t>Prescribing Instructions:</w:t>
            </w:r>
          </w:p>
          <w:p w14:paraId="397F4235" w14:textId="77777777" w:rsidR="00A7476C" w:rsidRPr="00595457" w:rsidRDefault="00A7476C" w:rsidP="00A7476C">
            <w:pPr>
              <w:rPr>
                <w:rFonts w:ascii="Arial Narrow" w:hAnsi="Arial Narrow"/>
                <w:sz w:val="20"/>
                <w:szCs w:val="20"/>
              </w:rPr>
            </w:pPr>
            <w:r w:rsidRPr="00595457">
              <w:rPr>
                <w:rFonts w:ascii="Arial Narrow" w:hAnsi="Arial Narrow"/>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A7476C" w:rsidRPr="007118D3" w14:paraId="07DEDA47"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1406D67" w14:textId="654F9ABB" w:rsidR="00A7476C" w:rsidRPr="00595457" w:rsidRDefault="00A7476C" w:rsidP="00A7476C">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B1D392" w14:textId="77777777" w:rsidR="00A7476C" w:rsidRPr="00595457" w:rsidRDefault="00A7476C" w:rsidP="00A7476C">
            <w:pPr>
              <w:rPr>
                <w:rFonts w:ascii="Arial Narrow" w:hAnsi="Arial Narrow"/>
                <w:b/>
                <w:bCs/>
                <w:strike/>
                <w:sz w:val="20"/>
                <w:szCs w:val="20"/>
              </w:rPr>
            </w:pPr>
            <w:r w:rsidRPr="00595457">
              <w:rPr>
                <w:rFonts w:ascii="Arial Narrow" w:hAnsi="Arial Narrow"/>
                <w:b/>
                <w:bCs/>
                <w:strike/>
                <w:sz w:val="20"/>
                <w:szCs w:val="20"/>
              </w:rPr>
              <w:t>Administrative Advice:</w:t>
            </w:r>
          </w:p>
          <w:p w14:paraId="140E6900" w14:textId="77777777" w:rsidR="00A7476C" w:rsidRPr="00595457" w:rsidRDefault="00A7476C" w:rsidP="00A7476C">
            <w:pPr>
              <w:rPr>
                <w:rFonts w:ascii="Arial Narrow" w:hAnsi="Arial Narrow"/>
                <w:strike/>
                <w:sz w:val="20"/>
                <w:szCs w:val="20"/>
              </w:rPr>
            </w:pPr>
            <w:r w:rsidRPr="00595457">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4BEED102" w14:textId="77777777" w:rsidR="003A1F60" w:rsidRDefault="003A1F60" w:rsidP="00365FCC">
      <w:pPr>
        <w:pStyle w:val="TableFigureFooter"/>
        <w:spacing w:after="0"/>
      </w:pPr>
    </w:p>
    <w:p w14:paraId="1404F9AB" w14:textId="21A4D792" w:rsidR="0039350D" w:rsidRPr="00B37E6C" w:rsidRDefault="0039350D" w:rsidP="00AC2615">
      <w:pPr>
        <w:pStyle w:val="5-SubsectionSubheading"/>
      </w:pPr>
      <w:r w:rsidRPr="00B37E6C">
        <w:t xml:space="preserve">Moderate to severe ulcerative colitis – </w:t>
      </w:r>
      <w:r w:rsidR="002D6874">
        <w:t>b</w:t>
      </w:r>
      <w:r w:rsidR="00FA27C1">
        <w:t xml:space="preserve">alance of </w:t>
      </w:r>
      <w:r w:rsidR="002D6874">
        <w:t>s</w:t>
      </w:r>
      <w:r w:rsidR="00FA27C1">
        <w:t>upply</w:t>
      </w:r>
      <w:r w:rsidR="00446120" w:rsidRPr="00B37E6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moderate to severe ulcerative colitis"/>
        <w:tblDescription w:val="Treatment phase: balance of supply for initial treatment - subcutaneous form&#10;&#10;Changes to treatment phase and clinical criteria "/>
      </w:tblPr>
      <w:tblGrid>
        <w:gridCol w:w="1271"/>
        <w:gridCol w:w="2668"/>
        <w:gridCol w:w="811"/>
        <w:gridCol w:w="812"/>
        <w:gridCol w:w="811"/>
        <w:gridCol w:w="812"/>
        <w:gridCol w:w="1831"/>
      </w:tblGrid>
      <w:tr w:rsidR="004116A1" w:rsidRPr="001428E9" w14:paraId="5EBE99FC" w14:textId="77777777" w:rsidTr="0CEE6DE9">
        <w:trPr>
          <w:cantSplit/>
          <w:trHeight w:val="20"/>
        </w:trPr>
        <w:tc>
          <w:tcPr>
            <w:tcW w:w="3939" w:type="dxa"/>
            <w:gridSpan w:val="2"/>
            <w:vAlign w:val="center"/>
          </w:tcPr>
          <w:p w14:paraId="0DB883F8" w14:textId="77777777" w:rsidR="004116A1" w:rsidRPr="00595457" w:rsidRDefault="004116A1" w:rsidP="00302D60">
            <w:pPr>
              <w:keepLines/>
              <w:rPr>
                <w:rFonts w:ascii="Arial Narrow" w:hAnsi="Arial Narrow" w:cs="Arial"/>
                <w:b/>
                <w:bCs/>
                <w:sz w:val="20"/>
                <w:szCs w:val="20"/>
              </w:rPr>
            </w:pPr>
            <w:r w:rsidRPr="00595457">
              <w:rPr>
                <w:rFonts w:ascii="Arial Narrow" w:hAnsi="Arial Narrow" w:cs="Arial"/>
                <w:b/>
                <w:bCs/>
                <w:sz w:val="20"/>
                <w:szCs w:val="20"/>
              </w:rPr>
              <w:t>MEDICINAL PRODUCT</w:t>
            </w:r>
          </w:p>
          <w:p w14:paraId="7AAB8760" w14:textId="77777777" w:rsidR="004116A1" w:rsidRPr="00595457" w:rsidRDefault="004116A1" w:rsidP="00302D60">
            <w:pPr>
              <w:keepLines/>
              <w:rPr>
                <w:rFonts w:ascii="Arial Narrow" w:hAnsi="Arial Narrow" w:cs="Arial"/>
                <w:b/>
                <w:sz w:val="20"/>
                <w:szCs w:val="20"/>
              </w:rPr>
            </w:pPr>
            <w:r w:rsidRPr="00595457">
              <w:rPr>
                <w:rFonts w:ascii="Arial Narrow" w:hAnsi="Arial Narrow" w:cs="Arial"/>
                <w:b/>
                <w:bCs/>
                <w:sz w:val="20"/>
                <w:szCs w:val="20"/>
              </w:rPr>
              <w:t>medicinal product pack</w:t>
            </w:r>
          </w:p>
        </w:tc>
        <w:tc>
          <w:tcPr>
            <w:tcW w:w="811" w:type="dxa"/>
            <w:vAlign w:val="center"/>
          </w:tcPr>
          <w:p w14:paraId="21755641" w14:textId="77777777" w:rsidR="004116A1" w:rsidRPr="00595457" w:rsidRDefault="004116A1" w:rsidP="00302D60">
            <w:pPr>
              <w:keepLines/>
              <w:jc w:val="center"/>
              <w:rPr>
                <w:rFonts w:ascii="Arial Narrow" w:hAnsi="Arial Narrow" w:cs="Arial"/>
                <w:b/>
                <w:sz w:val="20"/>
                <w:szCs w:val="20"/>
              </w:rPr>
            </w:pPr>
            <w:r w:rsidRPr="00595457">
              <w:rPr>
                <w:rFonts w:ascii="Arial Narrow" w:hAnsi="Arial Narrow" w:cs="Arial"/>
                <w:b/>
                <w:sz w:val="20"/>
                <w:szCs w:val="20"/>
              </w:rPr>
              <w:t>PBS item code</w:t>
            </w:r>
          </w:p>
        </w:tc>
        <w:tc>
          <w:tcPr>
            <w:tcW w:w="812" w:type="dxa"/>
            <w:vAlign w:val="center"/>
          </w:tcPr>
          <w:p w14:paraId="2D7AB024" w14:textId="77777777" w:rsidR="004116A1" w:rsidRPr="00595457" w:rsidRDefault="004116A1" w:rsidP="00302D60">
            <w:pPr>
              <w:keepLines/>
              <w:jc w:val="center"/>
              <w:rPr>
                <w:rFonts w:ascii="Arial Narrow" w:hAnsi="Arial Narrow" w:cs="Arial"/>
                <w:b/>
                <w:sz w:val="20"/>
                <w:szCs w:val="20"/>
              </w:rPr>
            </w:pPr>
            <w:r w:rsidRPr="00595457">
              <w:rPr>
                <w:rFonts w:ascii="Arial Narrow" w:hAnsi="Arial Narrow" w:cs="Arial"/>
                <w:b/>
                <w:sz w:val="20"/>
                <w:szCs w:val="20"/>
              </w:rPr>
              <w:t>Max. qty packs</w:t>
            </w:r>
          </w:p>
        </w:tc>
        <w:tc>
          <w:tcPr>
            <w:tcW w:w="811" w:type="dxa"/>
            <w:vAlign w:val="center"/>
          </w:tcPr>
          <w:p w14:paraId="56C41537" w14:textId="77777777" w:rsidR="004116A1" w:rsidRPr="00595457" w:rsidRDefault="004116A1" w:rsidP="00302D60">
            <w:pPr>
              <w:keepLines/>
              <w:jc w:val="center"/>
              <w:rPr>
                <w:rFonts w:ascii="Arial Narrow" w:hAnsi="Arial Narrow" w:cs="Arial"/>
                <w:b/>
                <w:sz w:val="20"/>
                <w:szCs w:val="20"/>
              </w:rPr>
            </w:pPr>
            <w:r w:rsidRPr="00595457">
              <w:rPr>
                <w:rFonts w:ascii="Arial Narrow" w:hAnsi="Arial Narrow" w:cs="Arial"/>
                <w:b/>
                <w:sz w:val="20"/>
                <w:szCs w:val="20"/>
              </w:rPr>
              <w:t>Max. qty units</w:t>
            </w:r>
          </w:p>
        </w:tc>
        <w:tc>
          <w:tcPr>
            <w:tcW w:w="812" w:type="dxa"/>
            <w:vAlign w:val="center"/>
          </w:tcPr>
          <w:p w14:paraId="3B6ECB67" w14:textId="77777777" w:rsidR="004116A1" w:rsidRPr="00595457" w:rsidRDefault="595AE53A" w:rsidP="0CEE6DE9">
            <w:pPr>
              <w:keepLines/>
              <w:jc w:val="center"/>
              <w:rPr>
                <w:rFonts w:ascii="Arial Narrow" w:hAnsi="Arial Narrow" w:cs="Arial"/>
                <w:b/>
                <w:bCs/>
                <w:sz w:val="20"/>
                <w:szCs w:val="20"/>
              </w:rPr>
            </w:pPr>
            <w:r w:rsidRPr="00595457">
              <w:rPr>
                <w:rFonts w:ascii="Arial Narrow" w:hAnsi="Arial Narrow" w:cs="Arial"/>
                <w:b/>
                <w:bCs/>
                <w:sz w:val="20"/>
                <w:szCs w:val="20"/>
              </w:rPr>
              <w:t>№.of</w:t>
            </w:r>
          </w:p>
          <w:p w14:paraId="247E01E4" w14:textId="77777777" w:rsidR="004116A1" w:rsidRPr="00595457" w:rsidRDefault="595AE53A" w:rsidP="0CEE6DE9">
            <w:pPr>
              <w:keepLines/>
              <w:jc w:val="center"/>
              <w:rPr>
                <w:rFonts w:ascii="Arial Narrow" w:hAnsi="Arial Narrow" w:cs="Arial"/>
                <w:b/>
                <w:bCs/>
                <w:sz w:val="20"/>
                <w:szCs w:val="20"/>
              </w:rPr>
            </w:pPr>
            <w:r w:rsidRPr="00595457">
              <w:rPr>
                <w:rFonts w:ascii="Arial Narrow" w:hAnsi="Arial Narrow" w:cs="Arial"/>
                <w:b/>
                <w:bCs/>
                <w:sz w:val="20"/>
                <w:szCs w:val="20"/>
              </w:rPr>
              <w:t>Rpts</w:t>
            </w:r>
          </w:p>
        </w:tc>
        <w:tc>
          <w:tcPr>
            <w:tcW w:w="1831" w:type="dxa"/>
            <w:vAlign w:val="center"/>
          </w:tcPr>
          <w:p w14:paraId="111B48A5" w14:textId="77777777" w:rsidR="004116A1" w:rsidRPr="00595457" w:rsidRDefault="004116A1" w:rsidP="00302D60">
            <w:pPr>
              <w:keepLines/>
              <w:rPr>
                <w:rFonts w:ascii="Arial Narrow" w:hAnsi="Arial Narrow" w:cs="Arial"/>
                <w:b/>
                <w:sz w:val="20"/>
                <w:szCs w:val="20"/>
                <w:lang w:val="fr-FR"/>
              </w:rPr>
            </w:pPr>
            <w:r w:rsidRPr="00595457">
              <w:rPr>
                <w:rFonts w:ascii="Arial Narrow" w:hAnsi="Arial Narrow" w:cs="Arial"/>
                <w:b/>
                <w:sz w:val="20"/>
                <w:szCs w:val="20"/>
              </w:rPr>
              <w:t>Available brands</w:t>
            </w:r>
          </w:p>
        </w:tc>
      </w:tr>
      <w:tr w:rsidR="004116A1" w:rsidRPr="001428E9" w14:paraId="46641837" w14:textId="77777777" w:rsidTr="0CEE6DE9">
        <w:trPr>
          <w:cantSplit/>
          <w:trHeight w:val="20"/>
        </w:trPr>
        <w:tc>
          <w:tcPr>
            <w:tcW w:w="9016" w:type="dxa"/>
            <w:gridSpan w:val="7"/>
            <w:vAlign w:val="center"/>
          </w:tcPr>
          <w:p w14:paraId="512653A7" w14:textId="77777777" w:rsidR="004116A1" w:rsidRPr="00595457" w:rsidRDefault="004116A1" w:rsidP="00302D60">
            <w:pPr>
              <w:keepLines/>
              <w:rPr>
                <w:rFonts w:ascii="Arial Narrow" w:hAnsi="Arial Narrow" w:cs="Arial"/>
                <w:sz w:val="20"/>
                <w:szCs w:val="20"/>
              </w:rPr>
            </w:pPr>
            <w:r w:rsidRPr="00595457">
              <w:rPr>
                <w:rFonts w:ascii="Arial Narrow" w:hAnsi="Arial Narrow" w:cs="Arial"/>
                <w:sz w:val="20"/>
                <w:szCs w:val="20"/>
              </w:rPr>
              <w:t>INFLIXIMAB</w:t>
            </w:r>
          </w:p>
        </w:tc>
      </w:tr>
      <w:tr w:rsidR="004116A1" w:rsidRPr="001428E9" w14:paraId="74206ACA" w14:textId="77777777" w:rsidTr="0CEE6DE9">
        <w:trPr>
          <w:cantSplit/>
          <w:trHeight w:val="20"/>
        </w:trPr>
        <w:tc>
          <w:tcPr>
            <w:tcW w:w="3939" w:type="dxa"/>
            <w:gridSpan w:val="2"/>
            <w:vAlign w:val="center"/>
          </w:tcPr>
          <w:p w14:paraId="0901DB10" w14:textId="77777777" w:rsidR="004116A1" w:rsidRPr="00595457" w:rsidRDefault="004116A1" w:rsidP="00302D60">
            <w:pPr>
              <w:keepLines/>
              <w:rPr>
                <w:rFonts w:ascii="Arial Narrow" w:hAnsi="Arial Narrow" w:cs="Arial"/>
                <w:sz w:val="20"/>
                <w:szCs w:val="20"/>
              </w:rPr>
            </w:pPr>
            <w:r w:rsidRPr="00595457">
              <w:rPr>
                <w:rFonts w:ascii="Arial Narrow" w:hAnsi="Arial Narrow" w:cs="Arial"/>
                <w:sz w:val="20"/>
                <w:szCs w:val="20"/>
              </w:rPr>
              <w:t>infliximab 120 mg/mL injection, 1 mL pen device</w:t>
            </w:r>
          </w:p>
        </w:tc>
        <w:tc>
          <w:tcPr>
            <w:tcW w:w="811" w:type="dxa"/>
            <w:vAlign w:val="center"/>
          </w:tcPr>
          <w:p w14:paraId="273DA990" w14:textId="0D68F25A" w:rsidR="004116A1" w:rsidRPr="00595457" w:rsidRDefault="00AB2338" w:rsidP="00302D60">
            <w:pPr>
              <w:keepLines/>
              <w:jc w:val="center"/>
              <w:rPr>
                <w:rFonts w:ascii="Arial Narrow" w:hAnsi="Arial Narrow" w:cs="Arial"/>
                <w:sz w:val="20"/>
                <w:szCs w:val="20"/>
              </w:rPr>
            </w:pPr>
            <w:r w:rsidRPr="00595457">
              <w:rPr>
                <w:rFonts w:ascii="Arial Narrow" w:hAnsi="Arial Narrow" w:cs="Arial"/>
                <w:sz w:val="20"/>
                <w:szCs w:val="20"/>
              </w:rPr>
              <w:t>12584H</w:t>
            </w:r>
          </w:p>
        </w:tc>
        <w:tc>
          <w:tcPr>
            <w:tcW w:w="812" w:type="dxa"/>
          </w:tcPr>
          <w:p w14:paraId="039ECE5C" w14:textId="77777777" w:rsidR="004116A1" w:rsidRPr="00595457" w:rsidRDefault="004116A1"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tcPr>
          <w:p w14:paraId="7E5F591D" w14:textId="77777777" w:rsidR="004116A1" w:rsidRPr="00595457" w:rsidRDefault="004116A1"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tcPr>
          <w:p w14:paraId="2AEAA87E" w14:textId="77777777" w:rsidR="004116A1" w:rsidRPr="00595457" w:rsidRDefault="004116A1" w:rsidP="00302D60">
            <w:pPr>
              <w:keepLines/>
              <w:jc w:val="center"/>
              <w:rPr>
                <w:rFonts w:ascii="Arial Narrow" w:hAnsi="Arial Narrow" w:cs="Arial"/>
                <w:sz w:val="20"/>
                <w:szCs w:val="20"/>
              </w:rPr>
            </w:pPr>
            <w:r w:rsidRPr="00595457">
              <w:rPr>
                <w:rFonts w:ascii="Arial Narrow" w:hAnsi="Arial Narrow" w:cs="Arial"/>
                <w:sz w:val="20"/>
                <w:szCs w:val="20"/>
              </w:rPr>
              <w:t>0</w:t>
            </w:r>
          </w:p>
        </w:tc>
        <w:tc>
          <w:tcPr>
            <w:tcW w:w="1831" w:type="dxa"/>
            <w:vAlign w:val="center"/>
          </w:tcPr>
          <w:p w14:paraId="074EC677" w14:textId="77777777" w:rsidR="004116A1" w:rsidRPr="00595457" w:rsidRDefault="595AE53A" w:rsidP="0CEE6DE9">
            <w:pPr>
              <w:keepLines/>
              <w:rPr>
                <w:rFonts w:ascii="Arial Narrow" w:hAnsi="Arial Narrow" w:cs="Arial"/>
                <w:sz w:val="20"/>
                <w:szCs w:val="20"/>
              </w:rPr>
            </w:pPr>
            <w:r w:rsidRPr="00595457">
              <w:rPr>
                <w:rFonts w:ascii="Arial Narrow" w:hAnsi="Arial Narrow" w:cs="Arial"/>
                <w:sz w:val="20"/>
                <w:szCs w:val="20"/>
              </w:rPr>
              <w:t>Remsima SC</w:t>
            </w:r>
          </w:p>
        </w:tc>
      </w:tr>
      <w:tr w:rsidR="004116A1" w:rsidRPr="001428E9" w14:paraId="6665A162" w14:textId="77777777" w:rsidTr="0CEE6DE9">
        <w:trPr>
          <w:cantSplit/>
          <w:trHeight w:val="20"/>
        </w:trPr>
        <w:tc>
          <w:tcPr>
            <w:tcW w:w="3939" w:type="dxa"/>
            <w:gridSpan w:val="2"/>
            <w:vAlign w:val="center"/>
          </w:tcPr>
          <w:p w14:paraId="1AADC3FE" w14:textId="77777777" w:rsidR="004116A1" w:rsidRPr="00595457" w:rsidRDefault="004116A1" w:rsidP="00302D60">
            <w:pPr>
              <w:keepLines/>
              <w:rPr>
                <w:rFonts w:ascii="Arial Narrow" w:hAnsi="Arial Narrow" w:cs="Arial"/>
                <w:sz w:val="20"/>
                <w:szCs w:val="20"/>
              </w:rPr>
            </w:pPr>
            <w:r w:rsidRPr="00595457">
              <w:rPr>
                <w:rFonts w:ascii="Arial Narrow" w:hAnsi="Arial Narrow" w:cs="Arial"/>
                <w:sz w:val="20"/>
                <w:szCs w:val="20"/>
              </w:rPr>
              <w:t>infliximab 120 mg/mL injection, 1 mL syringe</w:t>
            </w:r>
          </w:p>
        </w:tc>
        <w:tc>
          <w:tcPr>
            <w:tcW w:w="811" w:type="dxa"/>
            <w:vAlign w:val="center"/>
          </w:tcPr>
          <w:p w14:paraId="17449D73" w14:textId="1B19BBE2" w:rsidR="004116A1" w:rsidRPr="00595457" w:rsidRDefault="005656F0" w:rsidP="00302D60">
            <w:pPr>
              <w:keepLines/>
              <w:jc w:val="center"/>
              <w:rPr>
                <w:rFonts w:ascii="Arial Narrow" w:hAnsi="Arial Narrow" w:cs="Arial"/>
                <w:sz w:val="20"/>
                <w:szCs w:val="20"/>
              </w:rPr>
            </w:pPr>
            <w:r w:rsidRPr="00595457">
              <w:rPr>
                <w:rFonts w:ascii="Arial Narrow" w:hAnsi="Arial Narrow" w:cs="Arial"/>
                <w:sz w:val="20"/>
                <w:szCs w:val="20"/>
              </w:rPr>
              <w:t>12550M</w:t>
            </w:r>
          </w:p>
        </w:tc>
        <w:tc>
          <w:tcPr>
            <w:tcW w:w="812" w:type="dxa"/>
            <w:vAlign w:val="center"/>
          </w:tcPr>
          <w:p w14:paraId="3E5904C4" w14:textId="77777777" w:rsidR="004116A1" w:rsidRPr="00595457" w:rsidRDefault="004116A1"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vAlign w:val="center"/>
          </w:tcPr>
          <w:p w14:paraId="7818B1AF" w14:textId="77777777" w:rsidR="004116A1" w:rsidRPr="00595457" w:rsidRDefault="004116A1"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vAlign w:val="center"/>
          </w:tcPr>
          <w:p w14:paraId="666588A6" w14:textId="77777777" w:rsidR="004116A1" w:rsidRPr="00595457" w:rsidRDefault="004116A1" w:rsidP="00302D60">
            <w:pPr>
              <w:keepLines/>
              <w:jc w:val="center"/>
              <w:rPr>
                <w:rFonts w:ascii="Arial Narrow" w:hAnsi="Arial Narrow" w:cs="Arial"/>
                <w:sz w:val="20"/>
                <w:szCs w:val="20"/>
              </w:rPr>
            </w:pPr>
            <w:r w:rsidRPr="00595457">
              <w:rPr>
                <w:rFonts w:ascii="Arial Narrow" w:hAnsi="Arial Narrow" w:cs="Arial"/>
                <w:sz w:val="20"/>
                <w:szCs w:val="20"/>
              </w:rPr>
              <w:t>0</w:t>
            </w:r>
          </w:p>
        </w:tc>
        <w:tc>
          <w:tcPr>
            <w:tcW w:w="1831" w:type="dxa"/>
            <w:vAlign w:val="center"/>
          </w:tcPr>
          <w:p w14:paraId="60382EBB" w14:textId="77777777" w:rsidR="004116A1" w:rsidRPr="00595457" w:rsidRDefault="595AE53A" w:rsidP="0CEE6DE9">
            <w:pPr>
              <w:keepLines/>
              <w:rPr>
                <w:rFonts w:ascii="Arial Narrow" w:hAnsi="Arial Narrow" w:cs="Arial"/>
                <w:sz w:val="20"/>
                <w:szCs w:val="20"/>
              </w:rPr>
            </w:pPr>
            <w:r w:rsidRPr="00595457">
              <w:rPr>
                <w:rFonts w:ascii="Arial Narrow" w:hAnsi="Arial Narrow" w:cs="Arial"/>
                <w:sz w:val="20"/>
                <w:szCs w:val="20"/>
              </w:rPr>
              <w:t>Remsima SC</w:t>
            </w:r>
          </w:p>
        </w:tc>
      </w:tr>
      <w:tr w:rsidR="004116A1" w:rsidRPr="001428E9" w14:paraId="1C867064"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3ED2A8E" w14:textId="77777777" w:rsidR="004116A1" w:rsidRPr="00595457" w:rsidRDefault="004116A1" w:rsidP="00302D60">
            <w:pPr>
              <w:rPr>
                <w:rFonts w:ascii="Arial Narrow" w:hAnsi="Arial Narrow" w:cs="Arial"/>
                <w:sz w:val="20"/>
                <w:szCs w:val="20"/>
              </w:rPr>
            </w:pPr>
          </w:p>
        </w:tc>
      </w:tr>
      <w:tr w:rsidR="004116A1" w:rsidRPr="001428E9" w14:paraId="47A8A58A"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C9267E5" w14:textId="654CDD44" w:rsidR="004116A1" w:rsidRPr="00595457" w:rsidRDefault="2E9A1D16" w:rsidP="73796C13">
            <w:pPr>
              <w:keepLines/>
              <w:rPr>
                <w:rFonts w:ascii="Arial Narrow" w:hAnsi="Arial Narrow" w:cs="Arial"/>
                <w:b/>
                <w:bCs/>
                <w:sz w:val="20"/>
                <w:szCs w:val="20"/>
              </w:rPr>
            </w:pPr>
            <w:r w:rsidRPr="00595457">
              <w:rPr>
                <w:rFonts w:ascii="Arial Narrow" w:hAnsi="Arial Narrow"/>
                <w:b/>
                <w:bCs/>
                <w:sz w:val="20"/>
                <w:szCs w:val="20"/>
              </w:rPr>
              <w:t xml:space="preserve">Restriction Summary / Treatment of Concept: </w:t>
            </w:r>
          </w:p>
        </w:tc>
      </w:tr>
      <w:tr w:rsidR="004116A1" w:rsidRPr="001428E9" w14:paraId="01881784" w14:textId="77777777" w:rsidTr="0CEE6DE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2BE387F6" w14:textId="0BE031C1" w:rsidR="004116A1" w:rsidRPr="00595457" w:rsidRDefault="004116A1" w:rsidP="00302D60">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2E3A043" w14:textId="77777777" w:rsidR="004116A1" w:rsidRPr="00595457" w:rsidRDefault="004116A1" w:rsidP="00302D60">
            <w:pPr>
              <w:keepLines/>
              <w:rPr>
                <w:rFonts w:ascii="Arial Narrow" w:hAnsi="Arial Narrow" w:cs="Arial"/>
                <w:sz w:val="20"/>
                <w:szCs w:val="20"/>
              </w:rPr>
            </w:pPr>
            <w:r w:rsidRPr="00595457">
              <w:rPr>
                <w:rFonts w:ascii="Arial Narrow" w:hAnsi="Arial Narrow" w:cs="Arial"/>
                <w:b/>
                <w:sz w:val="20"/>
                <w:szCs w:val="20"/>
              </w:rPr>
              <w:t>Category / Program:</w:t>
            </w:r>
            <w:r w:rsidRPr="00595457">
              <w:rPr>
                <w:rFonts w:ascii="Arial Narrow" w:hAnsi="Arial Narrow" w:cs="Arial"/>
                <w:color w:val="FF0000"/>
                <w:sz w:val="20"/>
                <w:szCs w:val="20"/>
              </w:rPr>
              <w:t xml:space="preserve"> </w:t>
            </w:r>
            <w:r w:rsidRPr="00595457">
              <w:rPr>
                <w:rFonts w:ascii="Arial Narrow" w:eastAsia="Calibri" w:hAnsi="Arial Narrow" w:cs="Arial"/>
                <w:sz w:val="20"/>
                <w:szCs w:val="20"/>
              </w:rPr>
              <w:t xml:space="preserve">GENERAL - General Schedule (Code GE) </w:t>
            </w:r>
          </w:p>
        </w:tc>
      </w:tr>
      <w:tr w:rsidR="004116A1" w:rsidRPr="001428E9" w14:paraId="0DEC2048"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5CFAC904" w14:textId="77777777" w:rsidR="004116A1" w:rsidRPr="00595457" w:rsidRDefault="004116A1"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BFE82C9" w14:textId="77777777" w:rsidR="004116A1" w:rsidRPr="00595457" w:rsidRDefault="004116A1" w:rsidP="00302D60">
            <w:pPr>
              <w:keepLines/>
              <w:rPr>
                <w:rFonts w:ascii="Arial Narrow" w:hAnsi="Arial Narrow" w:cs="Arial"/>
                <w:b/>
                <w:sz w:val="20"/>
                <w:szCs w:val="20"/>
              </w:rPr>
            </w:pPr>
            <w:r w:rsidRPr="00595457">
              <w:rPr>
                <w:rFonts w:ascii="Arial Narrow" w:hAnsi="Arial Narrow" w:cs="Arial"/>
                <w:b/>
                <w:sz w:val="20"/>
                <w:szCs w:val="20"/>
              </w:rPr>
              <w:t xml:space="preserve">Prescriber type: </w:t>
            </w:r>
            <w:r w:rsidRPr="00595457">
              <w:rPr>
                <w:rFonts w:ascii="Arial Narrow" w:hAnsi="Arial Narrow" w:cs="Arial"/>
                <w:sz w:val="20"/>
                <w:szCs w:val="20"/>
              </w:rPr>
              <w:fldChar w:fldCharType="begin" w:fldLock="1">
                <w:ffData>
                  <w:name w:val=""/>
                  <w:enabled/>
                  <w:calcOnExit w:val="0"/>
                  <w:checkBox>
                    <w:sizeAuto/>
                    <w:default w:val="1"/>
                  </w:checkBox>
                </w:ffData>
              </w:fldChar>
            </w:r>
            <w:r w:rsidRPr="00595457">
              <w:rPr>
                <w:rFonts w:ascii="Arial Narrow" w:hAnsi="Arial Narrow" w:cs="Arial"/>
                <w:sz w:val="20"/>
                <w:szCs w:val="20"/>
              </w:rPr>
              <w:instrText xml:space="preserve"> FORMCHECKBOX </w:instrText>
            </w:r>
            <w:r w:rsidRPr="00595457">
              <w:rPr>
                <w:rFonts w:ascii="Arial Narrow" w:hAnsi="Arial Narrow" w:cs="Arial"/>
                <w:sz w:val="20"/>
                <w:szCs w:val="20"/>
              </w:rPr>
            </w:r>
            <w:r w:rsidRPr="00595457">
              <w:rPr>
                <w:rFonts w:ascii="Arial Narrow" w:hAnsi="Arial Narrow" w:cs="Arial"/>
                <w:sz w:val="20"/>
                <w:szCs w:val="20"/>
              </w:rPr>
              <w:fldChar w:fldCharType="separate"/>
            </w:r>
            <w:r w:rsidRPr="00595457">
              <w:rPr>
                <w:rFonts w:ascii="Arial Narrow" w:hAnsi="Arial Narrow" w:cs="Arial"/>
                <w:sz w:val="20"/>
                <w:szCs w:val="20"/>
              </w:rPr>
              <w:fldChar w:fldCharType="end"/>
            </w:r>
            <w:r w:rsidRPr="00595457">
              <w:rPr>
                <w:rFonts w:ascii="Arial Narrow" w:hAnsi="Arial Narrow" w:cs="Arial"/>
                <w:sz w:val="20"/>
                <w:szCs w:val="20"/>
              </w:rPr>
              <w:t xml:space="preserve">Medical Practitioners </w:t>
            </w:r>
          </w:p>
        </w:tc>
      </w:tr>
      <w:tr w:rsidR="004116A1" w:rsidRPr="00D56F94" w14:paraId="044FB4CD"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369F13AB" w14:textId="77777777" w:rsidR="004116A1" w:rsidRPr="00595457" w:rsidRDefault="004116A1"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FC252BA" w14:textId="77777777" w:rsidR="004116A1" w:rsidRPr="00595457" w:rsidRDefault="004116A1" w:rsidP="00302D60">
            <w:pPr>
              <w:keepLines/>
              <w:rPr>
                <w:rFonts w:ascii="Arial Narrow" w:hAnsi="Arial Narrow" w:cs="Arial"/>
                <w:b/>
                <w:sz w:val="20"/>
                <w:szCs w:val="20"/>
              </w:rPr>
            </w:pPr>
            <w:r w:rsidRPr="00595457">
              <w:rPr>
                <w:rFonts w:ascii="Arial Narrow" w:hAnsi="Arial Narrow" w:cs="Arial"/>
                <w:b/>
                <w:sz w:val="20"/>
                <w:szCs w:val="20"/>
              </w:rPr>
              <w:t xml:space="preserve">Restriction type: </w:t>
            </w:r>
          </w:p>
          <w:p w14:paraId="2CEC679D" w14:textId="0AD1A4E7" w:rsidR="004116A1" w:rsidRPr="00595457" w:rsidRDefault="006C0F08" w:rsidP="00B37E6C">
            <w:pPr>
              <w:keepLines/>
              <w:rPr>
                <w:rFonts w:ascii="Arial Narrow" w:eastAsia="Calibri" w:hAnsi="Arial Narrow" w:cs="Arial"/>
                <w:strike/>
                <w:color w:val="FF0000"/>
                <w:sz w:val="20"/>
                <w:szCs w:val="20"/>
              </w:rPr>
            </w:pPr>
            <w:r w:rsidRPr="00595457">
              <w:rPr>
                <w:rFonts w:ascii="Arial Narrow" w:eastAsia="Calibri" w:hAnsi="Arial Narrow" w:cs="Arial"/>
                <w:sz w:val="20"/>
                <w:szCs w:val="20"/>
              </w:rPr>
              <w:fldChar w:fldCharType="begin" w:fldLock="1">
                <w:ffData>
                  <w:name w:val=""/>
                  <w:enabled/>
                  <w:calcOnExit w:val="0"/>
                  <w:checkBox>
                    <w:sizeAuto/>
                    <w:default w:val="1"/>
                  </w:checkBox>
                </w:ffData>
              </w:fldChar>
            </w:r>
            <w:r w:rsidRPr="00595457">
              <w:rPr>
                <w:rFonts w:ascii="Arial Narrow" w:eastAsia="Calibri" w:hAnsi="Arial Narrow" w:cs="Arial"/>
                <w:sz w:val="20"/>
                <w:szCs w:val="20"/>
              </w:rPr>
              <w:instrText xml:space="preserve"> FORMCHECKBOX </w:instrText>
            </w:r>
            <w:r w:rsidRPr="00595457">
              <w:rPr>
                <w:rFonts w:ascii="Arial Narrow" w:eastAsia="Calibri" w:hAnsi="Arial Narrow" w:cs="Arial"/>
                <w:sz w:val="20"/>
                <w:szCs w:val="20"/>
              </w:rPr>
            </w:r>
            <w:r w:rsidRPr="00595457">
              <w:rPr>
                <w:rFonts w:ascii="Arial Narrow" w:eastAsia="Calibri" w:hAnsi="Arial Narrow" w:cs="Arial"/>
                <w:sz w:val="20"/>
                <w:szCs w:val="20"/>
              </w:rPr>
              <w:fldChar w:fldCharType="separate"/>
            </w:r>
            <w:r w:rsidRPr="00595457">
              <w:rPr>
                <w:rFonts w:ascii="Arial Narrow" w:eastAsia="Calibri" w:hAnsi="Arial Narrow" w:cs="Arial"/>
                <w:sz w:val="20"/>
                <w:szCs w:val="20"/>
              </w:rPr>
              <w:fldChar w:fldCharType="end"/>
            </w:r>
            <w:r w:rsidRPr="00595457">
              <w:rPr>
                <w:rFonts w:ascii="Arial Narrow" w:eastAsia="Calibri" w:hAnsi="Arial Narrow" w:cs="Arial"/>
                <w:sz w:val="20"/>
                <w:szCs w:val="20"/>
              </w:rPr>
              <w:t xml:space="preserve"> </w:t>
            </w:r>
            <w:r w:rsidR="004116A1" w:rsidRPr="00595457">
              <w:rPr>
                <w:rFonts w:ascii="Arial Narrow" w:eastAsia="Calibri" w:hAnsi="Arial Narrow" w:cs="Arial"/>
                <w:sz w:val="20"/>
                <w:szCs w:val="20"/>
              </w:rPr>
              <w:t>Authority Required (telephone/online PBS Authorities system)</w:t>
            </w:r>
            <w:r w:rsidR="004116A1" w:rsidRPr="00595457">
              <w:rPr>
                <w:rFonts w:ascii="Arial Narrow" w:eastAsia="Calibri" w:hAnsi="Arial Narrow" w:cs="Arial"/>
                <w:strike/>
                <w:sz w:val="20"/>
                <w:szCs w:val="20"/>
              </w:rPr>
              <w:t xml:space="preserve"> </w:t>
            </w:r>
          </w:p>
        </w:tc>
      </w:tr>
      <w:tr w:rsidR="004116A1" w:rsidRPr="001428E9" w14:paraId="54D2B886" w14:textId="77777777" w:rsidTr="00365FCC">
        <w:tblPrEx>
          <w:tblCellMar>
            <w:top w:w="15" w:type="dxa"/>
            <w:bottom w:w="15" w:type="dxa"/>
          </w:tblCellMar>
        </w:tblPrEx>
        <w:trPr>
          <w:cantSplit/>
          <w:trHeight w:val="20"/>
        </w:trPr>
        <w:tc>
          <w:tcPr>
            <w:tcW w:w="1271" w:type="dxa"/>
            <w:vAlign w:val="center"/>
          </w:tcPr>
          <w:p w14:paraId="00D7C9E2" w14:textId="0E4BE04E" w:rsidR="004116A1" w:rsidRPr="00595457" w:rsidRDefault="004116A1" w:rsidP="00302D60">
            <w:pPr>
              <w:keepLines/>
              <w:jc w:val="center"/>
              <w:rPr>
                <w:rFonts w:ascii="Arial Narrow" w:hAnsi="Arial Narrow"/>
                <w:sz w:val="20"/>
                <w:szCs w:val="20"/>
              </w:rPr>
            </w:pPr>
          </w:p>
        </w:tc>
        <w:tc>
          <w:tcPr>
            <w:tcW w:w="7745" w:type="dxa"/>
            <w:gridSpan w:val="6"/>
            <w:vAlign w:val="center"/>
            <w:hideMark/>
          </w:tcPr>
          <w:p w14:paraId="7168996C" w14:textId="0F3DFC50" w:rsidR="004116A1" w:rsidRPr="00595457" w:rsidRDefault="004116A1" w:rsidP="00302D60">
            <w:pPr>
              <w:keepLines/>
              <w:rPr>
                <w:rFonts w:ascii="Arial Narrow" w:hAnsi="Arial Narrow"/>
                <w:color w:val="333333"/>
                <w:sz w:val="20"/>
                <w:szCs w:val="20"/>
              </w:rPr>
            </w:pPr>
            <w:r w:rsidRPr="00595457">
              <w:rPr>
                <w:rFonts w:ascii="Arial Narrow" w:hAnsi="Arial Narrow"/>
                <w:b/>
                <w:bCs/>
                <w:sz w:val="20"/>
                <w:szCs w:val="20"/>
              </w:rPr>
              <w:t>Indication:</w:t>
            </w:r>
            <w:r w:rsidRPr="00595457">
              <w:rPr>
                <w:rFonts w:ascii="Arial Narrow" w:hAnsi="Arial Narrow"/>
                <w:sz w:val="20"/>
                <w:szCs w:val="20"/>
              </w:rPr>
              <w:t xml:space="preserve"> </w:t>
            </w:r>
            <w:r w:rsidR="00095C6A" w:rsidRPr="00595457">
              <w:rPr>
                <w:rFonts w:ascii="Arial Narrow" w:hAnsi="Arial Narrow"/>
                <w:sz w:val="20"/>
                <w:szCs w:val="20"/>
              </w:rPr>
              <w:t>Moderate to severe ulcerative colitis</w:t>
            </w:r>
          </w:p>
        </w:tc>
      </w:tr>
      <w:tr w:rsidR="004116A1" w:rsidRPr="001428E9" w14:paraId="1A0874B6" w14:textId="77777777" w:rsidTr="00365FCC">
        <w:tblPrEx>
          <w:tblCellMar>
            <w:top w:w="15" w:type="dxa"/>
            <w:bottom w:w="15" w:type="dxa"/>
          </w:tblCellMar>
        </w:tblPrEx>
        <w:trPr>
          <w:cantSplit/>
          <w:trHeight w:val="20"/>
        </w:trPr>
        <w:tc>
          <w:tcPr>
            <w:tcW w:w="1271" w:type="dxa"/>
            <w:vAlign w:val="center"/>
          </w:tcPr>
          <w:p w14:paraId="32FDCE76" w14:textId="77777777" w:rsidR="004116A1" w:rsidRPr="00595457" w:rsidRDefault="004116A1" w:rsidP="00302D60">
            <w:pPr>
              <w:jc w:val="center"/>
              <w:rPr>
                <w:rFonts w:ascii="Arial Narrow" w:hAnsi="Arial Narrow"/>
                <w:sz w:val="20"/>
                <w:szCs w:val="20"/>
              </w:rPr>
            </w:pPr>
          </w:p>
        </w:tc>
        <w:tc>
          <w:tcPr>
            <w:tcW w:w="7745" w:type="dxa"/>
            <w:gridSpan w:val="6"/>
            <w:vAlign w:val="center"/>
            <w:hideMark/>
          </w:tcPr>
          <w:p w14:paraId="4DE66047" w14:textId="1388CE2A" w:rsidR="004116A1" w:rsidRPr="00595457" w:rsidRDefault="2E9A1D16" w:rsidP="00302D60">
            <w:pPr>
              <w:rPr>
                <w:rFonts w:ascii="Arial Narrow" w:hAnsi="Arial Narrow"/>
                <w:sz w:val="20"/>
                <w:szCs w:val="20"/>
              </w:rPr>
            </w:pPr>
            <w:r w:rsidRPr="00595457">
              <w:rPr>
                <w:rFonts w:ascii="Arial Narrow" w:hAnsi="Arial Narrow"/>
                <w:b/>
                <w:bCs/>
                <w:sz w:val="20"/>
                <w:szCs w:val="20"/>
              </w:rPr>
              <w:t>Treatment Phase:</w:t>
            </w:r>
            <w:r w:rsidRPr="00595457">
              <w:rPr>
                <w:rFonts w:ascii="Arial Narrow" w:hAnsi="Arial Narrow"/>
                <w:sz w:val="20"/>
                <w:szCs w:val="20"/>
              </w:rPr>
              <w:t xml:space="preserve"> </w:t>
            </w:r>
            <w:r w:rsidR="00D654B7" w:rsidRPr="00595457">
              <w:rPr>
                <w:rFonts w:ascii="Arial Narrow" w:hAnsi="Arial Narrow"/>
                <w:sz w:val="20"/>
                <w:szCs w:val="20"/>
              </w:rPr>
              <w:t>Balance of supply</w:t>
            </w:r>
            <w:r w:rsidRPr="00595457">
              <w:rPr>
                <w:rFonts w:ascii="Arial Narrow" w:hAnsi="Arial Narrow"/>
                <w:sz w:val="20"/>
                <w:szCs w:val="20"/>
              </w:rPr>
              <w:t xml:space="preserve"> for Initial treatment</w:t>
            </w:r>
            <w:r w:rsidRPr="00595457">
              <w:rPr>
                <w:rFonts w:ascii="Arial Narrow" w:hAnsi="Arial Narrow"/>
                <w:strike/>
                <w:sz w:val="20"/>
                <w:szCs w:val="20"/>
              </w:rPr>
              <w:t>, Continuing treatment</w:t>
            </w:r>
            <w:r w:rsidRPr="00595457">
              <w:rPr>
                <w:rFonts w:ascii="Arial Narrow" w:hAnsi="Arial Narrow"/>
                <w:sz w:val="20"/>
                <w:szCs w:val="20"/>
              </w:rPr>
              <w:t xml:space="preserve"> - subcutaneous form</w:t>
            </w:r>
          </w:p>
        </w:tc>
      </w:tr>
      <w:tr w:rsidR="004116A1" w:rsidRPr="006A2544" w14:paraId="1DD41E38"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17239B1" w14:textId="0FE8CA69" w:rsidR="004116A1" w:rsidRPr="00595457" w:rsidRDefault="004116A1" w:rsidP="00302D60">
            <w:pPr>
              <w:jc w:val="center"/>
              <w:rPr>
                <w:rFonts w:ascii="Arial Narrow" w:hAnsi="Arial Narrow"/>
                <w:sz w:val="20"/>
                <w:szCs w:val="20"/>
                <w:highlight w:val="yellow"/>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1C1165" w14:textId="77777777" w:rsidR="004116A1" w:rsidRPr="00595457" w:rsidRDefault="004116A1" w:rsidP="00302D60">
            <w:pPr>
              <w:rPr>
                <w:rFonts w:ascii="Arial Narrow" w:hAnsi="Arial Narrow"/>
                <w:b/>
                <w:bCs/>
                <w:sz w:val="20"/>
                <w:szCs w:val="20"/>
                <w:highlight w:val="yellow"/>
              </w:rPr>
            </w:pPr>
            <w:r w:rsidRPr="00595457">
              <w:rPr>
                <w:rFonts w:ascii="Arial Narrow" w:hAnsi="Arial Narrow"/>
                <w:b/>
                <w:bCs/>
                <w:sz w:val="20"/>
                <w:szCs w:val="20"/>
              </w:rPr>
              <w:t>Clinical criteria:</w:t>
            </w:r>
          </w:p>
        </w:tc>
      </w:tr>
      <w:tr w:rsidR="004116A1" w:rsidRPr="006A2544" w14:paraId="54D8FCCA"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D980B9B" w14:textId="70A9C8DA" w:rsidR="004116A1" w:rsidRPr="00595457" w:rsidRDefault="004116A1" w:rsidP="00302D6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021B29" w14:textId="77777777" w:rsidR="004116A1" w:rsidRPr="00595457" w:rsidRDefault="595AE53A" w:rsidP="0CEE6DE9">
            <w:pPr>
              <w:rPr>
                <w:rFonts w:ascii="Arial Narrow" w:hAnsi="Arial Narrow"/>
                <w:sz w:val="20"/>
                <w:szCs w:val="20"/>
              </w:rPr>
            </w:pPr>
            <w:r w:rsidRPr="00595457">
              <w:rPr>
                <w:rFonts w:ascii="Arial Narrow" w:hAnsi="Arial Narrow"/>
                <w:sz w:val="20"/>
                <w:szCs w:val="20"/>
              </w:rPr>
              <w:t>Patient must have received insufficient therapy with this drug under the Initial treatment with subcutaneous form to complete 14 to 16 weeks initial treatment (intravenous and subcutaneous inclusive)</w:t>
            </w:r>
            <w:r w:rsidRPr="00595457">
              <w:rPr>
                <w:rFonts w:ascii="Arial Narrow" w:hAnsi="Arial Narrow"/>
                <w:strike/>
                <w:sz w:val="20"/>
                <w:szCs w:val="20"/>
              </w:rPr>
              <w:t>; or</w:t>
            </w:r>
          </w:p>
        </w:tc>
      </w:tr>
      <w:tr w:rsidR="004116A1" w:rsidRPr="006A2544" w14:paraId="46934980"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366A5D4" w14:textId="3C8B4191" w:rsidR="004116A1" w:rsidRPr="00595457" w:rsidRDefault="004116A1" w:rsidP="00302D60">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F484B1" w14:textId="77777777" w:rsidR="004116A1" w:rsidRPr="00595457" w:rsidRDefault="004116A1" w:rsidP="00302D60">
            <w:pPr>
              <w:rPr>
                <w:rFonts w:ascii="Arial Narrow" w:hAnsi="Arial Narrow"/>
                <w:strike/>
                <w:sz w:val="20"/>
                <w:szCs w:val="20"/>
              </w:rPr>
            </w:pPr>
            <w:r w:rsidRPr="00595457">
              <w:rPr>
                <w:rFonts w:ascii="Arial Narrow" w:hAnsi="Arial Narrow"/>
                <w:strike/>
                <w:sz w:val="20"/>
                <w:szCs w:val="20"/>
              </w:rPr>
              <w:t>Patient must have received insufficient therapy with this drug for this condition under the continuing treatment with subcutaneous form restriction to complete 24 weeks treatment</w:t>
            </w:r>
          </w:p>
        </w:tc>
      </w:tr>
      <w:tr w:rsidR="004116A1" w:rsidRPr="006A2544" w14:paraId="06218384"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B778D1E" w14:textId="77777777" w:rsidR="004116A1" w:rsidRPr="00595457" w:rsidRDefault="004116A1" w:rsidP="00302D6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6D74AA" w14:textId="77777777" w:rsidR="004116A1" w:rsidRPr="00595457" w:rsidRDefault="004116A1" w:rsidP="00302D60">
            <w:pPr>
              <w:rPr>
                <w:rFonts w:ascii="Arial Narrow" w:hAnsi="Arial Narrow"/>
                <w:sz w:val="20"/>
                <w:szCs w:val="20"/>
              </w:rPr>
            </w:pPr>
            <w:r w:rsidRPr="00595457">
              <w:rPr>
                <w:rFonts w:ascii="Arial Narrow" w:hAnsi="Arial Narrow"/>
                <w:sz w:val="20"/>
                <w:szCs w:val="20"/>
              </w:rPr>
              <w:t>AND</w:t>
            </w:r>
          </w:p>
        </w:tc>
      </w:tr>
      <w:tr w:rsidR="004116A1" w:rsidRPr="009D1C4B" w14:paraId="65C4E9D4"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EBF05B1" w14:textId="455F2095" w:rsidR="004116A1" w:rsidRPr="00595457" w:rsidRDefault="004116A1" w:rsidP="00302D6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4A2D9F" w14:textId="77777777" w:rsidR="004116A1" w:rsidRPr="00595457" w:rsidRDefault="004116A1" w:rsidP="00302D60">
            <w:pPr>
              <w:rPr>
                <w:rFonts w:ascii="Arial Narrow" w:hAnsi="Arial Narrow"/>
                <w:b/>
                <w:bCs/>
                <w:sz w:val="20"/>
                <w:szCs w:val="20"/>
              </w:rPr>
            </w:pPr>
            <w:r w:rsidRPr="00595457">
              <w:rPr>
                <w:rFonts w:ascii="Arial Narrow" w:hAnsi="Arial Narrow"/>
                <w:b/>
                <w:bCs/>
                <w:sz w:val="20"/>
                <w:szCs w:val="20"/>
              </w:rPr>
              <w:t>Clinical criteria:</w:t>
            </w:r>
          </w:p>
        </w:tc>
      </w:tr>
      <w:tr w:rsidR="004116A1" w:rsidRPr="009D1C4B" w14:paraId="76A45EBE"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E4B4547" w14:textId="6D71C3DA" w:rsidR="004116A1" w:rsidRPr="00595457" w:rsidRDefault="004116A1" w:rsidP="00302D60">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AD97C6" w14:textId="77777777" w:rsidR="004116A1" w:rsidRPr="00595457" w:rsidRDefault="004116A1" w:rsidP="00302D60">
            <w:pPr>
              <w:rPr>
                <w:rFonts w:ascii="Arial Narrow" w:hAnsi="Arial Narrow"/>
                <w:sz w:val="20"/>
                <w:szCs w:val="20"/>
              </w:rPr>
            </w:pPr>
            <w:r w:rsidRPr="00595457">
              <w:rPr>
                <w:rFonts w:ascii="Arial Narrow" w:hAnsi="Arial Narrow"/>
                <w:sz w:val="20"/>
                <w:szCs w:val="20"/>
              </w:rPr>
              <w:t>The treatment must provide no more than the balance of doses up to 14 to 16 weeks therapy available under Initial treatment - subcutaneous form</w:t>
            </w:r>
            <w:r w:rsidRPr="00595457">
              <w:rPr>
                <w:rFonts w:ascii="Arial Narrow" w:hAnsi="Arial Narrow"/>
                <w:strike/>
                <w:sz w:val="20"/>
                <w:szCs w:val="20"/>
              </w:rPr>
              <w:t>; or</w:t>
            </w:r>
          </w:p>
        </w:tc>
      </w:tr>
      <w:tr w:rsidR="004116A1" w:rsidRPr="009D1C4B" w14:paraId="385271D8"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AD39ABC" w14:textId="4073663A" w:rsidR="004116A1" w:rsidRPr="00595457" w:rsidRDefault="004116A1" w:rsidP="00302D60">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E3CD94" w14:textId="77777777" w:rsidR="004116A1" w:rsidRPr="00595457" w:rsidRDefault="004116A1" w:rsidP="00302D60">
            <w:pPr>
              <w:rPr>
                <w:rFonts w:ascii="Arial Narrow" w:hAnsi="Arial Narrow"/>
                <w:strike/>
                <w:sz w:val="20"/>
                <w:szCs w:val="20"/>
              </w:rPr>
            </w:pPr>
            <w:r w:rsidRPr="00595457">
              <w:rPr>
                <w:rFonts w:ascii="Arial Narrow" w:hAnsi="Arial Narrow"/>
                <w:strike/>
                <w:sz w:val="20"/>
                <w:szCs w:val="20"/>
              </w:rPr>
              <w:t>The treatment must provide no more than the balance of up to 24 weeks treatment available under the Continuing treatment - subcutaneous form</w:t>
            </w:r>
          </w:p>
        </w:tc>
      </w:tr>
      <w:tr w:rsidR="004116A1" w:rsidRPr="001428E9" w14:paraId="1C87EE8D" w14:textId="77777777" w:rsidTr="0CEE6DE9">
        <w:tblPrEx>
          <w:tblCellMar>
            <w:top w:w="15" w:type="dxa"/>
            <w:bottom w:w="15" w:type="dxa"/>
          </w:tblCellMar>
          <w:tblLook w:val="04A0" w:firstRow="1" w:lastRow="0" w:firstColumn="1" w:lastColumn="0" w:noHBand="0" w:noVBand="1"/>
        </w:tblPrEx>
        <w:trPr>
          <w:cantSplit/>
          <w:trHeight w:val="20"/>
        </w:trPr>
        <w:tc>
          <w:tcPr>
            <w:tcW w:w="1271" w:type="dxa"/>
            <w:vAlign w:val="center"/>
          </w:tcPr>
          <w:p w14:paraId="1603791E" w14:textId="0EE8CB6F" w:rsidR="004116A1" w:rsidRPr="00595457" w:rsidRDefault="004116A1" w:rsidP="00302D60">
            <w:pPr>
              <w:jc w:val="center"/>
              <w:rPr>
                <w:rFonts w:ascii="Arial Narrow" w:hAnsi="Arial Narrow"/>
                <w:sz w:val="20"/>
                <w:szCs w:val="20"/>
              </w:rPr>
            </w:pPr>
          </w:p>
        </w:tc>
        <w:tc>
          <w:tcPr>
            <w:tcW w:w="7745" w:type="dxa"/>
            <w:gridSpan w:val="6"/>
            <w:vAlign w:val="center"/>
          </w:tcPr>
          <w:p w14:paraId="1E4A1EAF" w14:textId="77777777" w:rsidR="004116A1" w:rsidRPr="00595457" w:rsidRDefault="004116A1" w:rsidP="00302D60">
            <w:pPr>
              <w:ind w:left="-57"/>
              <w:rPr>
                <w:rFonts w:ascii="Arial Narrow" w:hAnsi="Arial Narrow"/>
                <w:bCs/>
                <w:sz w:val="20"/>
                <w:szCs w:val="20"/>
              </w:rPr>
            </w:pPr>
            <w:r w:rsidRPr="00595457">
              <w:rPr>
                <w:rFonts w:ascii="Arial Narrow" w:hAnsi="Arial Narrow"/>
                <w:b/>
                <w:bCs/>
                <w:sz w:val="20"/>
                <w:szCs w:val="20"/>
              </w:rPr>
              <w:t xml:space="preserve">Administrative Advice: </w:t>
            </w:r>
            <w:r w:rsidRPr="00595457">
              <w:rPr>
                <w:rFonts w:ascii="Arial Narrow" w:hAnsi="Arial Narrow"/>
                <w:bCs/>
                <w:sz w:val="20"/>
                <w:szCs w:val="20"/>
              </w:rPr>
              <w:t xml:space="preserve">Applications for authorisation under this restriction may be made in real time using the Online PBS Authorities system (see </w:t>
            </w:r>
            <w:hyperlink r:id="rId10" w:history="1">
              <w:r w:rsidRPr="00595457">
                <w:rPr>
                  <w:rStyle w:val="Hyperlink"/>
                  <w:rFonts w:ascii="Arial Narrow" w:hAnsi="Arial Narrow"/>
                  <w:bCs/>
                  <w:sz w:val="20"/>
                  <w:szCs w:val="20"/>
                </w:rPr>
                <w:t>www.servicesaustralia.gov.au/HPOS</w:t>
              </w:r>
            </w:hyperlink>
            <w:r w:rsidRPr="00595457">
              <w:rPr>
                <w:rFonts w:ascii="Arial Narrow" w:hAnsi="Arial Narrow"/>
                <w:bCs/>
                <w:sz w:val="20"/>
                <w:szCs w:val="20"/>
              </w:rPr>
              <w:t>) or by telephone by contacting Services Australia on 1800 700 270 (hours of operation 8 a.m. to 5 p.m. Monday to Friday). </w:t>
            </w:r>
          </w:p>
        </w:tc>
      </w:tr>
    </w:tbl>
    <w:p w14:paraId="494240B0" w14:textId="77777777" w:rsidR="004116A1" w:rsidRDefault="004116A1" w:rsidP="00365FCC">
      <w:pPr>
        <w:pStyle w:val="TableFigureFooter"/>
        <w:spacing w:after="0"/>
      </w:pPr>
    </w:p>
    <w:p w14:paraId="2AA725BB" w14:textId="77777777" w:rsidR="00940361" w:rsidRDefault="00940361">
      <w:pPr>
        <w:jc w:val="left"/>
        <w:rPr>
          <w:rFonts w:asciiTheme="minorHAnsi" w:eastAsiaTheme="majorEastAsia" w:hAnsiTheme="minorHAnsi" w:cstheme="majorBidi"/>
          <w:b/>
          <w:i/>
          <w:spacing w:val="5"/>
          <w:kern w:val="28"/>
          <w:sz w:val="28"/>
          <w:szCs w:val="36"/>
        </w:rPr>
      </w:pPr>
      <w:r>
        <w:br w:type="page"/>
      </w:r>
    </w:p>
    <w:p w14:paraId="10B907FB" w14:textId="0AE26772" w:rsidR="004728BA" w:rsidRPr="004728BA" w:rsidRDefault="004728BA" w:rsidP="007118D3">
      <w:pPr>
        <w:pStyle w:val="4-SubsectionHeading"/>
        <w:spacing w:after="0"/>
      </w:pPr>
      <w:r w:rsidRPr="004728BA">
        <w:lastRenderedPageBreak/>
        <w:t>Ankylosing spondylitis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Ankylosing spondylitis"/>
        <w:tblDescription w:val="Treatment phase: continuing treamtent with subcutaneous form or switching from intravenous form to subcutaneous form&#10;&#10;Changes to restriction type, prescribing instructions"/>
      </w:tblPr>
      <w:tblGrid>
        <w:gridCol w:w="1271"/>
        <w:gridCol w:w="2552"/>
        <w:gridCol w:w="927"/>
        <w:gridCol w:w="812"/>
        <w:gridCol w:w="811"/>
        <w:gridCol w:w="812"/>
        <w:gridCol w:w="1831"/>
      </w:tblGrid>
      <w:tr w:rsidR="00913A35" w:rsidRPr="001E6F3E" w14:paraId="1D7C8A73" w14:textId="77777777" w:rsidTr="0CEE6DE9">
        <w:trPr>
          <w:cantSplit/>
          <w:trHeight w:val="20"/>
        </w:trPr>
        <w:tc>
          <w:tcPr>
            <w:tcW w:w="3823" w:type="dxa"/>
            <w:gridSpan w:val="2"/>
            <w:vAlign w:val="center"/>
          </w:tcPr>
          <w:p w14:paraId="786E0FDF" w14:textId="77777777" w:rsidR="00913A35" w:rsidRPr="00595457" w:rsidRDefault="00913A35" w:rsidP="00302D60">
            <w:pPr>
              <w:keepLines/>
              <w:rPr>
                <w:rFonts w:ascii="Arial Narrow" w:hAnsi="Arial Narrow" w:cs="Arial"/>
                <w:b/>
                <w:bCs/>
                <w:sz w:val="20"/>
                <w:szCs w:val="20"/>
              </w:rPr>
            </w:pPr>
            <w:r w:rsidRPr="00595457">
              <w:rPr>
                <w:rFonts w:ascii="Arial Narrow" w:hAnsi="Arial Narrow" w:cs="Arial"/>
                <w:b/>
                <w:bCs/>
                <w:sz w:val="20"/>
                <w:szCs w:val="20"/>
              </w:rPr>
              <w:t>MEDICINAL PRODUCT</w:t>
            </w:r>
          </w:p>
          <w:p w14:paraId="3163C4AA" w14:textId="77777777" w:rsidR="00913A35" w:rsidRPr="00595457" w:rsidRDefault="00913A35" w:rsidP="00302D60">
            <w:pPr>
              <w:keepLines/>
              <w:rPr>
                <w:rFonts w:ascii="Arial Narrow" w:hAnsi="Arial Narrow" w:cs="Arial"/>
                <w:b/>
                <w:sz w:val="20"/>
                <w:szCs w:val="20"/>
              </w:rPr>
            </w:pPr>
            <w:r w:rsidRPr="00595457">
              <w:rPr>
                <w:rFonts w:ascii="Arial Narrow" w:hAnsi="Arial Narrow" w:cs="Arial"/>
                <w:b/>
                <w:bCs/>
                <w:sz w:val="20"/>
                <w:szCs w:val="20"/>
              </w:rPr>
              <w:t>medicinal product pack</w:t>
            </w:r>
          </w:p>
        </w:tc>
        <w:tc>
          <w:tcPr>
            <w:tcW w:w="927" w:type="dxa"/>
            <w:vAlign w:val="center"/>
          </w:tcPr>
          <w:p w14:paraId="5B7C81E7" w14:textId="77777777" w:rsidR="00913A35" w:rsidRPr="00595457" w:rsidRDefault="00913A35" w:rsidP="00302D60">
            <w:pPr>
              <w:keepLines/>
              <w:jc w:val="center"/>
              <w:rPr>
                <w:rFonts w:ascii="Arial Narrow" w:hAnsi="Arial Narrow" w:cs="Arial"/>
                <w:b/>
                <w:sz w:val="20"/>
                <w:szCs w:val="20"/>
              </w:rPr>
            </w:pPr>
            <w:r w:rsidRPr="00595457">
              <w:rPr>
                <w:rFonts w:ascii="Arial Narrow" w:hAnsi="Arial Narrow" w:cs="Arial"/>
                <w:b/>
                <w:sz w:val="20"/>
                <w:szCs w:val="20"/>
              </w:rPr>
              <w:t>PBS item code</w:t>
            </w:r>
          </w:p>
        </w:tc>
        <w:tc>
          <w:tcPr>
            <w:tcW w:w="812" w:type="dxa"/>
            <w:vAlign w:val="center"/>
          </w:tcPr>
          <w:p w14:paraId="52905415" w14:textId="77777777" w:rsidR="00913A35" w:rsidRPr="00595457" w:rsidRDefault="00913A35" w:rsidP="00302D60">
            <w:pPr>
              <w:keepLines/>
              <w:jc w:val="center"/>
              <w:rPr>
                <w:rFonts w:ascii="Arial Narrow" w:hAnsi="Arial Narrow" w:cs="Arial"/>
                <w:b/>
                <w:sz w:val="20"/>
                <w:szCs w:val="20"/>
              </w:rPr>
            </w:pPr>
            <w:r w:rsidRPr="00595457">
              <w:rPr>
                <w:rFonts w:ascii="Arial Narrow" w:hAnsi="Arial Narrow" w:cs="Arial"/>
                <w:b/>
                <w:sz w:val="20"/>
                <w:szCs w:val="20"/>
              </w:rPr>
              <w:t>Max. qty packs</w:t>
            </w:r>
          </w:p>
        </w:tc>
        <w:tc>
          <w:tcPr>
            <w:tcW w:w="811" w:type="dxa"/>
            <w:vAlign w:val="center"/>
          </w:tcPr>
          <w:p w14:paraId="05F68951" w14:textId="77777777" w:rsidR="00913A35" w:rsidRPr="00595457" w:rsidRDefault="00913A35" w:rsidP="00302D60">
            <w:pPr>
              <w:keepLines/>
              <w:jc w:val="center"/>
              <w:rPr>
                <w:rFonts w:ascii="Arial Narrow" w:hAnsi="Arial Narrow" w:cs="Arial"/>
                <w:b/>
                <w:sz w:val="20"/>
                <w:szCs w:val="20"/>
              </w:rPr>
            </w:pPr>
            <w:r w:rsidRPr="00595457">
              <w:rPr>
                <w:rFonts w:ascii="Arial Narrow" w:hAnsi="Arial Narrow" w:cs="Arial"/>
                <w:b/>
                <w:sz w:val="20"/>
                <w:szCs w:val="20"/>
              </w:rPr>
              <w:t>Max. qty units</w:t>
            </w:r>
          </w:p>
        </w:tc>
        <w:tc>
          <w:tcPr>
            <w:tcW w:w="812" w:type="dxa"/>
            <w:vAlign w:val="center"/>
          </w:tcPr>
          <w:p w14:paraId="5DFE9A2D" w14:textId="77777777" w:rsidR="00913A35" w:rsidRPr="00595457" w:rsidRDefault="59F135DE" w:rsidP="0CEE6DE9">
            <w:pPr>
              <w:keepLines/>
              <w:jc w:val="center"/>
              <w:rPr>
                <w:rFonts w:ascii="Arial Narrow" w:hAnsi="Arial Narrow" w:cs="Arial"/>
                <w:b/>
                <w:bCs/>
                <w:sz w:val="20"/>
                <w:szCs w:val="20"/>
              </w:rPr>
            </w:pPr>
            <w:r w:rsidRPr="00595457">
              <w:rPr>
                <w:rFonts w:ascii="Arial Narrow" w:hAnsi="Arial Narrow" w:cs="Arial"/>
                <w:b/>
                <w:bCs/>
                <w:sz w:val="20"/>
                <w:szCs w:val="20"/>
              </w:rPr>
              <w:t>№.of</w:t>
            </w:r>
          </w:p>
          <w:p w14:paraId="0B6DA191" w14:textId="77777777" w:rsidR="00913A35" w:rsidRPr="00595457" w:rsidRDefault="59F135DE" w:rsidP="0CEE6DE9">
            <w:pPr>
              <w:keepLines/>
              <w:jc w:val="center"/>
              <w:rPr>
                <w:rFonts w:ascii="Arial Narrow" w:hAnsi="Arial Narrow" w:cs="Arial"/>
                <w:b/>
                <w:bCs/>
                <w:sz w:val="20"/>
                <w:szCs w:val="20"/>
              </w:rPr>
            </w:pPr>
            <w:r w:rsidRPr="00595457">
              <w:rPr>
                <w:rFonts w:ascii="Arial Narrow" w:hAnsi="Arial Narrow" w:cs="Arial"/>
                <w:b/>
                <w:bCs/>
                <w:sz w:val="20"/>
                <w:szCs w:val="20"/>
              </w:rPr>
              <w:t>Rpts</w:t>
            </w:r>
          </w:p>
        </w:tc>
        <w:tc>
          <w:tcPr>
            <w:tcW w:w="1831" w:type="dxa"/>
            <w:vAlign w:val="center"/>
          </w:tcPr>
          <w:p w14:paraId="07DBFCC3" w14:textId="77777777" w:rsidR="00913A35" w:rsidRPr="00595457" w:rsidRDefault="00913A35" w:rsidP="00302D60">
            <w:pPr>
              <w:keepLines/>
              <w:rPr>
                <w:rFonts w:ascii="Arial Narrow" w:hAnsi="Arial Narrow" w:cs="Arial"/>
                <w:b/>
                <w:sz w:val="20"/>
                <w:szCs w:val="20"/>
                <w:lang w:val="fr-FR"/>
              </w:rPr>
            </w:pPr>
            <w:r w:rsidRPr="00595457">
              <w:rPr>
                <w:rFonts w:ascii="Arial Narrow" w:hAnsi="Arial Narrow" w:cs="Arial"/>
                <w:b/>
                <w:sz w:val="20"/>
                <w:szCs w:val="20"/>
              </w:rPr>
              <w:t>Available brands</w:t>
            </w:r>
          </w:p>
        </w:tc>
      </w:tr>
      <w:tr w:rsidR="00913A35" w:rsidRPr="001E6F3E" w14:paraId="7961EB02" w14:textId="77777777" w:rsidTr="0CEE6DE9">
        <w:trPr>
          <w:cantSplit/>
          <w:trHeight w:val="20"/>
        </w:trPr>
        <w:tc>
          <w:tcPr>
            <w:tcW w:w="9016" w:type="dxa"/>
            <w:gridSpan w:val="7"/>
            <w:vAlign w:val="center"/>
          </w:tcPr>
          <w:p w14:paraId="4DD82DCD" w14:textId="77777777" w:rsidR="00913A35" w:rsidRPr="00595457" w:rsidRDefault="00913A35" w:rsidP="00302D60">
            <w:pPr>
              <w:keepLines/>
              <w:rPr>
                <w:rFonts w:ascii="Arial Narrow" w:hAnsi="Arial Narrow" w:cs="Arial"/>
                <w:sz w:val="20"/>
                <w:szCs w:val="20"/>
              </w:rPr>
            </w:pPr>
            <w:r w:rsidRPr="00595457">
              <w:rPr>
                <w:rFonts w:ascii="Arial Narrow" w:hAnsi="Arial Narrow" w:cs="Arial"/>
                <w:sz w:val="20"/>
                <w:szCs w:val="20"/>
              </w:rPr>
              <w:t>INFLIXIMAB</w:t>
            </w:r>
          </w:p>
        </w:tc>
      </w:tr>
      <w:tr w:rsidR="00913A35" w:rsidRPr="001E6F3E" w14:paraId="6323FD16" w14:textId="77777777" w:rsidTr="0CEE6DE9">
        <w:trPr>
          <w:cantSplit/>
          <w:trHeight w:val="20"/>
        </w:trPr>
        <w:tc>
          <w:tcPr>
            <w:tcW w:w="3823" w:type="dxa"/>
            <w:gridSpan w:val="2"/>
            <w:vAlign w:val="center"/>
          </w:tcPr>
          <w:p w14:paraId="3C81AE41" w14:textId="77777777" w:rsidR="00913A35" w:rsidRPr="00595457" w:rsidRDefault="00913A35" w:rsidP="00302D60">
            <w:pPr>
              <w:keepLines/>
              <w:rPr>
                <w:rFonts w:ascii="Arial Narrow" w:hAnsi="Arial Narrow" w:cs="Arial"/>
                <w:sz w:val="20"/>
                <w:szCs w:val="20"/>
              </w:rPr>
            </w:pPr>
            <w:r w:rsidRPr="00595457">
              <w:rPr>
                <w:rFonts w:ascii="Arial Narrow" w:hAnsi="Arial Narrow" w:cs="Arial"/>
                <w:sz w:val="20"/>
                <w:szCs w:val="20"/>
              </w:rPr>
              <w:t>infliximab 120 mg/mL injection, 1 mL pen device</w:t>
            </w:r>
          </w:p>
        </w:tc>
        <w:tc>
          <w:tcPr>
            <w:tcW w:w="927" w:type="dxa"/>
            <w:vAlign w:val="center"/>
          </w:tcPr>
          <w:p w14:paraId="5606B746" w14:textId="2D80C6B2" w:rsidR="00913A35" w:rsidRPr="00595457" w:rsidRDefault="00820CF1" w:rsidP="00302D60">
            <w:pPr>
              <w:keepLines/>
              <w:jc w:val="center"/>
              <w:rPr>
                <w:rFonts w:ascii="Arial Narrow" w:hAnsi="Arial Narrow" w:cs="Arial"/>
                <w:sz w:val="20"/>
                <w:szCs w:val="20"/>
              </w:rPr>
            </w:pPr>
            <w:r w:rsidRPr="00595457">
              <w:rPr>
                <w:rFonts w:ascii="Arial Narrow" w:hAnsi="Arial Narrow" w:cs="Arial"/>
                <w:sz w:val="20"/>
                <w:szCs w:val="20"/>
              </w:rPr>
              <w:t>13048R</w:t>
            </w:r>
          </w:p>
        </w:tc>
        <w:tc>
          <w:tcPr>
            <w:tcW w:w="812" w:type="dxa"/>
          </w:tcPr>
          <w:p w14:paraId="5AB1D317" w14:textId="77777777" w:rsidR="00913A35" w:rsidRPr="00595457" w:rsidRDefault="00913A35"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tcPr>
          <w:p w14:paraId="72FC1150" w14:textId="77777777" w:rsidR="00913A35" w:rsidRPr="00595457" w:rsidRDefault="00913A35"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tcPr>
          <w:p w14:paraId="4B3122D9" w14:textId="77777777" w:rsidR="00913A35" w:rsidRPr="00595457" w:rsidRDefault="00913A35" w:rsidP="00302D60">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3712B12E" w14:textId="77777777" w:rsidR="00913A35" w:rsidRPr="00595457" w:rsidRDefault="59F135DE" w:rsidP="0CEE6DE9">
            <w:pPr>
              <w:keepLines/>
              <w:rPr>
                <w:rFonts w:ascii="Arial Narrow" w:hAnsi="Arial Narrow" w:cs="Arial"/>
                <w:sz w:val="20"/>
                <w:szCs w:val="20"/>
              </w:rPr>
            </w:pPr>
            <w:r w:rsidRPr="00595457">
              <w:rPr>
                <w:rFonts w:ascii="Arial Narrow" w:hAnsi="Arial Narrow" w:cs="Arial"/>
                <w:sz w:val="20"/>
                <w:szCs w:val="20"/>
              </w:rPr>
              <w:t>Remsima SC</w:t>
            </w:r>
          </w:p>
        </w:tc>
      </w:tr>
      <w:tr w:rsidR="00913A35" w:rsidRPr="001E6F3E" w14:paraId="60245BD1" w14:textId="77777777" w:rsidTr="0CEE6DE9">
        <w:trPr>
          <w:cantSplit/>
          <w:trHeight w:val="20"/>
        </w:trPr>
        <w:tc>
          <w:tcPr>
            <w:tcW w:w="3823" w:type="dxa"/>
            <w:gridSpan w:val="2"/>
            <w:vAlign w:val="center"/>
          </w:tcPr>
          <w:p w14:paraId="76B12ADA" w14:textId="77777777" w:rsidR="00913A35" w:rsidRPr="00595457" w:rsidRDefault="00913A35" w:rsidP="00302D60">
            <w:pPr>
              <w:keepLines/>
              <w:rPr>
                <w:rFonts w:ascii="Arial Narrow" w:hAnsi="Arial Narrow" w:cs="Arial"/>
                <w:sz w:val="20"/>
                <w:szCs w:val="20"/>
              </w:rPr>
            </w:pPr>
            <w:r w:rsidRPr="00595457">
              <w:rPr>
                <w:rFonts w:ascii="Arial Narrow" w:hAnsi="Arial Narrow" w:cs="Arial"/>
                <w:sz w:val="20"/>
                <w:szCs w:val="20"/>
              </w:rPr>
              <w:t>infliximab 120 mg/mL injection, 1 mL syringe</w:t>
            </w:r>
          </w:p>
        </w:tc>
        <w:tc>
          <w:tcPr>
            <w:tcW w:w="927" w:type="dxa"/>
            <w:vAlign w:val="center"/>
          </w:tcPr>
          <w:p w14:paraId="05C5E2B0" w14:textId="109EB327" w:rsidR="00913A35" w:rsidRPr="00595457" w:rsidRDefault="009E2E4B" w:rsidP="00302D60">
            <w:pPr>
              <w:keepLines/>
              <w:jc w:val="center"/>
              <w:rPr>
                <w:rFonts w:ascii="Arial Narrow" w:hAnsi="Arial Narrow" w:cs="Arial"/>
                <w:sz w:val="20"/>
                <w:szCs w:val="20"/>
              </w:rPr>
            </w:pPr>
            <w:r w:rsidRPr="00595457">
              <w:rPr>
                <w:rFonts w:ascii="Arial Narrow" w:hAnsi="Arial Narrow" w:cs="Arial"/>
                <w:sz w:val="20"/>
                <w:szCs w:val="20"/>
              </w:rPr>
              <w:t>13069W</w:t>
            </w:r>
          </w:p>
        </w:tc>
        <w:tc>
          <w:tcPr>
            <w:tcW w:w="812" w:type="dxa"/>
            <w:vAlign w:val="center"/>
          </w:tcPr>
          <w:p w14:paraId="13962639" w14:textId="77777777" w:rsidR="00913A35" w:rsidRPr="00595457" w:rsidRDefault="00913A35"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vAlign w:val="center"/>
          </w:tcPr>
          <w:p w14:paraId="02451999" w14:textId="77777777" w:rsidR="00913A35" w:rsidRPr="00595457" w:rsidRDefault="00913A35"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vAlign w:val="center"/>
          </w:tcPr>
          <w:p w14:paraId="2FF3C199" w14:textId="77777777" w:rsidR="00913A35" w:rsidRPr="00595457" w:rsidRDefault="00913A35" w:rsidP="00302D60">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3556DB35" w14:textId="77777777" w:rsidR="00913A35" w:rsidRPr="00595457" w:rsidRDefault="59F135DE" w:rsidP="0CEE6DE9">
            <w:pPr>
              <w:keepLines/>
              <w:rPr>
                <w:rFonts w:ascii="Arial Narrow" w:hAnsi="Arial Narrow" w:cs="Arial"/>
                <w:sz w:val="20"/>
                <w:szCs w:val="20"/>
              </w:rPr>
            </w:pPr>
            <w:r w:rsidRPr="00595457">
              <w:rPr>
                <w:rFonts w:ascii="Arial Narrow" w:hAnsi="Arial Narrow" w:cs="Arial"/>
                <w:sz w:val="20"/>
                <w:szCs w:val="20"/>
              </w:rPr>
              <w:t>Remsima SC</w:t>
            </w:r>
          </w:p>
        </w:tc>
      </w:tr>
      <w:tr w:rsidR="00913A35" w:rsidRPr="001E6F3E" w14:paraId="411E8534"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DE3396A" w14:textId="77777777" w:rsidR="00913A35" w:rsidRPr="00595457" w:rsidRDefault="00913A35" w:rsidP="00302D60">
            <w:pPr>
              <w:rPr>
                <w:rFonts w:ascii="Arial Narrow" w:hAnsi="Arial Narrow" w:cs="Arial"/>
                <w:sz w:val="20"/>
                <w:szCs w:val="20"/>
              </w:rPr>
            </w:pPr>
          </w:p>
        </w:tc>
      </w:tr>
      <w:tr w:rsidR="00913A35" w:rsidRPr="001E6F3E" w14:paraId="65B4DDC7"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AE8F2BB" w14:textId="465C2386" w:rsidR="00913A35" w:rsidRPr="00595457" w:rsidRDefault="00913A35" w:rsidP="00302D60">
            <w:pPr>
              <w:keepLines/>
              <w:rPr>
                <w:rFonts w:ascii="Arial Narrow" w:hAnsi="Arial Narrow" w:cs="Arial"/>
                <w:b/>
                <w:sz w:val="20"/>
                <w:szCs w:val="20"/>
              </w:rPr>
            </w:pPr>
            <w:r w:rsidRPr="00595457">
              <w:rPr>
                <w:rFonts w:ascii="Arial Narrow" w:hAnsi="Arial Narrow"/>
                <w:b/>
                <w:sz w:val="20"/>
                <w:szCs w:val="20"/>
              </w:rPr>
              <w:t xml:space="preserve">Restriction Summary / Treatment of Concept: </w:t>
            </w:r>
          </w:p>
        </w:tc>
      </w:tr>
      <w:tr w:rsidR="00913A35" w:rsidRPr="001E6F3E" w14:paraId="1721829C" w14:textId="77777777" w:rsidTr="0CEE6DE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6AD0012" w14:textId="4AAF1189" w:rsidR="00913A35" w:rsidRPr="00595457" w:rsidRDefault="00913A35" w:rsidP="00302D60">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5E89825" w14:textId="77777777" w:rsidR="00913A35" w:rsidRPr="00595457" w:rsidRDefault="00913A35" w:rsidP="00302D60">
            <w:pPr>
              <w:keepLines/>
              <w:rPr>
                <w:rFonts w:ascii="Arial Narrow" w:hAnsi="Arial Narrow" w:cs="Arial"/>
                <w:sz w:val="20"/>
                <w:szCs w:val="20"/>
              </w:rPr>
            </w:pPr>
            <w:r w:rsidRPr="00595457">
              <w:rPr>
                <w:rFonts w:ascii="Arial Narrow" w:hAnsi="Arial Narrow" w:cs="Arial"/>
                <w:b/>
                <w:sz w:val="20"/>
                <w:szCs w:val="20"/>
              </w:rPr>
              <w:t>Category / Program:</w:t>
            </w:r>
            <w:r w:rsidRPr="00595457">
              <w:rPr>
                <w:rFonts w:ascii="Arial Narrow" w:hAnsi="Arial Narrow" w:cs="Arial"/>
                <w:color w:val="FF0000"/>
                <w:sz w:val="20"/>
                <w:szCs w:val="20"/>
              </w:rPr>
              <w:t xml:space="preserve"> </w:t>
            </w:r>
            <w:r w:rsidRPr="00595457">
              <w:rPr>
                <w:rFonts w:ascii="Arial Narrow" w:eastAsia="Calibri" w:hAnsi="Arial Narrow" w:cs="Arial"/>
                <w:sz w:val="20"/>
                <w:szCs w:val="20"/>
              </w:rPr>
              <w:t xml:space="preserve">GENERAL - General Schedule (Code GE) </w:t>
            </w:r>
          </w:p>
        </w:tc>
      </w:tr>
      <w:tr w:rsidR="00913A35" w:rsidRPr="001E6F3E" w14:paraId="78EE05E5"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7B9C52DD" w14:textId="77777777" w:rsidR="00913A35" w:rsidRPr="00595457" w:rsidRDefault="00913A35"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723F154" w14:textId="77777777" w:rsidR="00913A35" w:rsidRPr="00595457" w:rsidRDefault="00913A35" w:rsidP="00302D60">
            <w:pPr>
              <w:keepLines/>
              <w:rPr>
                <w:rFonts w:ascii="Arial Narrow" w:hAnsi="Arial Narrow" w:cs="Arial"/>
                <w:b/>
                <w:sz w:val="20"/>
                <w:szCs w:val="20"/>
              </w:rPr>
            </w:pPr>
            <w:r w:rsidRPr="00595457">
              <w:rPr>
                <w:rFonts w:ascii="Arial Narrow" w:hAnsi="Arial Narrow" w:cs="Arial"/>
                <w:b/>
                <w:sz w:val="20"/>
                <w:szCs w:val="20"/>
              </w:rPr>
              <w:t xml:space="preserve">Prescriber type: </w:t>
            </w:r>
            <w:r w:rsidRPr="00595457">
              <w:rPr>
                <w:rFonts w:ascii="Arial Narrow" w:hAnsi="Arial Narrow" w:cs="Arial"/>
                <w:sz w:val="20"/>
                <w:szCs w:val="20"/>
              </w:rPr>
              <w:fldChar w:fldCharType="begin" w:fldLock="1">
                <w:ffData>
                  <w:name w:val=""/>
                  <w:enabled/>
                  <w:calcOnExit w:val="0"/>
                  <w:checkBox>
                    <w:sizeAuto/>
                    <w:default w:val="1"/>
                  </w:checkBox>
                </w:ffData>
              </w:fldChar>
            </w:r>
            <w:r w:rsidRPr="00595457">
              <w:rPr>
                <w:rFonts w:ascii="Arial Narrow" w:hAnsi="Arial Narrow" w:cs="Arial"/>
                <w:sz w:val="20"/>
                <w:szCs w:val="20"/>
              </w:rPr>
              <w:instrText xml:space="preserve"> FORMCHECKBOX </w:instrText>
            </w:r>
            <w:r w:rsidRPr="00595457">
              <w:rPr>
                <w:rFonts w:ascii="Arial Narrow" w:hAnsi="Arial Narrow" w:cs="Arial"/>
                <w:sz w:val="20"/>
                <w:szCs w:val="20"/>
              </w:rPr>
            </w:r>
            <w:r w:rsidRPr="00595457">
              <w:rPr>
                <w:rFonts w:ascii="Arial Narrow" w:hAnsi="Arial Narrow" w:cs="Arial"/>
                <w:sz w:val="20"/>
                <w:szCs w:val="20"/>
              </w:rPr>
              <w:fldChar w:fldCharType="separate"/>
            </w:r>
            <w:r w:rsidRPr="00595457">
              <w:rPr>
                <w:rFonts w:ascii="Arial Narrow" w:hAnsi="Arial Narrow" w:cs="Arial"/>
                <w:sz w:val="20"/>
                <w:szCs w:val="20"/>
              </w:rPr>
              <w:fldChar w:fldCharType="end"/>
            </w:r>
            <w:r w:rsidRPr="00595457">
              <w:rPr>
                <w:rFonts w:ascii="Arial Narrow" w:hAnsi="Arial Narrow" w:cs="Arial"/>
                <w:sz w:val="20"/>
                <w:szCs w:val="20"/>
              </w:rPr>
              <w:t xml:space="preserve">Medical Practitioners </w:t>
            </w:r>
          </w:p>
        </w:tc>
      </w:tr>
      <w:tr w:rsidR="00913A35" w:rsidRPr="001E6F3E" w14:paraId="700FAB0E"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5E650EFC" w14:textId="77777777" w:rsidR="00913A35" w:rsidRPr="00595457" w:rsidRDefault="00913A35"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5FCCFDB" w14:textId="77777777" w:rsidR="00913A35" w:rsidRPr="00595457" w:rsidRDefault="00913A35" w:rsidP="00302D60">
            <w:pPr>
              <w:keepLines/>
              <w:rPr>
                <w:rFonts w:ascii="Arial Narrow" w:hAnsi="Arial Narrow" w:cs="Arial"/>
                <w:b/>
                <w:sz w:val="20"/>
                <w:szCs w:val="20"/>
              </w:rPr>
            </w:pPr>
            <w:r w:rsidRPr="00595457">
              <w:rPr>
                <w:rFonts w:ascii="Arial Narrow" w:hAnsi="Arial Narrow" w:cs="Arial"/>
                <w:b/>
                <w:sz w:val="20"/>
                <w:szCs w:val="20"/>
              </w:rPr>
              <w:t xml:space="preserve">Restriction type: </w:t>
            </w:r>
          </w:p>
          <w:p w14:paraId="2EBEFD7F" w14:textId="143A19ED" w:rsidR="00913A35" w:rsidRPr="00595457" w:rsidRDefault="00913A35" w:rsidP="00302D60">
            <w:pPr>
              <w:keepLines/>
              <w:jc w:val="left"/>
              <w:rPr>
                <w:rFonts w:ascii="Arial Narrow" w:eastAsia="Calibri" w:hAnsi="Arial Narrow" w:cs="Arial"/>
                <w:color w:val="FF0000"/>
                <w:sz w:val="20"/>
                <w:szCs w:val="20"/>
              </w:rPr>
            </w:pPr>
            <w:r w:rsidRPr="00595457">
              <w:rPr>
                <w:rFonts w:ascii="Arial Narrow" w:eastAsia="Calibri" w:hAnsi="Arial Narrow" w:cs="Arial"/>
                <w:sz w:val="20"/>
                <w:szCs w:val="20"/>
              </w:rPr>
              <w:fldChar w:fldCharType="begin" w:fldLock="1">
                <w:ffData>
                  <w:name w:val=""/>
                  <w:enabled/>
                  <w:calcOnExit w:val="0"/>
                  <w:checkBox>
                    <w:sizeAuto/>
                    <w:default w:val="1"/>
                  </w:checkBox>
                </w:ffData>
              </w:fldChar>
            </w:r>
            <w:r w:rsidRPr="00595457">
              <w:rPr>
                <w:rFonts w:ascii="Arial Narrow" w:eastAsia="Calibri" w:hAnsi="Arial Narrow" w:cs="Arial"/>
                <w:sz w:val="20"/>
                <w:szCs w:val="20"/>
              </w:rPr>
              <w:instrText xml:space="preserve"> FORMCHECKBOX </w:instrText>
            </w:r>
            <w:r w:rsidRPr="00595457">
              <w:rPr>
                <w:rFonts w:ascii="Arial Narrow" w:eastAsia="Calibri" w:hAnsi="Arial Narrow" w:cs="Arial"/>
                <w:sz w:val="20"/>
                <w:szCs w:val="20"/>
              </w:rPr>
            </w:r>
            <w:r w:rsidRPr="00595457">
              <w:rPr>
                <w:rFonts w:ascii="Arial Narrow" w:eastAsia="Calibri" w:hAnsi="Arial Narrow" w:cs="Arial"/>
                <w:sz w:val="20"/>
                <w:szCs w:val="20"/>
              </w:rPr>
              <w:fldChar w:fldCharType="separate"/>
            </w:r>
            <w:r w:rsidRPr="00595457">
              <w:rPr>
                <w:rFonts w:ascii="Arial Narrow" w:eastAsia="Calibri" w:hAnsi="Arial Narrow" w:cs="Arial"/>
                <w:sz w:val="20"/>
                <w:szCs w:val="20"/>
              </w:rPr>
              <w:fldChar w:fldCharType="end"/>
            </w:r>
            <w:r w:rsidRPr="00595457">
              <w:rPr>
                <w:rFonts w:ascii="Arial Narrow" w:eastAsia="Calibri" w:hAnsi="Arial Narrow" w:cs="Arial"/>
                <w:i/>
                <w:iCs/>
                <w:sz w:val="20"/>
                <w:szCs w:val="20"/>
              </w:rPr>
              <w:t xml:space="preserve">Authority Required (Streamlined) </w:t>
            </w:r>
            <w:r w:rsidRPr="00595457">
              <w:rPr>
                <w:rFonts w:ascii="Arial Narrow" w:eastAsia="Calibri" w:hAnsi="Arial Narrow" w:cs="Arial"/>
                <w:i/>
                <w:iCs/>
                <w:color w:val="FF0000"/>
                <w:sz w:val="20"/>
                <w:szCs w:val="20"/>
              </w:rPr>
              <w:br/>
            </w:r>
            <w:r w:rsidRPr="00595457">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595457">
              <w:rPr>
                <w:rFonts w:ascii="Arial Narrow" w:eastAsia="Calibri" w:hAnsi="Arial Narrow" w:cs="Arial"/>
                <w:strike/>
                <w:sz w:val="20"/>
                <w:szCs w:val="20"/>
              </w:rPr>
              <w:instrText xml:space="preserve"> FORMCHECKBOX </w:instrText>
            </w:r>
            <w:r w:rsidRPr="00595457">
              <w:rPr>
                <w:rFonts w:ascii="Arial Narrow" w:eastAsia="Calibri" w:hAnsi="Arial Narrow" w:cs="Arial"/>
                <w:strike/>
                <w:sz w:val="20"/>
                <w:szCs w:val="20"/>
              </w:rPr>
            </w:r>
            <w:r w:rsidRPr="00595457">
              <w:rPr>
                <w:rFonts w:ascii="Arial Narrow" w:eastAsia="Calibri" w:hAnsi="Arial Narrow" w:cs="Arial"/>
                <w:strike/>
                <w:sz w:val="20"/>
                <w:szCs w:val="20"/>
              </w:rPr>
              <w:fldChar w:fldCharType="separate"/>
            </w:r>
            <w:r w:rsidRPr="00595457">
              <w:rPr>
                <w:rFonts w:ascii="Arial Narrow" w:eastAsia="Calibri" w:hAnsi="Arial Narrow" w:cs="Arial"/>
                <w:strike/>
                <w:sz w:val="20"/>
                <w:szCs w:val="20"/>
              </w:rPr>
              <w:fldChar w:fldCharType="end"/>
            </w:r>
            <w:r w:rsidRPr="00595457">
              <w:rPr>
                <w:rFonts w:ascii="Arial Narrow" w:eastAsia="Calibri" w:hAnsi="Arial Narrow" w:cs="Arial"/>
                <w:strike/>
                <w:sz w:val="20"/>
                <w:szCs w:val="20"/>
              </w:rPr>
              <w:t>Authority Required (</w:t>
            </w:r>
            <w:r w:rsidR="002268AF" w:rsidRPr="00595457">
              <w:rPr>
                <w:rFonts w:ascii="Arial Narrow" w:eastAsia="Calibri" w:hAnsi="Arial Narrow" w:cs="Arial"/>
                <w:strike/>
                <w:sz w:val="20"/>
                <w:szCs w:val="20"/>
              </w:rPr>
              <w:t>in writing only via post/HPOS upload</w:t>
            </w:r>
            <w:r w:rsidRPr="00595457">
              <w:rPr>
                <w:rFonts w:ascii="Arial Narrow" w:eastAsia="Calibri" w:hAnsi="Arial Narrow" w:cs="Arial"/>
                <w:strike/>
                <w:sz w:val="20"/>
                <w:szCs w:val="20"/>
              </w:rPr>
              <w:t xml:space="preserve">) </w:t>
            </w:r>
          </w:p>
        </w:tc>
      </w:tr>
      <w:tr w:rsidR="00913A35" w:rsidRPr="001E6F3E" w14:paraId="64200C1A" w14:textId="77777777" w:rsidTr="00365FCC">
        <w:tblPrEx>
          <w:tblCellMar>
            <w:top w:w="15" w:type="dxa"/>
            <w:bottom w:w="15" w:type="dxa"/>
          </w:tblCellMar>
        </w:tblPrEx>
        <w:trPr>
          <w:cantSplit/>
          <w:trHeight w:val="20"/>
        </w:trPr>
        <w:tc>
          <w:tcPr>
            <w:tcW w:w="1271" w:type="dxa"/>
            <w:vAlign w:val="center"/>
          </w:tcPr>
          <w:p w14:paraId="24222196" w14:textId="39409D98" w:rsidR="00913A35" w:rsidRPr="00595457" w:rsidRDefault="00913A35" w:rsidP="00302D60">
            <w:pPr>
              <w:keepLines/>
              <w:jc w:val="center"/>
              <w:rPr>
                <w:rFonts w:ascii="Arial Narrow" w:hAnsi="Arial Narrow"/>
                <w:sz w:val="20"/>
                <w:szCs w:val="20"/>
              </w:rPr>
            </w:pPr>
          </w:p>
        </w:tc>
        <w:tc>
          <w:tcPr>
            <w:tcW w:w="7745" w:type="dxa"/>
            <w:gridSpan w:val="6"/>
            <w:vAlign w:val="center"/>
            <w:hideMark/>
          </w:tcPr>
          <w:p w14:paraId="4C6F47BD" w14:textId="4ED67C5B" w:rsidR="00913A35" w:rsidRPr="00595457" w:rsidRDefault="00913A35" w:rsidP="00302D60">
            <w:pPr>
              <w:keepLines/>
              <w:rPr>
                <w:rFonts w:ascii="Arial Narrow" w:hAnsi="Arial Narrow"/>
                <w:color w:val="333333"/>
                <w:sz w:val="20"/>
                <w:szCs w:val="20"/>
              </w:rPr>
            </w:pPr>
            <w:r w:rsidRPr="00595457">
              <w:rPr>
                <w:rFonts w:ascii="Arial Narrow" w:hAnsi="Arial Narrow"/>
                <w:b/>
                <w:bCs/>
                <w:sz w:val="20"/>
                <w:szCs w:val="20"/>
              </w:rPr>
              <w:t>Indication:</w:t>
            </w:r>
            <w:r w:rsidRPr="00595457">
              <w:rPr>
                <w:rFonts w:ascii="Arial Narrow" w:hAnsi="Arial Narrow"/>
                <w:sz w:val="20"/>
                <w:szCs w:val="20"/>
              </w:rPr>
              <w:t xml:space="preserve"> </w:t>
            </w:r>
            <w:bookmarkStart w:id="5" w:name="_Hlk188003032"/>
            <w:r w:rsidR="00C27851" w:rsidRPr="00595457">
              <w:rPr>
                <w:rFonts w:ascii="Arial Narrow" w:hAnsi="Arial Narrow"/>
                <w:sz w:val="20"/>
                <w:szCs w:val="20"/>
              </w:rPr>
              <w:t>Ankylosing spondylitis</w:t>
            </w:r>
            <w:bookmarkEnd w:id="5"/>
          </w:p>
        </w:tc>
      </w:tr>
      <w:tr w:rsidR="00913A35" w:rsidRPr="001E6F3E" w14:paraId="4DA338DC" w14:textId="77777777" w:rsidTr="00365FCC">
        <w:tblPrEx>
          <w:tblCellMar>
            <w:top w:w="15" w:type="dxa"/>
            <w:bottom w:w="15" w:type="dxa"/>
          </w:tblCellMar>
        </w:tblPrEx>
        <w:trPr>
          <w:cantSplit/>
          <w:trHeight w:val="20"/>
        </w:trPr>
        <w:tc>
          <w:tcPr>
            <w:tcW w:w="1271" w:type="dxa"/>
            <w:vAlign w:val="center"/>
          </w:tcPr>
          <w:p w14:paraId="3C7D379C" w14:textId="77777777" w:rsidR="00913A35" w:rsidRPr="00595457" w:rsidRDefault="00913A35" w:rsidP="00302D60">
            <w:pPr>
              <w:jc w:val="center"/>
              <w:rPr>
                <w:rFonts w:ascii="Arial Narrow" w:hAnsi="Arial Narrow"/>
                <w:sz w:val="20"/>
                <w:szCs w:val="20"/>
              </w:rPr>
            </w:pPr>
          </w:p>
        </w:tc>
        <w:tc>
          <w:tcPr>
            <w:tcW w:w="7745" w:type="dxa"/>
            <w:gridSpan w:val="6"/>
            <w:vAlign w:val="center"/>
            <w:hideMark/>
          </w:tcPr>
          <w:p w14:paraId="2ACB204F" w14:textId="77777777" w:rsidR="00913A35" w:rsidRPr="00595457" w:rsidRDefault="00913A35" w:rsidP="00302D60">
            <w:pPr>
              <w:rPr>
                <w:rFonts w:ascii="Arial Narrow" w:hAnsi="Arial Narrow"/>
                <w:sz w:val="20"/>
                <w:szCs w:val="20"/>
              </w:rPr>
            </w:pPr>
            <w:r w:rsidRPr="00595457">
              <w:rPr>
                <w:rFonts w:ascii="Arial Narrow" w:hAnsi="Arial Narrow"/>
                <w:b/>
                <w:bCs/>
                <w:sz w:val="20"/>
                <w:szCs w:val="20"/>
              </w:rPr>
              <w:t>Treatment Phase:</w:t>
            </w:r>
            <w:r w:rsidRPr="00595457">
              <w:rPr>
                <w:rFonts w:ascii="Arial Narrow" w:hAnsi="Arial Narrow"/>
                <w:sz w:val="20"/>
                <w:szCs w:val="20"/>
              </w:rPr>
              <w:t xml:space="preserve"> Continuing treatment with subcutaneous form or switching from intravenous form to subcutaneous form</w:t>
            </w:r>
          </w:p>
        </w:tc>
      </w:tr>
      <w:tr w:rsidR="00940635" w:rsidRPr="001E6F3E" w14:paraId="237AEC02"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0555D56" w14:textId="3B4912F9" w:rsidR="00940635" w:rsidRPr="00595457" w:rsidRDefault="00940635" w:rsidP="00940635">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EA6A81" w14:textId="77777777" w:rsidR="00940635" w:rsidRPr="00595457" w:rsidRDefault="00940635" w:rsidP="00940635">
            <w:pPr>
              <w:rPr>
                <w:rFonts w:ascii="Arial Narrow" w:hAnsi="Arial Narrow"/>
                <w:strike/>
                <w:sz w:val="20"/>
                <w:szCs w:val="20"/>
              </w:rPr>
            </w:pPr>
            <w:r w:rsidRPr="00595457">
              <w:rPr>
                <w:rFonts w:ascii="Arial Narrow" w:hAnsi="Arial Narrow"/>
                <w:b/>
                <w:bCs/>
                <w:strike/>
                <w:sz w:val="20"/>
                <w:szCs w:val="20"/>
              </w:rPr>
              <w:t>Prescribing Instructions</w:t>
            </w:r>
            <w:r w:rsidRPr="00595457">
              <w:rPr>
                <w:rFonts w:ascii="Arial Narrow" w:hAnsi="Arial Narrow"/>
                <w:strike/>
                <w:sz w:val="20"/>
                <w:szCs w:val="20"/>
              </w:rPr>
              <w:t>:</w:t>
            </w:r>
          </w:p>
          <w:p w14:paraId="6D04D4E4" w14:textId="77777777" w:rsidR="00940635" w:rsidRPr="00595457" w:rsidRDefault="00940635" w:rsidP="00940635">
            <w:pPr>
              <w:rPr>
                <w:rFonts w:ascii="Arial Narrow" w:hAnsi="Arial Narrow"/>
                <w:strike/>
                <w:sz w:val="20"/>
                <w:szCs w:val="20"/>
              </w:rPr>
            </w:pPr>
            <w:r w:rsidRPr="00595457">
              <w:rPr>
                <w:rFonts w:ascii="Arial Narrow" w:hAnsi="Arial Narrow"/>
                <w:strike/>
                <w:sz w:val="20"/>
                <w:szCs w:val="20"/>
              </w:rPr>
              <w:t>The authority application must be made in writing and must include:</w:t>
            </w:r>
          </w:p>
          <w:p w14:paraId="6D682AFB" w14:textId="77777777" w:rsidR="00940635" w:rsidRPr="00595457" w:rsidRDefault="00940635" w:rsidP="00940635">
            <w:pPr>
              <w:rPr>
                <w:rFonts w:ascii="Arial Narrow" w:hAnsi="Arial Narrow"/>
                <w:strike/>
                <w:sz w:val="20"/>
                <w:szCs w:val="20"/>
              </w:rPr>
            </w:pPr>
            <w:r w:rsidRPr="00595457">
              <w:rPr>
                <w:rFonts w:ascii="Arial Narrow" w:hAnsi="Arial Narrow"/>
                <w:strike/>
                <w:sz w:val="20"/>
                <w:szCs w:val="20"/>
              </w:rPr>
              <w:t>(1) a completed authority prescription form; and</w:t>
            </w:r>
          </w:p>
          <w:p w14:paraId="5045DEA3" w14:textId="77777777" w:rsidR="00940635" w:rsidRPr="00595457" w:rsidRDefault="37DA9C42" w:rsidP="0CEE6DE9">
            <w:pPr>
              <w:rPr>
                <w:rFonts w:ascii="Arial Narrow" w:hAnsi="Arial Narrow"/>
                <w:strike/>
                <w:sz w:val="20"/>
                <w:szCs w:val="20"/>
              </w:rPr>
            </w:pPr>
            <w:r w:rsidRPr="00595457">
              <w:rPr>
                <w:rFonts w:ascii="Arial Narrow" w:hAnsi="Arial Narrow"/>
                <w:strike/>
                <w:sz w:val="20"/>
                <w:szCs w:val="20"/>
              </w:rPr>
              <w:t>(2) a completed authority application form relevant to the indication and treatment phase (the latest version is located on the website specified in the Administrative Advice).</w:t>
            </w:r>
          </w:p>
        </w:tc>
      </w:tr>
      <w:tr w:rsidR="00940635" w:rsidRPr="001E6F3E" w14:paraId="40736943"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DBCC592" w14:textId="7E37F891" w:rsidR="00940635" w:rsidRPr="00595457" w:rsidRDefault="00940635" w:rsidP="0094063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F43866" w14:textId="77777777" w:rsidR="00940635" w:rsidRPr="00595457" w:rsidRDefault="00940635" w:rsidP="00940635">
            <w:pPr>
              <w:rPr>
                <w:rFonts w:ascii="Arial Narrow" w:hAnsi="Arial Narrow"/>
                <w:b/>
                <w:bCs/>
                <w:sz w:val="20"/>
                <w:szCs w:val="20"/>
              </w:rPr>
            </w:pPr>
            <w:r w:rsidRPr="00595457">
              <w:rPr>
                <w:rFonts w:ascii="Arial Narrow" w:hAnsi="Arial Narrow"/>
                <w:b/>
                <w:bCs/>
                <w:sz w:val="20"/>
                <w:szCs w:val="20"/>
              </w:rPr>
              <w:t>Prescribing Instructions:</w:t>
            </w:r>
          </w:p>
          <w:p w14:paraId="6D246A08" w14:textId="77777777" w:rsidR="00940635" w:rsidRPr="00595457" w:rsidRDefault="00940635" w:rsidP="00940635">
            <w:pPr>
              <w:rPr>
                <w:rFonts w:ascii="Arial Narrow" w:hAnsi="Arial Narrow"/>
                <w:sz w:val="20"/>
                <w:szCs w:val="20"/>
              </w:rPr>
            </w:pPr>
            <w:r w:rsidRPr="00595457">
              <w:rPr>
                <w:rFonts w:ascii="Arial Narrow" w:hAnsi="Arial Narrow"/>
                <w:sz w:val="20"/>
                <w:szCs w:val="20"/>
              </w:rPr>
              <w:t>An adequate response is defined as an improvement from baseline of at least 2 of the BASDAI and 1 of the following:</w:t>
            </w:r>
          </w:p>
          <w:p w14:paraId="2904B1F7" w14:textId="77777777" w:rsidR="00940635" w:rsidRPr="00595457" w:rsidRDefault="00940635" w:rsidP="00940635">
            <w:pPr>
              <w:rPr>
                <w:rFonts w:ascii="Arial Narrow" w:hAnsi="Arial Narrow"/>
                <w:sz w:val="20"/>
                <w:szCs w:val="20"/>
              </w:rPr>
            </w:pPr>
            <w:r w:rsidRPr="00595457">
              <w:rPr>
                <w:rFonts w:ascii="Arial Narrow" w:hAnsi="Arial Narrow"/>
                <w:sz w:val="20"/>
                <w:szCs w:val="20"/>
              </w:rPr>
              <w:t>(a) an ESR measurement no greater than 25 mm per hour; or</w:t>
            </w:r>
          </w:p>
          <w:p w14:paraId="342C0A5A" w14:textId="77777777" w:rsidR="00940635" w:rsidRPr="00595457" w:rsidRDefault="00940635" w:rsidP="00940635">
            <w:pPr>
              <w:rPr>
                <w:rFonts w:ascii="Arial Narrow" w:hAnsi="Arial Narrow"/>
                <w:sz w:val="20"/>
                <w:szCs w:val="20"/>
              </w:rPr>
            </w:pPr>
            <w:r w:rsidRPr="00595457">
              <w:rPr>
                <w:rFonts w:ascii="Arial Narrow" w:hAnsi="Arial Narrow"/>
                <w:sz w:val="20"/>
                <w:szCs w:val="20"/>
              </w:rPr>
              <w:t>(b) a CRP measurement no greater than 10 mg per L; or</w:t>
            </w:r>
          </w:p>
          <w:p w14:paraId="1895EC53" w14:textId="77777777" w:rsidR="00940635" w:rsidRPr="00595457" w:rsidRDefault="00940635" w:rsidP="00940635">
            <w:pPr>
              <w:rPr>
                <w:rFonts w:ascii="Arial Narrow" w:hAnsi="Arial Narrow"/>
                <w:sz w:val="20"/>
                <w:szCs w:val="20"/>
              </w:rPr>
            </w:pPr>
            <w:r w:rsidRPr="00595457">
              <w:rPr>
                <w:rFonts w:ascii="Arial Narrow" w:hAnsi="Arial Narrow"/>
                <w:sz w:val="20"/>
                <w:szCs w:val="20"/>
              </w:rPr>
              <w:t>(c) an ESR or CRP measurement reduced by at least 20% from baseline.</w:t>
            </w:r>
          </w:p>
          <w:p w14:paraId="4A97E685" w14:textId="77777777" w:rsidR="00940635" w:rsidRPr="00595457" w:rsidRDefault="00940635" w:rsidP="00940635">
            <w:pPr>
              <w:rPr>
                <w:rFonts w:ascii="Arial Narrow" w:hAnsi="Arial Narrow"/>
                <w:sz w:val="20"/>
                <w:szCs w:val="20"/>
              </w:rPr>
            </w:pPr>
            <w:r w:rsidRPr="00595457">
              <w:rPr>
                <w:rFonts w:ascii="Arial Narrow" w:hAnsi="Arial Narrow"/>
                <w:sz w:val="20"/>
                <w:szCs w:val="20"/>
              </w:rPr>
              <w:t>Where only 1 acute phase reactant measurement is supplied in the first application for PBS-subsidised treatment, that same marker must be measured and used to assess all future responses to treatment.</w:t>
            </w:r>
          </w:p>
        </w:tc>
      </w:tr>
      <w:tr w:rsidR="00940635" w:rsidRPr="001E6F3E" w14:paraId="595E4486"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69A0D3A" w14:textId="31F376C3" w:rsidR="00940635" w:rsidRPr="00595457" w:rsidRDefault="00940635" w:rsidP="00940635">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FA3465" w14:textId="77777777" w:rsidR="00940635" w:rsidRPr="00595457" w:rsidRDefault="00940635" w:rsidP="00940635">
            <w:pPr>
              <w:rPr>
                <w:rFonts w:ascii="Arial Narrow" w:hAnsi="Arial Narrow"/>
                <w:b/>
                <w:bCs/>
                <w:sz w:val="20"/>
                <w:szCs w:val="20"/>
              </w:rPr>
            </w:pPr>
            <w:r w:rsidRPr="00595457">
              <w:rPr>
                <w:rFonts w:ascii="Arial Narrow" w:hAnsi="Arial Narrow"/>
                <w:b/>
                <w:bCs/>
                <w:sz w:val="20"/>
                <w:szCs w:val="20"/>
              </w:rPr>
              <w:t>Prescribing Instructions:</w:t>
            </w:r>
          </w:p>
          <w:p w14:paraId="5FB90E16" w14:textId="349467CF" w:rsidR="00940635" w:rsidRPr="00595457" w:rsidRDefault="00940635" w:rsidP="00940635">
            <w:pPr>
              <w:rPr>
                <w:rFonts w:ascii="Arial Narrow" w:hAnsi="Arial Narrow"/>
                <w:sz w:val="20"/>
                <w:szCs w:val="20"/>
              </w:rPr>
            </w:pPr>
            <w:r w:rsidRPr="00595457">
              <w:rPr>
                <w:rFonts w:ascii="Arial Narrow" w:hAnsi="Arial Narrow"/>
                <w:sz w:val="20"/>
                <w:szCs w:val="20"/>
              </w:rPr>
              <w:t>The assessment of response to treatment must be documented in the patient's medical records</w:t>
            </w:r>
            <w:r w:rsidR="0028452C" w:rsidRPr="00595457">
              <w:rPr>
                <w:rFonts w:ascii="Arial Narrow" w:hAnsi="Arial Narrow"/>
                <w:sz w:val="20"/>
                <w:szCs w:val="20"/>
              </w:rPr>
              <w:t xml:space="preserve"> </w:t>
            </w:r>
            <w:r w:rsidR="0028452C" w:rsidRPr="00595457">
              <w:rPr>
                <w:rFonts w:ascii="Arial Narrow" w:hAnsi="Arial Narrow"/>
                <w:i/>
                <w:iCs/>
                <w:sz w:val="20"/>
                <w:szCs w:val="20"/>
              </w:rPr>
              <w:t>and must be no more than 4 weeks old at the time of the authority application.</w:t>
            </w:r>
          </w:p>
        </w:tc>
      </w:tr>
      <w:tr w:rsidR="00940635" w:rsidRPr="001E6F3E" w14:paraId="5E577165"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0779D0D" w14:textId="641FE4EA" w:rsidR="00940635" w:rsidRPr="00595457" w:rsidRDefault="00940635" w:rsidP="00940635">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D0C36E" w14:textId="77777777" w:rsidR="00940635" w:rsidRPr="00595457" w:rsidRDefault="00940635" w:rsidP="00940635">
            <w:pPr>
              <w:rPr>
                <w:rFonts w:ascii="Arial Narrow" w:hAnsi="Arial Narrow"/>
                <w:strike/>
                <w:sz w:val="20"/>
                <w:szCs w:val="20"/>
              </w:rPr>
            </w:pPr>
            <w:r w:rsidRPr="00595457">
              <w:rPr>
                <w:rFonts w:ascii="Arial Narrow" w:hAnsi="Arial Narrow"/>
                <w:strike/>
                <w:sz w:val="20"/>
                <w:szCs w:val="20"/>
              </w:rPr>
              <w:t>Prescribing Instructions:</w:t>
            </w:r>
          </w:p>
          <w:p w14:paraId="7EE62647" w14:textId="77777777" w:rsidR="00940635" w:rsidRPr="00595457" w:rsidRDefault="00940635" w:rsidP="00940635">
            <w:pPr>
              <w:rPr>
                <w:rFonts w:ascii="Arial Narrow" w:hAnsi="Arial Narrow"/>
                <w:strike/>
                <w:sz w:val="20"/>
                <w:szCs w:val="20"/>
              </w:rPr>
            </w:pPr>
            <w:r w:rsidRPr="00595457">
              <w:rPr>
                <w:rFonts w:ascii="Arial Narrow" w:hAnsi="Arial Narrow"/>
                <w:strike/>
                <w:sz w:val="20"/>
                <w:szCs w:val="20"/>
              </w:rPr>
              <w:t>All measurements provided must be no more than 1 month old at the time of application.</w:t>
            </w:r>
          </w:p>
        </w:tc>
      </w:tr>
      <w:tr w:rsidR="00913A35" w:rsidRPr="001E6F3E" w14:paraId="3103331A"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6444654" w14:textId="369DC930" w:rsidR="00913A35" w:rsidRPr="00595457" w:rsidRDefault="00913A35" w:rsidP="00302D60">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CF5E98" w14:textId="77777777" w:rsidR="0041004F" w:rsidRPr="00595457" w:rsidRDefault="0041004F" w:rsidP="0041004F">
            <w:pPr>
              <w:rPr>
                <w:rFonts w:ascii="Arial Narrow" w:hAnsi="Arial Narrow"/>
                <w:b/>
                <w:bCs/>
                <w:i/>
                <w:iCs/>
                <w:sz w:val="20"/>
                <w:szCs w:val="20"/>
              </w:rPr>
            </w:pPr>
            <w:r w:rsidRPr="00595457">
              <w:rPr>
                <w:rFonts w:ascii="Arial Narrow" w:hAnsi="Arial Narrow"/>
                <w:b/>
                <w:bCs/>
                <w:i/>
                <w:iCs/>
                <w:sz w:val="20"/>
                <w:szCs w:val="20"/>
              </w:rPr>
              <w:t>Prescribing Instructions:</w:t>
            </w:r>
          </w:p>
          <w:p w14:paraId="55D6EB06" w14:textId="5CD1F171" w:rsidR="00913A35" w:rsidRPr="00595457" w:rsidRDefault="714506CE" w:rsidP="0CEE6DE9">
            <w:pPr>
              <w:rPr>
                <w:rFonts w:ascii="Arial Narrow" w:hAnsi="Arial Narrow"/>
                <w:i/>
                <w:iCs/>
                <w:sz w:val="20"/>
                <w:szCs w:val="20"/>
              </w:rPr>
            </w:pPr>
            <w:r w:rsidRPr="00595457">
              <w:rPr>
                <w:rFonts w:ascii="Arial Narrow" w:hAnsi="Arial Narrow"/>
                <w:i/>
                <w:iCs/>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13A35" w:rsidRPr="001E6F3E" w14:paraId="30DD1BAC"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2CC31D4" w14:textId="5E3C0AA8" w:rsidR="00913A35" w:rsidRPr="00595457" w:rsidRDefault="00913A35" w:rsidP="00302D60">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252A6A" w14:textId="77777777" w:rsidR="0041004F" w:rsidRPr="00595457" w:rsidRDefault="0041004F" w:rsidP="0041004F">
            <w:pPr>
              <w:rPr>
                <w:rFonts w:ascii="Arial Narrow" w:hAnsi="Arial Narrow"/>
                <w:b/>
                <w:bCs/>
                <w:i/>
                <w:iCs/>
                <w:sz w:val="20"/>
                <w:szCs w:val="20"/>
              </w:rPr>
            </w:pPr>
            <w:r w:rsidRPr="00595457">
              <w:rPr>
                <w:rFonts w:ascii="Arial Narrow" w:hAnsi="Arial Narrow"/>
                <w:b/>
                <w:bCs/>
                <w:i/>
                <w:iCs/>
                <w:sz w:val="20"/>
                <w:szCs w:val="20"/>
              </w:rPr>
              <w:t>Prescribing Instructions:</w:t>
            </w:r>
          </w:p>
          <w:p w14:paraId="7C7BB509" w14:textId="26F5733C" w:rsidR="00913A35" w:rsidRPr="00595457" w:rsidRDefault="0041004F" w:rsidP="0041004F">
            <w:pPr>
              <w:rPr>
                <w:rFonts w:ascii="Arial Narrow" w:hAnsi="Arial Narrow"/>
                <w:i/>
                <w:iCs/>
                <w:sz w:val="20"/>
                <w:szCs w:val="20"/>
              </w:rPr>
            </w:pPr>
            <w:r w:rsidRPr="00595457">
              <w:rPr>
                <w:rFonts w:ascii="Arial Narrow" w:hAnsi="Arial Narrow"/>
                <w:i/>
                <w:iCs/>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003DCB" w:rsidRPr="001E6F3E" w14:paraId="1431D15E"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D48C641" w14:textId="1D2B10FE" w:rsidR="00003DCB" w:rsidRPr="00595457" w:rsidRDefault="00003DCB" w:rsidP="00003DCB">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EA8D65" w14:textId="77777777" w:rsidR="00003DCB" w:rsidRPr="00595457" w:rsidRDefault="00003DCB" w:rsidP="00003DCB">
            <w:pPr>
              <w:rPr>
                <w:rFonts w:ascii="Arial Narrow" w:hAnsi="Arial Narrow"/>
                <w:b/>
                <w:bCs/>
                <w:i/>
                <w:iCs/>
                <w:sz w:val="20"/>
                <w:szCs w:val="20"/>
              </w:rPr>
            </w:pPr>
            <w:r w:rsidRPr="00595457">
              <w:rPr>
                <w:rFonts w:ascii="Arial Narrow" w:hAnsi="Arial Narrow"/>
                <w:b/>
                <w:bCs/>
                <w:i/>
                <w:iCs/>
                <w:sz w:val="20"/>
                <w:szCs w:val="20"/>
              </w:rPr>
              <w:t>Administrative Advice:</w:t>
            </w:r>
          </w:p>
          <w:p w14:paraId="003F371C" w14:textId="77777777" w:rsidR="00003DCB" w:rsidRPr="00595457" w:rsidRDefault="00003DCB" w:rsidP="00003DCB">
            <w:pPr>
              <w:rPr>
                <w:rFonts w:ascii="Arial Narrow" w:hAnsi="Arial Narrow"/>
                <w:i/>
                <w:iCs/>
                <w:sz w:val="20"/>
                <w:szCs w:val="20"/>
              </w:rPr>
            </w:pPr>
            <w:r w:rsidRPr="00595457">
              <w:rPr>
                <w:rFonts w:ascii="Arial Narrow" w:hAnsi="Arial Narrow"/>
                <w:i/>
                <w:iCs/>
                <w:sz w:val="20"/>
                <w:szCs w:val="20"/>
              </w:rPr>
              <w:t>Any queries concerning the arrangements to prescribe may be directed to Services Australia on 1800 700 270 (hours of operation 8 a.m. to 5 p.m. Monday to Friday).</w:t>
            </w:r>
          </w:p>
        </w:tc>
      </w:tr>
    </w:tbl>
    <w:p w14:paraId="63313511" w14:textId="77777777" w:rsidR="00721589" w:rsidRDefault="00721589" w:rsidP="00365FCC">
      <w:pPr>
        <w:pStyle w:val="TableFigureFooter"/>
        <w:spacing w:after="0"/>
      </w:pPr>
    </w:p>
    <w:p w14:paraId="085F98F3" w14:textId="5F372FCA" w:rsidR="00337056" w:rsidRPr="00087A3C" w:rsidRDefault="00087A3C" w:rsidP="001E6F3E">
      <w:pPr>
        <w:pStyle w:val="4-SubsectionHeading"/>
        <w:spacing w:after="0"/>
      </w:pPr>
      <w:r w:rsidRPr="00087A3C">
        <w:lastRenderedPageBreak/>
        <w:t>Severe psoriatic arthritis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severe psoriatic arthiritis"/>
        <w:tblDescription w:val="Treatment phase: continuing treatment with subcutaneous form or swtiching from intravenous form to subcutaneous form&#10;&#10;Changes to restriction type, prescribing instructions and administrative advice"/>
      </w:tblPr>
      <w:tblGrid>
        <w:gridCol w:w="1271"/>
        <w:gridCol w:w="2552"/>
        <w:gridCol w:w="927"/>
        <w:gridCol w:w="812"/>
        <w:gridCol w:w="811"/>
        <w:gridCol w:w="812"/>
        <w:gridCol w:w="1831"/>
      </w:tblGrid>
      <w:tr w:rsidR="00B151AF" w:rsidRPr="005E1044" w14:paraId="0AF8F288" w14:textId="77777777" w:rsidTr="0CEE6DE9">
        <w:trPr>
          <w:cantSplit/>
          <w:trHeight w:val="20"/>
        </w:trPr>
        <w:tc>
          <w:tcPr>
            <w:tcW w:w="3823" w:type="dxa"/>
            <w:gridSpan w:val="2"/>
            <w:vAlign w:val="center"/>
          </w:tcPr>
          <w:p w14:paraId="5F39E773" w14:textId="77777777" w:rsidR="00B151AF" w:rsidRPr="00595457" w:rsidRDefault="00B151AF" w:rsidP="00302D60">
            <w:pPr>
              <w:keepLines/>
              <w:rPr>
                <w:rFonts w:ascii="Arial Narrow" w:hAnsi="Arial Narrow" w:cs="Arial"/>
                <w:b/>
                <w:bCs/>
                <w:sz w:val="20"/>
                <w:szCs w:val="20"/>
              </w:rPr>
            </w:pPr>
            <w:r w:rsidRPr="00595457">
              <w:rPr>
                <w:rFonts w:ascii="Arial Narrow" w:hAnsi="Arial Narrow" w:cs="Arial"/>
                <w:b/>
                <w:bCs/>
                <w:sz w:val="20"/>
                <w:szCs w:val="20"/>
              </w:rPr>
              <w:t>MEDICINAL PRODUCT</w:t>
            </w:r>
          </w:p>
          <w:p w14:paraId="4B7119CB" w14:textId="77777777" w:rsidR="00B151AF" w:rsidRPr="00595457" w:rsidRDefault="00B151AF" w:rsidP="00302D60">
            <w:pPr>
              <w:keepLines/>
              <w:rPr>
                <w:rFonts w:ascii="Arial Narrow" w:hAnsi="Arial Narrow" w:cs="Arial"/>
                <w:b/>
                <w:sz w:val="20"/>
                <w:szCs w:val="20"/>
              </w:rPr>
            </w:pPr>
            <w:r w:rsidRPr="00595457">
              <w:rPr>
                <w:rFonts w:ascii="Arial Narrow" w:hAnsi="Arial Narrow" w:cs="Arial"/>
                <w:b/>
                <w:bCs/>
                <w:sz w:val="20"/>
                <w:szCs w:val="20"/>
              </w:rPr>
              <w:t>medicinal product pack</w:t>
            </w:r>
          </w:p>
        </w:tc>
        <w:tc>
          <w:tcPr>
            <w:tcW w:w="927" w:type="dxa"/>
            <w:vAlign w:val="center"/>
          </w:tcPr>
          <w:p w14:paraId="4CF7539E" w14:textId="77777777" w:rsidR="00B151AF" w:rsidRPr="00595457" w:rsidRDefault="00B151AF" w:rsidP="00302D60">
            <w:pPr>
              <w:keepLines/>
              <w:jc w:val="center"/>
              <w:rPr>
                <w:rFonts w:ascii="Arial Narrow" w:hAnsi="Arial Narrow" w:cs="Arial"/>
                <w:b/>
                <w:sz w:val="20"/>
                <w:szCs w:val="20"/>
              </w:rPr>
            </w:pPr>
            <w:r w:rsidRPr="00595457">
              <w:rPr>
                <w:rFonts w:ascii="Arial Narrow" w:hAnsi="Arial Narrow" w:cs="Arial"/>
                <w:b/>
                <w:sz w:val="20"/>
                <w:szCs w:val="20"/>
              </w:rPr>
              <w:t>PBS item code</w:t>
            </w:r>
          </w:p>
        </w:tc>
        <w:tc>
          <w:tcPr>
            <w:tcW w:w="812" w:type="dxa"/>
            <w:vAlign w:val="center"/>
          </w:tcPr>
          <w:p w14:paraId="474FAA31" w14:textId="77777777" w:rsidR="00B151AF" w:rsidRPr="00595457" w:rsidRDefault="00B151AF" w:rsidP="00302D60">
            <w:pPr>
              <w:keepLines/>
              <w:jc w:val="center"/>
              <w:rPr>
                <w:rFonts w:ascii="Arial Narrow" w:hAnsi="Arial Narrow" w:cs="Arial"/>
                <w:b/>
                <w:sz w:val="20"/>
                <w:szCs w:val="20"/>
              </w:rPr>
            </w:pPr>
            <w:r w:rsidRPr="00595457">
              <w:rPr>
                <w:rFonts w:ascii="Arial Narrow" w:hAnsi="Arial Narrow" w:cs="Arial"/>
                <w:b/>
                <w:sz w:val="20"/>
                <w:szCs w:val="20"/>
              </w:rPr>
              <w:t>Max. qty packs</w:t>
            </w:r>
          </w:p>
        </w:tc>
        <w:tc>
          <w:tcPr>
            <w:tcW w:w="811" w:type="dxa"/>
            <w:vAlign w:val="center"/>
          </w:tcPr>
          <w:p w14:paraId="5640F2D1" w14:textId="77777777" w:rsidR="00B151AF" w:rsidRPr="00595457" w:rsidRDefault="00B151AF" w:rsidP="00302D60">
            <w:pPr>
              <w:keepLines/>
              <w:jc w:val="center"/>
              <w:rPr>
                <w:rFonts w:ascii="Arial Narrow" w:hAnsi="Arial Narrow" w:cs="Arial"/>
                <w:b/>
                <w:sz w:val="20"/>
                <w:szCs w:val="20"/>
              </w:rPr>
            </w:pPr>
            <w:r w:rsidRPr="00595457">
              <w:rPr>
                <w:rFonts w:ascii="Arial Narrow" w:hAnsi="Arial Narrow" w:cs="Arial"/>
                <w:b/>
                <w:sz w:val="20"/>
                <w:szCs w:val="20"/>
              </w:rPr>
              <w:t>Max. qty units</w:t>
            </w:r>
          </w:p>
        </w:tc>
        <w:tc>
          <w:tcPr>
            <w:tcW w:w="812" w:type="dxa"/>
            <w:vAlign w:val="center"/>
          </w:tcPr>
          <w:p w14:paraId="14B00DAD" w14:textId="77777777" w:rsidR="00B151AF" w:rsidRPr="00595457" w:rsidRDefault="6457C698" w:rsidP="0CEE6DE9">
            <w:pPr>
              <w:keepLines/>
              <w:jc w:val="center"/>
              <w:rPr>
                <w:rFonts w:ascii="Arial Narrow" w:hAnsi="Arial Narrow" w:cs="Arial"/>
                <w:b/>
                <w:bCs/>
                <w:sz w:val="20"/>
                <w:szCs w:val="20"/>
              </w:rPr>
            </w:pPr>
            <w:r w:rsidRPr="00595457">
              <w:rPr>
                <w:rFonts w:ascii="Arial Narrow" w:hAnsi="Arial Narrow" w:cs="Arial"/>
                <w:b/>
                <w:bCs/>
                <w:sz w:val="20"/>
                <w:szCs w:val="20"/>
              </w:rPr>
              <w:t>№.of</w:t>
            </w:r>
          </w:p>
          <w:p w14:paraId="41095FD8" w14:textId="77777777" w:rsidR="00B151AF" w:rsidRPr="00595457" w:rsidRDefault="6457C698" w:rsidP="0CEE6DE9">
            <w:pPr>
              <w:keepLines/>
              <w:jc w:val="center"/>
              <w:rPr>
                <w:rFonts w:ascii="Arial Narrow" w:hAnsi="Arial Narrow" w:cs="Arial"/>
                <w:b/>
                <w:bCs/>
                <w:sz w:val="20"/>
                <w:szCs w:val="20"/>
              </w:rPr>
            </w:pPr>
            <w:r w:rsidRPr="00595457">
              <w:rPr>
                <w:rFonts w:ascii="Arial Narrow" w:hAnsi="Arial Narrow" w:cs="Arial"/>
                <w:b/>
                <w:bCs/>
                <w:sz w:val="20"/>
                <w:szCs w:val="20"/>
              </w:rPr>
              <w:t>Rpts</w:t>
            </w:r>
          </w:p>
        </w:tc>
        <w:tc>
          <w:tcPr>
            <w:tcW w:w="1831" w:type="dxa"/>
            <w:vAlign w:val="center"/>
          </w:tcPr>
          <w:p w14:paraId="1FAEAB93" w14:textId="77777777" w:rsidR="00B151AF" w:rsidRPr="00595457" w:rsidRDefault="00B151AF" w:rsidP="00302D60">
            <w:pPr>
              <w:keepLines/>
              <w:rPr>
                <w:rFonts w:ascii="Arial Narrow" w:hAnsi="Arial Narrow" w:cs="Arial"/>
                <w:b/>
                <w:sz w:val="20"/>
                <w:szCs w:val="20"/>
                <w:lang w:val="fr-FR"/>
              </w:rPr>
            </w:pPr>
            <w:r w:rsidRPr="00595457">
              <w:rPr>
                <w:rFonts w:ascii="Arial Narrow" w:hAnsi="Arial Narrow" w:cs="Arial"/>
                <w:b/>
                <w:sz w:val="20"/>
                <w:szCs w:val="20"/>
              </w:rPr>
              <w:t>Available brands</w:t>
            </w:r>
          </w:p>
        </w:tc>
      </w:tr>
      <w:tr w:rsidR="00B151AF" w:rsidRPr="005E1044" w14:paraId="586FD190" w14:textId="77777777" w:rsidTr="0CEE6DE9">
        <w:trPr>
          <w:cantSplit/>
          <w:trHeight w:val="20"/>
        </w:trPr>
        <w:tc>
          <w:tcPr>
            <w:tcW w:w="9016" w:type="dxa"/>
            <w:gridSpan w:val="7"/>
            <w:vAlign w:val="center"/>
          </w:tcPr>
          <w:p w14:paraId="0B7D13DE" w14:textId="77777777" w:rsidR="00B151AF" w:rsidRPr="00595457" w:rsidRDefault="00B151AF" w:rsidP="00302D60">
            <w:pPr>
              <w:keepLines/>
              <w:rPr>
                <w:rFonts w:ascii="Arial Narrow" w:hAnsi="Arial Narrow" w:cs="Arial"/>
                <w:sz w:val="20"/>
                <w:szCs w:val="20"/>
              </w:rPr>
            </w:pPr>
            <w:r w:rsidRPr="00595457">
              <w:rPr>
                <w:rFonts w:ascii="Arial Narrow" w:hAnsi="Arial Narrow" w:cs="Arial"/>
                <w:sz w:val="20"/>
                <w:szCs w:val="20"/>
              </w:rPr>
              <w:t>INFLIXIMAB</w:t>
            </w:r>
          </w:p>
        </w:tc>
      </w:tr>
      <w:tr w:rsidR="00B151AF" w:rsidRPr="005E1044" w14:paraId="422F683A" w14:textId="77777777" w:rsidTr="0CEE6DE9">
        <w:trPr>
          <w:cantSplit/>
          <w:trHeight w:val="20"/>
        </w:trPr>
        <w:tc>
          <w:tcPr>
            <w:tcW w:w="3823" w:type="dxa"/>
            <w:gridSpan w:val="2"/>
            <w:vAlign w:val="center"/>
          </w:tcPr>
          <w:p w14:paraId="54C757B4" w14:textId="77777777" w:rsidR="00B151AF" w:rsidRPr="00595457" w:rsidRDefault="00B151AF" w:rsidP="00302D60">
            <w:pPr>
              <w:keepLines/>
              <w:rPr>
                <w:rFonts w:ascii="Arial Narrow" w:hAnsi="Arial Narrow" w:cs="Arial"/>
                <w:sz w:val="20"/>
                <w:szCs w:val="20"/>
              </w:rPr>
            </w:pPr>
            <w:r w:rsidRPr="00595457">
              <w:rPr>
                <w:rFonts w:ascii="Arial Narrow" w:hAnsi="Arial Narrow" w:cs="Arial"/>
                <w:sz w:val="20"/>
                <w:szCs w:val="20"/>
              </w:rPr>
              <w:t>infliximab 120 mg/mL injection, 1 mL pen device</w:t>
            </w:r>
          </w:p>
        </w:tc>
        <w:tc>
          <w:tcPr>
            <w:tcW w:w="927" w:type="dxa"/>
            <w:vAlign w:val="center"/>
          </w:tcPr>
          <w:p w14:paraId="7E7C7EC9" w14:textId="05C92DF8" w:rsidR="00B151AF" w:rsidRPr="00595457" w:rsidRDefault="00D72B80" w:rsidP="00302D60">
            <w:pPr>
              <w:keepLines/>
              <w:jc w:val="center"/>
              <w:rPr>
                <w:rFonts w:ascii="Arial Narrow" w:hAnsi="Arial Narrow" w:cs="Arial"/>
                <w:sz w:val="20"/>
                <w:szCs w:val="20"/>
              </w:rPr>
            </w:pPr>
            <w:r w:rsidRPr="00595457">
              <w:rPr>
                <w:rFonts w:ascii="Arial Narrow" w:hAnsi="Arial Narrow" w:cs="Arial"/>
                <w:sz w:val="20"/>
                <w:szCs w:val="20"/>
              </w:rPr>
              <w:t>13054C</w:t>
            </w:r>
          </w:p>
        </w:tc>
        <w:tc>
          <w:tcPr>
            <w:tcW w:w="812" w:type="dxa"/>
          </w:tcPr>
          <w:p w14:paraId="0918E287" w14:textId="77777777" w:rsidR="00B151AF" w:rsidRPr="00595457" w:rsidRDefault="00B151AF"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tcPr>
          <w:p w14:paraId="1AB7121D" w14:textId="77777777" w:rsidR="00B151AF" w:rsidRPr="00595457" w:rsidRDefault="00B151AF"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tcPr>
          <w:p w14:paraId="7C3E976E" w14:textId="77777777" w:rsidR="00B151AF" w:rsidRPr="00595457" w:rsidRDefault="00B151AF" w:rsidP="00302D60">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0844604F" w14:textId="77777777" w:rsidR="00B151AF" w:rsidRPr="00595457" w:rsidRDefault="6457C698" w:rsidP="0CEE6DE9">
            <w:pPr>
              <w:keepLines/>
              <w:rPr>
                <w:rFonts w:ascii="Arial Narrow" w:hAnsi="Arial Narrow" w:cs="Arial"/>
                <w:sz w:val="20"/>
                <w:szCs w:val="20"/>
              </w:rPr>
            </w:pPr>
            <w:r w:rsidRPr="00595457">
              <w:rPr>
                <w:rFonts w:ascii="Arial Narrow" w:hAnsi="Arial Narrow" w:cs="Arial"/>
                <w:sz w:val="20"/>
                <w:szCs w:val="20"/>
              </w:rPr>
              <w:t>Remsima SC</w:t>
            </w:r>
          </w:p>
        </w:tc>
      </w:tr>
      <w:tr w:rsidR="00B151AF" w:rsidRPr="005E1044" w14:paraId="03C69FFE" w14:textId="77777777" w:rsidTr="0CEE6DE9">
        <w:trPr>
          <w:cantSplit/>
          <w:trHeight w:val="20"/>
        </w:trPr>
        <w:tc>
          <w:tcPr>
            <w:tcW w:w="3823" w:type="dxa"/>
            <w:gridSpan w:val="2"/>
            <w:vAlign w:val="center"/>
          </w:tcPr>
          <w:p w14:paraId="2FBE5562" w14:textId="77777777" w:rsidR="00B151AF" w:rsidRPr="00595457" w:rsidRDefault="00B151AF" w:rsidP="00302D60">
            <w:pPr>
              <w:keepLines/>
              <w:rPr>
                <w:rFonts w:ascii="Arial Narrow" w:hAnsi="Arial Narrow" w:cs="Arial"/>
                <w:sz w:val="20"/>
                <w:szCs w:val="20"/>
              </w:rPr>
            </w:pPr>
            <w:r w:rsidRPr="00595457">
              <w:rPr>
                <w:rFonts w:ascii="Arial Narrow" w:hAnsi="Arial Narrow" w:cs="Arial"/>
                <w:sz w:val="20"/>
                <w:szCs w:val="20"/>
              </w:rPr>
              <w:t>infliximab 120 mg/mL injection, 1 mL syringe</w:t>
            </w:r>
          </w:p>
        </w:tc>
        <w:tc>
          <w:tcPr>
            <w:tcW w:w="927" w:type="dxa"/>
            <w:vAlign w:val="center"/>
          </w:tcPr>
          <w:p w14:paraId="33DE620D" w14:textId="0A6FCA68" w:rsidR="00B151AF" w:rsidRPr="00595457" w:rsidRDefault="00F60D76" w:rsidP="00302D60">
            <w:pPr>
              <w:keepLines/>
              <w:jc w:val="center"/>
              <w:rPr>
                <w:rFonts w:ascii="Arial Narrow" w:hAnsi="Arial Narrow" w:cs="Arial"/>
                <w:sz w:val="20"/>
                <w:szCs w:val="20"/>
              </w:rPr>
            </w:pPr>
            <w:r w:rsidRPr="00595457">
              <w:rPr>
                <w:rFonts w:ascii="Arial Narrow" w:hAnsi="Arial Narrow" w:cs="Arial"/>
                <w:sz w:val="20"/>
                <w:szCs w:val="20"/>
              </w:rPr>
              <w:t>13047Q</w:t>
            </w:r>
          </w:p>
        </w:tc>
        <w:tc>
          <w:tcPr>
            <w:tcW w:w="812" w:type="dxa"/>
            <w:vAlign w:val="center"/>
          </w:tcPr>
          <w:p w14:paraId="75645134" w14:textId="77777777" w:rsidR="00B151AF" w:rsidRPr="00595457" w:rsidRDefault="00B151AF"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vAlign w:val="center"/>
          </w:tcPr>
          <w:p w14:paraId="248C38D8" w14:textId="77777777" w:rsidR="00B151AF" w:rsidRPr="00595457" w:rsidRDefault="00B151AF"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vAlign w:val="center"/>
          </w:tcPr>
          <w:p w14:paraId="326D812C" w14:textId="77777777" w:rsidR="00B151AF" w:rsidRPr="00595457" w:rsidRDefault="00B151AF" w:rsidP="00302D60">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2E01527F" w14:textId="77777777" w:rsidR="00B151AF" w:rsidRPr="00595457" w:rsidRDefault="6457C698" w:rsidP="0CEE6DE9">
            <w:pPr>
              <w:keepLines/>
              <w:rPr>
                <w:rFonts w:ascii="Arial Narrow" w:hAnsi="Arial Narrow" w:cs="Arial"/>
                <w:sz w:val="20"/>
                <w:szCs w:val="20"/>
              </w:rPr>
            </w:pPr>
            <w:r w:rsidRPr="00595457">
              <w:rPr>
                <w:rFonts w:ascii="Arial Narrow" w:hAnsi="Arial Narrow" w:cs="Arial"/>
                <w:sz w:val="20"/>
                <w:szCs w:val="20"/>
              </w:rPr>
              <w:t>Remsima SC</w:t>
            </w:r>
          </w:p>
        </w:tc>
      </w:tr>
      <w:tr w:rsidR="00B151AF" w:rsidRPr="005E1044" w14:paraId="3F4CF7A8"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5F47C2E" w14:textId="77777777" w:rsidR="00B151AF" w:rsidRPr="00595457" w:rsidRDefault="00B151AF" w:rsidP="00302D60">
            <w:pPr>
              <w:rPr>
                <w:rFonts w:ascii="Arial Narrow" w:hAnsi="Arial Narrow" w:cs="Arial"/>
                <w:sz w:val="20"/>
                <w:szCs w:val="20"/>
              </w:rPr>
            </w:pPr>
          </w:p>
        </w:tc>
      </w:tr>
      <w:tr w:rsidR="00B151AF" w:rsidRPr="005E1044" w14:paraId="6C7490A1"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6C5C71E" w14:textId="75D64992" w:rsidR="00B151AF" w:rsidRPr="00595457" w:rsidRDefault="00B151AF" w:rsidP="00302D60">
            <w:pPr>
              <w:keepLines/>
              <w:rPr>
                <w:rFonts w:ascii="Arial Narrow" w:hAnsi="Arial Narrow" w:cs="Arial"/>
                <w:b/>
                <w:sz w:val="20"/>
                <w:szCs w:val="20"/>
              </w:rPr>
            </w:pPr>
            <w:r w:rsidRPr="00595457">
              <w:rPr>
                <w:rFonts w:ascii="Arial Narrow" w:hAnsi="Arial Narrow"/>
                <w:b/>
                <w:sz w:val="20"/>
                <w:szCs w:val="20"/>
              </w:rPr>
              <w:t xml:space="preserve">Restriction Summary / Treatment of Concept: </w:t>
            </w:r>
          </w:p>
        </w:tc>
      </w:tr>
      <w:tr w:rsidR="00B151AF" w:rsidRPr="005E1044" w14:paraId="1C261276" w14:textId="77777777" w:rsidTr="0CEE6DE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EDD5C4F" w14:textId="50EAF146" w:rsidR="00B151AF" w:rsidRPr="00595457" w:rsidRDefault="00B151AF" w:rsidP="00302D60">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D2B2B3A" w14:textId="77777777" w:rsidR="00B151AF" w:rsidRPr="00595457" w:rsidRDefault="00B151AF" w:rsidP="00302D60">
            <w:pPr>
              <w:keepLines/>
              <w:rPr>
                <w:rFonts w:ascii="Arial Narrow" w:hAnsi="Arial Narrow" w:cs="Arial"/>
                <w:sz w:val="20"/>
                <w:szCs w:val="20"/>
              </w:rPr>
            </w:pPr>
            <w:r w:rsidRPr="00595457">
              <w:rPr>
                <w:rFonts w:ascii="Arial Narrow" w:hAnsi="Arial Narrow" w:cs="Arial"/>
                <w:b/>
                <w:sz w:val="20"/>
                <w:szCs w:val="20"/>
              </w:rPr>
              <w:t>Category / Program:</w:t>
            </w:r>
            <w:r w:rsidRPr="00595457">
              <w:rPr>
                <w:rFonts w:ascii="Arial Narrow" w:hAnsi="Arial Narrow" w:cs="Arial"/>
                <w:color w:val="FF0000"/>
                <w:sz w:val="20"/>
                <w:szCs w:val="20"/>
              </w:rPr>
              <w:t xml:space="preserve"> </w:t>
            </w:r>
            <w:r w:rsidRPr="00595457">
              <w:rPr>
                <w:rFonts w:ascii="Arial Narrow" w:eastAsia="Calibri" w:hAnsi="Arial Narrow" w:cs="Arial"/>
                <w:sz w:val="20"/>
                <w:szCs w:val="20"/>
              </w:rPr>
              <w:t xml:space="preserve">GENERAL - General Schedule (Code GE) </w:t>
            </w:r>
          </w:p>
        </w:tc>
      </w:tr>
      <w:tr w:rsidR="00B151AF" w:rsidRPr="005E1044" w14:paraId="226705B0"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7B9EE9CB" w14:textId="77777777" w:rsidR="00B151AF" w:rsidRPr="00595457" w:rsidRDefault="00B151AF"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A7C020A" w14:textId="77777777" w:rsidR="00B151AF" w:rsidRPr="00595457" w:rsidRDefault="00B151AF" w:rsidP="00302D60">
            <w:pPr>
              <w:keepLines/>
              <w:rPr>
                <w:rFonts w:ascii="Arial Narrow" w:hAnsi="Arial Narrow" w:cs="Arial"/>
                <w:b/>
                <w:sz w:val="20"/>
                <w:szCs w:val="20"/>
              </w:rPr>
            </w:pPr>
            <w:r w:rsidRPr="00595457">
              <w:rPr>
                <w:rFonts w:ascii="Arial Narrow" w:hAnsi="Arial Narrow" w:cs="Arial"/>
                <w:b/>
                <w:sz w:val="20"/>
                <w:szCs w:val="20"/>
              </w:rPr>
              <w:t xml:space="preserve">Prescriber type: </w:t>
            </w:r>
            <w:r w:rsidRPr="00595457">
              <w:rPr>
                <w:rFonts w:ascii="Arial Narrow" w:hAnsi="Arial Narrow" w:cs="Arial"/>
                <w:sz w:val="20"/>
                <w:szCs w:val="20"/>
              </w:rPr>
              <w:fldChar w:fldCharType="begin" w:fldLock="1">
                <w:ffData>
                  <w:name w:val=""/>
                  <w:enabled/>
                  <w:calcOnExit w:val="0"/>
                  <w:checkBox>
                    <w:sizeAuto/>
                    <w:default w:val="1"/>
                  </w:checkBox>
                </w:ffData>
              </w:fldChar>
            </w:r>
            <w:r w:rsidRPr="00595457">
              <w:rPr>
                <w:rFonts w:ascii="Arial Narrow" w:hAnsi="Arial Narrow" w:cs="Arial"/>
                <w:sz w:val="20"/>
                <w:szCs w:val="20"/>
              </w:rPr>
              <w:instrText xml:space="preserve"> FORMCHECKBOX </w:instrText>
            </w:r>
            <w:r w:rsidRPr="00595457">
              <w:rPr>
                <w:rFonts w:ascii="Arial Narrow" w:hAnsi="Arial Narrow" w:cs="Arial"/>
                <w:sz w:val="20"/>
                <w:szCs w:val="20"/>
              </w:rPr>
            </w:r>
            <w:r w:rsidRPr="00595457">
              <w:rPr>
                <w:rFonts w:ascii="Arial Narrow" w:hAnsi="Arial Narrow" w:cs="Arial"/>
                <w:sz w:val="20"/>
                <w:szCs w:val="20"/>
              </w:rPr>
              <w:fldChar w:fldCharType="separate"/>
            </w:r>
            <w:r w:rsidRPr="00595457">
              <w:rPr>
                <w:rFonts w:ascii="Arial Narrow" w:hAnsi="Arial Narrow" w:cs="Arial"/>
                <w:sz w:val="20"/>
                <w:szCs w:val="20"/>
              </w:rPr>
              <w:fldChar w:fldCharType="end"/>
            </w:r>
            <w:r w:rsidRPr="00595457">
              <w:rPr>
                <w:rFonts w:ascii="Arial Narrow" w:hAnsi="Arial Narrow" w:cs="Arial"/>
                <w:sz w:val="20"/>
                <w:szCs w:val="20"/>
              </w:rPr>
              <w:t xml:space="preserve">Medical Practitioners </w:t>
            </w:r>
          </w:p>
        </w:tc>
      </w:tr>
      <w:tr w:rsidR="00B151AF" w:rsidRPr="005E1044" w14:paraId="6F561796"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6551F26C" w14:textId="77777777" w:rsidR="00B151AF" w:rsidRPr="00595457" w:rsidRDefault="00B151AF"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3CE1000" w14:textId="77777777" w:rsidR="00B151AF" w:rsidRPr="00595457" w:rsidRDefault="00B151AF" w:rsidP="00302D60">
            <w:pPr>
              <w:keepLines/>
              <w:rPr>
                <w:rFonts w:ascii="Arial Narrow" w:hAnsi="Arial Narrow" w:cs="Arial"/>
                <w:b/>
                <w:sz w:val="20"/>
                <w:szCs w:val="20"/>
              </w:rPr>
            </w:pPr>
            <w:r w:rsidRPr="00595457">
              <w:rPr>
                <w:rFonts w:ascii="Arial Narrow" w:hAnsi="Arial Narrow" w:cs="Arial"/>
                <w:b/>
                <w:sz w:val="20"/>
                <w:szCs w:val="20"/>
              </w:rPr>
              <w:t xml:space="preserve">Restriction type: </w:t>
            </w:r>
          </w:p>
          <w:p w14:paraId="63487FA7" w14:textId="77777777" w:rsidR="00B151AF" w:rsidRPr="00595457" w:rsidRDefault="00B151AF" w:rsidP="00302D60">
            <w:pPr>
              <w:keepLines/>
              <w:jc w:val="left"/>
              <w:rPr>
                <w:rFonts w:ascii="Arial Narrow" w:eastAsia="Calibri" w:hAnsi="Arial Narrow" w:cs="Arial"/>
                <w:color w:val="FF0000"/>
                <w:sz w:val="20"/>
                <w:szCs w:val="20"/>
              </w:rPr>
            </w:pPr>
            <w:r w:rsidRPr="00595457">
              <w:rPr>
                <w:rFonts w:ascii="Arial Narrow" w:eastAsia="Calibri" w:hAnsi="Arial Narrow" w:cs="Arial"/>
                <w:sz w:val="20"/>
                <w:szCs w:val="20"/>
              </w:rPr>
              <w:fldChar w:fldCharType="begin" w:fldLock="1">
                <w:ffData>
                  <w:name w:val=""/>
                  <w:enabled/>
                  <w:calcOnExit w:val="0"/>
                  <w:checkBox>
                    <w:sizeAuto/>
                    <w:default w:val="1"/>
                  </w:checkBox>
                </w:ffData>
              </w:fldChar>
            </w:r>
            <w:r w:rsidRPr="00595457">
              <w:rPr>
                <w:rFonts w:ascii="Arial Narrow" w:eastAsia="Calibri" w:hAnsi="Arial Narrow" w:cs="Arial"/>
                <w:sz w:val="20"/>
                <w:szCs w:val="20"/>
              </w:rPr>
              <w:instrText xml:space="preserve"> FORMCHECKBOX </w:instrText>
            </w:r>
            <w:r w:rsidRPr="00595457">
              <w:rPr>
                <w:rFonts w:ascii="Arial Narrow" w:eastAsia="Calibri" w:hAnsi="Arial Narrow" w:cs="Arial"/>
                <w:sz w:val="20"/>
                <w:szCs w:val="20"/>
              </w:rPr>
            </w:r>
            <w:r w:rsidRPr="00595457">
              <w:rPr>
                <w:rFonts w:ascii="Arial Narrow" w:eastAsia="Calibri" w:hAnsi="Arial Narrow" w:cs="Arial"/>
                <w:sz w:val="20"/>
                <w:szCs w:val="20"/>
              </w:rPr>
              <w:fldChar w:fldCharType="separate"/>
            </w:r>
            <w:r w:rsidRPr="00595457">
              <w:rPr>
                <w:rFonts w:ascii="Arial Narrow" w:eastAsia="Calibri" w:hAnsi="Arial Narrow" w:cs="Arial"/>
                <w:sz w:val="20"/>
                <w:szCs w:val="20"/>
              </w:rPr>
              <w:fldChar w:fldCharType="end"/>
            </w:r>
            <w:r w:rsidRPr="00595457">
              <w:rPr>
                <w:rFonts w:ascii="Arial Narrow" w:eastAsia="Calibri" w:hAnsi="Arial Narrow" w:cs="Arial"/>
                <w:i/>
                <w:iCs/>
                <w:sz w:val="20"/>
                <w:szCs w:val="20"/>
              </w:rPr>
              <w:t>Authority Required (Streamlined)</w:t>
            </w:r>
            <w:r w:rsidRPr="00595457">
              <w:rPr>
                <w:rFonts w:ascii="Arial Narrow" w:eastAsia="Calibri" w:hAnsi="Arial Narrow" w:cs="Arial"/>
                <w:sz w:val="20"/>
                <w:szCs w:val="20"/>
              </w:rPr>
              <w:t xml:space="preserve"> </w:t>
            </w:r>
            <w:r w:rsidRPr="00595457">
              <w:rPr>
                <w:rFonts w:ascii="Arial Narrow" w:eastAsia="Calibri" w:hAnsi="Arial Narrow" w:cs="Arial"/>
                <w:color w:val="FF0000"/>
                <w:sz w:val="20"/>
                <w:szCs w:val="20"/>
              </w:rPr>
              <w:br/>
            </w:r>
            <w:r w:rsidRPr="00595457">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595457">
              <w:rPr>
                <w:rFonts w:ascii="Arial Narrow" w:eastAsia="Calibri" w:hAnsi="Arial Narrow" w:cs="Arial"/>
                <w:strike/>
                <w:sz w:val="20"/>
                <w:szCs w:val="20"/>
              </w:rPr>
              <w:instrText xml:space="preserve"> FORMCHECKBOX </w:instrText>
            </w:r>
            <w:r w:rsidRPr="00595457">
              <w:rPr>
                <w:rFonts w:ascii="Arial Narrow" w:eastAsia="Calibri" w:hAnsi="Arial Narrow" w:cs="Arial"/>
                <w:strike/>
                <w:sz w:val="20"/>
                <w:szCs w:val="20"/>
              </w:rPr>
            </w:r>
            <w:r w:rsidRPr="00595457">
              <w:rPr>
                <w:rFonts w:ascii="Arial Narrow" w:eastAsia="Calibri" w:hAnsi="Arial Narrow" w:cs="Arial"/>
                <w:strike/>
                <w:sz w:val="20"/>
                <w:szCs w:val="20"/>
              </w:rPr>
              <w:fldChar w:fldCharType="separate"/>
            </w:r>
            <w:r w:rsidRPr="00595457">
              <w:rPr>
                <w:rFonts w:ascii="Arial Narrow" w:eastAsia="Calibri" w:hAnsi="Arial Narrow" w:cs="Arial"/>
                <w:strike/>
                <w:sz w:val="20"/>
                <w:szCs w:val="20"/>
              </w:rPr>
              <w:fldChar w:fldCharType="end"/>
            </w:r>
            <w:r w:rsidRPr="00595457">
              <w:rPr>
                <w:rFonts w:ascii="Arial Narrow" w:eastAsia="Calibri" w:hAnsi="Arial Narrow" w:cs="Arial"/>
                <w:strike/>
                <w:sz w:val="20"/>
                <w:szCs w:val="20"/>
              </w:rPr>
              <w:t xml:space="preserve">Authority Required (in writing only via post/HPOS upload) </w:t>
            </w:r>
          </w:p>
        </w:tc>
      </w:tr>
      <w:tr w:rsidR="00B151AF" w:rsidRPr="005E1044" w14:paraId="25A89339" w14:textId="77777777" w:rsidTr="00365FCC">
        <w:tblPrEx>
          <w:tblCellMar>
            <w:top w:w="15" w:type="dxa"/>
            <w:bottom w:w="15" w:type="dxa"/>
          </w:tblCellMar>
        </w:tblPrEx>
        <w:trPr>
          <w:cantSplit/>
          <w:trHeight w:val="20"/>
        </w:trPr>
        <w:tc>
          <w:tcPr>
            <w:tcW w:w="1271" w:type="dxa"/>
            <w:vAlign w:val="center"/>
          </w:tcPr>
          <w:p w14:paraId="54D3C13D" w14:textId="6036D834" w:rsidR="00B151AF" w:rsidRPr="00595457" w:rsidRDefault="00B151AF" w:rsidP="00302D60">
            <w:pPr>
              <w:keepLines/>
              <w:jc w:val="center"/>
              <w:rPr>
                <w:rFonts w:ascii="Arial Narrow" w:hAnsi="Arial Narrow"/>
                <w:sz w:val="20"/>
                <w:szCs w:val="20"/>
              </w:rPr>
            </w:pPr>
          </w:p>
        </w:tc>
        <w:tc>
          <w:tcPr>
            <w:tcW w:w="7745" w:type="dxa"/>
            <w:gridSpan w:val="6"/>
            <w:vAlign w:val="center"/>
            <w:hideMark/>
          </w:tcPr>
          <w:p w14:paraId="5AA922CA" w14:textId="23797256" w:rsidR="00B151AF" w:rsidRPr="00595457" w:rsidRDefault="00B151AF" w:rsidP="00302D60">
            <w:pPr>
              <w:keepLines/>
              <w:rPr>
                <w:rFonts w:ascii="Arial Narrow" w:hAnsi="Arial Narrow"/>
                <w:color w:val="333333"/>
                <w:sz w:val="20"/>
                <w:szCs w:val="20"/>
              </w:rPr>
            </w:pPr>
            <w:r w:rsidRPr="00595457">
              <w:rPr>
                <w:rFonts w:ascii="Arial Narrow" w:hAnsi="Arial Narrow"/>
                <w:b/>
                <w:bCs/>
                <w:sz w:val="20"/>
                <w:szCs w:val="20"/>
              </w:rPr>
              <w:t>Indication:</w:t>
            </w:r>
            <w:r w:rsidRPr="00595457">
              <w:rPr>
                <w:rFonts w:ascii="Arial Narrow" w:hAnsi="Arial Narrow"/>
                <w:sz w:val="20"/>
                <w:szCs w:val="20"/>
              </w:rPr>
              <w:t xml:space="preserve"> </w:t>
            </w:r>
            <w:r w:rsidR="00862BC7" w:rsidRPr="00595457">
              <w:rPr>
                <w:rFonts w:ascii="Arial Narrow" w:hAnsi="Arial Narrow"/>
                <w:sz w:val="20"/>
                <w:szCs w:val="20"/>
              </w:rPr>
              <w:t>Severe psoriatic arthritis</w:t>
            </w:r>
          </w:p>
        </w:tc>
      </w:tr>
      <w:tr w:rsidR="00B151AF" w:rsidRPr="005E1044" w14:paraId="3F97D813" w14:textId="77777777" w:rsidTr="00365FCC">
        <w:tblPrEx>
          <w:tblCellMar>
            <w:top w:w="15" w:type="dxa"/>
            <w:bottom w:w="15" w:type="dxa"/>
          </w:tblCellMar>
        </w:tblPrEx>
        <w:trPr>
          <w:cantSplit/>
          <w:trHeight w:val="20"/>
        </w:trPr>
        <w:tc>
          <w:tcPr>
            <w:tcW w:w="1271" w:type="dxa"/>
            <w:vAlign w:val="center"/>
          </w:tcPr>
          <w:p w14:paraId="4F24C481" w14:textId="77777777" w:rsidR="00B151AF" w:rsidRPr="00595457" w:rsidRDefault="00B151AF" w:rsidP="00302D60">
            <w:pPr>
              <w:jc w:val="center"/>
              <w:rPr>
                <w:rFonts w:ascii="Arial Narrow" w:hAnsi="Arial Narrow"/>
                <w:sz w:val="20"/>
                <w:szCs w:val="20"/>
              </w:rPr>
            </w:pPr>
          </w:p>
        </w:tc>
        <w:tc>
          <w:tcPr>
            <w:tcW w:w="7745" w:type="dxa"/>
            <w:gridSpan w:val="6"/>
            <w:vAlign w:val="center"/>
            <w:hideMark/>
          </w:tcPr>
          <w:p w14:paraId="509357B0" w14:textId="77777777" w:rsidR="00B151AF" w:rsidRPr="00595457" w:rsidRDefault="00B151AF" w:rsidP="00302D60">
            <w:pPr>
              <w:rPr>
                <w:rFonts w:ascii="Arial Narrow" w:hAnsi="Arial Narrow"/>
                <w:sz w:val="20"/>
                <w:szCs w:val="20"/>
              </w:rPr>
            </w:pPr>
            <w:r w:rsidRPr="00595457">
              <w:rPr>
                <w:rFonts w:ascii="Arial Narrow" w:hAnsi="Arial Narrow"/>
                <w:b/>
                <w:bCs/>
                <w:sz w:val="20"/>
                <w:szCs w:val="20"/>
              </w:rPr>
              <w:t>Treatment Phase:</w:t>
            </w:r>
            <w:r w:rsidRPr="00595457">
              <w:rPr>
                <w:rFonts w:ascii="Arial Narrow" w:hAnsi="Arial Narrow"/>
                <w:sz w:val="20"/>
                <w:szCs w:val="20"/>
              </w:rPr>
              <w:t xml:space="preserve"> Continuing treatment with subcutaneous form or switching from intravenous form to subcutaneous form</w:t>
            </w:r>
          </w:p>
        </w:tc>
      </w:tr>
      <w:tr w:rsidR="000757C9" w:rsidRPr="005E1044" w14:paraId="02159736"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711DC35" w14:textId="22817027" w:rsidR="000757C9" w:rsidRPr="00595457" w:rsidRDefault="000757C9" w:rsidP="000757C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398318" w14:textId="77777777" w:rsidR="000757C9" w:rsidRPr="00595457" w:rsidRDefault="000757C9" w:rsidP="000757C9">
            <w:pPr>
              <w:rPr>
                <w:rFonts w:ascii="Arial Narrow" w:hAnsi="Arial Narrow"/>
                <w:b/>
                <w:bCs/>
                <w:strike/>
                <w:sz w:val="20"/>
                <w:szCs w:val="20"/>
              </w:rPr>
            </w:pPr>
            <w:r w:rsidRPr="00595457">
              <w:rPr>
                <w:rFonts w:ascii="Arial Narrow" w:hAnsi="Arial Narrow"/>
                <w:b/>
                <w:bCs/>
                <w:strike/>
                <w:sz w:val="20"/>
                <w:szCs w:val="20"/>
              </w:rPr>
              <w:t>Prescribing Instructions:</w:t>
            </w:r>
          </w:p>
          <w:p w14:paraId="6066FF24" w14:textId="77777777" w:rsidR="000757C9" w:rsidRPr="00595457" w:rsidRDefault="000757C9" w:rsidP="000757C9">
            <w:pPr>
              <w:rPr>
                <w:rFonts w:ascii="Arial Narrow" w:hAnsi="Arial Narrow"/>
                <w:strike/>
                <w:sz w:val="20"/>
                <w:szCs w:val="20"/>
              </w:rPr>
            </w:pPr>
            <w:r w:rsidRPr="00595457">
              <w:rPr>
                <w:rFonts w:ascii="Arial Narrow" w:hAnsi="Arial Narrow"/>
                <w:strike/>
                <w:sz w:val="20"/>
                <w:szCs w:val="20"/>
              </w:rPr>
              <w:t>The authority application must be made in writing and must include:</w:t>
            </w:r>
          </w:p>
          <w:p w14:paraId="6A56F698" w14:textId="77777777" w:rsidR="000757C9" w:rsidRPr="00595457" w:rsidRDefault="000757C9" w:rsidP="000757C9">
            <w:pPr>
              <w:rPr>
                <w:rFonts w:ascii="Arial Narrow" w:hAnsi="Arial Narrow"/>
                <w:strike/>
                <w:sz w:val="20"/>
                <w:szCs w:val="20"/>
              </w:rPr>
            </w:pPr>
            <w:r w:rsidRPr="00595457">
              <w:rPr>
                <w:rFonts w:ascii="Arial Narrow" w:hAnsi="Arial Narrow"/>
                <w:strike/>
                <w:sz w:val="20"/>
                <w:szCs w:val="20"/>
              </w:rPr>
              <w:t>(1) a completed authority prescription form; and</w:t>
            </w:r>
          </w:p>
          <w:p w14:paraId="253F225A" w14:textId="77777777" w:rsidR="000757C9" w:rsidRPr="00595457" w:rsidRDefault="5F6C0ADC" w:rsidP="0CEE6DE9">
            <w:pPr>
              <w:rPr>
                <w:rFonts w:ascii="Arial Narrow" w:hAnsi="Arial Narrow"/>
                <w:strike/>
                <w:sz w:val="20"/>
                <w:szCs w:val="20"/>
              </w:rPr>
            </w:pPr>
            <w:r w:rsidRPr="00595457">
              <w:rPr>
                <w:rFonts w:ascii="Arial Narrow" w:hAnsi="Arial Narrow"/>
                <w:strike/>
                <w:sz w:val="20"/>
                <w:szCs w:val="20"/>
              </w:rPr>
              <w:t>(2) a completed authority application form relevant to the indication and treatment phase (the latest version is located on the website specified in the Administrative Advice).</w:t>
            </w:r>
          </w:p>
        </w:tc>
      </w:tr>
      <w:tr w:rsidR="000757C9" w:rsidRPr="005E1044" w14:paraId="571470B6"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156B528" w14:textId="09C0CF73" w:rsidR="000757C9" w:rsidRPr="00595457" w:rsidRDefault="000757C9" w:rsidP="000757C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707E66" w14:textId="77777777" w:rsidR="000757C9" w:rsidRPr="00595457" w:rsidRDefault="000757C9" w:rsidP="000757C9">
            <w:pPr>
              <w:rPr>
                <w:rFonts w:ascii="Arial Narrow" w:hAnsi="Arial Narrow"/>
                <w:b/>
                <w:bCs/>
                <w:sz w:val="20"/>
                <w:szCs w:val="20"/>
              </w:rPr>
            </w:pPr>
            <w:r w:rsidRPr="00595457">
              <w:rPr>
                <w:rFonts w:ascii="Arial Narrow" w:hAnsi="Arial Narrow"/>
                <w:b/>
                <w:bCs/>
                <w:sz w:val="20"/>
                <w:szCs w:val="20"/>
              </w:rPr>
              <w:t>Prescribing Instructions:</w:t>
            </w:r>
          </w:p>
          <w:p w14:paraId="64ADE8BE" w14:textId="77777777" w:rsidR="000757C9" w:rsidRPr="00595457" w:rsidRDefault="000757C9" w:rsidP="000757C9">
            <w:pPr>
              <w:rPr>
                <w:rFonts w:ascii="Arial Narrow" w:hAnsi="Arial Narrow"/>
                <w:sz w:val="20"/>
                <w:szCs w:val="20"/>
              </w:rPr>
            </w:pPr>
            <w:r w:rsidRPr="00595457">
              <w:rPr>
                <w:rFonts w:ascii="Arial Narrow" w:hAnsi="Arial Narrow"/>
                <w:sz w:val="20"/>
                <w:szCs w:val="20"/>
              </w:rPr>
              <w:t>An adequate response to treatment is defined as:</w:t>
            </w:r>
          </w:p>
          <w:p w14:paraId="7EC6AB1E" w14:textId="77777777" w:rsidR="000757C9" w:rsidRPr="00595457" w:rsidRDefault="000757C9" w:rsidP="000757C9">
            <w:pPr>
              <w:rPr>
                <w:rFonts w:ascii="Arial Narrow" w:hAnsi="Arial Narrow"/>
                <w:sz w:val="20"/>
                <w:szCs w:val="20"/>
              </w:rPr>
            </w:pPr>
            <w:r w:rsidRPr="00595457">
              <w:rPr>
                <w:rFonts w:ascii="Arial Narrow" w:hAnsi="Arial Narrow"/>
                <w:sz w:val="20"/>
                <w:szCs w:val="20"/>
              </w:rPr>
              <w:t>an erythrocyte sedimentation rate (ESR) no greater than 25 mm per hour or a C-reactive protein (CRP) level no greater than 15 mg per L or either marker reduced by at least 20% from baseline; and</w:t>
            </w:r>
          </w:p>
          <w:p w14:paraId="269FA5E5" w14:textId="77777777" w:rsidR="000757C9" w:rsidRPr="00595457" w:rsidRDefault="000757C9" w:rsidP="000757C9">
            <w:pPr>
              <w:rPr>
                <w:rFonts w:ascii="Arial Narrow" w:hAnsi="Arial Narrow"/>
                <w:sz w:val="20"/>
                <w:szCs w:val="20"/>
              </w:rPr>
            </w:pPr>
            <w:r w:rsidRPr="00595457">
              <w:rPr>
                <w:rFonts w:ascii="Arial Narrow" w:hAnsi="Arial Narrow"/>
                <w:sz w:val="20"/>
                <w:szCs w:val="20"/>
              </w:rPr>
              <w:t>either of the following:</w:t>
            </w:r>
          </w:p>
          <w:p w14:paraId="55AC0FBE" w14:textId="77777777" w:rsidR="000757C9" w:rsidRPr="00595457" w:rsidRDefault="000757C9" w:rsidP="000757C9">
            <w:pPr>
              <w:rPr>
                <w:rFonts w:ascii="Arial Narrow" w:hAnsi="Arial Narrow"/>
                <w:sz w:val="20"/>
                <w:szCs w:val="20"/>
              </w:rPr>
            </w:pPr>
            <w:r w:rsidRPr="00595457">
              <w:rPr>
                <w:rFonts w:ascii="Arial Narrow" w:hAnsi="Arial Narrow"/>
                <w:sz w:val="20"/>
                <w:szCs w:val="20"/>
              </w:rPr>
              <w:t>(a) a reduction in the total active (swollen and tender) joint count by at least 50% from baseline, where baseline is at least 20 active joints; or</w:t>
            </w:r>
          </w:p>
          <w:p w14:paraId="44E4C5CA" w14:textId="77777777" w:rsidR="000757C9" w:rsidRPr="00595457" w:rsidRDefault="000757C9" w:rsidP="000757C9">
            <w:pPr>
              <w:rPr>
                <w:rFonts w:ascii="Arial Narrow" w:hAnsi="Arial Narrow"/>
                <w:sz w:val="20"/>
                <w:szCs w:val="20"/>
              </w:rPr>
            </w:pPr>
            <w:r w:rsidRPr="00595457">
              <w:rPr>
                <w:rFonts w:ascii="Arial Narrow" w:hAnsi="Arial Narrow"/>
                <w:sz w:val="20"/>
                <w:szCs w:val="20"/>
              </w:rPr>
              <w:t>(b) a reduction in the number of the following major active joints, from at least 4, by at least 50%:</w:t>
            </w:r>
          </w:p>
          <w:p w14:paraId="1784A117" w14:textId="77777777" w:rsidR="000757C9" w:rsidRPr="00595457" w:rsidRDefault="5F6C0ADC" w:rsidP="0CEE6DE9">
            <w:pPr>
              <w:rPr>
                <w:rFonts w:ascii="Arial Narrow" w:hAnsi="Arial Narrow"/>
                <w:sz w:val="20"/>
                <w:szCs w:val="20"/>
              </w:rPr>
            </w:pPr>
            <w:r w:rsidRPr="00595457">
              <w:rPr>
                <w:rFonts w:ascii="Arial Narrow" w:hAnsi="Arial Narrow"/>
                <w:sz w:val="20"/>
                <w:szCs w:val="20"/>
              </w:rPr>
              <w:t>(</w:t>
            </w:r>
            <w:proofErr w:type="spellStart"/>
            <w:r w:rsidRPr="00595457">
              <w:rPr>
                <w:rFonts w:ascii="Arial Narrow" w:hAnsi="Arial Narrow"/>
                <w:sz w:val="20"/>
                <w:szCs w:val="20"/>
              </w:rPr>
              <w:t>i</w:t>
            </w:r>
            <w:proofErr w:type="spellEnd"/>
            <w:r w:rsidRPr="00595457">
              <w:rPr>
                <w:rFonts w:ascii="Arial Narrow" w:hAnsi="Arial Narrow"/>
                <w:sz w:val="20"/>
                <w:szCs w:val="20"/>
              </w:rPr>
              <w:t>) elbow, wrist, knee and/or ankle (assessed as swollen and tender); and/or</w:t>
            </w:r>
          </w:p>
          <w:p w14:paraId="5624A680" w14:textId="77777777" w:rsidR="000757C9" w:rsidRPr="00595457" w:rsidRDefault="000757C9" w:rsidP="000757C9">
            <w:pPr>
              <w:rPr>
                <w:rFonts w:ascii="Arial Narrow" w:hAnsi="Arial Narrow"/>
                <w:sz w:val="20"/>
                <w:szCs w:val="20"/>
              </w:rPr>
            </w:pPr>
            <w:r w:rsidRPr="00595457">
              <w:rPr>
                <w:rFonts w:ascii="Arial Narrow" w:hAnsi="Arial Narrow"/>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0757C9" w:rsidRPr="005E1044" w14:paraId="2233EE9D"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634EBC1" w14:textId="44E31E5B" w:rsidR="000757C9" w:rsidRPr="00595457" w:rsidRDefault="000757C9" w:rsidP="000757C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452BB1" w14:textId="77777777" w:rsidR="000757C9" w:rsidRPr="00595457" w:rsidRDefault="000757C9" w:rsidP="000757C9">
            <w:pPr>
              <w:rPr>
                <w:rFonts w:ascii="Arial Narrow" w:hAnsi="Arial Narrow"/>
                <w:b/>
                <w:bCs/>
                <w:sz w:val="20"/>
                <w:szCs w:val="20"/>
              </w:rPr>
            </w:pPr>
            <w:r w:rsidRPr="00595457">
              <w:rPr>
                <w:rFonts w:ascii="Arial Narrow" w:hAnsi="Arial Narrow"/>
                <w:b/>
                <w:bCs/>
                <w:sz w:val="20"/>
                <w:szCs w:val="20"/>
              </w:rPr>
              <w:t>Prescribing Instructions:</w:t>
            </w:r>
          </w:p>
          <w:p w14:paraId="33AA2AAD" w14:textId="77777777" w:rsidR="000757C9" w:rsidRPr="00595457" w:rsidRDefault="5F6C0ADC" w:rsidP="0CEE6DE9">
            <w:pPr>
              <w:rPr>
                <w:rFonts w:ascii="Arial Narrow" w:hAnsi="Arial Narrow"/>
                <w:sz w:val="20"/>
                <w:szCs w:val="20"/>
              </w:rPr>
            </w:pPr>
            <w:r w:rsidRPr="00595457">
              <w:rPr>
                <w:rFonts w:ascii="Arial Narrow" w:hAnsi="Arial Narrow"/>
                <w:sz w:val="20"/>
                <w:szCs w:val="20"/>
              </w:rPr>
              <w:t>The same indices of disease severity used to establish baseline at the commencement of treatment with each initial treatment application must be used to determine response for all subsequent continuing treatments.</w:t>
            </w:r>
          </w:p>
        </w:tc>
      </w:tr>
      <w:tr w:rsidR="001B37E5" w:rsidRPr="005E1044" w14:paraId="5B78773A"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3B611B8" w14:textId="58107002" w:rsidR="001B37E5" w:rsidRPr="00595457" w:rsidRDefault="001B37E5" w:rsidP="001B37E5">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D281C7" w14:textId="77777777" w:rsidR="001B37E5" w:rsidRPr="00595457" w:rsidRDefault="001B37E5" w:rsidP="001B37E5">
            <w:pPr>
              <w:rPr>
                <w:rFonts w:ascii="Arial Narrow" w:hAnsi="Arial Narrow"/>
                <w:b/>
                <w:bCs/>
                <w:i/>
                <w:iCs/>
                <w:sz w:val="20"/>
                <w:szCs w:val="20"/>
              </w:rPr>
            </w:pPr>
            <w:r w:rsidRPr="00595457">
              <w:rPr>
                <w:rFonts w:ascii="Arial Narrow" w:hAnsi="Arial Narrow"/>
                <w:b/>
                <w:bCs/>
                <w:i/>
                <w:iCs/>
                <w:sz w:val="20"/>
                <w:szCs w:val="20"/>
              </w:rPr>
              <w:t>Prescribing Instructions:</w:t>
            </w:r>
          </w:p>
          <w:p w14:paraId="28C9A981" w14:textId="77777777" w:rsidR="001B37E5" w:rsidRPr="00595457" w:rsidRDefault="001B37E5" w:rsidP="001B37E5">
            <w:pPr>
              <w:rPr>
                <w:rFonts w:ascii="Arial Narrow" w:hAnsi="Arial Narrow"/>
                <w:i/>
                <w:iCs/>
                <w:sz w:val="20"/>
                <w:szCs w:val="20"/>
              </w:rPr>
            </w:pPr>
            <w:r w:rsidRPr="00595457">
              <w:rPr>
                <w:rFonts w:ascii="Arial Narrow" w:hAnsi="Arial Narrow"/>
                <w:i/>
                <w:iCs/>
                <w:sz w:val="20"/>
                <w:szCs w:val="20"/>
              </w:rPr>
              <w:t>The measurement of response to the prior course of therapy must have been conducted following a minimum of 12 weeks of therapy with this drug and must be documented in the patient's medical records.</w:t>
            </w:r>
          </w:p>
        </w:tc>
      </w:tr>
      <w:tr w:rsidR="001B37E5" w:rsidRPr="005E1044" w14:paraId="2AF2A06F"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782E335" w14:textId="09A5EC99" w:rsidR="001B37E5" w:rsidRPr="00595457" w:rsidRDefault="001B37E5" w:rsidP="001B37E5">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533AC0" w14:textId="77777777" w:rsidR="001B37E5" w:rsidRPr="00595457" w:rsidRDefault="001B37E5" w:rsidP="001B37E5">
            <w:pPr>
              <w:rPr>
                <w:rFonts w:ascii="Arial Narrow" w:hAnsi="Arial Narrow"/>
                <w:b/>
                <w:bCs/>
                <w:i/>
                <w:iCs/>
                <w:sz w:val="20"/>
                <w:szCs w:val="20"/>
              </w:rPr>
            </w:pPr>
            <w:r w:rsidRPr="00595457">
              <w:rPr>
                <w:rFonts w:ascii="Arial Narrow" w:hAnsi="Arial Narrow"/>
                <w:b/>
                <w:bCs/>
                <w:i/>
                <w:iCs/>
                <w:sz w:val="20"/>
                <w:szCs w:val="20"/>
              </w:rPr>
              <w:t>Prescribing Instructions:</w:t>
            </w:r>
          </w:p>
          <w:p w14:paraId="1B01B111" w14:textId="77777777" w:rsidR="001B37E5" w:rsidRPr="00595457" w:rsidRDefault="1C06158C" w:rsidP="0CEE6DE9">
            <w:pPr>
              <w:rPr>
                <w:rFonts w:ascii="Arial Narrow" w:hAnsi="Arial Narrow"/>
                <w:i/>
                <w:iCs/>
                <w:sz w:val="20"/>
                <w:szCs w:val="20"/>
              </w:rPr>
            </w:pPr>
            <w:r w:rsidRPr="00595457">
              <w:rPr>
                <w:rFonts w:ascii="Arial Narrow" w:hAnsi="Arial Narrow"/>
                <w:i/>
                <w:iCs/>
                <w:sz w:val="20"/>
                <w:szCs w:val="20"/>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1B37E5" w:rsidRPr="005E1044" w14:paraId="2D2E6D74"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9019233" w14:textId="3D726454" w:rsidR="001B37E5" w:rsidRPr="00595457" w:rsidRDefault="001B37E5" w:rsidP="001B37E5">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527A22" w14:textId="77777777" w:rsidR="001B37E5" w:rsidRPr="00595457" w:rsidRDefault="001B37E5" w:rsidP="001B37E5">
            <w:pPr>
              <w:rPr>
                <w:rFonts w:ascii="Arial Narrow" w:hAnsi="Arial Narrow"/>
                <w:b/>
                <w:bCs/>
                <w:i/>
                <w:iCs/>
                <w:sz w:val="20"/>
                <w:szCs w:val="20"/>
              </w:rPr>
            </w:pPr>
            <w:r w:rsidRPr="00595457">
              <w:rPr>
                <w:rFonts w:ascii="Arial Narrow" w:hAnsi="Arial Narrow"/>
                <w:b/>
                <w:bCs/>
                <w:i/>
                <w:iCs/>
                <w:sz w:val="20"/>
                <w:szCs w:val="20"/>
              </w:rPr>
              <w:t>Prescribing Instructions:</w:t>
            </w:r>
          </w:p>
          <w:p w14:paraId="53242864" w14:textId="77777777" w:rsidR="001B37E5" w:rsidRPr="00595457" w:rsidRDefault="001B37E5" w:rsidP="001B37E5">
            <w:pPr>
              <w:rPr>
                <w:rFonts w:ascii="Arial Narrow" w:hAnsi="Arial Narrow"/>
                <w:i/>
                <w:iCs/>
                <w:sz w:val="20"/>
                <w:szCs w:val="20"/>
              </w:rPr>
            </w:pPr>
            <w:r w:rsidRPr="00595457">
              <w:rPr>
                <w:rFonts w:ascii="Arial Narrow" w:hAnsi="Arial Narrow"/>
                <w:i/>
                <w:iCs/>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176170" w:rsidRPr="005E1044" w14:paraId="3243A36B"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95AF7A8" w14:textId="6274EBBC" w:rsidR="00176170" w:rsidRPr="00595457" w:rsidRDefault="00176170" w:rsidP="00176170">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DBCB77" w14:textId="77777777" w:rsidR="00176170" w:rsidRPr="00595457" w:rsidRDefault="00176170" w:rsidP="00176170">
            <w:pPr>
              <w:rPr>
                <w:rFonts w:ascii="Arial Narrow" w:hAnsi="Arial Narrow"/>
                <w:b/>
                <w:bCs/>
                <w:strike/>
                <w:sz w:val="20"/>
                <w:szCs w:val="20"/>
              </w:rPr>
            </w:pPr>
            <w:r w:rsidRPr="00595457">
              <w:rPr>
                <w:rFonts w:ascii="Arial Narrow" w:hAnsi="Arial Narrow"/>
                <w:b/>
                <w:bCs/>
                <w:strike/>
                <w:sz w:val="20"/>
                <w:szCs w:val="20"/>
              </w:rPr>
              <w:t>Administrative Advice:</w:t>
            </w:r>
          </w:p>
          <w:p w14:paraId="38194921" w14:textId="77777777" w:rsidR="00176170" w:rsidRPr="00595457" w:rsidRDefault="00176170" w:rsidP="00176170">
            <w:pPr>
              <w:rPr>
                <w:rFonts w:ascii="Arial Narrow" w:hAnsi="Arial Narrow"/>
                <w:strike/>
                <w:sz w:val="20"/>
                <w:szCs w:val="20"/>
              </w:rPr>
            </w:pPr>
            <w:r w:rsidRPr="00595457">
              <w:rPr>
                <w:rFonts w:ascii="Arial Narrow" w:hAnsi="Arial Narrow"/>
                <w:strike/>
                <w:sz w:val="20"/>
                <w:szCs w:val="20"/>
              </w:rPr>
              <w:t>Any queries concerning the arrangements to prescribe may be directed to Services Australia on 1800 700 270 (hours of operation 8 a.m. to 5 p.m. Monday to Friday).</w:t>
            </w:r>
          </w:p>
          <w:p w14:paraId="3D1759F8" w14:textId="77777777" w:rsidR="00176170" w:rsidRPr="00595457" w:rsidRDefault="00176170" w:rsidP="00176170">
            <w:pPr>
              <w:rPr>
                <w:rFonts w:ascii="Arial Narrow" w:hAnsi="Arial Narrow"/>
                <w:strike/>
                <w:sz w:val="20"/>
                <w:szCs w:val="20"/>
              </w:rPr>
            </w:pPr>
            <w:r w:rsidRPr="00595457">
              <w:rPr>
                <w:rFonts w:ascii="Arial Narrow" w:hAnsi="Arial Narrow"/>
                <w:strike/>
                <w:sz w:val="20"/>
                <w:szCs w:val="20"/>
              </w:rPr>
              <w:t>Prescribing information (including Authority Application forms and other relevant documentation as applicable) is available on the Services Australia website at www.servicesaustralia.gov.au</w:t>
            </w:r>
          </w:p>
          <w:p w14:paraId="43E356E9" w14:textId="77777777" w:rsidR="00176170" w:rsidRPr="00595457" w:rsidRDefault="5E4AB35D" w:rsidP="0CEE6DE9">
            <w:pPr>
              <w:rPr>
                <w:rFonts w:ascii="Arial Narrow" w:hAnsi="Arial Narrow"/>
                <w:strike/>
                <w:sz w:val="20"/>
                <w:szCs w:val="20"/>
              </w:rPr>
            </w:pPr>
            <w:r w:rsidRPr="00595457">
              <w:rPr>
                <w:rFonts w:ascii="Arial Narrow" w:hAnsi="Arial Narrow"/>
                <w:strike/>
                <w:sz w:val="20"/>
                <w:szCs w:val="20"/>
              </w:rPr>
              <w:t>Applications for authority to prescribe should be submitted online using the form upload facility in Health Professional Online Services (HPOS) at www.servicesaustralia.gov.au/hpos</w:t>
            </w:r>
          </w:p>
          <w:p w14:paraId="0389FDFE" w14:textId="77777777" w:rsidR="00176170" w:rsidRPr="00595457" w:rsidRDefault="00176170" w:rsidP="00176170">
            <w:pPr>
              <w:rPr>
                <w:rFonts w:ascii="Arial Narrow" w:hAnsi="Arial Narrow"/>
                <w:strike/>
                <w:sz w:val="20"/>
                <w:szCs w:val="20"/>
              </w:rPr>
            </w:pPr>
            <w:r w:rsidRPr="00595457">
              <w:rPr>
                <w:rFonts w:ascii="Arial Narrow" w:hAnsi="Arial Narrow"/>
                <w:strike/>
                <w:sz w:val="20"/>
                <w:szCs w:val="20"/>
              </w:rPr>
              <w:t>Or mailed to:</w:t>
            </w:r>
          </w:p>
          <w:p w14:paraId="5FE1A87A" w14:textId="77777777" w:rsidR="00176170" w:rsidRPr="00595457" w:rsidRDefault="00176170" w:rsidP="00176170">
            <w:pPr>
              <w:rPr>
                <w:rFonts w:ascii="Arial Narrow" w:hAnsi="Arial Narrow"/>
                <w:strike/>
                <w:sz w:val="20"/>
                <w:szCs w:val="20"/>
              </w:rPr>
            </w:pPr>
            <w:r w:rsidRPr="00595457">
              <w:rPr>
                <w:rFonts w:ascii="Arial Narrow" w:hAnsi="Arial Narrow"/>
                <w:strike/>
                <w:sz w:val="20"/>
                <w:szCs w:val="20"/>
              </w:rPr>
              <w:t>Services Australia</w:t>
            </w:r>
          </w:p>
          <w:p w14:paraId="6F093ACA" w14:textId="77777777" w:rsidR="00176170" w:rsidRPr="00595457" w:rsidRDefault="00176170" w:rsidP="00176170">
            <w:pPr>
              <w:rPr>
                <w:rFonts w:ascii="Arial Narrow" w:hAnsi="Arial Narrow"/>
                <w:strike/>
                <w:sz w:val="20"/>
                <w:szCs w:val="20"/>
              </w:rPr>
            </w:pPr>
            <w:r w:rsidRPr="00595457">
              <w:rPr>
                <w:rFonts w:ascii="Arial Narrow" w:hAnsi="Arial Narrow"/>
                <w:strike/>
                <w:sz w:val="20"/>
                <w:szCs w:val="20"/>
              </w:rPr>
              <w:t>Complex Drugs</w:t>
            </w:r>
          </w:p>
          <w:p w14:paraId="50215BDB" w14:textId="77777777" w:rsidR="00176170" w:rsidRPr="00595457" w:rsidRDefault="00176170" w:rsidP="00176170">
            <w:pPr>
              <w:rPr>
                <w:rFonts w:ascii="Arial Narrow" w:hAnsi="Arial Narrow"/>
                <w:strike/>
                <w:sz w:val="20"/>
                <w:szCs w:val="20"/>
              </w:rPr>
            </w:pPr>
            <w:r w:rsidRPr="00595457">
              <w:rPr>
                <w:rFonts w:ascii="Arial Narrow" w:hAnsi="Arial Narrow"/>
                <w:strike/>
                <w:sz w:val="20"/>
                <w:szCs w:val="20"/>
              </w:rPr>
              <w:t>Reply Paid 9826</w:t>
            </w:r>
          </w:p>
          <w:p w14:paraId="2ACDBFCB" w14:textId="77777777" w:rsidR="00176170" w:rsidRPr="00595457" w:rsidRDefault="00176170" w:rsidP="00176170">
            <w:pPr>
              <w:rPr>
                <w:rFonts w:ascii="Arial Narrow" w:hAnsi="Arial Narrow"/>
                <w:strike/>
                <w:sz w:val="20"/>
                <w:szCs w:val="20"/>
              </w:rPr>
            </w:pPr>
            <w:r w:rsidRPr="00595457">
              <w:rPr>
                <w:rFonts w:ascii="Arial Narrow" w:hAnsi="Arial Narrow"/>
                <w:strike/>
                <w:sz w:val="20"/>
                <w:szCs w:val="20"/>
              </w:rPr>
              <w:t>HOBART TAS 7001</w:t>
            </w:r>
          </w:p>
        </w:tc>
      </w:tr>
    </w:tbl>
    <w:p w14:paraId="5F5F4A0E" w14:textId="77777777" w:rsidR="00721589" w:rsidRDefault="00721589" w:rsidP="00365FCC">
      <w:pPr>
        <w:pStyle w:val="TableFigureFooter"/>
        <w:spacing w:after="0"/>
      </w:pPr>
    </w:p>
    <w:p w14:paraId="508A663D" w14:textId="7323F2B3" w:rsidR="000F1B54" w:rsidRDefault="000F1B54" w:rsidP="004358FB">
      <w:pPr>
        <w:pStyle w:val="4-SubsectionHeading"/>
        <w:spacing w:after="0"/>
      </w:pPr>
      <w:r w:rsidRPr="000F1B54">
        <w:t xml:space="preserve">Complex refractory </w:t>
      </w:r>
      <w:r w:rsidR="00512532">
        <w:t>f</w:t>
      </w:r>
      <w:r w:rsidR="00512532" w:rsidRPr="000F1B54">
        <w:t xml:space="preserve">istulising </w:t>
      </w:r>
      <w:r w:rsidRPr="000F1B54">
        <w:t>Crohn disease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Complex refractory fistulising Crohn disease"/>
        <w:tblDescription w:val="Treatment phase - continuing treatment with subcutaneous form or switching from intravenous form to subcutaenous form&#10;Changes to restriction type, prescribing instructions&#10;Removal of administrative advice"/>
      </w:tblPr>
      <w:tblGrid>
        <w:gridCol w:w="1271"/>
        <w:gridCol w:w="2552"/>
        <w:gridCol w:w="927"/>
        <w:gridCol w:w="812"/>
        <w:gridCol w:w="811"/>
        <w:gridCol w:w="812"/>
        <w:gridCol w:w="1831"/>
      </w:tblGrid>
      <w:tr w:rsidR="00710C89" w:rsidRPr="005E1044" w14:paraId="2FB52A1D" w14:textId="77777777" w:rsidTr="0CEE6DE9">
        <w:trPr>
          <w:cantSplit/>
          <w:trHeight w:val="20"/>
        </w:trPr>
        <w:tc>
          <w:tcPr>
            <w:tcW w:w="3823" w:type="dxa"/>
            <w:gridSpan w:val="2"/>
            <w:vAlign w:val="center"/>
          </w:tcPr>
          <w:p w14:paraId="43720946" w14:textId="77777777" w:rsidR="00710C89" w:rsidRPr="00595457" w:rsidRDefault="00710C89" w:rsidP="00302D60">
            <w:pPr>
              <w:keepLines/>
              <w:rPr>
                <w:rFonts w:ascii="Arial Narrow" w:hAnsi="Arial Narrow" w:cs="Arial"/>
                <w:b/>
                <w:bCs/>
                <w:sz w:val="20"/>
                <w:szCs w:val="20"/>
              </w:rPr>
            </w:pPr>
            <w:r w:rsidRPr="00595457">
              <w:rPr>
                <w:rFonts w:ascii="Arial Narrow" w:hAnsi="Arial Narrow" w:cs="Arial"/>
                <w:b/>
                <w:bCs/>
                <w:sz w:val="20"/>
                <w:szCs w:val="20"/>
              </w:rPr>
              <w:t>MEDICINAL PRODUCT</w:t>
            </w:r>
          </w:p>
          <w:p w14:paraId="08DAA5DD" w14:textId="77777777" w:rsidR="00710C89" w:rsidRPr="00595457" w:rsidRDefault="00710C89" w:rsidP="00302D60">
            <w:pPr>
              <w:keepLines/>
              <w:rPr>
                <w:rFonts w:ascii="Arial Narrow" w:hAnsi="Arial Narrow" w:cs="Arial"/>
                <w:b/>
                <w:sz w:val="20"/>
                <w:szCs w:val="20"/>
              </w:rPr>
            </w:pPr>
            <w:r w:rsidRPr="00595457">
              <w:rPr>
                <w:rFonts w:ascii="Arial Narrow" w:hAnsi="Arial Narrow" w:cs="Arial"/>
                <w:b/>
                <w:bCs/>
                <w:sz w:val="20"/>
                <w:szCs w:val="20"/>
              </w:rPr>
              <w:t>medicinal product pack</w:t>
            </w:r>
          </w:p>
        </w:tc>
        <w:tc>
          <w:tcPr>
            <w:tcW w:w="927" w:type="dxa"/>
            <w:vAlign w:val="center"/>
          </w:tcPr>
          <w:p w14:paraId="4719C42F" w14:textId="77777777" w:rsidR="00710C89" w:rsidRPr="00595457" w:rsidRDefault="00710C89" w:rsidP="00302D60">
            <w:pPr>
              <w:keepLines/>
              <w:jc w:val="center"/>
              <w:rPr>
                <w:rFonts w:ascii="Arial Narrow" w:hAnsi="Arial Narrow" w:cs="Arial"/>
                <w:b/>
                <w:sz w:val="20"/>
                <w:szCs w:val="20"/>
              </w:rPr>
            </w:pPr>
            <w:r w:rsidRPr="00595457">
              <w:rPr>
                <w:rFonts w:ascii="Arial Narrow" w:hAnsi="Arial Narrow" w:cs="Arial"/>
                <w:b/>
                <w:sz w:val="20"/>
                <w:szCs w:val="20"/>
              </w:rPr>
              <w:t>PBS item code</w:t>
            </w:r>
          </w:p>
        </w:tc>
        <w:tc>
          <w:tcPr>
            <w:tcW w:w="812" w:type="dxa"/>
            <w:vAlign w:val="center"/>
          </w:tcPr>
          <w:p w14:paraId="4288220E" w14:textId="77777777" w:rsidR="00710C89" w:rsidRPr="00595457" w:rsidRDefault="00710C89" w:rsidP="00302D60">
            <w:pPr>
              <w:keepLines/>
              <w:jc w:val="center"/>
              <w:rPr>
                <w:rFonts w:ascii="Arial Narrow" w:hAnsi="Arial Narrow" w:cs="Arial"/>
                <w:b/>
                <w:sz w:val="20"/>
                <w:szCs w:val="20"/>
              </w:rPr>
            </w:pPr>
            <w:r w:rsidRPr="00595457">
              <w:rPr>
                <w:rFonts w:ascii="Arial Narrow" w:hAnsi="Arial Narrow" w:cs="Arial"/>
                <w:b/>
                <w:sz w:val="20"/>
                <w:szCs w:val="20"/>
              </w:rPr>
              <w:t>Max. qty packs</w:t>
            </w:r>
          </w:p>
        </w:tc>
        <w:tc>
          <w:tcPr>
            <w:tcW w:w="811" w:type="dxa"/>
            <w:vAlign w:val="center"/>
          </w:tcPr>
          <w:p w14:paraId="7B8F4AE6" w14:textId="77777777" w:rsidR="00710C89" w:rsidRPr="00595457" w:rsidRDefault="00710C89" w:rsidP="00302D60">
            <w:pPr>
              <w:keepLines/>
              <w:jc w:val="center"/>
              <w:rPr>
                <w:rFonts w:ascii="Arial Narrow" w:hAnsi="Arial Narrow" w:cs="Arial"/>
                <w:b/>
                <w:sz w:val="20"/>
                <w:szCs w:val="20"/>
              </w:rPr>
            </w:pPr>
            <w:r w:rsidRPr="00595457">
              <w:rPr>
                <w:rFonts w:ascii="Arial Narrow" w:hAnsi="Arial Narrow" w:cs="Arial"/>
                <w:b/>
                <w:sz w:val="20"/>
                <w:szCs w:val="20"/>
              </w:rPr>
              <w:t>Max. qty units</w:t>
            </w:r>
          </w:p>
        </w:tc>
        <w:tc>
          <w:tcPr>
            <w:tcW w:w="812" w:type="dxa"/>
            <w:vAlign w:val="center"/>
          </w:tcPr>
          <w:p w14:paraId="43395543" w14:textId="77777777" w:rsidR="00710C89" w:rsidRPr="00595457" w:rsidRDefault="41B893FA" w:rsidP="0CEE6DE9">
            <w:pPr>
              <w:keepLines/>
              <w:jc w:val="center"/>
              <w:rPr>
                <w:rFonts w:ascii="Arial Narrow" w:hAnsi="Arial Narrow" w:cs="Arial"/>
                <w:b/>
                <w:bCs/>
                <w:sz w:val="20"/>
                <w:szCs w:val="20"/>
              </w:rPr>
            </w:pPr>
            <w:r w:rsidRPr="00595457">
              <w:rPr>
                <w:rFonts w:ascii="Arial Narrow" w:hAnsi="Arial Narrow" w:cs="Arial"/>
                <w:b/>
                <w:bCs/>
                <w:sz w:val="20"/>
                <w:szCs w:val="20"/>
              </w:rPr>
              <w:t>№.of</w:t>
            </w:r>
          </w:p>
          <w:p w14:paraId="0988C0FD" w14:textId="77777777" w:rsidR="00710C89" w:rsidRPr="00595457" w:rsidRDefault="41B893FA" w:rsidP="0CEE6DE9">
            <w:pPr>
              <w:keepLines/>
              <w:jc w:val="center"/>
              <w:rPr>
                <w:rFonts w:ascii="Arial Narrow" w:hAnsi="Arial Narrow" w:cs="Arial"/>
                <w:b/>
                <w:bCs/>
                <w:sz w:val="20"/>
                <w:szCs w:val="20"/>
              </w:rPr>
            </w:pPr>
            <w:r w:rsidRPr="00595457">
              <w:rPr>
                <w:rFonts w:ascii="Arial Narrow" w:hAnsi="Arial Narrow" w:cs="Arial"/>
                <w:b/>
                <w:bCs/>
                <w:sz w:val="20"/>
                <w:szCs w:val="20"/>
              </w:rPr>
              <w:t>Rpts</w:t>
            </w:r>
          </w:p>
        </w:tc>
        <w:tc>
          <w:tcPr>
            <w:tcW w:w="1831" w:type="dxa"/>
            <w:vAlign w:val="center"/>
          </w:tcPr>
          <w:p w14:paraId="5E604EA0" w14:textId="77777777" w:rsidR="00710C89" w:rsidRPr="00595457" w:rsidRDefault="00710C89" w:rsidP="00302D60">
            <w:pPr>
              <w:keepLines/>
              <w:rPr>
                <w:rFonts w:ascii="Arial Narrow" w:hAnsi="Arial Narrow" w:cs="Arial"/>
                <w:b/>
                <w:sz w:val="20"/>
                <w:szCs w:val="20"/>
                <w:lang w:val="fr-FR"/>
              </w:rPr>
            </w:pPr>
            <w:r w:rsidRPr="00595457">
              <w:rPr>
                <w:rFonts w:ascii="Arial Narrow" w:hAnsi="Arial Narrow" w:cs="Arial"/>
                <w:b/>
                <w:sz w:val="20"/>
                <w:szCs w:val="20"/>
              </w:rPr>
              <w:t>Available brands</w:t>
            </w:r>
          </w:p>
        </w:tc>
      </w:tr>
      <w:tr w:rsidR="00710C89" w:rsidRPr="005E1044" w14:paraId="09E3AE98" w14:textId="77777777" w:rsidTr="0CEE6DE9">
        <w:trPr>
          <w:cantSplit/>
          <w:trHeight w:val="20"/>
        </w:trPr>
        <w:tc>
          <w:tcPr>
            <w:tcW w:w="9016" w:type="dxa"/>
            <w:gridSpan w:val="7"/>
            <w:vAlign w:val="center"/>
          </w:tcPr>
          <w:p w14:paraId="541D7A25" w14:textId="77777777" w:rsidR="00710C89" w:rsidRPr="00595457" w:rsidRDefault="00710C89" w:rsidP="00302D60">
            <w:pPr>
              <w:keepLines/>
              <w:rPr>
                <w:rFonts w:ascii="Arial Narrow" w:hAnsi="Arial Narrow" w:cs="Arial"/>
                <w:sz w:val="20"/>
                <w:szCs w:val="20"/>
              </w:rPr>
            </w:pPr>
            <w:r w:rsidRPr="00595457">
              <w:rPr>
                <w:rFonts w:ascii="Arial Narrow" w:hAnsi="Arial Narrow" w:cs="Arial"/>
                <w:sz w:val="20"/>
                <w:szCs w:val="20"/>
              </w:rPr>
              <w:t>INFLIXIMAB</w:t>
            </w:r>
          </w:p>
        </w:tc>
      </w:tr>
      <w:tr w:rsidR="00710C89" w:rsidRPr="005E1044" w14:paraId="1EB3EA9A" w14:textId="77777777" w:rsidTr="0CEE6DE9">
        <w:trPr>
          <w:cantSplit/>
          <w:trHeight w:val="20"/>
        </w:trPr>
        <w:tc>
          <w:tcPr>
            <w:tcW w:w="3823" w:type="dxa"/>
            <w:gridSpan w:val="2"/>
            <w:vAlign w:val="center"/>
          </w:tcPr>
          <w:p w14:paraId="7EADA5D4" w14:textId="77777777" w:rsidR="00710C89" w:rsidRPr="00595457" w:rsidRDefault="00710C89" w:rsidP="00302D60">
            <w:pPr>
              <w:keepLines/>
              <w:rPr>
                <w:rFonts w:ascii="Arial Narrow" w:hAnsi="Arial Narrow" w:cs="Arial"/>
                <w:sz w:val="20"/>
                <w:szCs w:val="20"/>
              </w:rPr>
            </w:pPr>
            <w:r w:rsidRPr="00595457">
              <w:rPr>
                <w:rFonts w:ascii="Arial Narrow" w:hAnsi="Arial Narrow" w:cs="Arial"/>
                <w:sz w:val="20"/>
                <w:szCs w:val="20"/>
              </w:rPr>
              <w:t>infliximab 120 mg/mL injection, 1 mL pen device</w:t>
            </w:r>
          </w:p>
        </w:tc>
        <w:tc>
          <w:tcPr>
            <w:tcW w:w="927" w:type="dxa"/>
            <w:vAlign w:val="center"/>
          </w:tcPr>
          <w:p w14:paraId="66BFA116" w14:textId="444718FB" w:rsidR="00710C89" w:rsidRPr="00595457" w:rsidRDefault="00656CDB" w:rsidP="00302D60">
            <w:pPr>
              <w:keepLines/>
              <w:jc w:val="center"/>
              <w:rPr>
                <w:rFonts w:ascii="Arial Narrow" w:hAnsi="Arial Narrow" w:cs="Arial"/>
                <w:sz w:val="20"/>
                <w:szCs w:val="20"/>
              </w:rPr>
            </w:pPr>
            <w:r w:rsidRPr="00595457">
              <w:rPr>
                <w:rFonts w:ascii="Arial Narrow" w:hAnsi="Arial Narrow" w:cs="Arial"/>
                <w:sz w:val="20"/>
                <w:szCs w:val="20"/>
              </w:rPr>
              <w:t>13060J</w:t>
            </w:r>
          </w:p>
        </w:tc>
        <w:tc>
          <w:tcPr>
            <w:tcW w:w="812" w:type="dxa"/>
          </w:tcPr>
          <w:p w14:paraId="6093B88F" w14:textId="77777777" w:rsidR="00710C89" w:rsidRPr="00595457" w:rsidRDefault="00710C89"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tcPr>
          <w:p w14:paraId="1E1C318C" w14:textId="77777777" w:rsidR="00710C89" w:rsidRPr="00595457" w:rsidRDefault="00710C89"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tcPr>
          <w:p w14:paraId="3AA59B68" w14:textId="77777777" w:rsidR="00710C89" w:rsidRPr="00595457" w:rsidRDefault="00710C89" w:rsidP="00302D60">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7E47AC8F" w14:textId="77777777" w:rsidR="00710C89" w:rsidRPr="00595457" w:rsidRDefault="41B893FA" w:rsidP="0CEE6DE9">
            <w:pPr>
              <w:keepLines/>
              <w:rPr>
                <w:rFonts w:ascii="Arial Narrow" w:hAnsi="Arial Narrow" w:cs="Arial"/>
                <w:sz w:val="20"/>
                <w:szCs w:val="20"/>
              </w:rPr>
            </w:pPr>
            <w:r w:rsidRPr="00595457">
              <w:rPr>
                <w:rFonts w:ascii="Arial Narrow" w:hAnsi="Arial Narrow" w:cs="Arial"/>
                <w:sz w:val="20"/>
                <w:szCs w:val="20"/>
              </w:rPr>
              <w:t>Remsima SC</w:t>
            </w:r>
          </w:p>
        </w:tc>
      </w:tr>
      <w:tr w:rsidR="00710C89" w:rsidRPr="005E1044" w14:paraId="73E7394C" w14:textId="77777777" w:rsidTr="0CEE6DE9">
        <w:trPr>
          <w:cantSplit/>
          <w:trHeight w:val="20"/>
        </w:trPr>
        <w:tc>
          <w:tcPr>
            <w:tcW w:w="3823" w:type="dxa"/>
            <w:gridSpan w:val="2"/>
            <w:vAlign w:val="center"/>
          </w:tcPr>
          <w:p w14:paraId="773BEB23" w14:textId="77777777" w:rsidR="00710C89" w:rsidRPr="00595457" w:rsidRDefault="00710C89" w:rsidP="00302D60">
            <w:pPr>
              <w:keepLines/>
              <w:rPr>
                <w:rFonts w:ascii="Arial Narrow" w:hAnsi="Arial Narrow" w:cs="Arial"/>
                <w:sz w:val="20"/>
                <w:szCs w:val="20"/>
              </w:rPr>
            </w:pPr>
            <w:r w:rsidRPr="00595457">
              <w:rPr>
                <w:rFonts w:ascii="Arial Narrow" w:hAnsi="Arial Narrow" w:cs="Arial"/>
                <w:sz w:val="20"/>
                <w:szCs w:val="20"/>
              </w:rPr>
              <w:t>infliximab 120 mg/mL injection, 1 mL syringe</w:t>
            </w:r>
          </w:p>
        </w:tc>
        <w:tc>
          <w:tcPr>
            <w:tcW w:w="927" w:type="dxa"/>
            <w:vAlign w:val="center"/>
          </w:tcPr>
          <w:p w14:paraId="50B88BB5" w14:textId="04AA59C9" w:rsidR="00710C89" w:rsidRPr="00595457" w:rsidRDefault="00510688" w:rsidP="00302D60">
            <w:pPr>
              <w:keepLines/>
              <w:jc w:val="center"/>
              <w:rPr>
                <w:rFonts w:ascii="Arial Narrow" w:hAnsi="Arial Narrow" w:cs="Arial"/>
                <w:sz w:val="20"/>
                <w:szCs w:val="20"/>
              </w:rPr>
            </w:pPr>
            <w:r w:rsidRPr="00595457">
              <w:rPr>
                <w:rFonts w:ascii="Arial Narrow" w:hAnsi="Arial Narrow" w:cs="Arial"/>
                <w:sz w:val="20"/>
                <w:szCs w:val="20"/>
              </w:rPr>
              <w:t>13073C</w:t>
            </w:r>
          </w:p>
        </w:tc>
        <w:tc>
          <w:tcPr>
            <w:tcW w:w="812" w:type="dxa"/>
            <w:vAlign w:val="center"/>
          </w:tcPr>
          <w:p w14:paraId="52D49178" w14:textId="77777777" w:rsidR="00710C89" w:rsidRPr="00595457" w:rsidRDefault="00710C89"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vAlign w:val="center"/>
          </w:tcPr>
          <w:p w14:paraId="3FDD85F4" w14:textId="77777777" w:rsidR="00710C89" w:rsidRPr="00595457" w:rsidRDefault="00710C89" w:rsidP="00302D60">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vAlign w:val="center"/>
          </w:tcPr>
          <w:p w14:paraId="3068C7EB" w14:textId="77777777" w:rsidR="00710C89" w:rsidRPr="00595457" w:rsidRDefault="00710C89" w:rsidP="00302D60">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3ECA59E3" w14:textId="77777777" w:rsidR="00710C89" w:rsidRPr="00595457" w:rsidRDefault="41B893FA" w:rsidP="0CEE6DE9">
            <w:pPr>
              <w:keepLines/>
              <w:rPr>
                <w:rFonts w:ascii="Arial Narrow" w:hAnsi="Arial Narrow" w:cs="Arial"/>
                <w:sz w:val="20"/>
                <w:szCs w:val="20"/>
              </w:rPr>
            </w:pPr>
            <w:r w:rsidRPr="00595457">
              <w:rPr>
                <w:rFonts w:ascii="Arial Narrow" w:hAnsi="Arial Narrow" w:cs="Arial"/>
                <w:sz w:val="20"/>
                <w:szCs w:val="20"/>
              </w:rPr>
              <w:t>Remsima SC</w:t>
            </w:r>
          </w:p>
        </w:tc>
      </w:tr>
      <w:tr w:rsidR="00710C89" w:rsidRPr="005E1044" w14:paraId="4A6F8285"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88DFEAA" w14:textId="77777777" w:rsidR="00710C89" w:rsidRPr="00595457" w:rsidRDefault="00710C89" w:rsidP="00302D60">
            <w:pPr>
              <w:rPr>
                <w:rFonts w:ascii="Arial Narrow" w:hAnsi="Arial Narrow" w:cs="Arial"/>
                <w:sz w:val="20"/>
                <w:szCs w:val="20"/>
              </w:rPr>
            </w:pPr>
          </w:p>
        </w:tc>
      </w:tr>
      <w:tr w:rsidR="00710C89" w:rsidRPr="005E1044" w14:paraId="1549B4AE"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2EEFC16" w14:textId="4E64271D" w:rsidR="00710C89" w:rsidRPr="00595457" w:rsidRDefault="00710C89" w:rsidP="00302D60">
            <w:pPr>
              <w:keepLines/>
              <w:rPr>
                <w:rFonts w:ascii="Arial Narrow" w:hAnsi="Arial Narrow" w:cs="Arial"/>
                <w:b/>
                <w:sz w:val="20"/>
                <w:szCs w:val="20"/>
              </w:rPr>
            </w:pPr>
            <w:r w:rsidRPr="00595457">
              <w:rPr>
                <w:rFonts w:ascii="Arial Narrow" w:hAnsi="Arial Narrow"/>
                <w:b/>
                <w:sz w:val="20"/>
                <w:szCs w:val="20"/>
              </w:rPr>
              <w:t>Restriction Summary</w:t>
            </w:r>
            <w:r w:rsidR="0051700B" w:rsidRPr="00595457">
              <w:rPr>
                <w:rFonts w:ascii="Arial Narrow" w:hAnsi="Arial Narrow"/>
                <w:b/>
                <w:sz w:val="20"/>
                <w:szCs w:val="20"/>
              </w:rPr>
              <w:t xml:space="preserve"> </w:t>
            </w:r>
            <w:r w:rsidRPr="00595457">
              <w:rPr>
                <w:rFonts w:ascii="Arial Narrow" w:hAnsi="Arial Narrow"/>
                <w:b/>
                <w:sz w:val="20"/>
                <w:szCs w:val="20"/>
              </w:rPr>
              <w:t xml:space="preserve">/ Treatment of Concept: </w:t>
            </w:r>
          </w:p>
        </w:tc>
      </w:tr>
      <w:tr w:rsidR="00710C89" w:rsidRPr="005E1044" w14:paraId="5F6F0477" w14:textId="77777777" w:rsidTr="0CEE6DE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7A54523" w14:textId="167E632B" w:rsidR="00710C89" w:rsidRPr="00595457" w:rsidRDefault="00710C89" w:rsidP="00302D60">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A5A25F5" w14:textId="77777777" w:rsidR="00710C89" w:rsidRPr="00595457" w:rsidRDefault="00710C89" w:rsidP="00302D60">
            <w:pPr>
              <w:keepLines/>
              <w:rPr>
                <w:rFonts w:ascii="Arial Narrow" w:hAnsi="Arial Narrow" w:cs="Arial"/>
                <w:sz w:val="20"/>
                <w:szCs w:val="20"/>
              </w:rPr>
            </w:pPr>
            <w:r w:rsidRPr="00595457">
              <w:rPr>
                <w:rFonts w:ascii="Arial Narrow" w:hAnsi="Arial Narrow" w:cs="Arial"/>
                <w:b/>
                <w:sz w:val="20"/>
                <w:szCs w:val="20"/>
              </w:rPr>
              <w:t>Category / Program:</w:t>
            </w:r>
            <w:r w:rsidRPr="00595457">
              <w:rPr>
                <w:rFonts w:ascii="Arial Narrow" w:hAnsi="Arial Narrow" w:cs="Arial"/>
                <w:color w:val="FF0000"/>
                <w:sz w:val="20"/>
                <w:szCs w:val="20"/>
              </w:rPr>
              <w:t xml:space="preserve"> </w:t>
            </w:r>
            <w:r w:rsidRPr="00595457">
              <w:rPr>
                <w:rFonts w:ascii="Arial Narrow" w:eastAsia="Calibri" w:hAnsi="Arial Narrow" w:cs="Arial"/>
                <w:sz w:val="20"/>
                <w:szCs w:val="20"/>
              </w:rPr>
              <w:t xml:space="preserve">GENERAL - General Schedule (Code GE) </w:t>
            </w:r>
          </w:p>
        </w:tc>
      </w:tr>
      <w:tr w:rsidR="00710C89" w:rsidRPr="005E1044" w14:paraId="053FFBEB"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410B289D" w14:textId="77777777" w:rsidR="00710C89" w:rsidRPr="00595457" w:rsidRDefault="00710C89"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421F1A4" w14:textId="77777777" w:rsidR="00710C89" w:rsidRPr="00595457" w:rsidRDefault="00710C89" w:rsidP="00302D60">
            <w:pPr>
              <w:keepLines/>
              <w:rPr>
                <w:rFonts w:ascii="Arial Narrow" w:hAnsi="Arial Narrow" w:cs="Arial"/>
                <w:b/>
                <w:sz w:val="20"/>
                <w:szCs w:val="20"/>
              </w:rPr>
            </w:pPr>
            <w:r w:rsidRPr="00595457">
              <w:rPr>
                <w:rFonts w:ascii="Arial Narrow" w:hAnsi="Arial Narrow" w:cs="Arial"/>
                <w:b/>
                <w:sz w:val="20"/>
                <w:szCs w:val="20"/>
              </w:rPr>
              <w:t xml:space="preserve">Prescriber type: </w:t>
            </w:r>
            <w:r w:rsidRPr="00595457">
              <w:rPr>
                <w:rFonts w:ascii="Arial Narrow" w:hAnsi="Arial Narrow" w:cs="Arial"/>
                <w:sz w:val="20"/>
                <w:szCs w:val="20"/>
              </w:rPr>
              <w:fldChar w:fldCharType="begin" w:fldLock="1">
                <w:ffData>
                  <w:name w:val=""/>
                  <w:enabled/>
                  <w:calcOnExit w:val="0"/>
                  <w:checkBox>
                    <w:sizeAuto/>
                    <w:default w:val="1"/>
                  </w:checkBox>
                </w:ffData>
              </w:fldChar>
            </w:r>
            <w:r w:rsidRPr="00595457">
              <w:rPr>
                <w:rFonts w:ascii="Arial Narrow" w:hAnsi="Arial Narrow" w:cs="Arial"/>
                <w:sz w:val="20"/>
                <w:szCs w:val="20"/>
              </w:rPr>
              <w:instrText xml:space="preserve"> FORMCHECKBOX </w:instrText>
            </w:r>
            <w:r w:rsidRPr="00595457">
              <w:rPr>
                <w:rFonts w:ascii="Arial Narrow" w:hAnsi="Arial Narrow" w:cs="Arial"/>
                <w:sz w:val="20"/>
                <w:szCs w:val="20"/>
              </w:rPr>
            </w:r>
            <w:r w:rsidRPr="00595457">
              <w:rPr>
                <w:rFonts w:ascii="Arial Narrow" w:hAnsi="Arial Narrow" w:cs="Arial"/>
                <w:sz w:val="20"/>
                <w:szCs w:val="20"/>
              </w:rPr>
              <w:fldChar w:fldCharType="separate"/>
            </w:r>
            <w:r w:rsidRPr="00595457">
              <w:rPr>
                <w:rFonts w:ascii="Arial Narrow" w:hAnsi="Arial Narrow" w:cs="Arial"/>
                <w:sz w:val="20"/>
                <w:szCs w:val="20"/>
              </w:rPr>
              <w:fldChar w:fldCharType="end"/>
            </w:r>
            <w:r w:rsidRPr="00595457">
              <w:rPr>
                <w:rFonts w:ascii="Arial Narrow" w:hAnsi="Arial Narrow" w:cs="Arial"/>
                <w:sz w:val="20"/>
                <w:szCs w:val="20"/>
              </w:rPr>
              <w:t xml:space="preserve">Medical Practitioners </w:t>
            </w:r>
          </w:p>
        </w:tc>
      </w:tr>
      <w:tr w:rsidR="00710C89" w:rsidRPr="005E1044" w14:paraId="36C1B770"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02B029F6" w14:textId="77777777" w:rsidR="00710C89" w:rsidRPr="00595457" w:rsidRDefault="00710C89" w:rsidP="00302D60">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B466FB3" w14:textId="77777777" w:rsidR="00710C89" w:rsidRPr="00595457" w:rsidRDefault="00710C89" w:rsidP="00302D60">
            <w:pPr>
              <w:keepLines/>
              <w:rPr>
                <w:rFonts w:ascii="Arial Narrow" w:hAnsi="Arial Narrow" w:cs="Arial"/>
                <w:b/>
                <w:sz w:val="20"/>
                <w:szCs w:val="20"/>
              </w:rPr>
            </w:pPr>
            <w:r w:rsidRPr="00595457">
              <w:rPr>
                <w:rFonts w:ascii="Arial Narrow" w:hAnsi="Arial Narrow" w:cs="Arial"/>
                <w:b/>
                <w:sz w:val="20"/>
                <w:szCs w:val="20"/>
              </w:rPr>
              <w:t xml:space="preserve">Restriction type: </w:t>
            </w:r>
          </w:p>
          <w:p w14:paraId="1837FBC0" w14:textId="77777777" w:rsidR="00710C89" w:rsidRPr="00595457" w:rsidRDefault="00710C89" w:rsidP="00302D60">
            <w:pPr>
              <w:keepLines/>
              <w:jc w:val="left"/>
              <w:rPr>
                <w:rFonts w:ascii="Arial Narrow" w:eastAsia="Calibri" w:hAnsi="Arial Narrow" w:cs="Arial"/>
                <w:color w:val="FF0000"/>
                <w:sz w:val="20"/>
                <w:szCs w:val="20"/>
              </w:rPr>
            </w:pPr>
            <w:r w:rsidRPr="00595457">
              <w:rPr>
                <w:rFonts w:ascii="Arial Narrow" w:eastAsia="Calibri" w:hAnsi="Arial Narrow" w:cs="Arial"/>
                <w:sz w:val="20"/>
                <w:szCs w:val="20"/>
              </w:rPr>
              <w:fldChar w:fldCharType="begin" w:fldLock="1">
                <w:ffData>
                  <w:name w:val=""/>
                  <w:enabled/>
                  <w:calcOnExit w:val="0"/>
                  <w:checkBox>
                    <w:sizeAuto/>
                    <w:default w:val="1"/>
                  </w:checkBox>
                </w:ffData>
              </w:fldChar>
            </w:r>
            <w:r w:rsidRPr="00595457">
              <w:rPr>
                <w:rFonts w:ascii="Arial Narrow" w:eastAsia="Calibri" w:hAnsi="Arial Narrow" w:cs="Arial"/>
                <w:sz w:val="20"/>
                <w:szCs w:val="20"/>
              </w:rPr>
              <w:instrText xml:space="preserve"> FORMCHECKBOX </w:instrText>
            </w:r>
            <w:r w:rsidRPr="00595457">
              <w:rPr>
                <w:rFonts w:ascii="Arial Narrow" w:eastAsia="Calibri" w:hAnsi="Arial Narrow" w:cs="Arial"/>
                <w:sz w:val="20"/>
                <w:szCs w:val="20"/>
              </w:rPr>
            </w:r>
            <w:r w:rsidRPr="00595457">
              <w:rPr>
                <w:rFonts w:ascii="Arial Narrow" w:eastAsia="Calibri" w:hAnsi="Arial Narrow" w:cs="Arial"/>
                <w:sz w:val="20"/>
                <w:szCs w:val="20"/>
              </w:rPr>
              <w:fldChar w:fldCharType="separate"/>
            </w:r>
            <w:r w:rsidRPr="00595457">
              <w:rPr>
                <w:rFonts w:ascii="Arial Narrow" w:eastAsia="Calibri" w:hAnsi="Arial Narrow" w:cs="Arial"/>
                <w:sz w:val="20"/>
                <w:szCs w:val="20"/>
              </w:rPr>
              <w:fldChar w:fldCharType="end"/>
            </w:r>
            <w:r w:rsidRPr="00595457">
              <w:rPr>
                <w:rFonts w:ascii="Arial Narrow" w:eastAsia="Calibri" w:hAnsi="Arial Narrow" w:cs="Arial"/>
                <w:i/>
                <w:iCs/>
                <w:sz w:val="20"/>
                <w:szCs w:val="20"/>
              </w:rPr>
              <w:t>Authority Required (Streamlined)</w:t>
            </w:r>
            <w:r w:rsidRPr="00595457">
              <w:rPr>
                <w:rFonts w:ascii="Arial Narrow" w:eastAsia="Calibri" w:hAnsi="Arial Narrow" w:cs="Arial"/>
                <w:sz w:val="20"/>
                <w:szCs w:val="20"/>
              </w:rPr>
              <w:t xml:space="preserve"> </w:t>
            </w:r>
            <w:r w:rsidRPr="00595457">
              <w:rPr>
                <w:rFonts w:ascii="Arial Narrow" w:eastAsia="Calibri" w:hAnsi="Arial Narrow" w:cs="Arial"/>
                <w:color w:val="FF0000"/>
                <w:sz w:val="20"/>
                <w:szCs w:val="20"/>
              </w:rPr>
              <w:br/>
            </w:r>
            <w:r w:rsidRPr="00595457">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595457">
              <w:rPr>
                <w:rFonts w:ascii="Arial Narrow" w:eastAsia="Calibri" w:hAnsi="Arial Narrow" w:cs="Arial"/>
                <w:strike/>
                <w:sz w:val="20"/>
                <w:szCs w:val="20"/>
              </w:rPr>
              <w:instrText xml:space="preserve"> FORMCHECKBOX </w:instrText>
            </w:r>
            <w:r w:rsidRPr="00595457">
              <w:rPr>
                <w:rFonts w:ascii="Arial Narrow" w:eastAsia="Calibri" w:hAnsi="Arial Narrow" w:cs="Arial"/>
                <w:strike/>
                <w:sz w:val="20"/>
                <w:szCs w:val="20"/>
              </w:rPr>
            </w:r>
            <w:r w:rsidRPr="00595457">
              <w:rPr>
                <w:rFonts w:ascii="Arial Narrow" w:eastAsia="Calibri" w:hAnsi="Arial Narrow" w:cs="Arial"/>
                <w:strike/>
                <w:sz w:val="20"/>
                <w:szCs w:val="20"/>
              </w:rPr>
              <w:fldChar w:fldCharType="separate"/>
            </w:r>
            <w:r w:rsidRPr="00595457">
              <w:rPr>
                <w:rFonts w:ascii="Arial Narrow" w:eastAsia="Calibri" w:hAnsi="Arial Narrow" w:cs="Arial"/>
                <w:strike/>
                <w:sz w:val="20"/>
                <w:szCs w:val="20"/>
              </w:rPr>
              <w:fldChar w:fldCharType="end"/>
            </w:r>
            <w:r w:rsidRPr="00595457">
              <w:rPr>
                <w:rFonts w:ascii="Arial Narrow" w:eastAsia="Calibri" w:hAnsi="Arial Narrow" w:cs="Arial"/>
                <w:strike/>
                <w:sz w:val="20"/>
                <w:szCs w:val="20"/>
              </w:rPr>
              <w:t xml:space="preserve">Authority Required (in writing only via post/HPOS upload) </w:t>
            </w:r>
          </w:p>
        </w:tc>
      </w:tr>
      <w:tr w:rsidR="00710C89" w:rsidRPr="005E1044" w14:paraId="30B46DE5" w14:textId="77777777" w:rsidTr="00365FCC">
        <w:tblPrEx>
          <w:tblCellMar>
            <w:top w:w="15" w:type="dxa"/>
            <w:bottom w:w="15" w:type="dxa"/>
          </w:tblCellMar>
        </w:tblPrEx>
        <w:trPr>
          <w:cantSplit/>
          <w:trHeight w:val="20"/>
        </w:trPr>
        <w:tc>
          <w:tcPr>
            <w:tcW w:w="1271" w:type="dxa"/>
            <w:vAlign w:val="center"/>
          </w:tcPr>
          <w:p w14:paraId="40A7107D" w14:textId="09AF1F19" w:rsidR="00710C89" w:rsidRPr="00595457" w:rsidRDefault="00710C89" w:rsidP="00302D60">
            <w:pPr>
              <w:keepLines/>
              <w:jc w:val="center"/>
              <w:rPr>
                <w:rFonts w:ascii="Arial Narrow" w:hAnsi="Arial Narrow"/>
                <w:sz w:val="20"/>
                <w:szCs w:val="20"/>
              </w:rPr>
            </w:pPr>
          </w:p>
        </w:tc>
        <w:tc>
          <w:tcPr>
            <w:tcW w:w="7745" w:type="dxa"/>
            <w:gridSpan w:val="6"/>
            <w:vAlign w:val="center"/>
            <w:hideMark/>
          </w:tcPr>
          <w:p w14:paraId="64306C37" w14:textId="05E67E90" w:rsidR="00710C89" w:rsidRPr="00595457" w:rsidRDefault="00710C89" w:rsidP="00302D60">
            <w:pPr>
              <w:keepLines/>
              <w:rPr>
                <w:rFonts w:ascii="Arial Narrow" w:hAnsi="Arial Narrow"/>
                <w:color w:val="333333"/>
                <w:sz w:val="20"/>
                <w:szCs w:val="20"/>
              </w:rPr>
            </w:pPr>
            <w:r w:rsidRPr="00595457">
              <w:rPr>
                <w:rFonts w:ascii="Arial Narrow" w:hAnsi="Arial Narrow"/>
                <w:b/>
                <w:bCs/>
                <w:sz w:val="20"/>
                <w:szCs w:val="20"/>
              </w:rPr>
              <w:t>Indication:</w:t>
            </w:r>
            <w:r w:rsidRPr="00595457">
              <w:rPr>
                <w:rFonts w:ascii="Arial Narrow" w:hAnsi="Arial Narrow"/>
                <w:sz w:val="20"/>
                <w:szCs w:val="20"/>
              </w:rPr>
              <w:t xml:space="preserve"> </w:t>
            </w:r>
            <w:r w:rsidR="00A43BE2" w:rsidRPr="00595457">
              <w:rPr>
                <w:rFonts w:ascii="Arial Narrow" w:hAnsi="Arial Narrow"/>
                <w:sz w:val="20"/>
                <w:szCs w:val="20"/>
              </w:rPr>
              <w:t>Complex refractory Fistulising Crohn disease</w:t>
            </w:r>
          </w:p>
        </w:tc>
      </w:tr>
      <w:tr w:rsidR="00710C89" w:rsidRPr="005E1044" w14:paraId="1501F544" w14:textId="77777777" w:rsidTr="00365FCC">
        <w:tblPrEx>
          <w:tblCellMar>
            <w:top w:w="15" w:type="dxa"/>
            <w:bottom w:w="15" w:type="dxa"/>
          </w:tblCellMar>
        </w:tblPrEx>
        <w:trPr>
          <w:cantSplit/>
          <w:trHeight w:val="20"/>
        </w:trPr>
        <w:tc>
          <w:tcPr>
            <w:tcW w:w="1271" w:type="dxa"/>
            <w:vAlign w:val="center"/>
          </w:tcPr>
          <w:p w14:paraId="14E8C3F5" w14:textId="77777777" w:rsidR="00710C89" w:rsidRPr="00595457" w:rsidRDefault="00710C89" w:rsidP="00302D60">
            <w:pPr>
              <w:jc w:val="center"/>
              <w:rPr>
                <w:rFonts w:ascii="Arial Narrow" w:hAnsi="Arial Narrow"/>
                <w:sz w:val="20"/>
                <w:szCs w:val="20"/>
              </w:rPr>
            </w:pPr>
          </w:p>
        </w:tc>
        <w:tc>
          <w:tcPr>
            <w:tcW w:w="7745" w:type="dxa"/>
            <w:gridSpan w:val="6"/>
            <w:vAlign w:val="center"/>
            <w:hideMark/>
          </w:tcPr>
          <w:p w14:paraId="40B258B5" w14:textId="77777777" w:rsidR="00710C89" w:rsidRPr="00595457" w:rsidRDefault="00710C89" w:rsidP="00302D60">
            <w:pPr>
              <w:rPr>
                <w:rFonts w:ascii="Arial Narrow" w:hAnsi="Arial Narrow"/>
                <w:sz w:val="20"/>
                <w:szCs w:val="20"/>
              </w:rPr>
            </w:pPr>
            <w:r w:rsidRPr="00595457">
              <w:rPr>
                <w:rFonts w:ascii="Arial Narrow" w:hAnsi="Arial Narrow"/>
                <w:b/>
                <w:bCs/>
                <w:sz w:val="20"/>
                <w:szCs w:val="20"/>
              </w:rPr>
              <w:t>Treatment Phase:</w:t>
            </w:r>
            <w:r w:rsidRPr="00595457">
              <w:rPr>
                <w:rFonts w:ascii="Arial Narrow" w:hAnsi="Arial Narrow"/>
                <w:sz w:val="20"/>
                <w:szCs w:val="20"/>
              </w:rPr>
              <w:t xml:space="preserve"> Continuing treatment with subcutaneous form or switching from intravenous form to subcutaneous form</w:t>
            </w:r>
          </w:p>
        </w:tc>
      </w:tr>
      <w:tr w:rsidR="001F22F2" w:rsidRPr="005E1044" w14:paraId="137A2A49"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9A083F3" w14:textId="484402F2" w:rsidR="001F22F2" w:rsidRPr="00595457" w:rsidRDefault="001F22F2" w:rsidP="001F22F2">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F2BDE5" w14:textId="77777777" w:rsidR="001F22F2" w:rsidRPr="00595457" w:rsidRDefault="001F22F2" w:rsidP="001F22F2">
            <w:pPr>
              <w:rPr>
                <w:rFonts w:ascii="Arial Narrow" w:hAnsi="Arial Narrow"/>
                <w:b/>
                <w:bCs/>
                <w:strike/>
                <w:sz w:val="20"/>
                <w:szCs w:val="20"/>
              </w:rPr>
            </w:pPr>
            <w:r w:rsidRPr="00595457">
              <w:rPr>
                <w:rFonts w:ascii="Arial Narrow" w:hAnsi="Arial Narrow"/>
                <w:b/>
                <w:bCs/>
                <w:strike/>
                <w:sz w:val="20"/>
                <w:szCs w:val="20"/>
              </w:rPr>
              <w:t>Prescribing Instructions:</w:t>
            </w:r>
          </w:p>
          <w:p w14:paraId="246BD202" w14:textId="77777777" w:rsidR="001F22F2" w:rsidRPr="00595457" w:rsidRDefault="001F22F2" w:rsidP="001F22F2">
            <w:pPr>
              <w:rPr>
                <w:rFonts w:ascii="Arial Narrow" w:hAnsi="Arial Narrow"/>
                <w:strike/>
                <w:sz w:val="20"/>
                <w:szCs w:val="20"/>
              </w:rPr>
            </w:pPr>
            <w:r w:rsidRPr="00595457">
              <w:rPr>
                <w:rFonts w:ascii="Arial Narrow" w:hAnsi="Arial Narrow"/>
                <w:strike/>
                <w:sz w:val="20"/>
                <w:szCs w:val="20"/>
              </w:rPr>
              <w:t>The authority application must be made in writing and must include:</w:t>
            </w:r>
          </w:p>
          <w:p w14:paraId="57646C12" w14:textId="77777777" w:rsidR="001F22F2" w:rsidRPr="00595457" w:rsidRDefault="001F22F2" w:rsidP="001F22F2">
            <w:pPr>
              <w:rPr>
                <w:rFonts w:ascii="Arial Narrow" w:hAnsi="Arial Narrow"/>
                <w:strike/>
                <w:sz w:val="20"/>
                <w:szCs w:val="20"/>
              </w:rPr>
            </w:pPr>
            <w:r w:rsidRPr="00595457">
              <w:rPr>
                <w:rFonts w:ascii="Arial Narrow" w:hAnsi="Arial Narrow"/>
                <w:strike/>
                <w:sz w:val="20"/>
                <w:szCs w:val="20"/>
              </w:rPr>
              <w:t>(1) a completed authority prescription form; and</w:t>
            </w:r>
          </w:p>
          <w:p w14:paraId="4292C41B" w14:textId="77777777" w:rsidR="001F22F2" w:rsidRPr="00595457" w:rsidRDefault="76C20411" w:rsidP="0CEE6DE9">
            <w:pPr>
              <w:rPr>
                <w:rFonts w:ascii="Arial Narrow" w:hAnsi="Arial Narrow"/>
                <w:strike/>
                <w:sz w:val="20"/>
                <w:szCs w:val="20"/>
              </w:rPr>
            </w:pPr>
            <w:r w:rsidRPr="00595457">
              <w:rPr>
                <w:rFonts w:ascii="Arial Narrow" w:hAnsi="Arial Narrow"/>
                <w:strike/>
                <w:sz w:val="20"/>
                <w:szCs w:val="20"/>
              </w:rPr>
              <w:t>(2) a completed authority application form relevant to the indication and treatment phase (the latest version is located on the website specified in the Administrative Advice).</w:t>
            </w:r>
          </w:p>
        </w:tc>
      </w:tr>
      <w:tr w:rsidR="001F22F2" w:rsidRPr="005E1044" w14:paraId="1ED30BC0"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0B4EA44" w14:textId="7E576B82" w:rsidR="001F22F2" w:rsidRPr="00595457" w:rsidRDefault="001F22F2" w:rsidP="001F22F2">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8C11F0" w14:textId="77777777" w:rsidR="001F22F2" w:rsidRPr="00595457" w:rsidRDefault="001F22F2" w:rsidP="001F22F2">
            <w:pPr>
              <w:rPr>
                <w:rFonts w:ascii="Arial Narrow" w:hAnsi="Arial Narrow"/>
                <w:sz w:val="20"/>
                <w:szCs w:val="20"/>
              </w:rPr>
            </w:pPr>
            <w:r w:rsidRPr="00595457">
              <w:rPr>
                <w:rFonts w:ascii="Arial Narrow" w:hAnsi="Arial Narrow"/>
                <w:b/>
                <w:bCs/>
                <w:sz w:val="20"/>
                <w:szCs w:val="20"/>
              </w:rPr>
              <w:t>Prescribing Instructions</w:t>
            </w:r>
            <w:r w:rsidRPr="00595457">
              <w:rPr>
                <w:rFonts w:ascii="Arial Narrow" w:hAnsi="Arial Narrow"/>
                <w:sz w:val="20"/>
                <w:szCs w:val="20"/>
              </w:rPr>
              <w:t>:</w:t>
            </w:r>
          </w:p>
          <w:p w14:paraId="6398F8DB" w14:textId="77777777" w:rsidR="001F22F2" w:rsidRPr="00595457" w:rsidRDefault="001F22F2" w:rsidP="001F22F2">
            <w:pPr>
              <w:rPr>
                <w:rFonts w:ascii="Arial Narrow" w:hAnsi="Arial Narrow"/>
                <w:sz w:val="20"/>
                <w:szCs w:val="20"/>
              </w:rPr>
            </w:pPr>
            <w:r w:rsidRPr="00595457">
              <w:rPr>
                <w:rFonts w:ascii="Arial Narrow" w:hAnsi="Arial Narrow"/>
                <w:sz w:val="20"/>
                <w:szCs w:val="20"/>
              </w:rPr>
              <w:t>An adequate response is defined as:</w:t>
            </w:r>
          </w:p>
          <w:p w14:paraId="7E8FCD23" w14:textId="77777777" w:rsidR="001F22F2" w:rsidRPr="00595457" w:rsidRDefault="001F22F2" w:rsidP="001F22F2">
            <w:pPr>
              <w:rPr>
                <w:rFonts w:ascii="Arial Narrow" w:hAnsi="Arial Narrow"/>
                <w:sz w:val="20"/>
                <w:szCs w:val="20"/>
              </w:rPr>
            </w:pPr>
            <w:r w:rsidRPr="00595457">
              <w:rPr>
                <w:rFonts w:ascii="Arial Narrow" w:hAnsi="Arial Narrow"/>
                <w:sz w:val="20"/>
                <w:szCs w:val="20"/>
              </w:rPr>
              <w:t>(a) a decrease from baseline in the number of open draining fistulae of greater than or equal to 50%; and/or</w:t>
            </w:r>
          </w:p>
          <w:p w14:paraId="6DBDA0E9" w14:textId="77777777" w:rsidR="001F22F2" w:rsidRPr="00595457" w:rsidRDefault="76C20411" w:rsidP="0CEE6DE9">
            <w:pPr>
              <w:rPr>
                <w:rFonts w:ascii="Arial Narrow" w:hAnsi="Arial Narrow"/>
                <w:sz w:val="20"/>
                <w:szCs w:val="20"/>
              </w:rPr>
            </w:pPr>
            <w:r w:rsidRPr="00595457">
              <w:rPr>
                <w:rFonts w:ascii="Arial Narrow" w:hAnsi="Arial Narrow"/>
                <w:sz w:val="20"/>
                <w:szCs w:val="20"/>
              </w:rPr>
              <w:t>(b) a marked reduction in drainage of all fistula(e) from baseline, together with less pain and induration as reported by the patient.</w:t>
            </w:r>
          </w:p>
        </w:tc>
      </w:tr>
      <w:tr w:rsidR="001F22F2" w:rsidRPr="005E1044" w14:paraId="2673E17E"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1767707" w14:textId="7AC45B79" w:rsidR="001F22F2" w:rsidRPr="00595457" w:rsidRDefault="001F22F2" w:rsidP="001F22F2">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C11CCF" w14:textId="77777777" w:rsidR="001F22F2" w:rsidRPr="00595457" w:rsidRDefault="001F22F2" w:rsidP="001F22F2">
            <w:pPr>
              <w:rPr>
                <w:rFonts w:ascii="Arial Narrow" w:hAnsi="Arial Narrow"/>
                <w:strike/>
                <w:sz w:val="20"/>
                <w:szCs w:val="20"/>
              </w:rPr>
            </w:pPr>
            <w:r w:rsidRPr="00595457">
              <w:rPr>
                <w:rFonts w:ascii="Arial Narrow" w:hAnsi="Arial Narrow"/>
                <w:strike/>
                <w:sz w:val="20"/>
                <w:szCs w:val="20"/>
              </w:rPr>
              <w:t>Prescribing Instructions:</w:t>
            </w:r>
          </w:p>
          <w:p w14:paraId="037B262B" w14:textId="77777777" w:rsidR="001F22F2" w:rsidRPr="00595457" w:rsidRDefault="7F4F2D65" w:rsidP="001F22F2">
            <w:pPr>
              <w:rPr>
                <w:rFonts w:ascii="Arial Narrow" w:hAnsi="Arial Narrow"/>
                <w:strike/>
                <w:sz w:val="20"/>
                <w:szCs w:val="20"/>
              </w:rPr>
            </w:pPr>
            <w:r w:rsidRPr="00595457">
              <w:rPr>
                <w:rFonts w:ascii="Arial Narrow" w:hAnsi="Arial Narrow"/>
                <w:strike/>
                <w:sz w:val="20"/>
                <w:szCs w:val="20"/>
              </w:rPr>
              <w:t>The most recent fistula assessment must be no more than 1 month old at the time of application.</w:t>
            </w:r>
          </w:p>
        </w:tc>
      </w:tr>
      <w:tr w:rsidR="00BC288D" w:rsidRPr="005E1044" w14:paraId="6DCB661A"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F07944E" w14:textId="56B16DA8" w:rsidR="00BC288D" w:rsidRPr="00595457" w:rsidRDefault="00BC288D" w:rsidP="00BC288D">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D13BBE" w14:textId="77777777" w:rsidR="00BC288D" w:rsidRPr="00595457" w:rsidRDefault="00BC288D" w:rsidP="00BC288D">
            <w:pPr>
              <w:rPr>
                <w:rFonts w:ascii="Arial Narrow" w:hAnsi="Arial Narrow"/>
                <w:b/>
                <w:bCs/>
                <w:i/>
                <w:iCs/>
                <w:sz w:val="20"/>
                <w:szCs w:val="20"/>
              </w:rPr>
            </w:pPr>
            <w:r w:rsidRPr="00595457">
              <w:rPr>
                <w:rFonts w:ascii="Arial Narrow" w:hAnsi="Arial Narrow"/>
                <w:b/>
                <w:bCs/>
                <w:i/>
                <w:iCs/>
                <w:sz w:val="20"/>
                <w:szCs w:val="20"/>
              </w:rPr>
              <w:t>Prescribing Instructions:</w:t>
            </w:r>
          </w:p>
          <w:p w14:paraId="65EDC5D5" w14:textId="77777777" w:rsidR="00BC288D" w:rsidRPr="00595457" w:rsidRDefault="00BC288D" w:rsidP="00BC288D">
            <w:pPr>
              <w:rPr>
                <w:rFonts w:ascii="Arial Narrow" w:hAnsi="Arial Narrow"/>
                <w:i/>
                <w:iCs/>
                <w:sz w:val="20"/>
                <w:szCs w:val="20"/>
              </w:rPr>
            </w:pPr>
            <w:r w:rsidRPr="00595457">
              <w:rPr>
                <w:rFonts w:ascii="Arial Narrow" w:hAnsi="Arial Narrow"/>
                <w:i/>
                <w:iCs/>
                <w:sz w:val="20"/>
                <w:szCs w:val="20"/>
              </w:rPr>
              <w:t>The measurement of response to the prior course of therapy must be documented in the patient's medical notes.</w:t>
            </w:r>
          </w:p>
        </w:tc>
      </w:tr>
      <w:tr w:rsidR="00BC288D" w:rsidRPr="005E1044" w14:paraId="0FC5686E"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F18D89A" w14:textId="6FC89C59" w:rsidR="00BC288D" w:rsidRPr="00595457" w:rsidRDefault="00BC288D" w:rsidP="00BC288D">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3A47D0" w14:textId="77777777" w:rsidR="00BC288D" w:rsidRPr="00595457" w:rsidRDefault="00BC288D" w:rsidP="00BC288D">
            <w:pPr>
              <w:rPr>
                <w:rFonts w:ascii="Arial Narrow" w:hAnsi="Arial Narrow"/>
                <w:b/>
                <w:bCs/>
                <w:i/>
                <w:iCs/>
                <w:sz w:val="20"/>
                <w:szCs w:val="20"/>
              </w:rPr>
            </w:pPr>
            <w:r w:rsidRPr="00595457">
              <w:rPr>
                <w:rFonts w:ascii="Arial Narrow" w:hAnsi="Arial Narrow"/>
                <w:b/>
                <w:bCs/>
                <w:i/>
                <w:iCs/>
                <w:sz w:val="20"/>
                <w:szCs w:val="20"/>
              </w:rPr>
              <w:t>Prescribing Instructions:</w:t>
            </w:r>
          </w:p>
          <w:p w14:paraId="41E1D56C" w14:textId="77777777" w:rsidR="00BC288D" w:rsidRPr="00595457" w:rsidRDefault="18824744" w:rsidP="0CEE6DE9">
            <w:pPr>
              <w:rPr>
                <w:rFonts w:ascii="Arial Narrow" w:hAnsi="Arial Narrow"/>
                <w:i/>
                <w:iCs/>
                <w:sz w:val="20"/>
                <w:szCs w:val="20"/>
              </w:rPr>
            </w:pPr>
            <w:r w:rsidRPr="00595457">
              <w:rPr>
                <w:rFonts w:ascii="Arial Narrow" w:hAnsi="Arial Narrow"/>
                <w:i/>
                <w:iCs/>
                <w:sz w:val="20"/>
                <w:szCs w:val="20"/>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710C89" w:rsidRPr="005E1044" w14:paraId="526B5988"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902BE4B" w14:textId="25934C2D" w:rsidR="00710C89" w:rsidRPr="00595457" w:rsidRDefault="00710C89" w:rsidP="00302D60">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4B1FC9" w14:textId="77777777" w:rsidR="00710C89" w:rsidRPr="00595457" w:rsidRDefault="00710C89" w:rsidP="00302D60">
            <w:pPr>
              <w:rPr>
                <w:rFonts w:ascii="Arial Narrow" w:hAnsi="Arial Narrow"/>
                <w:b/>
                <w:bCs/>
                <w:strike/>
                <w:sz w:val="20"/>
                <w:szCs w:val="20"/>
              </w:rPr>
            </w:pPr>
            <w:r w:rsidRPr="00595457">
              <w:rPr>
                <w:rFonts w:ascii="Arial Narrow" w:hAnsi="Arial Narrow"/>
                <w:b/>
                <w:bCs/>
                <w:strike/>
                <w:sz w:val="20"/>
                <w:szCs w:val="20"/>
              </w:rPr>
              <w:t>Administrative Advice:</w:t>
            </w:r>
          </w:p>
          <w:p w14:paraId="220F2203" w14:textId="77777777" w:rsidR="00710C89" w:rsidRPr="00595457" w:rsidRDefault="00710C89" w:rsidP="00302D60">
            <w:pPr>
              <w:rPr>
                <w:rFonts w:ascii="Arial Narrow" w:hAnsi="Arial Narrow"/>
                <w:strike/>
                <w:sz w:val="20"/>
                <w:szCs w:val="20"/>
              </w:rPr>
            </w:pPr>
            <w:r w:rsidRPr="00595457">
              <w:rPr>
                <w:rFonts w:ascii="Arial Narrow" w:hAnsi="Arial Narrow"/>
                <w:strike/>
                <w:sz w:val="20"/>
                <w:szCs w:val="20"/>
              </w:rPr>
              <w:t>Any queries concerning the arrangements to prescribe may be directed to Services Australia on 1800 700 270 (hours of operation 8 a.m. to 5 p.m. Monday to Friday).</w:t>
            </w:r>
          </w:p>
          <w:p w14:paraId="39988536" w14:textId="77777777" w:rsidR="00710C89" w:rsidRPr="00595457" w:rsidRDefault="00710C89" w:rsidP="00302D60">
            <w:pPr>
              <w:rPr>
                <w:rFonts w:ascii="Arial Narrow" w:hAnsi="Arial Narrow"/>
                <w:strike/>
                <w:sz w:val="20"/>
                <w:szCs w:val="20"/>
              </w:rPr>
            </w:pPr>
            <w:r w:rsidRPr="00595457">
              <w:rPr>
                <w:rFonts w:ascii="Arial Narrow" w:hAnsi="Arial Narrow"/>
                <w:strike/>
                <w:sz w:val="20"/>
                <w:szCs w:val="20"/>
              </w:rPr>
              <w:t>Prescribing information (including Authority Application forms and other relevant documentation as applicable) is available on the Services Australia website at www.servicesaustralia.gov.au</w:t>
            </w:r>
          </w:p>
          <w:p w14:paraId="2B3B4455" w14:textId="77777777" w:rsidR="00710C89" w:rsidRPr="00595457" w:rsidRDefault="41B893FA" w:rsidP="0CEE6DE9">
            <w:pPr>
              <w:rPr>
                <w:rFonts w:ascii="Arial Narrow" w:hAnsi="Arial Narrow"/>
                <w:strike/>
                <w:sz w:val="20"/>
                <w:szCs w:val="20"/>
              </w:rPr>
            </w:pPr>
            <w:r w:rsidRPr="00595457">
              <w:rPr>
                <w:rFonts w:ascii="Arial Narrow" w:hAnsi="Arial Narrow"/>
                <w:strike/>
                <w:sz w:val="20"/>
                <w:szCs w:val="20"/>
              </w:rPr>
              <w:t>Applications for authority to prescribe should be submitted online using the form upload facility in Health Professional Online Services (HPOS) at www.servicesaustralia.gov.au/hpos</w:t>
            </w:r>
          </w:p>
          <w:p w14:paraId="1BB930F2" w14:textId="77777777" w:rsidR="00710C89" w:rsidRPr="00595457" w:rsidRDefault="00710C89" w:rsidP="00302D60">
            <w:pPr>
              <w:rPr>
                <w:rFonts w:ascii="Arial Narrow" w:hAnsi="Arial Narrow"/>
                <w:strike/>
                <w:sz w:val="20"/>
                <w:szCs w:val="20"/>
              </w:rPr>
            </w:pPr>
            <w:r w:rsidRPr="00595457">
              <w:rPr>
                <w:rFonts w:ascii="Arial Narrow" w:hAnsi="Arial Narrow"/>
                <w:strike/>
                <w:sz w:val="20"/>
                <w:szCs w:val="20"/>
              </w:rPr>
              <w:t>Or mailed to:</w:t>
            </w:r>
          </w:p>
          <w:p w14:paraId="2A977301" w14:textId="77777777" w:rsidR="00710C89" w:rsidRPr="00595457" w:rsidRDefault="00710C89" w:rsidP="00302D60">
            <w:pPr>
              <w:rPr>
                <w:rFonts w:ascii="Arial Narrow" w:hAnsi="Arial Narrow"/>
                <w:strike/>
                <w:sz w:val="20"/>
                <w:szCs w:val="20"/>
              </w:rPr>
            </w:pPr>
            <w:r w:rsidRPr="00595457">
              <w:rPr>
                <w:rFonts w:ascii="Arial Narrow" w:hAnsi="Arial Narrow"/>
                <w:strike/>
                <w:sz w:val="20"/>
                <w:szCs w:val="20"/>
              </w:rPr>
              <w:t>Services Australia</w:t>
            </w:r>
          </w:p>
          <w:p w14:paraId="0F23C4F5" w14:textId="77777777" w:rsidR="00710C89" w:rsidRPr="00595457" w:rsidRDefault="00710C89" w:rsidP="00302D60">
            <w:pPr>
              <w:rPr>
                <w:rFonts w:ascii="Arial Narrow" w:hAnsi="Arial Narrow"/>
                <w:strike/>
                <w:sz w:val="20"/>
                <w:szCs w:val="20"/>
              </w:rPr>
            </w:pPr>
            <w:r w:rsidRPr="00595457">
              <w:rPr>
                <w:rFonts w:ascii="Arial Narrow" w:hAnsi="Arial Narrow"/>
                <w:strike/>
                <w:sz w:val="20"/>
                <w:szCs w:val="20"/>
              </w:rPr>
              <w:t>Complex Drugs</w:t>
            </w:r>
          </w:p>
          <w:p w14:paraId="6A47AB71" w14:textId="77777777" w:rsidR="00710C89" w:rsidRPr="00595457" w:rsidRDefault="00710C89" w:rsidP="00302D60">
            <w:pPr>
              <w:rPr>
                <w:rFonts w:ascii="Arial Narrow" w:hAnsi="Arial Narrow"/>
                <w:strike/>
                <w:sz w:val="20"/>
                <w:szCs w:val="20"/>
              </w:rPr>
            </w:pPr>
            <w:r w:rsidRPr="00595457">
              <w:rPr>
                <w:rFonts w:ascii="Arial Narrow" w:hAnsi="Arial Narrow"/>
                <w:strike/>
                <w:sz w:val="20"/>
                <w:szCs w:val="20"/>
              </w:rPr>
              <w:t>Reply Paid 9826</w:t>
            </w:r>
          </w:p>
          <w:p w14:paraId="5A88EFFB" w14:textId="77777777" w:rsidR="00710C89" w:rsidRPr="00595457" w:rsidRDefault="00710C89" w:rsidP="00302D60">
            <w:pPr>
              <w:rPr>
                <w:rFonts w:ascii="Arial Narrow" w:hAnsi="Arial Narrow"/>
                <w:strike/>
                <w:sz w:val="20"/>
                <w:szCs w:val="20"/>
              </w:rPr>
            </w:pPr>
            <w:r w:rsidRPr="00595457">
              <w:rPr>
                <w:rFonts w:ascii="Arial Narrow" w:hAnsi="Arial Narrow"/>
                <w:strike/>
                <w:sz w:val="20"/>
                <w:szCs w:val="20"/>
              </w:rPr>
              <w:t>HOBART TAS 7001</w:t>
            </w:r>
          </w:p>
        </w:tc>
      </w:tr>
    </w:tbl>
    <w:p w14:paraId="527DD6D1" w14:textId="77777777" w:rsidR="00721589" w:rsidRDefault="00721589" w:rsidP="00365FCC">
      <w:pPr>
        <w:pStyle w:val="TableFigureFooter"/>
        <w:spacing w:after="0"/>
      </w:pPr>
      <w:bookmarkStart w:id="6" w:name="_Toc50709842"/>
    </w:p>
    <w:p w14:paraId="647B19D9" w14:textId="23DC38DA" w:rsidR="00EF727B" w:rsidRDefault="00EF727B" w:rsidP="00B647BC">
      <w:pPr>
        <w:pStyle w:val="4-SubsectionHeading"/>
        <w:spacing w:after="0"/>
      </w:pPr>
      <w:r w:rsidRPr="0070519A">
        <w:t>Severe chronic plaque psoriasis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severe chronic plaque psoriasis"/>
        <w:tblDescription w:val="Treatment phase: continuing treatment with subcutaneous form or switching from intravenous form to subcutaneous form&#10;&#10;Changes to presecribing instructions and restriction type, removal of administrative advice "/>
      </w:tblPr>
      <w:tblGrid>
        <w:gridCol w:w="1271"/>
        <w:gridCol w:w="2552"/>
        <w:gridCol w:w="927"/>
        <w:gridCol w:w="812"/>
        <w:gridCol w:w="811"/>
        <w:gridCol w:w="812"/>
        <w:gridCol w:w="1831"/>
      </w:tblGrid>
      <w:tr w:rsidR="00EF727B" w:rsidRPr="00595457" w14:paraId="52A446E2" w14:textId="77777777" w:rsidTr="0CEE6DE9">
        <w:trPr>
          <w:cantSplit/>
          <w:trHeight w:val="20"/>
        </w:trPr>
        <w:tc>
          <w:tcPr>
            <w:tcW w:w="3823" w:type="dxa"/>
            <w:gridSpan w:val="2"/>
            <w:vAlign w:val="center"/>
          </w:tcPr>
          <w:p w14:paraId="619B7D56" w14:textId="77777777" w:rsidR="00EF727B" w:rsidRPr="00595457" w:rsidRDefault="00EF727B">
            <w:pPr>
              <w:keepLines/>
              <w:rPr>
                <w:rFonts w:ascii="Arial Narrow" w:hAnsi="Arial Narrow" w:cs="Arial"/>
                <w:b/>
                <w:bCs/>
                <w:sz w:val="20"/>
                <w:szCs w:val="20"/>
              </w:rPr>
            </w:pPr>
            <w:r w:rsidRPr="00595457">
              <w:rPr>
                <w:rFonts w:ascii="Arial Narrow" w:hAnsi="Arial Narrow" w:cs="Arial"/>
                <w:b/>
                <w:bCs/>
                <w:sz w:val="20"/>
                <w:szCs w:val="20"/>
              </w:rPr>
              <w:t>MEDICINAL PRODUCT</w:t>
            </w:r>
          </w:p>
          <w:p w14:paraId="25242E7A" w14:textId="77777777" w:rsidR="00EF727B" w:rsidRPr="00595457" w:rsidRDefault="00EF727B">
            <w:pPr>
              <w:keepLines/>
              <w:rPr>
                <w:rFonts w:ascii="Arial Narrow" w:hAnsi="Arial Narrow" w:cs="Arial"/>
                <w:b/>
                <w:sz w:val="20"/>
                <w:szCs w:val="20"/>
              </w:rPr>
            </w:pPr>
            <w:r w:rsidRPr="00595457">
              <w:rPr>
                <w:rFonts w:ascii="Arial Narrow" w:hAnsi="Arial Narrow" w:cs="Arial"/>
                <w:b/>
                <w:bCs/>
                <w:sz w:val="20"/>
                <w:szCs w:val="20"/>
              </w:rPr>
              <w:t>medicinal product pack</w:t>
            </w:r>
          </w:p>
        </w:tc>
        <w:tc>
          <w:tcPr>
            <w:tcW w:w="927" w:type="dxa"/>
            <w:vAlign w:val="center"/>
          </w:tcPr>
          <w:p w14:paraId="7817B6D0" w14:textId="77777777" w:rsidR="00EF727B" w:rsidRPr="00595457" w:rsidRDefault="00EF727B">
            <w:pPr>
              <w:keepLines/>
              <w:jc w:val="center"/>
              <w:rPr>
                <w:rFonts w:ascii="Arial Narrow" w:hAnsi="Arial Narrow" w:cs="Arial"/>
                <w:b/>
                <w:sz w:val="20"/>
                <w:szCs w:val="20"/>
              </w:rPr>
            </w:pPr>
            <w:r w:rsidRPr="00595457">
              <w:rPr>
                <w:rFonts w:ascii="Arial Narrow" w:hAnsi="Arial Narrow" w:cs="Arial"/>
                <w:b/>
                <w:sz w:val="20"/>
                <w:szCs w:val="20"/>
              </w:rPr>
              <w:t>PBS item code</w:t>
            </w:r>
          </w:p>
        </w:tc>
        <w:tc>
          <w:tcPr>
            <w:tcW w:w="812" w:type="dxa"/>
            <w:vAlign w:val="center"/>
          </w:tcPr>
          <w:p w14:paraId="40CD481E" w14:textId="77777777" w:rsidR="00EF727B" w:rsidRPr="00595457" w:rsidRDefault="00EF727B">
            <w:pPr>
              <w:keepLines/>
              <w:jc w:val="center"/>
              <w:rPr>
                <w:rFonts w:ascii="Arial Narrow" w:hAnsi="Arial Narrow" w:cs="Arial"/>
                <w:b/>
                <w:sz w:val="20"/>
                <w:szCs w:val="20"/>
              </w:rPr>
            </w:pPr>
            <w:r w:rsidRPr="00595457">
              <w:rPr>
                <w:rFonts w:ascii="Arial Narrow" w:hAnsi="Arial Narrow" w:cs="Arial"/>
                <w:b/>
                <w:sz w:val="20"/>
                <w:szCs w:val="20"/>
              </w:rPr>
              <w:t>Max. qty packs</w:t>
            </w:r>
          </w:p>
        </w:tc>
        <w:tc>
          <w:tcPr>
            <w:tcW w:w="811" w:type="dxa"/>
            <w:vAlign w:val="center"/>
          </w:tcPr>
          <w:p w14:paraId="1E5478CC" w14:textId="77777777" w:rsidR="00EF727B" w:rsidRPr="00595457" w:rsidRDefault="00EF727B">
            <w:pPr>
              <w:keepLines/>
              <w:jc w:val="center"/>
              <w:rPr>
                <w:rFonts w:ascii="Arial Narrow" w:hAnsi="Arial Narrow" w:cs="Arial"/>
                <w:b/>
                <w:sz w:val="20"/>
                <w:szCs w:val="20"/>
              </w:rPr>
            </w:pPr>
            <w:r w:rsidRPr="00595457">
              <w:rPr>
                <w:rFonts w:ascii="Arial Narrow" w:hAnsi="Arial Narrow" w:cs="Arial"/>
                <w:b/>
                <w:sz w:val="20"/>
                <w:szCs w:val="20"/>
              </w:rPr>
              <w:t>Max. qty units</w:t>
            </w:r>
          </w:p>
        </w:tc>
        <w:tc>
          <w:tcPr>
            <w:tcW w:w="812" w:type="dxa"/>
            <w:vAlign w:val="center"/>
          </w:tcPr>
          <w:p w14:paraId="29AAF20B" w14:textId="77777777" w:rsidR="00EF727B" w:rsidRPr="00595457" w:rsidRDefault="1E372069" w:rsidP="0CEE6DE9">
            <w:pPr>
              <w:keepLines/>
              <w:jc w:val="center"/>
              <w:rPr>
                <w:rFonts w:ascii="Arial Narrow" w:hAnsi="Arial Narrow" w:cs="Arial"/>
                <w:b/>
                <w:bCs/>
                <w:sz w:val="20"/>
                <w:szCs w:val="20"/>
              </w:rPr>
            </w:pPr>
            <w:r w:rsidRPr="00595457">
              <w:rPr>
                <w:rFonts w:ascii="Arial Narrow" w:hAnsi="Arial Narrow" w:cs="Arial"/>
                <w:b/>
                <w:bCs/>
                <w:sz w:val="20"/>
                <w:szCs w:val="20"/>
              </w:rPr>
              <w:t>№.of</w:t>
            </w:r>
          </w:p>
          <w:p w14:paraId="1E1451DC" w14:textId="77777777" w:rsidR="00EF727B" w:rsidRPr="00595457" w:rsidRDefault="1E372069" w:rsidP="0CEE6DE9">
            <w:pPr>
              <w:keepLines/>
              <w:jc w:val="center"/>
              <w:rPr>
                <w:rFonts w:ascii="Arial Narrow" w:hAnsi="Arial Narrow" w:cs="Arial"/>
                <w:b/>
                <w:bCs/>
                <w:sz w:val="20"/>
                <w:szCs w:val="20"/>
              </w:rPr>
            </w:pPr>
            <w:r w:rsidRPr="00595457">
              <w:rPr>
                <w:rFonts w:ascii="Arial Narrow" w:hAnsi="Arial Narrow" w:cs="Arial"/>
                <w:b/>
                <w:bCs/>
                <w:sz w:val="20"/>
                <w:szCs w:val="20"/>
              </w:rPr>
              <w:t>Rpts</w:t>
            </w:r>
          </w:p>
        </w:tc>
        <w:tc>
          <w:tcPr>
            <w:tcW w:w="1831" w:type="dxa"/>
            <w:vAlign w:val="center"/>
          </w:tcPr>
          <w:p w14:paraId="0C9531CD" w14:textId="77777777" w:rsidR="00EF727B" w:rsidRPr="00595457" w:rsidRDefault="00EF727B">
            <w:pPr>
              <w:keepLines/>
              <w:rPr>
                <w:rFonts w:ascii="Arial Narrow" w:hAnsi="Arial Narrow" w:cs="Arial"/>
                <w:b/>
                <w:sz w:val="20"/>
                <w:szCs w:val="20"/>
                <w:lang w:val="fr-FR"/>
              </w:rPr>
            </w:pPr>
            <w:r w:rsidRPr="00595457">
              <w:rPr>
                <w:rFonts w:ascii="Arial Narrow" w:hAnsi="Arial Narrow" w:cs="Arial"/>
                <w:b/>
                <w:sz w:val="20"/>
                <w:szCs w:val="20"/>
              </w:rPr>
              <w:t>Available brands</w:t>
            </w:r>
          </w:p>
        </w:tc>
      </w:tr>
      <w:tr w:rsidR="00EF727B" w:rsidRPr="00595457" w14:paraId="52469A54" w14:textId="77777777" w:rsidTr="0CEE6DE9">
        <w:trPr>
          <w:cantSplit/>
          <w:trHeight w:val="20"/>
        </w:trPr>
        <w:tc>
          <w:tcPr>
            <w:tcW w:w="9016" w:type="dxa"/>
            <w:gridSpan w:val="7"/>
            <w:vAlign w:val="center"/>
          </w:tcPr>
          <w:p w14:paraId="03403BE6" w14:textId="77777777" w:rsidR="00EF727B" w:rsidRPr="00595457" w:rsidRDefault="00EF727B">
            <w:pPr>
              <w:keepLines/>
              <w:rPr>
                <w:rFonts w:ascii="Arial Narrow" w:hAnsi="Arial Narrow" w:cs="Arial"/>
                <w:sz w:val="20"/>
                <w:szCs w:val="20"/>
              </w:rPr>
            </w:pPr>
            <w:r w:rsidRPr="00595457">
              <w:rPr>
                <w:rFonts w:ascii="Arial Narrow" w:hAnsi="Arial Narrow" w:cs="Arial"/>
                <w:sz w:val="20"/>
                <w:szCs w:val="20"/>
              </w:rPr>
              <w:t>INFLIXIMAB</w:t>
            </w:r>
          </w:p>
        </w:tc>
      </w:tr>
      <w:tr w:rsidR="00EF727B" w:rsidRPr="00595457" w14:paraId="0AB10BD1" w14:textId="77777777" w:rsidTr="0CEE6DE9">
        <w:trPr>
          <w:cantSplit/>
          <w:trHeight w:val="20"/>
        </w:trPr>
        <w:tc>
          <w:tcPr>
            <w:tcW w:w="3823" w:type="dxa"/>
            <w:gridSpan w:val="2"/>
            <w:vAlign w:val="center"/>
          </w:tcPr>
          <w:p w14:paraId="799B760F" w14:textId="77777777" w:rsidR="00EF727B" w:rsidRPr="00595457" w:rsidRDefault="00EF727B">
            <w:pPr>
              <w:keepLines/>
              <w:rPr>
                <w:rFonts w:ascii="Arial Narrow" w:hAnsi="Arial Narrow" w:cs="Arial"/>
                <w:sz w:val="20"/>
                <w:szCs w:val="20"/>
              </w:rPr>
            </w:pPr>
            <w:r w:rsidRPr="00595457">
              <w:rPr>
                <w:rFonts w:ascii="Arial Narrow" w:hAnsi="Arial Narrow" w:cs="Arial"/>
                <w:sz w:val="20"/>
                <w:szCs w:val="20"/>
              </w:rPr>
              <w:t>infliximab 120 mg/mL injection, 1 mL pen device</w:t>
            </w:r>
          </w:p>
        </w:tc>
        <w:tc>
          <w:tcPr>
            <w:tcW w:w="927" w:type="dxa"/>
            <w:vAlign w:val="center"/>
          </w:tcPr>
          <w:p w14:paraId="5C0D23B8" w14:textId="77777777" w:rsidR="00EF727B" w:rsidRPr="00595457" w:rsidRDefault="00EF727B">
            <w:pPr>
              <w:keepLines/>
              <w:jc w:val="center"/>
              <w:rPr>
                <w:rFonts w:ascii="Arial Narrow" w:hAnsi="Arial Narrow" w:cs="Arial"/>
                <w:sz w:val="20"/>
                <w:szCs w:val="20"/>
              </w:rPr>
            </w:pPr>
            <w:r w:rsidRPr="00595457">
              <w:rPr>
                <w:rFonts w:ascii="Arial Narrow" w:hAnsi="Arial Narrow" w:cs="Arial"/>
                <w:sz w:val="20"/>
                <w:szCs w:val="20"/>
              </w:rPr>
              <w:t>13076F</w:t>
            </w:r>
          </w:p>
        </w:tc>
        <w:tc>
          <w:tcPr>
            <w:tcW w:w="812" w:type="dxa"/>
          </w:tcPr>
          <w:p w14:paraId="7F2036DC" w14:textId="77777777" w:rsidR="00EF727B" w:rsidRPr="00595457" w:rsidRDefault="00EF727B">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tcPr>
          <w:p w14:paraId="11E5A124" w14:textId="77777777" w:rsidR="00EF727B" w:rsidRPr="00595457" w:rsidRDefault="00EF727B">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tcPr>
          <w:p w14:paraId="3163A870" w14:textId="77777777" w:rsidR="00EF727B" w:rsidRPr="00595457" w:rsidRDefault="00EF727B">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574199AB" w14:textId="77777777" w:rsidR="00EF727B" w:rsidRPr="00595457" w:rsidRDefault="1E372069" w:rsidP="0CEE6DE9">
            <w:pPr>
              <w:keepLines/>
              <w:rPr>
                <w:rFonts w:ascii="Arial Narrow" w:hAnsi="Arial Narrow" w:cs="Arial"/>
                <w:sz w:val="20"/>
                <w:szCs w:val="20"/>
              </w:rPr>
            </w:pPr>
            <w:r w:rsidRPr="00595457">
              <w:rPr>
                <w:rFonts w:ascii="Arial Narrow" w:hAnsi="Arial Narrow" w:cs="Arial"/>
                <w:sz w:val="20"/>
                <w:szCs w:val="20"/>
              </w:rPr>
              <w:t>Remsima SC</w:t>
            </w:r>
          </w:p>
        </w:tc>
      </w:tr>
      <w:tr w:rsidR="00EF727B" w:rsidRPr="00595457" w14:paraId="6E81F2D0" w14:textId="77777777" w:rsidTr="0CEE6DE9">
        <w:trPr>
          <w:cantSplit/>
          <w:trHeight w:val="20"/>
        </w:trPr>
        <w:tc>
          <w:tcPr>
            <w:tcW w:w="3823" w:type="dxa"/>
            <w:gridSpan w:val="2"/>
            <w:vAlign w:val="center"/>
          </w:tcPr>
          <w:p w14:paraId="451F0A79" w14:textId="77777777" w:rsidR="00EF727B" w:rsidRPr="00595457" w:rsidRDefault="00EF727B">
            <w:pPr>
              <w:keepLines/>
              <w:rPr>
                <w:rFonts w:ascii="Arial Narrow" w:hAnsi="Arial Narrow" w:cs="Arial"/>
                <w:sz w:val="20"/>
                <w:szCs w:val="20"/>
              </w:rPr>
            </w:pPr>
            <w:r w:rsidRPr="00595457">
              <w:rPr>
                <w:rFonts w:ascii="Arial Narrow" w:hAnsi="Arial Narrow" w:cs="Arial"/>
                <w:sz w:val="20"/>
                <w:szCs w:val="20"/>
              </w:rPr>
              <w:t>infliximab 120 mg/mL injection, 1 mL syringe</w:t>
            </w:r>
          </w:p>
        </w:tc>
        <w:tc>
          <w:tcPr>
            <w:tcW w:w="927" w:type="dxa"/>
            <w:vAlign w:val="center"/>
          </w:tcPr>
          <w:p w14:paraId="52E18A9D" w14:textId="77777777" w:rsidR="00EF727B" w:rsidRPr="00595457" w:rsidRDefault="00EF727B">
            <w:pPr>
              <w:keepLines/>
              <w:jc w:val="center"/>
              <w:rPr>
                <w:rFonts w:ascii="Arial Narrow" w:hAnsi="Arial Narrow" w:cs="Arial"/>
                <w:sz w:val="20"/>
                <w:szCs w:val="20"/>
              </w:rPr>
            </w:pPr>
            <w:r w:rsidRPr="00595457">
              <w:rPr>
                <w:rFonts w:ascii="Arial Narrow" w:hAnsi="Arial Narrow" w:cs="Arial"/>
                <w:sz w:val="20"/>
                <w:szCs w:val="20"/>
              </w:rPr>
              <w:t>13050W</w:t>
            </w:r>
          </w:p>
        </w:tc>
        <w:tc>
          <w:tcPr>
            <w:tcW w:w="812" w:type="dxa"/>
            <w:vAlign w:val="center"/>
          </w:tcPr>
          <w:p w14:paraId="318F8DE4" w14:textId="77777777" w:rsidR="00EF727B" w:rsidRPr="00595457" w:rsidRDefault="00EF727B">
            <w:pPr>
              <w:keepLines/>
              <w:jc w:val="center"/>
              <w:rPr>
                <w:rFonts w:ascii="Arial Narrow" w:hAnsi="Arial Narrow" w:cs="Arial"/>
                <w:sz w:val="20"/>
                <w:szCs w:val="20"/>
              </w:rPr>
            </w:pPr>
            <w:r w:rsidRPr="00595457">
              <w:rPr>
                <w:rFonts w:ascii="Arial Narrow" w:hAnsi="Arial Narrow" w:cs="Arial"/>
                <w:sz w:val="20"/>
                <w:szCs w:val="20"/>
              </w:rPr>
              <w:t>2</w:t>
            </w:r>
          </w:p>
        </w:tc>
        <w:tc>
          <w:tcPr>
            <w:tcW w:w="811" w:type="dxa"/>
            <w:vAlign w:val="center"/>
          </w:tcPr>
          <w:p w14:paraId="6B432A09" w14:textId="77777777" w:rsidR="00EF727B" w:rsidRPr="00595457" w:rsidRDefault="00EF727B">
            <w:pPr>
              <w:keepLines/>
              <w:jc w:val="center"/>
              <w:rPr>
                <w:rFonts w:ascii="Arial Narrow" w:hAnsi="Arial Narrow" w:cs="Arial"/>
                <w:sz w:val="20"/>
                <w:szCs w:val="20"/>
              </w:rPr>
            </w:pPr>
            <w:r w:rsidRPr="00595457">
              <w:rPr>
                <w:rFonts w:ascii="Arial Narrow" w:hAnsi="Arial Narrow" w:cs="Arial"/>
                <w:sz w:val="20"/>
                <w:szCs w:val="20"/>
              </w:rPr>
              <w:t>2</w:t>
            </w:r>
          </w:p>
        </w:tc>
        <w:tc>
          <w:tcPr>
            <w:tcW w:w="812" w:type="dxa"/>
            <w:vAlign w:val="center"/>
          </w:tcPr>
          <w:p w14:paraId="0AB07CAE" w14:textId="77777777" w:rsidR="00EF727B" w:rsidRPr="00595457" w:rsidRDefault="00EF727B">
            <w:pPr>
              <w:keepLines/>
              <w:jc w:val="center"/>
              <w:rPr>
                <w:rFonts w:ascii="Arial Narrow" w:hAnsi="Arial Narrow" w:cs="Arial"/>
                <w:sz w:val="20"/>
                <w:szCs w:val="20"/>
              </w:rPr>
            </w:pPr>
            <w:r w:rsidRPr="00595457">
              <w:rPr>
                <w:rFonts w:ascii="Arial Narrow" w:hAnsi="Arial Narrow" w:cs="Arial"/>
                <w:sz w:val="20"/>
                <w:szCs w:val="20"/>
              </w:rPr>
              <w:t>5</w:t>
            </w:r>
          </w:p>
        </w:tc>
        <w:tc>
          <w:tcPr>
            <w:tcW w:w="1831" w:type="dxa"/>
            <w:vAlign w:val="center"/>
          </w:tcPr>
          <w:p w14:paraId="2FABD7C8" w14:textId="77777777" w:rsidR="00EF727B" w:rsidRPr="00595457" w:rsidRDefault="1E372069" w:rsidP="0CEE6DE9">
            <w:pPr>
              <w:keepLines/>
              <w:rPr>
                <w:rFonts w:ascii="Arial Narrow" w:hAnsi="Arial Narrow" w:cs="Arial"/>
                <w:sz w:val="20"/>
                <w:szCs w:val="20"/>
              </w:rPr>
            </w:pPr>
            <w:r w:rsidRPr="00595457">
              <w:rPr>
                <w:rFonts w:ascii="Arial Narrow" w:hAnsi="Arial Narrow" w:cs="Arial"/>
                <w:sz w:val="20"/>
                <w:szCs w:val="20"/>
              </w:rPr>
              <w:t>Remsima SC</w:t>
            </w:r>
          </w:p>
        </w:tc>
      </w:tr>
      <w:tr w:rsidR="00EF727B" w:rsidRPr="00595457" w14:paraId="487726E7"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A4D09A1" w14:textId="77777777" w:rsidR="00EF727B" w:rsidRPr="00595457" w:rsidRDefault="00EF727B">
            <w:pPr>
              <w:rPr>
                <w:rFonts w:ascii="Arial Narrow" w:hAnsi="Arial Narrow" w:cs="Arial"/>
                <w:sz w:val="20"/>
                <w:szCs w:val="20"/>
              </w:rPr>
            </w:pPr>
          </w:p>
        </w:tc>
      </w:tr>
      <w:tr w:rsidR="00EF727B" w:rsidRPr="00595457" w14:paraId="3B377179" w14:textId="77777777" w:rsidTr="0CEE6DE9">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E1C355A" w14:textId="7F9FAF4B" w:rsidR="00EF727B" w:rsidRPr="00595457" w:rsidRDefault="00EF727B">
            <w:pPr>
              <w:keepLines/>
              <w:rPr>
                <w:rFonts w:ascii="Arial Narrow" w:hAnsi="Arial Narrow" w:cs="Arial"/>
                <w:b/>
                <w:sz w:val="20"/>
                <w:szCs w:val="20"/>
              </w:rPr>
            </w:pPr>
            <w:r w:rsidRPr="00595457">
              <w:rPr>
                <w:rFonts w:ascii="Arial Narrow" w:hAnsi="Arial Narrow"/>
                <w:b/>
                <w:sz w:val="20"/>
                <w:szCs w:val="20"/>
              </w:rPr>
              <w:t xml:space="preserve">Restriction Summary / Treatment of Concept: </w:t>
            </w:r>
          </w:p>
        </w:tc>
      </w:tr>
      <w:tr w:rsidR="00EF727B" w:rsidRPr="00595457" w14:paraId="33221246" w14:textId="77777777" w:rsidTr="0CEE6DE9">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5908F623" w14:textId="33F28FF2" w:rsidR="00EF727B" w:rsidRPr="00595457" w:rsidRDefault="00EF727B">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7D78BFC" w14:textId="77777777" w:rsidR="00EF727B" w:rsidRPr="00595457" w:rsidRDefault="00EF727B">
            <w:pPr>
              <w:keepLines/>
              <w:rPr>
                <w:rFonts w:ascii="Arial Narrow" w:hAnsi="Arial Narrow" w:cs="Arial"/>
                <w:sz w:val="20"/>
                <w:szCs w:val="20"/>
              </w:rPr>
            </w:pPr>
            <w:r w:rsidRPr="00595457">
              <w:rPr>
                <w:rFonts w:ascii="Arial Narrow" w:hAnsi="Arial Narrow" w:cs="Arial"/>
                <w:b/>
                <w:sz w:val="20"/>
                <w:szCs w:val="20"/>
              </w:rPr>
              <w:t>Category / Program:</w:t>
            </w:r>
            <w:r w:rsidRPr="00595457">
              <w:rPr>
                <w:rFonts w:ascii="Arial Narrow" w:hAnsi="Arial Narrow" w:cs="Arial"/>
                <w:color w:val="FF0000"/>
                <w:sz w:val="20"/>
                <w:szCs w:val="20"/>
              </w:rPr>
              <w:t xml:space="preserve"> </w:t>
            </w:r>
            <w:r w:rsidRPr="00595457">
              <w:rPr>
                <w:rFonts w:ascii="Arial Narrow" w:eastAsia="Calibri" w:hAnsi="Arial Narrow" w:cs="Arial"/>
                <w:sz w:val="20"/>
                <w:szCs w:val="20"/>
              </w:rPr>
              <w:t xml:space="preserve">GENERAL - General Schedule (Code GE) </w:t>
            </w:r>
          </w:p>
        </w:tc>
      </w:tr>
      <w:tr w:rsidR="00EF727B" w:rsidRPr="00595457" w14:paraId="485FD629"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3D23C519" w14:textId="77777777" w:rsidR="00EF727B" w:rsidRPr="00595457" w:rsidRDefault="00EF727B">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04D165E" w14:textId="77777777" w:rsidR="00EF727B" w:rsidRPr="00595457" w:rsidRDefault="00EF727B">
            <w:pPr>
              <w:keepLines/>
              <w:rPr>
                <w:rFonts w:ascii="Arial Narrow" w:hAnsi="Arial Narrow" w:cs="Arial"/>
                <w:b/>
                <w:sz w:val="20"/>
                <w:szCs w:val="20"/>
              </w:rPr>
            </w:pPr>
            <w:r w:rsidRPr="00595457">
              <w:rPr>
                <w:rFonts w:ascii="Arial Narrow" w:hAnsi="Arial Narrow" w:cs="Arial"/>
                <w:b/>
                <w:sz w:val="20"/>
                <w:szCs w:val="20"/>
              </w:rPr>
              <w:t xml:space="preserve">Prescriber type: </w:t>
            </w:r>
            <w:r w:rsidRPr="00595457">
              <w:rPr>
                <w:rFonts w:ascii="Arial Narrow" w:hAnsi="Arial Narrow" w:cs="Arial"/>
                <w:sz w:val="20"/>
                <w:szCs w:val="20"/>
              </w:rPr>
              <w:fldChar w:fldCharType="begin" w:fldLock="1">
                <w:ffData>
                  <w:name w:val=""/>
                  <w:enabled/>
                  <w:calcOnExit w:val="0"/>
                  <w:checkBox>
                    <w:sizeAuto/>
                    <w:default w:val="1"/>
                  </w:checkBox>
                </w:ffData>
              </w:fldChar>
            </w:r>
            <w:r w:rsidRPr="00595457">
              <w:rPr>
                <w:rFonts w:ascii="Arial Narrow" w:hAnsi="Arial Narrow" w:cs="Arial"/>
                <w:sz w:val="20"/>
                <w:szCs w:val="20"/>
              </w:rPr>
              <w:instrText xml:space="preserve"> FORMCHECKBOX </w:instrText>
            </w:r>
            <w:r w:rsidRPr="00595457">
              <w:rPr>
                <w:rFonts w:ascii="Arial Narrow" w:hAnsi="Arial Narrow" w:cs="Arial"/>
                <w:sz w:val="20"/>
                <w:szCs w:val="20"/>
              </w:rPr>
            </w:r>
            <w:r w:rsidRPr="00595457">
              <w:rPr>
                <w:rFonts w:ascii="Arial Narrow" w:hAnsi="Arial Narrow" w:cs="Arial"/>
                <w:sz w:val="20"/>
                <w:szCs w:val="20"/>
              </w:rPr>
              <w:fldChar w:fldCharType="separate"/>
            </w:r>
            <w:r w:rsidRPr="00595457">
              <w:rPr>
                <w:rFonts w:ascii="Arial Narrow" w:hAnsi="Arial Narrow" w:cs="Arial"/>
                <w:sz w:val="20"/>
                <w:szCs w:val="20"/>
              </w:rPr>
              <w:fldChar w:fldCharType="end"/>
            </w:r>
            <w:r w:rsidRPr="00595457">
              <w:rPr>
                <w:rFonts w:ascii="Arial Narrow" w:hAnsi="Arial Narrow" w:cs="Arial"/>
                <w:sz w:val="20"/>
                <w:szCs w:val="20"/>
              </w:rPr>
              <w:t xml:space="preserve">Medical Practitioners </w:t>
            </w:r>
          </w:p>
        </w:tc>
      </w:tr>
      <w:tr w:rsidR="00EF727B" w:rsidRPr="00595457" w14:paraId="09BADDEA" w14:textId="77777777" w:rsidTr="0CEE6DE9">
        <w:tblPrEx>
          <w:tblCellMar>
            <w:top w:w="15" w:type="dxa"/>
            <w:bottom w:w="15" w:type="dxa"/>
          </w:tblCellMar>
          <w:tblLook w:val="04A0" w:firstRow="1" w:lastRow="0" w:firstColumn="1" w:lastColumn="0" w:noHBand="0" w:noVBand="1"/>
        </w:tblPrEx>
        <w:trPr>
          <w:trHeight w:val="20"/>
        </w:trPr>
        <w:tc>
          <w:tcPr>
            <w:tcW w:w="1271" w:type="dxa"/>
            <w:vMerge/>
          </w:tcPr>
          <w:p w14:paraId="1FA7BDB6" w14:textId="77777777" w:rsidR="00EF727B" w:rsidRPr="00595457" w:rsidRDefault="00EF727B">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125A84B" w14:textId="77777777" w:rsidR="00EF727B" w:rsidRPr="00595457" w:rsidRDefault="00EF727B">
            <w:pPr>
              <w:keepLines/>
              <w:rPr>
                <w:rFonts w:ascii="Arial Narrow" w:hAnsi="Arial Narrow" w:cs="Arial"/>
                <w:b/>
                <w:sz w:val="20"/>
                <w:szCs w:val="20"/>
              </w:rPr>
            </w:pPr>
            <w:r w:rsidRPr="00595457">
              <w:rPr>
                <w:rFonts w:ascii="Arial Narrow" w:hAnsi="Arial Narrow" w:cs="Arial"/>
                <w:b/>
                <w:sz w:val="20"/>
                <w:szCs w:val="20"/>
              </w:rPr>
              <w:t xml:space="preserve">Restriction type: </w:t>
            </w:r>
          </w:p>
          <w:p w14:paraId="1CB5E910" w14:textId="77777777" w:rsidR="00EF727B" w:rsidRPr="00595457" w:rsidRDefault="00EF727B">
            <w:pPr>
              <w:keepLines/>
              <w:jc w:val="left"/>
              <w:rPr>
                <w:rFonts w:ascii="Arial Narrow" w:eastAsia="Calibri" w:hAnsi="Arial Narrow" w:cs="Arial"/>
                <w:color w:val="FF0000"/>
                <w:sz w:val="20"/>
                <w:szCs w:val="20"/>
              </w:rPr>
            </w:pPr>
            <w:r w:rsidRPr="00595457">
              <w:rPr>
                <w:rFonts w:ascii="Arial Narrow" w:eastAsia="Calibri" w:hAnsi="Arial Narrow" w:cs="Arial"/>
                <w:sz w:val="20"/>
                <w:szCs w:val="20"/>
              </w:rPr>
              <w:fldChar w:fldCharType="begin" w:fldLock="1">
                <w:ffData>
                  <w:name w:val=""/>
                  <w:enabled/>
                  <w:calcOnExit w:val="0"/>
                  <w:checkBox>
                    <w:sizeAuto/>
                    <w:default w:val="1"/>
                  </w:checkBox>
                </w:ffData>
              </w:fldChar>
            </w:r>
            <w:r w:rsidRPr="00595457">
              <w:rPr>
                <w:rFonts w:ascii="Arial Narrow" w:eastAsia="Calibri" w:hAnsi="Arial Narrow" w:cs="Arial"/>
                <w:sz w:val="20"/>
                <w:szCs w:val="20"/>
              </w:rPr>
              <w:instrText xml:space="preserve"> FORMCHECKBOX </w:instrText>
            </w:r>
            <w:r w:rsidRPr="00595457">
              <w:rPr>
                <w:rFonts w:ascii="Arial Narrow" w:eastAsia="Calibri" w:hAnsi="Arial Narrow" w:cs="Arial"/>
                <w:sz w:val="20"/>
                <w:szCs w:val="20"/>
              </w:rPr>
            </w:r>
            <w:r w:rsidRPr="00595457">
              <w:rPr>
                <w:rFonts w:ascii="Arial Narrow" w:eastAsia="Calibri" w:hAnsi="Arial Narrow" w:cs="Arial"/>
                <w:sz w:val="20"/>
                <w:szCs w:val="20"/>
              </w:rPr>
              <w:fldChar w:fldCharType="separate"/>
            </w:r>
            <w:r w:rsidRPr="00595457">
              <w:rPr>
                <w:rFonts w:ascii="Arial Narrow" w:eastAsia="Calibri" w:hAnsi="Arial Narrow" w:cs="Arial"/>
                <w:sz w:val="20"/>
                <w:szCs w:val="20"/>
              </w:rPr>
              <w:fldChar w:fldCharType="end"/>
            </w:r>
            <w:r w:rsidRPr="00595457">
              <w:rPr>
                <w:rFonts w:ascii="Arial Narrow" w:eastAsia="Calibri" w:hAnsi="Arial Narrow" w:cs="Arial"/>
                <w:i/>
                <w:iCs/>
                <w:sz w:val="20"/>
                <w:szCs w:val="20"/>
              </w:rPr>
              <w:t>Authority Required (Streamlined)</w:t>
            </w:r>
            <w:r w:rsidRPr="00595457">
              <w:rPr>
                <w:rFonts w:ascii="Arial Narrow" w:eastAsia="Calibri" w:hAnsi="Arial Narrow" w:cs="Arial"/>
                <w:sz w:val="20"/>
                <w:szCs w:val="20"/>
              </w:rPr>
              <w:t xml:space="preserve"> </w:t>
            </w:r>
            <w:r w:rsidRPr="00595457">
              <w:rPr>
                <w:rFonts w:ascii="Arial Narrow" w:eastAsia="Calibri" w:hAnsi="Arial Narrow" w:cs="Arial"/>
                <w:color w:val="FF0000"/>
                <w:sz w:val="20"/>
                <w:szCs w:val="20"/>
              </w:rPr>
              <w:br/>
            </w:r>
            <w:r w:rsidRPr="00595457">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595457">
              <w:rPr>
                <w:rFonts w:ascii="Arial Narrow" w:eastAsia="Calibri" w:hAnsi="Arial Narrow" w:cs="Arial"/>
                <w:strike/>
                <w:sz w:val="20"/>
                <w:szCs w:val="20"/>
              </w:rPr>
              <w:instrText xml:space="preserve"> FORMCHECKBOX </w:instrText>
            </w:r>
            <w:r w:rsidRPr="00595457">
              <w:rPr>
                <w:rFonts w:ascii="Arial Narrow" w:eastAsia="Calibri" w:hAnsi="Arial Narrow" w:cs="Arial"/>
                <w:strike/>
                <w:sz w:val="20"/>
                <w:szCs w:val="20"/>
              </w:rPr>
            </w:r>
            <w:r w:rsidRPr="00595457">
              <w:rPr>
                <w:rFonts w:ascii="Arial Narrow" w:eastAsia="Calibri" w:hAnsi="Arial Narrow" w:cs="Arial"/>
                <w:strike/>
                <w:sz w:val="20"/>
                <w:szCs w:val="20"/>
              </w:rPr>
              <w:fldChar w:fldCharType="separate"/>
            </w:r>
            <w:r w:rsidRPr="00595457">
              <w:rPr>
                <w:rFonts w:ascii="Arial Narrow" w:eastAsia="Calibri" w:hAnsi="Arial Narrow" w:cs="Arial"/>
                <w:strike/>
                <w:sz w:val="20"/>
                <w:szCs w:val="20"/>
              </w:rPr>
              <w:fldChar w:fldCharType="end"/>
            </w:r>
            <w:r w:rsidRPr="00595457">
              <w:rPr>
                <w:rFonts w:ascii="Arial Narrow" w:eastAsia="Calibri" w:hAnsi="Arial Narrow" w:cs="Arial"/>
                <w:strike/>
                <w:sz w:val="20"/>
                <w:szCs w:val="20"/>
              </w:rPr>
              <w:t xml:space="preserve">Authority Required (in writing only via post/HPOS upload) </w:t>
            </w:r>
          </w:p>
        </w:tc>
      </w:tr>
      <w:tr w:rsidR="00EF727B" w:rsidRPr="00595457" w14:paraId="497F76DE" w14:textId="77777777" w:rsidTr="00365FCC">
        <w:tblPrEx>
          <w:tblCellMar>
            <w:top w:w="15" w:type="dxa"/>
            <w:bottom w:w="15" w:type="dxa"/>
          </w:tblCellMar>
        </w:tblPrEx>
        <w:trPr>
          <w:cantSplit/>
          <w:trHeight w:val="20"/>
        </w:trPr>
        <w:tc>
          <w:tcPr>
            <w:tcW w:w="1271" w:type="dxa"/>
            <w:vAlign w:val="center"/>
          </w:tcPr>
          <w:p w14:paraId="60E0037B" w14:textId="7B88F7CC" w:rsidR="00EF727B" w:rsidRPr="00595457" w:rsidRDefault="00EF727B">
            <w:pPr>
              <w:keepLines/>
              <w:jc w:val="center"/>
              <w:rPr>
                <w:rFonts w:ascii="Arial Narrow" w:hAnsi="Arial Narrow"/>
                <w:sz w:val="20"/>
                <w:szCs w:val="20"/>
              </w:rPr>
            </w:pPr>
          </w:p>
        </w:tc>
        <w:tc>
          <w:tcPr>
            <w:tcW w:w="7745" w:type="dxa"/>
            <w:gridSpan w:val="6"/>
            <w:vAlign w:val="center"/>
            <w:hideMark/>
          </w:tcPr>
          <w:p w14:paraId="0CF260FD" w14:textId="77777777" w:rsidR="00EF727B" w:rsidRPr="00595457" w:rsidRDefault="00EF727B">
            <w:pPr>
              <w:keepLines/>
              <w:rPr>
                <w:rFonts w:ascii="Arial Narrow" w:hAnsi="Arial Narrow"/>
                <w:color w:val="333333"/>
                <w:sz w:val="20"/>
                <w:szCs w:val="20"/>
              </w:rPr>
            </w:pPr>
            <w:r w:rsidRPr="00595457">
              <w:rPr>
                <w:rFonts w:ascii="Arial Narrow" w:hAnsi="Arial Narrow"/>
                <w:b/>
                <w:bCs/>
                <w:sz w:val="20"/>
                <w:szCs w:val="20"/>
              </w:rPr>
              <w:t>Indication:</w:t>
            </w:r>
            <w:r w:rsidRPr="00595457">
              <w:rPr>
                <w:rFonts w:ascii="Arial Narrow" w:hAnsi="Arial Narrow"/>
                <w:sz w:val="20"/>
                <w:szCs w:val="20"/>
              </w:rPr>
              <w:t xml:space="preserve"> Severe chronic plaque psoriasis</w:t>
            </w:r>
          </w:p>
        </w:tc>
      </w:tr>
      <w:tr w:rsidR="00EF727B" w:rsidRPr="00595457" w14:paraId="3D49C4E5" w14:textId="77777777" w:rsidTr="00365FCC">
        <w:tblPrEx>
          <w:tblCellMar>
            <w:top w:w="15" w:type="dxa"/>
            <w:bottom w:w="15" w:type="dxa"/>
          </w:tblCellMar>
        </w:tblPrEx>
        <w:trPr>
          <w:cantSplit/>
          <w:trHeight w:val="20"/>
        </w:trPr>
        <w:tc>
          <w:tcPr>
            <w:tcW w:w="1271" w:type="dxa"/>
            <w:vAlign w:val="center"/>
          </w:tcPr>
          <w:p w14:paraId="39FFFBE4" w14:textId="77777777" w:rsidR="00EF727B" w:rsidRPr="00595457" w:rsidRDefault="00EF727B">
            <w:pPr>
              <w:jc w:val="center"/>
              <w:rPr>
                <w:rFonts w:ascii="Arial Narrow" w:hAnsi="Arial Narrow"/>
                <w:sz w:val="20"/>
                <w:szCs w:val="20"/>
              </w:rPr>
            </w:pPr>
          </w:p>
        </w:tc>
        <w:tc>
          <w:tcPr>
            <w:tcW w:w="7745" w:type="dxa"/>
            <w:gridSpan w:val="6"/>
            <w:vAlign w:val="center"/>
            <w:hideMark/>
          </w:tcPr>
          <w:p w14:paraId="2C6F1A1E" w14:textId="77777777" w:rsidR="00EF727B" w:rsidRPr="00595457" w:rsidRDefault="00EF727B">
            <w:pPr>
              <w:rPr>
                <w:rFonts w:ascii="Arial Narrow" w:hAnsi="Arial Narrow"/>
                <w:sz w:val="20"/>
                <w:szCs w:val="20"/>
              </w:rPr>
            </w:pPr>
            <w:r w:rsidRPr="00595457">
              <w:rPr>
                <w:rFonts w:ascii="Arial Narrow" w:hAnsi="Arial Narrow"/>
                <w:b/>
                <w:bCs/>
                <w:sz w:val="20"/>
                <w:szCs w:val="20"/>
              </w:rPr>
              <w:t>Treatment Phase:</w:t>
            </w:r>
            <w:r w:rsidRPr="00595457">
              <w:rPr>
                <w:rFonts w:ascii="Arial Narrow" w:hAnsi="Arial Narrow"/>
                <w:sz w:val="20"/>
                <w:szCs w:val="20"/>
              </w:rPr>
              <w:t xml:space="preserve"> Continuing treatment with subcutaneous form or switching from intravenous form to subcutaneous form</w:t>
            </w:r>
          </w:p>
        </w:tc>
      </w:tr>
      <w:tr w:rsidR="00EF727B" w:rsidRPr="00595457" w14:paraId="2EE9B90F"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388697A" w14:textId="36DC7B41" w:rsidR="00EF727B" w:rsidRPr="00595457" w:rsidRDefault="00EF727B">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433F38" w14:textId="77777777" w:rsidR="00EF727B" w:rsidRPr="00595457" w:rsidRDefault="00EF727B">
            <w:pPr>
              <w:rPr>
                <w:rFonts w:ascii="Arial Narrow" w:hAnsi="Arial Narrow"/>
                <w:strike/>
                <w:sz w:val="20"/>
                <w:szCs w:val="20"/>
              </w:rPr>
            </w:pPr>
            <w:r w:rsidRPr="00595457">
              <w:rPr>
                <w:rFonts w:ascii="Arial Narrow" w:hAnsi="Arial Narrow"/>
                <w:b/>
                <w:bCs/>
                <w:strike/>
                <w:sz w:val="20"/>
                <w:szCs w:val="20"/>
              </w:rPr>
              <w:t>Prescribing Instructions</w:t>
            </w:r>
            <w:r w:rsidRPr="00595457">
              <w:rPr>
                <w:rFonts w:ascii="Arial Narrow" w:hAnsi="Arial Narrow"/>
                <w:strike/>
                <w:sz w:val="20"/>
                <w:szCs w:val="20"/>
              </w:rPr>
              <w:t>:</w:t>
            </w:r>
          </w:p>
          <w:p w14:paraId="05DD0F47" w14:textId="77777777" w:rsidR="00EF727B" w:rsidRPr="00595457" w:rsidRDefault="00EF727B">
            <w:pPr>
              <w:rPr>
                <w:rFonts w:ascii="Arial Narrow" w:hAnsi="Arial Narrow"/>
                <w:strike/>
                <w:sz w:val="20"/>
                <w:szCs w:val="20"/>
              </w:rPr>
            </w:pPr>
            <w:r w:rsidRPr="00595457">
              <w:rPr>
                <w:rFonts w:ascii="Arial Narrow" w:hAnsi="Arial Narrow"/>
                <w:strike/>
                <w:sz w:val="20"/>
                <w:szCs w:val="20"/>
              </w:rPr>
              <w:t>The authority application must be made in writing and must include:</w:t>
            </w:r>
          </w:p>
          <w:p w14:paraId="0C9FD8A9" w14:textId="77777777" w:rsidR="00EF727B" w:rsidRPr="00595457" w:rsidRDefault="00EF727B">
            <w:pPr>
              <w:rPr>
                <w:rFonts w:ascii="Arial Narrow" w:hAnsi="Arial Narrow"/>
                <w:strike/>
                <w:sz w:val="20"/>
                <w:szCs w:val="20"/>
              </w:rPr>
            </w:pPr>
            <w:r w:rsidRPr="00595457">
              <w:rPr>
                <w:rFonts w:ascii="Arial Narrow" w:hAnsi="Arial Narrow"/>
                <w:strike/>
                <w:sz w:val="20"/>
                <w:szCs w:val="20"/>
              </w:rPr>
              <w:t>(1) a completed authority prescription form; and</w:t>
            </w:r>
          </w:p>
          <w:p w14:paraId="6B4771E8" w14:textId="77777777" w:rsidR="00EF727B" w:rsidRPr="00595457" w:rsidRDefault="1E372069" w:rsidP="0CEE6DE9">
            <w:pPr>
              <w:rPr>
                <w:rFonts w:ascii="Arial Narrow" w:hAnsi="Arial Narrow"/>
                <w:strike/>
                <w:sz w:val="20"/>
                <w:szCs w:val="20"/>
              </w:rPr>
            </w:pPr>
            <w:r w:rsidRPr="00595457">
              <w:rPr>
                <w:rFonts w:ascii="Arial Narrow" w:hAnsi="Arial Narrow"/>
                <w:strike/>
                <w:sz w:val="20"/>
                <w:szCs w:val="20"/>
              </w:rPr>
              <w:t>(2) a completed authority application form relevant to the indication and treatment phase (the latest version is located on the website specified in the Administrative Advice).</w:t>
            </w:r>
          </w:p>
        </w:tc>
      </w:tr>
      <w:tr w:rsidR="00EF727B" w:rsidRPr="00595457" w14:paraId="1278A0E9"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76D3DF4" w14:textId="4371376E" w:rsidR="00EF727B" w:rsidRPr="00595457" w:rsidRDefault="00EF727B">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14EE9AC0" w14:textId="77777777" w:rsidR="00EF727B" w:rsidRPr="00595457" w:rsidRDefault="00EF727B" w:rsidP="00BC361F">
            <w:pPr>
              <w:jc w:val="left"/>
              <w:rPr>
                <w:rFonts w:ascii="Arial Narrow" w:hAnsi="Arial Narrow"/>
                <w:sz w:val="20"/>
                <w:szCs w:val="20"/>
              </w:rPr>
            </w:pPr>
            <w:r w:rsidRPr="00595457">
              <w:rPr>
                <w:rFonts w:ascii="Arial Narrow" w:hAnsi="Arial Narrow"/>
                <w:b/>
                <w:bCs/>
                <w:sz w:val="20"/>
                <w:szCs w:val="20"/>
              </w:rPr>
              <w:t>Prescribing Instructions</w:t>
            </w:r>
            <w:r w:rsidRPr="00595457">
              <w:rPr>
                <w:rFonts w:ascii="Arial Narrow" w:hAnsi="Arial Narrow"/>
                <w:sz w:val="20"/>
                <w:szCs w:val="20"/>
              </w:rPr>
              <w:t>:</w:t>
            </w:r>
          </w:p>
          <w:p w14:paraId="20B37AD0" w14:textId="77777777" w:rsidR="00EF727B" w:rsidRPr="00595457" w:rsidRDefault="00EF727B" w:rsidP="00BC361F">
            <w:pPr>
              <w:jc w:val="left"/>
              <w:rPr>
                <w:rFonts w:ascii="Arial Narrow" w:hAnsi="Arial Narrow"/>
                <w:sz w:val="20"/>
                <w:szCs w:val="20"/>
              </w:rPr>
            </w:pPr>
            <w:r w:rsidRPr="00595457">
              <w:rPr>
                <w:rFonts w:ascii="Arial Narrow" w:hAnsi="Arial Narrow"/>
                <w:sz w:val="20"/>
                <w:szCs w:val="20"/>
              </w:rPr>
              <w:t>Where the condition is affecting the whole body, an adequate response to treatment is defined as:</w:t>
            </w:r>
          </w:p>
          <w:p w14:paraId="207B46D8" w14:textId="77777777" w:rsidR="00EF727B" w:rsidRPr="00595457" w:rsidRDefault="1E372069" w:rsidP="0CEE6DE9">
            <w:pPr>
              <w:jc w:val="left"/>
              <w:rPr>
                <w:rFonts w:ascii="Arial Narrow" w:hAnsi="Arial Narrow"/>
                <w:strike/>
                <w:sz w:val="20"/>
                <w:szCs w:val="20"/>
              </w:rPr>
            </w:pPr>
            <w:r w:rsidRPr="00595457">
              <w:rPr>
                <w:rFonts w:ascii="Arial Narrow" w:hAnsi="Arial Narrow"/>
                <w:sz w:val="20"/>
                <w:szCs w:val="20"/>
              </w:rPr>
              <w:t xml:space="preserve">A Psoriasis Area and Severity Index (PASI) score which is reduced by at least 75%, or, is sustained at this level, when compared with the baseline value for this treatment cycle. </w:t>
            </w:r>
            <w:r w:rsidRPr="00595457">
              <w:rPr>
                <w:rFonts w:ascii="Arial Narrow" w:hAnsi="Arial Narrow"/>
                <w:strike/>
                <w:sz w:val="20"/>
                <w:szCs w:val="20"/>
              </w:rPr>
              <w:t>State the qualifying PASI score in the authority application.</w:t>
            </w:r>
          </w:p>
          <w:p w14:paraId="345998AC" w14:textId="77777777" w:rsidR="00EF727B" w:rsidRPr="00595457" w:rsidRDefault="00EF727B" w:rsidP="00BC361F">
            <w:pPr>
              <w:jc w:val="left"/>
              <w:rPr>
                <w:rFonts w:ascii="Arial Narrow" w:hAnsi="Arial Narrow"/>
                <w:sz w:val="20"/>
                <w:szCs w:val="20"/>
              </w:rPr>
            </w:pPr>
            <w:r w:rsidRPr="00595457">
              <w:rPr>
                <w:rFonts w:ascii="Arial Narrow" w:hAnsi="Arial Narrow"/>
                <w:sz w:val="20"/>
                <w:szCs w:val="20"/>
              </w:rPr>
              <w:t>Where the condition is affecting the face/hand/foot, an adequate response to treatment is defined as the plaque or plaques assessed prior to biological treatment showing:</w:t>
            </w:r>
          </w:p>
          <w:p w14:paraId="6C42CDE8" w14:textId="77777777" w:rsidR="00EF727B" w:rsidRPr="00595457" w:rsidRDefault="1E372069" w:rsidP="0CEE6DE9">
            <w:pPr>
              <w:jc w:val="left"/>
              <w:rPr>
                <w:rFonts w:ascii="Arial Narrow" w:hAnsi="Arial Narrow"/>
                <w:sz w:val="20"/>
                <w:szCs w:val="20"/>
              </w:rPr>
            </w:pPr>
            <w:r w:rsidRPr="00595457">
              <w:rPr>
                <w:rFonts w:ascii="Arial Narrow" w:hAnsi="Arial Narrow"/>
                <w:sz w:val="20"/>
                <w:szCs w:val="20"/>
              </w:rPr>
              <w:t>(</w:t>
            </w:r>
            <w:proofErr w:type="spellStart"/>
            <w:r w:rsidRPr="00595457">
              <w:rPr>
                <w:rFonts w:ascii="Arial Narrow" w:hAnsi="Arial Narrow"/>
                <w:sz w:val="20"/>
                <w:szCs w:val="20"/>
              </w:rPr>
              <w:t>i</w:t>
            </w:r>
            <w:proofErr w:type="spellEnd"/>
            <w:r w:rsidRPr="00595457">
              <w:rPr>
                <w:rFonts w:ascii="Arial Narrow" w:hAnsi="Arial Narrow"/>
                <w:sz w:val="20"/>
                <w:szCs w:val="20"/>
              </w:rPr>
              <w:t xml:space="preserve">) A reduction in the Psoriasis Area and Severity Index (PASI) symptom </w:t>
            </w:r>
            <w:proofErr w:type="spellStart"/>
            <w:r w:rsidRPr="00595457">
              <w:rPr>
                <w:rFonts w:ascii="Arial Narrow" w:hAnsi="Arial Narrow"/>
                <w:sz w:val="20"/>
                <w:szCs w:val="20"/>
              </w:rPr>
              <w:t>subscores</w:t>
            </w:r>
            <w:proofErr w:type="spellEnd"/>
            <w:r w:rsidRPr="00595457">
              <w:rPr>
                <w:rFonts w:ascii="Arial Narrow" w:hAnsi="Arial Narrow"/>
                <w:sz w:val="20"/>
                <w:szCs w:val="20"/>
              </w:rPr>
              <w:t xml:space="preserve"> for all 3 of erythema, thickness and scaling, to slight or better, or, sustained at this level, as compared to the baseline values. Indicate the rating (0=none, 1=slight) for each of these 3 observations in the authority application for each affected area; or</w:t>
            </w:r>
          </w:p>
          <w:p w14:paraId="59E22BCD" w14:textId="77777777" w:rsidR="00EF727B" w:rsidRPr="00595457" w:rsidRDefault="1E372069" w:rsidP="0CEE6DE9">
            <w:pPr>
              <w:jc w:val="left"/>
              <w:rPr>
                <w:rFonts w:ascii="Arial Narrow" w:hAnsi="Arial Narrow"/>
                <w:strike/>
                <w:sz w:val="20"/>
                <w:szCs w:val="20"/>
              </w:rPr>
            </w:pPr>
            <w:r w:rsidRPr="00595457">
              <w:rPr>
                <w:rFonts w:ascii="Arial Narrow" w:hAnsi="Arial Narrow"/>
                <w:sz w:val="20"/>
                <w:szCs w:val="20"/>
              </w:rPr>
              <w:t xml:space="preserve">(ii) A reduction by at least 75% in the skin area affected, or, sustained at this level, as compared to the baseline value for this treatment cycle. </w:t>
            </w:r>
            <w:r w:rsidRPr="00595457">
              <w:rPr>
                <w:rFonts w:ascii="Arial Narrow" w:hAnsi="Arial Narrow"/>
                <w:strike/>
                <w:sz w:val="20"/>
                <w:szCs w:val="20"/>
              </w:rPr>
              <w:t>State the qualifying numerical percentage figure in the authority application for each affected area.</w:t>
            </w:r>
          </w:p>
          <w:p w14:paraId="54B72E50" w14:textId="77777777" w:rsidR="00EF727B" w:rsidRPr="00595457" w:rsidRDefault="00EF727B" w:rsidP="00BC361F">
            <w:pPr>
              <w:jc w:val="left"/>
              <w:rPr>
                <w:rFonts w:ascii="Arial Narrow" w:hAnsi="Arial Narrow"/>
                <w:strike/>
                <w:sz w:val="20"/>
                <w:szCs w:val="20"/>
              </w:rPr>
            </w:pPr>
            <w:r w:rsidRPr="00595457">
              <w:rPr>
                <w:rFonts w:ascii="Arial Narrow" w:hAnsi="Arial Narrow"/>
                <w:sz w:val="20"/>
                <w:szCs w:val="20"/>
              </w:rPr>
              <w:t>All assessment findings must be no more than 1 month old at the time of application. Response assessments must be performed on the same affected area assessed at baseline.</w:t>
            </w:r>
          </w:p>
        </w:tc>
      </w:tr>
      <w:tr w:rsidR="00EF727B" w:rsidRPr="00595457" w14:paraId="5790E7E2"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8C1C910" w14:textId="69684BC7" w:rsidR="00EF727B" w:rsidRPr="00595457" w:rsidRDefault="00EF727B">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4B2A0C" w14:textId="77777777" w:rsidR="00EF727B" w:rsidRPr="00595457" w:rsidRDefault="00EF727B">
            <w:pPr>
              <w:rPr>
                <w:rFonts w:ascii="Arial Narrow" w:hAnsi="Arial Narrow"/>
                <w:b/>
                <w:bCs/>
                <w:i/>
                <w:iCs/>
                <w:sz w:val="20"/>
                <w:szCs w:val="20"/>
              </w:rPr>
            </w:pPr>
            <w:r w:rsidRPr="00595457">
              <w:rPr>
                <w:rFonts w:ascii="Arial Narrow" w:hAnsi="Arial Narrow"/>
                <w:b/>
                <w:bCs/>
                <w:i/>
                <w:iCs/>
                <w:sz w:val="20"/>
                <w:szCs w:val="20"/>
              </w:rPr>
              <w:t>Prescribing Instructions:</w:t>
            </w:r>
          </w:p>
          <w:p w14:paraId="47991A40" w14:textId="77777777" w:rsidR="00EF727B" w:rsidRPr="00595457" w:rsidRDefault="00EF727B">
            <w:pPr>
              <w:rPr>
                <w:rFonts w:ascii="Arial Narrow" w:hAnsi="Arial Narrow"/>
                <w:i/>
                <w:iCs/>
                <w:sz w:val="20"/>
                <w:szCs w:val="20"/>
              </w:rPr>
            </w:pPr>
            <w:r w:rsidRPr="00595457">
              <w:rPr>
                <w:rFonts w:ascii="Arial Narrow" w:hAnsi="Arial Narrow"/>
                <w:i/>
                <w:iCs/>
                <w:sz w:val="20"/>
                <w:szCs w:val="20"/>
              </w:rPr>
              <w:t>The measurement of response to the prior course of therapy must be documented in the patient's medical notes.</w:t>
            </w:r>
          </w:p>
        </w:tc>
      </w:tr>
      <w:tr w:rsidR="00EF727B" w:rsidRPr="00595457" w14:paraId="2794ACF7"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D1CB2BF" w14:textId="613002CF" w:rsidR="00EF727B" w:rsidRPr="00595457" w:rsidRDefault="00EF727B">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024DF0" w14:textId="77777777" w:rsidR="00EF727B" w:rsidRPr="00595457" w:rsidRDefault="00EF727B">
            <w:pPr>
              <w:rPr>
                <w:rFonts w:ascii="Arial Narrow" w:hAnsi="Arial Narrow"/>
                <w:b/>
                <w:bCs/>
                <w:i/>
                <w:iCs/>
                <w:sz w:val="20"/>
                <w:szCs w:val="20"/>
              </w:rPr>
            </w:pPr>
            <w:r w:rsidRPr="00595457">
              <w:rPr>
                <w:rFonts w:ascii="Arial Narrow" w:hAnsi="Arial Narrow"/>
                <w:b/>
                <w:bCs/>
                <w:i/>
                <w:iCs/>
                <w:sz w:val="20"/>
                <w:szCs w:val="20"/>
              </w:rPr>
              <w:t>Prescribing Instructions:</w:t>
            </w:r>
          </w:p>
          <w:p w14:paraId="5074B01A" w14:textId="77777777" w:rsidR="00EF727B" w:rsidRPr="00595457" w:rsidRDefault="00EF727B">
            <w:pPr>
              <w:rPr>
                <w:rFonts w:ascii="Arial Narrow" w:hAnsi="Arial Narrow"/>
                <w:i/>
                <w:iCs/>
                <w:sz w:val="20"/>
                <w:szCs w:val="20"/>
              </w:rPr>
            </w:pPr>
            <w:r w:rsidRPr="00595457">
              <w:rPr>
                <w:rFonts w:ascii="Arial Narrow" w:hAnsi="Arial Narrow"/>
                <w:i/>
                <w:iCs/>
                <w:sz w:val="20"/>
                <w:szCs w:val="20"/>
              </w:rPr>
              <w:t>Determination of response must be based on the PASI assessment of response to the most recent course of treatment with this drug.</w:t>
            </w:r>
          </w:p>
        </w:tc>
      </w:tr>
      <w:tr w:rsidR="00EF727B" w:rsidRPr="00595457" w14:paraId="53FFA2E1"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DBC44AB" w14:textId="09E8A029" w:rsidR="00EF727B" w:rsidRPr="00595457" w:rsidRDefault="00EF727B">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A30BCC" w14:textId="77777777" w:rsidR="00EF727B" w:rsidRPr="00595457" w:rsidRDefault="00EF727B">
            <w:pPr>
              <w:rPr>
                <w:rFonts w:ascii="Arial Narrow" w:hAnsi="Arial Narrow"/>
                <w:b/>
                <w:bCs/>
                <w:i/>
                <w:iCs/>
                <w:sz w:val="20"/>
                <w:szCs w:val="20"/>
              </w:rPr>
            </w:pPr>
            <w:r w:rsidRPr="00595457">
              <w:rPr>
                <w:rFonts w:ascii="Arial Narrow" w:hAnsi="Arial Narrow"/>
                <w:b/>
                <w:bCs/>
                <w:i/>
                <w:iCs/>
                <w:sz w:val="20"/>
                <w:szCs w:val="20"/>
              </w:rPr>
              <w:t>Prescribing Instructions:</w:t>
            </w:r>
          </w:p>
          <w:p w14:paraId="2C084303" w14:textId="77777777" w:rsidR="00EF727B" w:rsidRPr="00595457" w:rsidRDefault="1E372069" w:rsidP="0CEE6DE9">
            <w:pPr>
              <w:rPr>
                <w:rFonts w:ascii="Arial Narrow" w:hAnsi="Arial Narrow"/>
                <w:i/>
                <w:iCs/>
                <w:sz w:val="20"/>
                <w:szCs w:val="20"/>
              </w:rPr>
            </w:pPr>
            <w:r w:rsidRPr="00595457">
              <w:rPr>
                <w:rFonts w:ascii="Arial Narrow" w:hAnsi="Arial Narrow"/>
                <w:i/>
                <w:iCs/>
                <w:sz w:val="20"/>
                <w:szCs w:val="20"/>
              </w:rPr>
              <w:t>If a patient fails to demonstrate a response to treatment with this drug under this restriction they will not be eligible to receive further PBS-subsidised treatment with this drug for this condition within this treatment cycle.</w:t>
            </w:r>
          </w:p>
        </w:tc>
      </w:tr>
      <w:tr w:rsidR="00EF727B" w:rsidRPr="00595457" w14:paraId="76F21EFC"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11874F2" w14:textId="3C54FA05" w:rsidR="00EF727B" w:rsidRPr="00595457" w:rsidRDefault="00EF727B">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4B2E45" w14:textId="77777777" w:rsidR="00EF727B" w:rsidRPr="00595457" w:rsidRDefault="00EF727B">
            <w:pPr>
              <w:rPr>
                <w:rFonts w:ascii="Arial Narrow" w:hAnsi="Arial Narrow"/>
                <w:b/>
                <w:bCs/>
                <w:i/>
                <w:iCs/>
                <w:sz w:val="20"/>
                <w:szCs w:val="20"/>
              </w:rPr>
            </w:pPr>
            <w:r w:rsidRPr="00595457">
              <w:rPr>
                <w:rFonts w:ascii="Arial Narrow" w:hAnsi="Arial Narrow"/>
                <w:b/>
                <w:bCs/>
                <w:i/>
                <w:iCs/>
                <w:sz w:val="20"/>
                <w:szCs w:val="20"/>
              </w:rPr>
              <w:t>Prescribing Instructions:</w:t>
            </w:r>
          </w:p>
          <w:p w14:paraId="493AFC69" w14:textId="77777777" w:rsidR="00EF727B" w:rsidRPr="00595457" w:rsidRDefault="00EF727B">
            <w:pPr>
              <w:rPr>
                <w:rFonts w:ascii="Arial Narrow" w:hAnsi="Arial Narrow"/>
                <w:i/>
                <w:iCs/>
                <w:sz w:val="20"/>
                <w:szCs w:val="20"/>
              </w:rPr>
            </w:pPr>
            <w:r w:rsidRPr="00595457">
              <w:rPr>
                <w:rFonts w:ascii="Arial Narrow" w:hAnsi="Arial Narrow"/>
                <w:i/>
                <w:iCs/>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EF727B" w:rsidRPr="00595457" w14:paraId="43D23B62" w14:textId="77777777" w:rsidTr="0CEE6DE9">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90BBC43" w14:textId="46D3CF60" w:rsidR="00EF727B" w:rsidRPr="00595457" w:rsidRDefault="00EF727B">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41FD28" w14:textId="77777777" w:rsidR="00EF727B" w:rsidRPr="00595457" w:rsidRDefault="00EF727B">
            <w:pPr>
              <w:rPr>
                <w:rFonts w:ascii="Arial Narrow" w:hAnsi="Arial Narrow"/>
                <w:b/>
                <w:bCs/>
                <w:strike/>
                <w:sz w:val="20"/>
                <w:szCs w:val="20"/>
              </w:rPr>
            </w:pPr>
            <w:r w:rsidRPr="00595457">
              <w:rPr>
                <w:rFonts w:ascii="Arial Narrow" w:hAnsi="Arial Narrow"/>
                <w:b/>
                <w:bCs/>
                <w:strike/>
                <w:sz w:val="20"/>
                <w:szCs w:val="20"/>
              </w:rPr>
              <w:t>Administrative Advice:</w:t>
            </w:r>
          </w:p>
          <w:p w14:paraId="58999E74" w14:textId="77777777" w:rsidR="00EF727B" w:rsidRPr="00595457" w:rsidRDefault="00EF727B">
            <w:pPr>
              <w:rPr>
                <w:rFonts w:ascii="Arial Narrow" w:hAnsi="Arial Narrow"/>
                <w:strike/>
                <w:sz w:val="20"/>
                <w:szCs w:val="20"/>
              </w:rPr>
            </w:pPr>
            <w:r w:rsidRPr="00595457">
              <w:rPr>
                <w:rFonts w:ascii="Arial Narrow" w:hAnsi="Arial Narrow"/>
                <w:strike/>
                <w:sz w:val="20"/>
                <w:szCs w:val="20"/>
              </w:rPr>
              <w:t>Any queries concerning the arrangements to prescribe may be directed to Services Australia on 1800 700 270 (hours of operation 8 a.m. to 5 p.m. Monday to Friday).</w:t>
            </w:r>
          </w:p>
          <w:p w14:paraId="1860A774" w14:textId="77777777" w:rsidR="00EF727B" w:rsidRPr="00595457" w:rsidRDefault="00EF727B">
            <w:pPr>
              <w:rPr>
                <w:rFonts w:ascii="Arial Narrow" w:hAnsi="Arial Narrow"/>
                <w:strike/>
                <w:sz w:val="20"/>
                <w:szCs w:val="20"/>
              </w:rPr>
            </w:pPr>
            <w:r w:rsidRPr="00595457">
              <w:rPr>
                <w:rFonts w:ascii="Arial Narrow" w:hAnsi="Arial Narrow"/>
                <w:strike/>
                <w:sz w:val="20"/>
                <w:szCs w:val="20"/>
              </w:rPr>
              <w:t>Prescribing information (including Authority Application forms and other relevant documentation as applicable) is available on the Services Australia website at www.servicesaustralia.gov.au</w:t>
            </w:r>
          </w:p>
          <w:p w14:paraId="4F04C26A" w14:textId="77777777" w:rsidR="00EF727B" w:rsidRPr="00595457" w:rsidRDefault="1E372069" w:rsidP="0CEE6DE9">
            <w:pPr>
              <w:rPr>
                <w:rFonts w:ascii="Arial Narrow" w:hAnsi="Arial Narrow"/>
                <w:strike/>
                <w:sz w:val="20"/>
                <w:szCs w:val="20"/>
              </w:rPr>
            </w:pPr>
            <w:r w:rsidRPr="00595457">
              <w:rPr>
                <w:rFonts w:ascii="Arial Narrow" w:hAnsi="Arial Narrow"/>
                <w:strike/>
                <w:sz w:val="20"/>
                <w:szCs w:val="20"/>
              </w:rPr>
              <w:t>Applications for authority to prescribe should be submitted online using the form upload facility in Health Professional Online Services (HPOS) at www.servicesaustralia.gov.au/hpos</w:t>
            </w:r>
          </w:p>
          <w:p w14:paraId="04A33BF8" w14:textId="77777777" w:rsidR="00EF727B" w:rsidRPr="00595457" w:rsidRDefault="00EF727B">
            <w:pPr>
              <w:rPr>
                <w:rFonts w:ascii="Arial Narrow" w:hAnsi="Arial Narrow"/>
                <w:strike/>
                <w:sz w:val="20"/>
                <w:szCs w:val="20"/>
              </w:rPr>
            </w:pPr>
            <w:r w:rsidRPr="00595457">
              <w:rPr>
                <w:rFonts w:ascii="Arial Narrow" w:hAnsi="Arial Narrow"/>
                <w:strike/>
                <w:sz w:val="20"/>
                <w:szCs w:val="20"/>
              </w:rPr>
              <w:t>Or mailed to:</w:t>
            </w:r>
          </w:p>
          <w:p w14:paraId="05405C4F" w14:textId="77777777" w:rsidR="00EF727B" w:rsidRPr="00595457" w:rsidRDefault="00EF727B">
            <w:pPr>
              <w:rPr>
                <w:rFonts w:ascii="Arial Narrow" w:hAnsi="Arial Narrow"/>
                <w:strike/>
                <w:sz w:val="20"/>
                <w:szCs w:val="20"/>
              </w:rPr>
            </w:pPr>
            <w:r w:rsidRPr="00595457">
              <w:rPr>
                <w:rFonts w:ascii="Arial Narrow" w:hAnsi="Arial Narrow"/>
                <w:strike/>
                <w:sz w:val="20"/>
                <w:szCs w:val="20"/>
              </w:rPr>
              <w:t>Services Australia</w:t>
            </w:r>
          </w:p>
          <w:p w14:paraId="1121F38E" w14:textId="77777777" w:rsidR="00EF727B" w:rsidRPr="00595457" w:rsidRDefault="00EF727B">
            <w:pPr>
              <w:rPr>
                <w:rFonts w:ascii="Arial Narrow" w:hAnsi="Arial Narrow"/>
                <w:strike/>
                <w:sz w:val="20"/>
                <w:szCs w:val="20"/>
              </w:rPr>
            </w:pPr>
            <w:r w:rsidRPr="00595457">
              <w:rPr>
                <w:rFonts w:ascii="Arial Narrow" w:hAnsi="Arial Narrow"/>
                <w:strike/>
                <w:sz w:val="20"/>
                <w:szCs w:val="20"/>
              </w:rPr>
              <w:t>Complex Drugs</w:t>
            </w:r>
          </w:p>
          <w:p w14:paraId="5E89528B" w14:textId="77777777" w:rsidR="00EF727B" w:rsidRPr="00595457" w:rsidRDefault="00EF727B">
            <w:pPr>
              <w:rPr>
                <w:rFonts w:ascii="Arial Narrow" w:hAnsi="Arial Narrow"/>
                <w:strike/>
                <w:sz w:val="20"/>
                <w:szCs w:val="20"/>
              </w:rPr>
            </w:pPr>
            <w:r w:rsidRPr="00595457">
              <w:rPr>
                <w:rFonts w:ascii="Arial Narrow" w:hAnsi="Arial Narrow"/>
                <w:strike/>
                <w:sz w:val="20"/>
                <w:szCs w:val="20"/>
              </w:rPr>
              <w:t>Reply Paid 9826</w:t>
            </w:r>
          </w:p>
          <w:p w14:paraId="55309508" w14:textId="77777777" w:rsidR="00EF727B" w:rsidRPr="00595457" w:rsidRDefault="00EF727B">
            <w:pPr>
              <w:rPr>
                <w:rFonts w:ascii="Arial Narrow" w:hAnsi="Arial Narrow"/>
                <w:strike/>
                <w:sz w:val="20"/>
                <w:szCs w:val="20"/>
              </w:rPr>
            </w:pPr>
            <w:r w:rsidRPr="00595457">
              <w:rPr>
                <w:rFonts w:ascii="Arial Narrow" w:hAnsi="Arial Narrow"/>
                <w:strike/>
                <w:sz w:val="20"/>
                <w:szCs w:val="20"/>
              </w:rPr>
              <w:t>HOBART TAS 7001</w:t>
            </w:r>
          </w:p>
        </w:tc>
      </w:tr>
    </w:tbl>
    <w:p w14:paraId="7E036858" w14:textId="08E683BA" w:rsidR="00613110" w:rsidRDefault="00BA5ED7" w:rsidP="000421CE">
      <w:pPr>
        <w:pStyle w:val="3-BodyText"/>
        <w:rPr>
          <w:iCs/>
        </w:rPr>
      </w:pPr>
      <w:r w:rsidRPr="00595457">
        <w:rPr>
          <w:iCs/>
        </w:rPr>
        <w:t>The balance of supply in PBS restrictions</w:t>
      </w:r>
      <w:r w:rsidRPr="00BC13F4">
        <w:rPr>
          <w:iCs/>
        </w:rPr>
        <w:t xml:space="preserve"> allows prescribers to request additional quantities of </w:t>
      </w:r>
      <w:r w:rsidR="00527E43">
        <w:rPr>
          <w:iCs/>
        </w:rPr>
        <w:t xml:space="preserve">a </w:t>
      </w:r>
      <w:r w:rsidR="00527E43" w:rsidRPr="00BC13F4">
        <w:rPr>
          <w:iCs/>
        </w:rPr>
        <w:t>medic</w:t>
      </w:r>
      <w:r w:rsidR="00527E43">
        <w:rPr>
          <w:iCs/>
        </w:rPr>
        <w:t>ine</w:t>
      </w:r>
      <w:r w:rsidR="00527E43" w:rsidRPr="00BC13F4">
        <w:rPr>
          <w:iCs/>
        </w:rPr>
        <w:t xml:space="preserve"> </w:t>
      </w:r>
      <w:r w:rsidRPr="00BC13F4">
        <w:rPr>
          <w:iCs/>
        </w:rPr>
        <w:t xml:space="preserve">to ensure patients have enough supply to complete their treatment. Changing the restriction level for the continuing treatment phase </w:t>
      </w:r>
      <w:r w:rsidR="00591271">
        <w:rPr>
          <w:iCs/>
        </w:rPr>
        <w:t>of the</w:t>
      </w:r>
      <w:r w:rsidR="00591271" w:rsidRPr="00BC13F4">
        <w:rPr>
          <w:iCs/>
        </w:rPr>
        <w:t xml:space="preserve"> </w:t>
      </w:r>
      <w:r w:rsidRPr="00BC13F4">
        <w:rPr>
          <w:iCs/>
        </w:rPr>
        <w:t>CD,</w:t>
      </w:r>
      <w:r w:rsidR="00591271" w:rsidRPr="00591271">
        <w:rPr>
          <w:iCs/>
        </w:rPr>
        <w:t xml:space="preserve"> </w:t>
      </w:r>
      <w:r w:rsidR="00591271" w:rsidRPr="00BC13F4">
        <w:rPr>
          <w:iCs/>
        </w:rPr>
        <w:t>RA</w:t>
      </w:r>
      <w:r w:rsidRPr="00BC13F4">
        <w:rPr>
          <w:iCs/>
        </w:rPr>
        <w:t xml:space="preserve"> and UC indications to </w:t>
      </w:r>
      <w:r w:rsidR="00BB2A86">
        <w:rPr>
          <w:iCs/>
        </w:rPr>
        <w:t>Streamlined</w:t>
      </w:r>
      <w:r w:rsidRPr="00BC13F4">
        <w:rPr>
          <w:iCs/>
        </w:rPr>
        <w:t xml:space="preserve"> </w:t>
      </w:r>
      <w:r w:rsidR="000449A4">
        <w:rPr>
          <w:iCs/>
        </w:rPr>
        <w:t xml:space="preserve">permits </w:t>
      </w:r>
      <w:r w:rsidR="00724745">
        <w:rPr>
          <w:iCs/>
        </w:rPr>
        <w:t xml:space="preserve">prescribers to write subsequent prescriptions </w:t>
      </w:r>
      <w:r w:rsidRPr="00BC13F4">
        <w:rPr>
          <w:iCs/>
        </w:rPr>
        <w:t xml:space="preserve">to complete the treatment course without </w:t>
      </w:r>
      <w:r w:rsidR="00A1012F">
        <w:rPr>
          <w:iCs/>
        </w:rPr>
        <w:t>requiring</w:t>
      </w:r>
      <w:r w:rsidR="00A1012F" w:rsidRPr="00BC13F4">
        <w:rPr>
          <w:iCs/>
        </w:rPr>
        <w:t xml:space="preserve"> </w:t>
      </w:r>
      <w:r w:rsidRPr="00BC13F4">
        <w:rPr>
          <w:iCs/>
        </w:rPr>
        <w:t xml:space="preserve">prior authority approval. </w:t>
      </w:r>
      <w:r w:rsidR="00E07E74">
        <w:rPr>
          <w:iCs/>
        </w:rPr>
        <w:t xml:space="preserve">As an initial </w:t>
      </w:r>
      <w:r w:rsidR="00BA782D">
        <w:rPr>
          <w:iCs/>
        </w:rPr>
        <w:t xml:space="preserve">treatment prescription is typically authorised </w:t>
      </w:r>
      <w:r w:rsidR="006B6E2A">
        <w:rPr>
          <w:iCs/>
        </w:rPr>
        <w:t xml:space="preserve">once only, </w:t>
      </w:r>
      <w:r w:rsidRPr="00BC13F4">
        <w:rPr>
          <w:iCs/>
        </w:rPr>
        <w:t xml:space="preserve">if the quantity </w:t>
      </w:r>
      <w:r w:rsidR="006B6E2A">
        <w:rPr>
          <w:iCs/>
        </w:rPr>
        <w:t xml:space="preserve">prescribed </w:t>
      </w:r>
      <w:r w:rsidRPr="00BC13F4">
        <w:rPr>
          <w:iCs/>
        </w:rPr>
        <w:t xml:space="preserve">is insufficient for the initial treatment period, a balance of supply </w:t>
      </w:r>
      <w:r w:rsidR="006B6E2A">
        <w:rPr>
          <w:iCs/>
        </w:rPr>
        <w:t>listing</w:t>
      </w:r>
      <w:r w:rsidR="006B6E2A" w:rsidRPr="00BC13F4">
        <w:rPr>
          <w:iCs/>
        </w:rPr>
        <w:t xml:space="preserve"> </w:t>
      </w:r>
      <w:r w:rsidRPr="00BC13F4">
        <w:rPr>
          <w:iCs/>
        </w:rPr>
        <w:t xml:space="preserve">is required. </w:t>
      </w:r>
      <w:r w:rsidR="006976F0">
        <w:rPr>
          <w:iCs/>
        </w:rPr>
        <w:t>Should</w:t>
      </w:r>
      <w:r w:rsidR="006976F0" w:rsidRPr="00BC13F4">
        <w:rPr>
          <w:iCs/>
        </w:rPr>
        <w:t xml:space="preserve"> </w:t>
      </w:r>
      <w:r w:rsidRPr="00BC13F4">
        <w:rPr>
          <w:iCs/>
        </w:rPr>
        <w:t xml:space="preserve">all continuing </w:t>
      </w:r>
      <w:r w:rsidR="00BB1B18">
        <w:rPr>
          <w:iCs/>
        </w:rPr>
        <w:t xml:space="preserve">treatment </w:t>
      </w:r>
      <w:r w:rsidR="004A5C37" w:rsidRPr="00BC13F4">
        <w:rPr>
          <w:iCs/>
        </w:rPr>
        <w:t>phase</w:t>
      </w:r>
      <w:r w:rsidR="004A5C37">
        <w:rPr>
          <w:iCs/>
        </w:rPr>
        <w:t xml:space="preserve"> listings</w:t>
      </w:r>
      <w:r w:rsidR="004A5C37" w:rsidRPr="00BC13F4">
        <w:rPr>
          <w:iCs/>
        </w:rPr>
        <w:t xml:space="preserve"> </w:t>
      </w:r>
      <w:r w:rsidRPr="00BC13F4">
        <w:rPr>
          <w:iCs/>
        </w:rPr>
        <w:t xml:space="preserve">of SC IFX </w:t>
      </w:r>
      <w:r w:rsidR="006976F0">
        <w:rPr>
          <w:iCs/>
        </w:rPr>
        <w:t>be</w:t>
      </w:r>
      <w:r w:rsidR="006976F0" w:rsidRPr="00BC13F4">
        <w:rPr>
          <w:iCs/>
        </w:rPr>
        <w:t xml:space="preserve"> </w:t>
      </w:r>
      <w:r w:rsidRPr="00BC13F4">
        <w:rPr>
          <w:iCs/>
        </w:rPr>
        <w:t xml:space="preserve">changed to </w:t>
      </w:r>
      <w:r w:rsidR="00BB2A86">
        <w:rPr>
          <w:iCs/>
        </w:rPr>
        <w:t>Streamlined</w:t>
      </w:r>
      <w:r w:rsidRPr="00BC13F4">
        <w:rPr>
          <w:iCs/>
        </w:rPr>
        <w:t xml:space="preserve">, a balance of supply for continuing treatment </w:t>
      </w:r>
      <w:r w:rsidR="007825A8">
        <w:rPr>
          <w:iCs/>
        </w:rPr>
        <w:t>is</w:t>
      </w:r>
      <w:r w:rsidRPr="00BC13F4">
        <w:rPr>
          <w:iCs/>
        </w:rPr>
        <w:t xml:space="preserve"> no longer necessary. </w:t>
      </w:r>
      <w:r w:rsidR="009215CE" w:rsidRPr="00BC13F4">
        <w:rPr>
          <w:iCs/>
        </w:rPr>
        <w:t xml:space="preserve">Introducing a </w:t>
      </w:r>
      <w:r w:rsidR="009215CE">
        <w:rPr>
          <w:iCs/>
        </w:rPr>
        <w:t>Streamlined</w:t>
      </w:r>
      <w:r w:rsidR="009215CE" w:rsidRPr="00BC13F4">
        <w:rPr>
          <w:iCs/>
        </w:rPr>
        <w:t xml:space="preserve"> balance of supply listing is unprecedented and may not be appropriate as it would create inconsistencies with the current administration of balance of supply restrictions, which are all </w:t>
      </w:r>
      <w:r w:rsidR="009215CE" w:rsidRPr="00BC13F4" w:rsidDel="00BF6162">
        <w:rPr>
          <w:iCs/>
        </w:rPr>
        <w:t>Authority Required</w:t>
      </w:r>
      <w:r w:rsidR="009215CE" w:rsidRPr="00BC13F4">
        <w:rPr>
          <w:iCs/>
        </w:rPr>
        <w:t>.</w:t>
      </w:r>
      <w:r w:rsidR="009215CE">
        <w:rPr>
          <w:iCs/>
        </w:rPr>
        <w:t xml:space="preserve"> </w:t>
      </w:r>
      <w:r w:rsidR="004843C9">
        <w:rPr>
          <w:iCs/>
        </w:rPr>
        <w:t xml:space="preserve">The PBAC </w:t>
      </w:r>
      <w:r w:rsidR="00E86DF4">
        <w:rPr>
          <w:iCs/>
        </w:rPr>
        <w:t>advised</w:t>
      </w:r>
      <w:r w:rsidR="004843C9">
        <w:rPr>
          <w:iCs/>
        </w:rPr>
        <w:t xml:space="preserve"> that</w:t>
      </w:r>
      <w:r w:rsidRPr="00BC13F4">
        <w:rPr>
          <w:iCs/>
        </w:rPr>
        <w:t xml:space="preserve"> the balance of supply </w:t>
      </w:r>
      <w:r w:rsidR="005174D3">
        <w:rPr>
          <w:iCs/>
        </w:rPr>
        <w:t xml:space="preserve">for initial treatment listings </w:t>
      </w:r>
      <w:r w:rsidR="009215CE">
        <w:rPr>
          <w:iCs/>
        </w:rPr>
        <w:t xml:space="preserve">should </w:t>
      </w:r>
      <w:r w:rsidR="005174D3">
        <w:rPr>
          <w:iCs/>
        </w:rPr>
        <w:t xml:space="preserve">remain </w:t>
      </w:r>
      <w:r w:rsidR="00BB2A86">
        <w:rPr>
          <w:iCs/>
        </w:rPr>
        <w:t>Authority Required</w:t>
      </w:r>
      <w:r w:rsidRPr="00BC13F4">
        <w:rPr>
          <w:iCs/>
        </w:rPr>
        <w:t xml:space="preserve"> and references to providing a balance in the continuing treatment phase</w:t>
      </w:r>
      <w:r w:rsidR="009215CE">
        <w:rPr>
          <w:iCs/>
        </w:rPr>
        <w:t xml:space="preserve"> be removed</w:t>
      </w:r>
      <w:r w:rsidRPr="00BC13F4">
        <w:rPr>
          <w:iCs/>
        </w:rPr>
        <w:t>.</w:t>
      </w:r>
    </w:p>
    <w:p w14:paraId="27CC248D" w14:textId="77777777" w:rsidR="00D571F0" w:rsidRPr="00EA5DF1" w:rsidRDefault="00D571F0" w:rsidP="00D571F0">
      <w:pPr>
        <w:pStyle w:val="2-SectionHeading"/>
      </w:pPr>
      <w:r w:rsidRPr="00EA5DF1">
        <w:t>Consideration of the evidence</w:t>
      </w:r>
      <w:bookmarkEnd w:id="6"/>
    </w:p>
    <w:p w14:paraId="690222FB" w14:textId="77777777" w:rsidR="004204B4" w:rsidRDefault="004204B4" w:rsidP="004204B4">
      <w:pPr>
        <w:pStyle w:val="4-SubsectionHeading"/>
        <w:rPr>
          <w:lang w:eastAsia="en-US"/>
        </w:rPr>
      </w:pPr>
      <w:r>
        <w:rPr>
          <w:lang w:eastAsia="en-US"/>
        </w:rPr>
        <w:t>Sponsor hearing</w:t>
      </w:r>
    </w:p>
    <w:p w14:paraId="2303A8D8" w14:textId="2A39D470" w:rsidR="004204B4" w:rsidRDefault="004204B4" w:rsidP="004204B4">
      <w:pPr>
        <w:pStyle w:val="3-BodyText"/>
        <w:rPr>
          <w:lang w:eastAsia="en-US"/>
        </w:rPr>
      </w:pPr>
      <w:r>
        <w:rPr>
          <w:lang w:eastAsia="en-US"/>
        </w:rPr>
        <w:t>There was no hearing for this item.</w:t>
      </w:r>
    </w:p>
    <w:p w14:paraId="5E711DEA" w14:textId="77777777" w:rsidR="004204B4" w:rsidRDefault="004204B4" w:rsidP="004204B4">
      <w:pPr>
        <w:pStyle w:val="4-SubsectionHeading"/>
        <w:rPr>
          <w:lang w:eastAsia="en-US"/>
        </w:rPr>
      </w:pPr>
      <w:r>
        <w:rPr>
          <w:lang w:eastAsia="en-US"/>
        </w:rPr>
        <w:lastRenderedPageBreak/>
        <w:t>Consumer comments</w:t>
      </w:r>
    </w:p>
    <w:p w14:paraId="480630CA" w14:textId="57B823F3" w:rsidR="00A810B9" w:rsidRPr="00A810B9" w:rsidRDefault="00A810B9" w:rsidP="00F26F07">
      <w:pPr>
        <w:pStyle w:val="3-BodyText"/>
      </w:pPr>
      <w:r w:rsidRPr="00A810B9">
        <w:t xml:space="preserve">The PBAC noted and welcomed the input from </w:t>
      </w:r>
      <w:r w:rsidR="00532F57" w:rsidRPr="00A810B9">
        <w:t>the Australasian Society of Clinical Immunology and Allergy (ASCIA) and the Australasian College of Dermatologists (ACD)</w:t>
      </w:r>
      <w:r w:rsidR="00532F57">
        <w:t xml:space="preserve"> </w:t>
      </w:r>
      <w:r w:rsidRPr="00A810B9">
        <w:t xml:space="preserve">via the Consumer Comments facility on the PBS website. </w:t>
      </w:r>
      <w:r w:rsidR="00F663E1" w:rsidRPr="00F663E1">
        <w:t xml:space="preserve">Both ASCIA and </w:t>
      </w:r>
      <w:r w:rsidR="00F663E1">
        <w:t xml:space="preserve">the </w:t>
      </w:r>
      <w:r w:rsidR="00F663E1" w:rsidRPr="00F663E1">
        <w:t xml:space="preserve">ACD emphasised the importance of </w:t>
      </w:r>
      <w:r w:rsidR="00F663E1">
        <w:t xml:space="preserve">the </w:t>
      </w:r>
      <w:r w:rsidR="00F663E1" w:rsidRPr="00F663E1">
        <w:t xml:space="preserve">early and effective treatment </w:t>
      </w:r>
      <w:r w:rsidR="00F663E1">
        <w:t>of</w:t>
      </w:r>
      <w:r w:rsidR="00F663E1" w:rsidRPr="00F663E1">
        <w:t xml:space="preserve"> autoimmune conditions. ASCIA specifically advocate</w:t>
      </w:r>
      <w:r w:rsidR="00F663E1">
        <w:t>d</w:t>
      </w:r>
      <w:r w:rsidR="00F663E1" w:rsidRPr="00F663E1">
        <w:t xml:space="preserve"> for the streamlining </w:t>
      </w:r>
      <w:r w:rsidR="00B0329A">
        <w:t xml:space="preserve">SC IFX </w:t>
      </w:r>
      <w:r w:rsidR="00F663E1" w:rsidRPr="00F663E1">
        <w:t>to facilitate early treatment ensuring better long-term clinical outcomes</w:t>
      </w:r>
      <w:r w:rsidR="00B0329A">
        <w:t xml:space="preserve"> and quality of life, while the</w:t>
      </w:r>
      <w:r w:rsidR="00F663E1" w:rsidRPr="00F663E1">
        <w:t xml:space="preserve"> ACD support</w:t>
      </w:r>
      <w:r w:rsidR="00B0329A">
        <w:t>ed</w:t>
      </w:r>
      <w:r w:rsidR="00F663E1" w:rsidRPr="00F663E1">
        <w:t xml:space="preserve"> </w:t>
      </w:r>
      <w:r w:rsidR="00DA2283">
        <w:t>streamlining</w:t>
      </w:r>
      <w:r w:rsidR="00F663E1" w:rsidRPr="00F663E1">
        <w:t xml:space="preserve"> to ease the administrative burden and ensure timely and appropriate access to treatment for patients.</w:t>
      </w:r>
      <w:r w:rsidR="00DA2283">
        <w:t xml:space="preserve"> </w:t>
      </w:r>
      <w:r w:rsidRPr="00A810B9">
        <w:t xml:space="preserve">The PBAC noted that this advice was supportive of the </w:t>
      </w:r>
      <w:r w:rsidR="00C9577F">
        <w:t>submission’s request</w:t>
      </w:r>
      <w:r w:rsidRPr="00A810B9">
        <w:t>.</w:t>
      </w:r>
    </w:p>
    <w:p w14:paraId="7BE1B197" w14:textId="7C3CFB4F" w:rsidR="004040ED" w:rsidRPr="00636420" w:rsidRDefault="004040ED" w:rsidP="004204B4">
      <w:pPr>
        <w:pStyle w:val="4-SubsectionHeading"/>
        <w:rPr>
          <w:lang w:eastAsia="en-US"/>
        </w:rPr>
      </w:pPr>
      <w:r w:rsidRPr="00636420">
        <w:rPr>
          <w:lang w:eastAsia="en-US"/>
        </w:rPr>
        <w:t>Justification for request</w:t>
      </w:r>
    </w:p>
    <w:p w14:paraId="2DFDEC4D" w14:textId="030DDFE0" w:rsidR="00316165" w:rsidRPr="00C81842" w:rsidRDefault="5384C204" w:rsidP="00316165">
      <w:pPr>
        <w:pStyle w:val="3-BodyText"/>
      </w:pPr>
      <w:r w:rsidRPr="0CEE6DE9">
        <w:t xml:space="preserve">The submission claimed that </w:t>
      </w:r>
      <w:r w:rsidR="002A7049">
        <w:t>SC IFX</w:t>
      </w:r>
      <w:r w:rsidRPr="0CEE6DE9">
        <w:t xml:space="preserve"> should be considered biosimilar to </w:t>
      </w:r>
      <w:r w:rsidR="00C9577F">
        <w:t>IV</w:t>
      </w:r>
      <w:r w:rsidR="00C9577F" w:rsidRPr="0CEE6DE9">
        <w:t xml:space="preserve"> </w:t>
      </w:r>
      <w:r w:rsidR="002968B2" w:rsidRPr="0CEE6DE9">
        <w:t>IFX</w:t>
      </w:r>
      <w:r w:rsidRPr="0CEE6DE9">
        <w:t xml:space="preserve"> and that biosimilar uptake drivers should be applied. </w:t>
      </w:r>
      <w:r w:rsidR="5E879E8F" w:rsidRPr="00BC13F4">
        <w:rPr>
          <w:iCs/>
        </w:rPr>
        <w:t>At</w:t>
      </w:r>
      <w:r w:rsidR="69E8743E" w:rsidRPr="00BC13F4">
        <w:rPr>
          <w:iCs/>
        </w:rPr>
        <w:t xml:space="preserve"> </w:t>
      </w:r>
      <w:r w:rsidR="002968B2" w:rsidRPr="00BC13F4">
        <w:rPr>
          <w:iCs/>
        </w:rPr>
        <w:t>its November 2020</w:t>
      </w:r>
      <w:r w:rsidR="2026C776" w:rsidRPr="00BC13F4">
        <w:rPr>
          <w:iCs/>
        </w:rPr>
        <w:t xml:space="preserve"> and March</w:t>
      </w:r>
      <w:r w:rsidR="00516C23">
        <w:rPr>
          <w:iCs/>
        </w:rPr>
        <w:t> </w:t>
      </w:r>
      <w:r w:rsidR="2026C776" w:rsidRPr="00BC13F4">
        <w:rPr>
          <w:iCs/>
        </w:rPr>
        <w:t>2022</w:t>
      </w:r>
      <w:r w:rsidR="002968B2" w:rsidRPr="00BC13F4">
        <w:rPr>
          <w:iCs/>
        </w:rPr>
        <w:t xml:space="preserve"> consideration</w:t>
      </w:r>
      <w:r w:rsidR="2026C776" w:rsidRPr="00BC13F4">
        <w:rPr>
          <w:iCs/>
        </w:rPr>
        <w:t>s</w:t>
      </w:r>
      <w:r w:rsidR="002968B2" w:rsidRPr="00BC13F4">
        <w:rPr>
          <w:iCs/>
        </w:rPr>
        <w:t xml:space="preserve"> of </w:t>
      </w:r>
      <w:r w:rsidR="075EA01B" w:rsidRPr="00BC13F4">
        <w:rPr>
          <w:iCs/>
        </w:rPr>
        <w:t xml:space="preserve">SC </w:t>
      </w:r>
      <w:r w:rsidR="002968B2" w:rsidRPr="00BC13F4">
        <w:rPr>
          <w:iCs/>
        </w:rPr>
        <w:t>IFX</w:t>
      </w:r>
      <w:r w:rsidR="69E8743E" w:rsidRPr="00BC13F4">
        <w:rPr>
          <w:iCs/>
        </w:rPr>
        <w:t xml:space="preserve">, the PBAC determined that </w:t>
      </w:r>
      <w:r w:rsidR="00334ECD" w:rsidRPr="00BC13F4">
        <w:rPr>
          <w:iCs/>
        </w:rPr>
        <w:t>SC IFX</w:t>
      </w:r>
      <w:r w:rsidR="69E8743E" w:rsidRPr="00BC13F4">
        <w:rPr>
          <w:iCs/>
        </w:rPr>
        <w:t xml:space="preserve"> restrictions should not </w:t>
      </w:r>
      <w:r w:rsidR="0EF4FE6C" w:rsidRPr="00BC13F4">
        <w:rPr>
          <w:iCs/>
        </w:rPr>
        <w:t xml:space="preserve">be based on </w:t>
      </w:r>
      <w:r w:rsidR="5E879E8F" w:rsidRPr="00BC13F4">
        <w:rPr>
          <w:iCs/>
        </w:rPr>
        <w:t xml:space="preserve">the </w:t>
      </w:r>
      <w:r w:rsidR="69E8743E" w:rsidRPr="00BC13F4">
        <w:rPr>
          <w:iCs/>
        </w:rPr>
        <w:t>biosimilar</w:t>
      </w:r>
      <w:r w:rsidR="41C95276" w:rsidRPr="00BC13F4">
        <w:rPr>
          <w:iCs/>
        </w:rPr>
        <w:t xml:space="preserve"> </w:t>
      </w:r>
      <w:r w:rsidR="69E8743E" w:rsidRPr="00BC13F4">
        <w:rPr>
          <w:iCs/>
        </w:rPr>
        <w:t>policy due to the different</w:t>
      </w:r>
      <w:r w:rsidR="1924482A" w:rsidRPr="0CEE6DE9">
        <w:t xml:space="preserve"> </w:t>
      </w:r>
      <w:r w:rsidR="1924482A" w:rsidRPr="00BC13F4">
        <w:rPr>
          <w:iCs/>
        </w:rPr>
        <w:t>route of administration</w:t>
      </w:r>
      <w:r w:rsidR="69E8743E" w:rsidRPr="00BC13F4">
        <w:rPr>
          <w:iCs/>
        </w:rPr>
        <w:t xml:space="preserve"> and pharmacokinetic profile compared to </w:t>
      </w:r>
      <w:r w:rsidR="00334ECD" w:rsidRPr="00BC13F4">
        <w:rPr>
          <w:iCs/>
        </w:rPr>
        <w:t>IV IFX</w:t>
      </w:r>
      <w:r w:rsidR="2026C776" w:rsidRPr="00BC13F4">
        <w:rPr>
          <w:iCs/>
        </w:rPr>
        <w:t>, however</w:t>
      </w:r>
      <w:r w:rsidR="00794D74" w:rsidRPr="00BC13F4">
        <w:rPr>
          <w:iCs/>
        </w:rPr>
        <w:t>,</w:t>
      </w:r>
      <w:r w:rsidR="15614112" w:rsidRPr="00BC13F4">
        <w:rPr>
          <w:iCs/>
        </w:rPr>
        <w:t xml:space="preserve"> considered the IV and SC formulations therapeutically equivalent and non-inferior in comparative effectiveness and safety across the requested indications.</w:t>
      </w:r>
    </w:p>
    <w:p w14:paraId="6AC89941" w14:textId="1FC2541E" w:rsidR="00F247AE" w:rsidRPr="00C81842" w:rsidRDefault="301EB98D" w:rsidP="00965ECE">
      <w:pPr>
        <w:pStyle w:val="3-BodyText"/>
      </w:pPr>
      <w:r w:rsidRPr="0CEE6DE9">
        <w:t xml:space="preserve">The submission stated that the primary purpose of the </w:t>
      </w:r>
      <w:r w:rsidR="00D812CF">
        <w:t>S</w:t>
      </w:r>
      <w:r w:rsidR="00D812CF" w:rsidRPr="0CEE6DE9">
        <w:t xml:space="preserve">treamlined </w:t>
      </w:r>
      <w:r w:rsidRPr="0CEE6DE9">
        <w:t xml:space="preserve">authority process is to reduce the administrative burden on prescribers </w:t>
      </w:r>
      <w:r w:rsidR="2213936E" w:rsidRPr="0CEE6DE9">
        <w:t xml:space="preserve">in relation to </w:t>
      </w:r>
      <w:r w:rsidRPr="0CEE6DE9">
        <w:t>chronic, stable long-term conditions (SCAC 2007</w:t>
      </w:r>
      <w:r w:rsidR="00DE0CAF" w:rsidRPr="0CEE6DE9">
        <w:rPr>
          <w:rStyle w:val="FootnoteReference"/>
        </w:rPr>
        <w:footnoteReference w:id="2"/>
      </w:r>
      <w:r w:rsidRPr="0CEE6DE9">
        <w:t xml:space="preserve">), and it is not solely intended as a biosimilar uptake driver. </w:t>
      </w:r>
      <w:r w:rsidR="326B5AEE" w:rsidRPr="0CEE6DE9">
        <w:t xml:space="preserve">Therefore, the submission </w:t>
      </w:r>
      <w:r w:rsidR="002968B2" w:rsidRPr="0CEE6DE9">
        <w:t xml:space="preserve">asserted </w:t>
      </w:r>
      <w:r w:rsidR="326B5AEE" w:rsidRPr="0CEE6DE9">
        <w:t xml:space="preserve">that a </w:t>
      </w:r>
      <w:r w:rsidR="00BB2A86">
        <w:t>Streamlined</w:t>
      </w:r>
      <w:r w:rsidR="326B5AEE" w:rsidRPr="0CEE6DE9">
        <w:t xml:space="preserve"> restriction </w:t>
      </w:r>
      <w:proofErr w:type="gramStart"/>
      <w:r w:rsidR="326B5AEE" w:rsidRPr="0CEE6DE9">
        <w:t>can</w:t>
      </w:r>
      <w:proofErr w:type="gramEnd"/>
      <w:r w:rsidR="326B5AEE" w:rsidRPr="0CEE6DE9">
        <w:t xml:space="preserve"> apply to biologics, regardless of the biosimilar driver initiative</w:t>
      </w:r>
      <w:r w:rsidR="6C3CC6B6" w:rsidRPr="0CEE6DE9">
        <w:t xml:space="preserve">, and that the </w:t>
      </w:r>
      <w:r w:rsidR="6F877D79" w:rsidRPr="0CEE6DE9">
        <w:t>application of the policy does not preclude the PBAC from recommending a change in the authority level</w:t>
      </w:r>
      <w:r w:rsidR="6C3CC6B6" w:rsidRPr="0CEE6DE9">
        <w:t xml:space="preserve"> of a pr</w:t>
      </w:r>
      <w:r w:rsidR="15614112" w:rsidRPr="0CEE6DE9">
        <w:t>oduct that is not the reference product</w:t>
      </w:r>
      <w:r w:rsidR="6F877D79" w:rsidRPr="0CEE6DE9">
        <w:t>.</w:t>
      </w:r>
    </w:p>
    <w:p w14:paraId="4FEB0D37" w14:textId="6081F96E" w:rsidR="0080033B" w:rsidRPr="00BC13F4" w:rsidRDefault="0080033B" w:rsidP="0CEE6DE9">
      <w:pPr>
        <w:pStyle w:val="3-BodyText"/>
        <w:rPr>
          <w:iCs/>
        </w:rPr>
      </w:pPr>
      <w:r w:rsidRPr="0CEE6DE9">
        <w:t xml:space="preserve">The submission claimed that the current </w:t>
      </w:r>
      <w:r w:rsidR="00EA6E01" w:rsidRPr="0CEE6DE9">
        <w:t xml:space="preserve">disparity </w:t>
      </w:r>
      <w:r w:rsidRPr="0CEE6DE9">
        <w:t xml:space="preserve">in authority requirements between </w:t>
      </w:r>
      <w:r w:rsidR="005A49DA" w:rsidRPr="0CEE6DE9">
        <w:t xml:space="preserve">the </w:t>
      </w:r>
      <w:r w:rsidR="00D56AC8" w:rsidRPr="0CEE6DE9">
        <w:t xml:space="preserve">IV and SC </w:t>
      </w:r>
      <w:r w:rsidR="002968B2" w:rsidRPr="0CEE6DE9">
        <w:t xml:space="preserve">IFX </w:t>
      </w:r>
      <w:r w:rsidRPr="0CEE6DE9">
        <w:t>formulations</w:t>
      </w:r>
      <w:r w:rsidR="00D56AC8" w:rsidRPr="0CEE6DE9">
        <w:t xml:space="preserve"> </w:t>
      </w:r>
      <w:r w:rsidRPr="0CEE6DE9">
        <w:t xml:space="preserve">appears to </w:t>
      </w:r>
      <w:r w:rsidR="001A10AF" w:rsidRPr="0CEE6DE9">
        <w:t>impede</w:t>
      </w:r>
      <w:r w:rsidRPr="0CEE6DE9">
        <w:t xml:space="preserve"> equitable access</w:t>
      </w:r>
      <w:r w:rsidR="00683EB6" w:rsidRPr="0CEE6DE9">
        <w:t xml:space="preserve"> to the SC formulation</w:t>
      </w:r>
      <w:r w:rsidR="00E61BA3" w:rsidRPr="0CEE6DE9">
        <w:t>,</w:t>
      </w:r>
      <w:r w:rsidRPr="0CEE6DE9">
        <w:t xml:space="preserve"> where authority levels </w:t>
      </w:r>
      <w:r w:rsidR="00AF546F" w:rsidRPr="0CEE6DE9">
        <w:t xml:space="preserve">could </w:t>
      </w:r>
      <w:r w:rsidRPr="0CEE6DE9">
        <w:t xml:space="preserve">be tailored to specific clinical scenarios. </w:t>
      </w:r>
      <w:r w:rsidR="00F84140" w:rsidRPr="00BC13F4">
        <w:rPr>
          <w:iCs/>
        </w:rPr>
        <w:t>At its November 2020 consideration, the PBAC considered that</w:t>
      </w:r>
      <w:r w:rsidR="00AD5095">
        <w:rPr>
          <w:iCs/>
        </w:rPr>
        <w:t xml:space="preserve"> the</w:t>
      </w:r>
      <w:r w:rsidR="00F84140" w:rsidRPr="00BC13F4">
        <w:rPr>
          <w:iCs/>
        </w:rPr>
        <w:t xml:space="preserve"> </w:t>
      </w:r>
      <w:r w:rsidR="00670641" w:rsidRPr="00BC13F4">
        <w:rPr>
          <w:iCs/>
        </w:rPr>
        <w:t>authority level of</w:t>
      </w:r>
      <w:r w:rsidR="00B22AAA" w:rsidRPr="00BC13F4">
        <w:rPr>
          <w:iCs/>
        </w:rPr>
        <w:t xml:space="preserve"> SC</w:t>
      </w:r>
      <w:r w:rsidR="00F84140" w:rsidRPr="00BC13F4">
        <w:rPr>
          <w:iCs/>
        </w:rPr>
        <w:t xml:space="preserve"> IFX</w:t>
      </w:r>
      <w:r w:rsidR="00670641" w:rsidRPr="00BC13F4">
        <w:rPr>
          <w:iCs/>
        </w:rPr>
        <w:t xml:space="preserve"> in the </w:t>
      </w:r>
      <w:r w:rsidR="009A3DDA" w:rsidRPr="00BC13F4">
        <w:rPr>
          <w:iCs/>
        </w:rPr>
        <w:t>subsequent continuing treatment (or ‘continuing treatment’ in UC) phase</w:t>
      </w:r>
      <w:r w:rsidR="00F84140" w:rsidRPr="00BC13F4">
        <w:rPr>
          <w:iCs/>
        </w:rPr>
        <w:t xml:space="preserve"> should </w:t>
      </w:r>
      <w:r w:rsidR="00794D74" w:rsidRPr="00BC13F4">
        <w:rPr>
          <w:iCs/>
        </w:rPr>
        <w:t>be</w:t>
      </w:r>
      <w:r w:rsidR="009447B1" w:rsidRPr="00BC13F4">
        <w:rPr>
          <w:iCs/>
        </w:rPr>
        <w:t xml:space="preserve"> based on</w:t>
      </w:r>
      <w:r w:rsidR="00F84140" w:rsidRPr="00BC13F4">
        <w:rPr>
          <w:iCs/>
        </w:rPr>
        <w:t xml:space="preserve"> consistency with other SC agents and/or similar indications</w:t>
      </w:r>
      <w:r w:rsidR="001D1522" w:rsidRPr="00BC13F4">
        <w:rPr>
          <w:iCs/>
        </w:rPr>
        <w:t xml:space="preserve"> (</w:t>
      </w:r>
      <w:r w:rsidR="00AB7815" w:rsidRPr="00BC13F4">
        <w:rPr>
          <w:iCs/>
        </w:rPr>
        <w:t>paragraph 3.4,</w:t>
      </w:r>
      <w:r w:rsidR="00AB7815" w:rsidRPr="0CEE6DE9">
        <w:t xml:space="preserve"> </w:t>
      </w:r>
      <w:r w:rsidR="00AB7815" w:rsidRPr="00BC13F4">
        <w:rPr>
          <w:iCs/>
        </w:rPr>
        <w:t xml:space="preserve">infliximab SC, </w:t>
      </w:r>
      <w:r w:rsidR="00F87AC8">
        <w:rPr>
          <w:iCs/>
        </w:rPr>
        <w:t>PSD</w:t>
      </w:r>
      <w:r w:rsidR="00AB7815" w:rsidRPr="00BC13F4">
        <w:rPr>
          <w:iCs/>
        </w:rPr>
        <w:t>, November 2020 PBAC meeting)</w:t>
      </w:r>
      <w:r w:rsidR="00F84140" w:rsidRPr="00BC13F4">
        <w:rPr>
          <w:iCs/>
        </w:rPr>
        <w:t>.</w:t>
      </w:r>
      <w:r w:rsidR="00A4793B">
        <w:t xml:space="preserve"> </w:t>
      </w:r>
      <w:r w:rsidR="00BB286A" w:rsidRPr="00BC13F4">
        <w:rPr>
          <w:iCs/>
        </w:rPr>
        <w:t>At its March</w:t>
      </w:r>
      <w:r w:rsidR="00167C6E">
        <w:rPr>
          <w:iCs/>
        </w:rPr>
        <w:t> </w:t>
      </w:r>
      <w:r w:rsidR="00BB286A" w:rsidRPr="00BC13F4">
        <w:rPr>
          <w:iCs/>
        </w:rPr>
        <w:t xml:space="preserve">2023 meeting, the PBAC recommended the Section 100 (Highly Specialised Drugs Program) </w:t>
      </w:r>
      <w:r w:rsidR="00BB2A86">
        <w:rPr>
          <w:iCs/>
        </w:rPr>
        <w:t>Streamlined</w:t>
      </w:r>
      <w:r w:rsidR="00374F60" w:rsidRPr="00BC13F4">
        <w:rPr>
          <w:iCs/>
        </w:rPr>
        <w:t xml:space="preserve"> </w:t>
      </w:r>
      <w:r w:rsidR="00BB286A" w:rsidRPr="00BC13F4">
        <w:rPr>
          <w:iCs/>
        </w:rPr>
        <w:t>listing of natalizumab 150</w:t>
      </w:r>
      <w:r w:rsidR="004159D4" w:rsidRPr="00BC13F4">
        <w:rPr>
          <w:iCs/>
        </w:rPr>
        <w:t> </w:t>
      </w:r>
      <w:r w:rsidR="00BB286A" w:rsidRPr="00BC13F4">
        <w:rPr>
          <w:iCs/>
        </w:rPr>
        <w:t>mg in 1</w:t>
      </w:r>
      <w:r w:rsidR="004159D4" w:rsidRPr="00BC13F4">
        <w:rPr>
          <w:iCs/>
        </w:rPr>
        <w:t> </w:t>
      </w:r>
      <w:r w:rsidR="00BB286A" w:rsidRPr="00BC13F4">
        <w:rPr>
          <w:iCs/>
        </w:rPr>
        <w:t xml:space="preserve">mL PFS for </w:t>
      </w:r>
      <w:r w:rsidR="007B34A1">
        <w:rPr>
          <w:iCs/>
        </w:rPr>
        <w:t>SC</w:t>
      </w:r>
      <w:r w:rsidR="007B34A1" w:rsidRPr="00BC13F4">
        <w:rPr>
          <w:iCs/>
        </w:rPr>
        <w:t xml:space="preserve"> </w:t>
      </w:r>
      <w:r w:rsidR="00BB286A" w:rsidRPr="00BC13F4">
        <w:rPr>
          <w:iCs/>
        </w:rPr>
        <w:t>injection under the same circumstances as the PBS-listed natalizumab 300</w:t>
      </w:r>
      <w:r w:rsidR="004159D4" w:rsidRPr="00BC13F4">
        <w:rPr>
          <w:iCs/>
        </w:rPr>
        <w:t> </w:t>
      </w:r>
      <w:r w:rsidR="00BB286A" w:rsidRPr="00BC13F4">
        <w:rPr>
          <w:iCs/>
        </w:rPr>
        <w:t>mg in 15</w:t>
      </w:r>
      <w:r w:rsidR="004159D4" w:rsidRPr="00BC13F4">
        <w:rPr>
          <w:iCs/>
        </w:rPr>
        <w:t> </w:t>
      </w:r>
      <w:r w:rsidR="00BB286A" w:rsidRPr="00BC13F4">
        <w:rPr>
          <w:iCs/>
        </w:rPr>
        <w:t xml:space="preserve">mL vial for </w:t>
      </w:r>
      <w:r w:rsidR="00A83F63" w:rsidRPr="00BC13F4">
        <w:rPr>
          <w:iCs/>
        </w:rPr>
        <w:t>IV</w:t>
      </w:r>
      <w:r w:rsidR="00BB286A" w:rsidRPr="00BC13F4">
        <w:rPr>
          <w:iCs/>
        </w:rPr>
        <w:t xml:space="preserve"> infusion</w:t>
      </w:r>
      <w:r w:rsidR="00CC342D" w:rsidRPr="00BC13F4">
        <w:rPr>
          <w:iCs/>
        </w:rPr>
        <w:t xml:space="preserve"> (</w:t>
      </w:r>
      <w:r w:rsidR="00792821" w:rsidRPr="00BC13F4">
        <w:rPr>
          <w:iCs/>
        </w:rPr>
        <w:t xml:space="preserve">paragraph </w:t>
      </w:r>
      <w:r w:rsidR="00BD31CF" w:rsidRPr="00BC13F4">
        <w:rPr>
          <w:iCs/>
        </w:rPr>
        <w:t xml:space="preserve">6.1, natalizumab </w:t>
      </w:r>
      <w:r w:rsidR="00F87AC8">
        <w:rPr>
          <w:iCs/>
        </w:rPr>
        <w:t>PSD</w:t>
      </w:r>
      <w:r w:rsidR="00BD31CF" w:rsidRPr="00BC13F4">
        <w:rPr>
          <w:iCs/>
        </w:rPr>
        <w:t>, March 2023</w:t>
      </w:r>
      <w:r w:rsidR="004F4DE6" w:rsidRPr="00BC13F4">
        <w:rPr>
          <w:iCs/>
        </w:rPr>
        <w:t xml:space="preserve"> PBAC meeting)</w:t>
      </w:r>
      <w:r w:rsidR="00BB286A" w:rsidRPr="00BC13F4">
        <w:rPr>
          <w:iCs/>
        </w:rPr>
        <w:t>.</w:t>
      </w:r>
      <w:r w:rsidR="00915165" w:rsidRPr="00BC13F4">
        <w:rPr>
          <w:iCs/>
        </w:rPr>
        <w:t xml:space="preserve"> </w:t>
      </w:r>
      <w:r w:rsidR="007B34A1">
        <w:rPr>
          <w:iCs/>
        </w:rPr>
        <w:t>A</w:t>
      </w:r>
      <w:r w:rsidR="00947E22" w:rsidRPr="00BC13F4">
        <w:rPr>
          <w:iCs/>
        </w:rPr>
        <w:t xml:space="preserve">batacept </w:t>
      </w:r>
      <w:r w:rsidR="007B34A1">
        <w:rPr>
          <w:iCs/>
        </w:rPr>
        <w:t>also</w:t>
      </w:r>
      <w:r w:rsidR="007B34A1" w:rsidRPr="00BC13F4">
        <w:rPr>
          <w:iCs/>
        </w:rPr>
        <w:t xml:space="preserve"> </w:t>
      </w:r>
      <w:r w:rsidR="001B3B9E" w:rsidRPr="00BC13F4">
        <w:rPr>
          <w:iCs/>
        </w:rPr>
        <w:t>has</w:t>
      </w:r>
      <w:r w:rsidR="00E216DC">
        <w:rPr>
          <w:iCs/>
        </w:rPr>
        <w:t xml:space="preserve"> </w:t>
      </w:r>
      <w:r w:rsidR="00E216DC">
        <w:rPr>
          <w:iCs/>
        </w:rPr>
        <w:lastRenderedPageBreak/>
        <w:t>Streamlined listings of</w:t>
      </w:r>
      <w:r w:rsidR="001B3B9E" w:rsidRPr="00BC13F4">
        <w:rPr>
          <w:iCs/>
        </w:rPr>
        <w:t xml:space="preserve"> </w:t>
      </w:r>
      <w:r w:rsidR="00DA3B64" w:rsidRPr="00BC13F4">
        <w:rPr>
          <w:iCs/>
        </w:rPr>
        <w:t>both</w:t>
      </w:r>
      <w:r w:rsidR="00E216DC">
        <w:rPr>
          <w:iCs/>
        </w:rPr>
        <w:t xml:space="preserve"> the</w:t>
      </w:r>
      <w:r w:rsidR="00DA3B64" w:rsidRPr="00BC13F4">
        <w:rPr>
          <w:iCs/>
        </w:rPr>
        <w:t xml:space="preserve"> IV and the SC forms for the subsequent continui</w:t>
      </w:r>
      <w:r w:rsidR="005819E4" w:rsidRPr="00BC13F4">
        <w:rPr>
          <w:iCs/>
        </w:rPr>
        <w:t>ng treatment of severe active rheumatoid arthritis.</w:t>
      </w:r>
    </w:p>
    <w:p w14:paraId="63FA9D09" w14:textId="1325CCCC" w:rsidR="005E04FC" w:rsidRPr="00BC13F4" w:rsidRDefault="66B05E5A" w:rsidP="0CEE6DE9">
      <w:pPr>
        <w:pStyle w:val="3-BodyText"/>
        <w:rPr>
          <w:iCs/>
        </w:rPr>
      </w:pPr>
      <w:r w:rsidRPr="0CEE6DE9">
        <w:t xml:space="preserve">The submission stated that </w:t>
      </w:r>
      <w:r w:rsidR="0678E457" w:rsidRPr="0CEE6DE9">
        <w:t>reducing the authority level</w:t>
      </w:r>
      <w:r w:rsidR="6E1929DA" w:rsidRPr="0CEE6DE9">
        <w:t xml:space="preserve"> </w:t>
      </w:r>
      <w:r w:rsidR="0678E457" w:rsidRPr="0CEE6DE9">
        <w:t>for</w:t>
      </w:r>
      <w:r w:rsidR="6E1929DA" w:rsidRPr="0CEE6DE9">
        <w:t xml:space="preserve"> </w:t>
      </w:r>
      <w:r w:rsidR="0678E457" w:rsidRPr="0CEE6DE9">
        <w:t xml:space="preserve">the </w:t>
      </w:r>
      <w:r w:rsidR="0EF155A5" w:rsidRPr="0CEE6DE9">
        <w:t xml:space="preserve">continuing </w:t>
      </w:r>
      <w:r w:rsidR="6E1929DA" w:rsidRPr="0CEE6DE9">
        <w:t>treatment</w:t>
      </w:r>
      <w:r w:rsidR="0EF155A5" w:rsidRPr="0CEE6DE9">
        <w:t xml:space="preserve"> </w:t>
      </w:r>
      <w:r w:rsidR="0678E457" w:rsidRPr="0CEE6DE9">
        <w:t xml:space="preserve">of </w:t>
      </w:r>
      <w:r w:rsidR="73FD5D45" w:rsidRPr="0CEE6DE9">
        <w:t xml:space="preserve">SC </w:t>
      </w:r>
      <w:r w:rsidR="0678E457" w:rsidRPr="0CEE6DE9">
        <w:t xml:space="preserve">IFX has a low clinical risk </w:t>
      </w:r>
      <w:r w:rsidR="49CAE3F7" w:rsidRPr="0CEE6DE9">
        <w:t>due to</w:t>
      </w:r>
      <w:r w:rsidR="136C9A90" w:rsidRPr="0CEE6DE9">
        <w:t>:</w:t>
      </w:r>
    </w:p>
    <w:p w14:paraId="61A72638" w14:textId="13FF5006" w:rsidR="005E04FC" w:rsidRPr="00BC13F4" w:rsidRDefault="009A68C5" w:rsidP="0011466E">
      <w:pPr>
        <w:pStyle w:val="ListParagraph"/>
        <w:numPr>
          <w:ilvl w:val="0"/>
          <w:numId w:val="44"/>
        </w:numPr>
        <w:rPr>
          <w:iCs/>
        </w:rPr>
      </w:pPr>
      <w:r w:rsidRPr="009A68C5">
        <w:t>confirmed patient suitability</w:t>
      </w:r>
      <w:r w:rsidR="005E04FC">
        <w:t>,</w:t>
      </w:r>
    </w:p>
    <w:p w14:paraId="3138B8A6" w14:textId="44ADA95B" w:rsidR="005E04FC" w:rsidRPr="00BC13F4" w:rsidRDefault="009A68C5" w:rsidP="0011466E">
      <w:pPr>
        <w:pStyle w:val="ListParagraph"/>
        <w:numPr>
          <w:ilvl w:val="0"/>
          <w:numId w:val="44"/>
        </w:numPr>
        <w:rPr>
          <w:iCs/>
        </w:rPr>
      </w:pPr>
      <w:r w:rsidRPr="009A68C5">
        <w:t>established response,</w:t>
      </w:r>
    </w:p>
    <w:p w14:paraId="1C3B5B56" w14:textId="5546E438" w:rsidR="005E04FC" w:rsidRPr="00BC13F4" w:rsidRDefault="009A68C5" w:rsidP="0011466E">
      <w:pPr>
        <w:pStyle w:val="ListParagraph"/>
        <w:numPr>
          <w:ilvl w:val="0"/>
          <w:numId w:val="44"/>
        </w:numPr>
        <w:rPr>
          <w:iCs/>
        </w:rPr>
      </w:pPr>
      <w:r w:rsidRPr="009A68C5">
        <w:t>demonstrated tolerability, and</w:t>
      </w:r>
    </w:p>
    <w:p w14:paraId="4407E7A9" w14:textId="1BAE2238" w:rsidR="005E04FC" w:rsidRPr="00BC13F4" w:rsidRDefault="009A68C5" w:rsidP="0011466E">
      <w:pPr>
        <w:pStyle w:val="ListParagraph"/>
        <w:numPr>
          <w:ilvl w:val="0"/>
          <w:numId w:val="44"/>
        </w:numPr>
        <w:rPr>
          <w:iCs/>
        </w:rPr>
      </w:pPr>
      <w:r w:rsidRPr="009A68C5">
        <w:t>regular monitoring.</w:t>
      </w:r>
    </w:p>
    <w:p w14:paraId="06FE0DF5" w14:textId="26BDB4CB" w:rsidR="00362724" w:rsidRPr="00BC13F4" w:rsidRDefault="2277FA8C" w:rsidP="0CEE6DE9">
      <w:pPr>
        <w:pStyle w:val="3-BodyText"/>
        <w:rPr>
          <w:iCs/>
        </w:rPr>
      </w:pPr>
      <w:r w:rsidRPr="0CEE6DE9">
        <w:t>The</w:t>
      </w:r>
      <w:r w:rsidR="49CAE3F7" w:rsidRPr="0CEE6DE9">
        <w:t xml:space="preserve"> submission</w:t>
      </w:r>
      <w:r w:rsidR="55AD6151" w:rsidRPr="0CEE6DE9">
        <w:t xml:space="preserve"> further</w:t>
      </w:r>
      <w:r w:rsidR="49CAE3F7" w:rsidRPr="0CEE6DE9">
        <w:t xml:space="preserve"> stated that</w:t>
      </w:r>
      <w:r w:rsidR="3A1C5337" w:rsidRPr="0CEE6DE9">
        <w:t xml:space="preserve"> the use of </w:t>
      </w:r>
      <w:r w:rsidR="00334ECD" w:rsidRPr="0CEE6DE9">
        <w:t>SC IFX</w:t>
      </w:r>
      <w:r w:rsidR="3A1C5337" w:rsidRPr="0CEE6DE9">
        <w:t xml:space="preserve"> is safeguarded by</w:t>
      </w:r>
      <w:r w:rsidR="49CAE3F7" w:rsidRPr="0CEE6DE9">
        <w:t xml:space="preserve"> the</w:t>
      </w:r>
      <w:r w:rsidRPr="0CEE6DE9">
        <w:t xml:space="preserve"> current restrictions </w:t>
      </w:r>
      <w:r w:rsidR="3A1C5337" w:rsidRPr="0CEE6DE9">
        <w:t>which</w:t>
      </w:r>
      <w:r w:rsidRPr="0CEE6DE9">
        <w:t xml:space="preserve"> include</w:t>
      </w:r>
      <w:r w:rsidR="136C9A90" w:rsidRPr="0CEE6DE9">
        <w:t>:</w:t>
      </w:r>
    </w:p>
    <w:p w14:paraId="6660F531" w14:textId="56CD9C52" w:rsidR="00362724" w:rsidRPr="00BC13F4" w:rsidRDefault="00C07AC9" w:rsidP="0011466E">
      <w:pPr>
        <w:pStyle w:val="ListParagraph"/>
        <w:numPr>
          <w:ilvl w:val="0"/>
          <w:numId w:val="45"/>
        </w:numPr>
        <w:rPr>
          <w:iCs/>
        </w:rPr>
      </w:pPr>
      <w:r w:rsidRPr="00C07AC9">
        <w:t>treatment initiation and supervision by qualified physicians,</w:t>
      </w:r>
    </w:p>
    <w:p w14:paraId="096AD432" w14:textId="3D704AF7" w:rsidR="00362724" w:rsidRPr="00BC13F4" w:rsidRDefault="55AD6151" w:rsidP="0011466E">
      <w:pPr>
        <w:pStyle w:val="ListParagraph"/>
        <w:numPr>
          <w:ilvl w:val="0"/>
          <w:numId w:val="45"/>
        </w:numPr>
        <w:rPr>
          <w:iCs/>
        </w:rPr>
      </w:pPr>
      <w:r w:rsidRPr="0CEE6DE9">
        <w:t xml:space="preserve">an appropriate authority level </w:t>
      </w:r>
      <w:r w:rsidR="243213AE" w:rsidRPr="0CEE6DE9">
        <w:t>for</w:t>
      </w:r>
      <w:r w:rsidRPr="0CEE6DE9">
        <w:t xml:space="preserve"> the initial restriction,</w:t>
      </w:r>
    </w:p>
    <w:p w14:paraId="45646312" w14:textId="28F2E80E" w:rsidR="00362724" w:rsidRPr="00BC13F4" w:rsidRDefault="00C07AC9" w:rsidP="0011466E">
      <w:pPr>
        <w:pStyle w:val="ListParagraph"/>
        <w:numPr>
          <w:ilvl w:val="0"/>
          <w:numId w:val="45"/>
        </w:numPr>
        <w:rPr>
          <w:iCs/>
        </w:rPr>
      </w:pPr>
      <w:r w:rsidRPr="00C07AC9">
        <w:t>mandatory regular follow-up,</w:t>
      </w:r>
      <w:r w:rsidR="00362724">
        <w:t xml:space="preserve"> and</w:t>
      </w:r>
    </w:p>
    <w:p w14:paraId="7765D233" w14:textId="5864D00D" w:rsidR="009A68C5" w:rsidRPr="00021AD1" w:rsidRDefault="00C07AC9" w:rsidP="00F26F07">
      <w:pPr>
        <w:pStyle w:val="ListParagraph"/>
        <w:numPr>
          <w:ilvl w:val="0"/>
          <w:numId w:val="45"/>
        </w:numPr>
        <w:rPr>
          <w:iCs/>
        </w:rPr>
      </w:pPr>
      <w:r w:rsidRPr="00C07AC9">
        <w:t>clear patient selection criteria</w:t>
      </w:r>
      <w:r w:rsidR="00362724">
        <w:t>.</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4827E9A8" w14:textId="5D8BF666" w:rsidR="00A42918" w:rsidRPr="00BC13F4" w:rsidRDefault="00A42918" w:rsidP="0CEE6DE9">
      <w:pPr>
        <w:pStyle w:val="3-BodyText"/>
        <w:rPr>
          <w:iCs/>
        </w:rPr>
      </w:pPr>
      <w:r w:rsidRPr="0CEE6DE9">
        <w:t>The submission estimated that the requested change to the</w:t>
      </w:r>
      <w:r w:rsidR="00637C67">
        <w:t xml:space="preserve"> SC IFX</w:t>
      </w:r>
      <w:r w:rsidRPr="0CEE6DE9">
        <w:t xml:space="preserve"> restriction </w:t>
      </w:r>
      <w:r w:rsidR="00637C67">
        <w:t xml:space="preserve">authority </w:t>
      </w:r>
      <w:r w:rsidRPr="0CEE6DE9">
        <w:t>level would have no financial impact to the PBS/RPBS</w:t>
      </w:r>
      <w:r w:rsidR="00E862AA" w:rsidRPr="0CEE6DE9">
        <w:t xml:space="preserve"> (see </w:t>
      </w:r>
      <w:r>
        <w:fldChar w:fldCharType="begin" w:fldLock="1"/>
      </w:r>
      <w:r>
        <w:instrText xml:space="preserve"> REF _Ref188520821 \h </w:instrText>
      </w:r>
      <w:r>
        <w:fldChar w:fldCharType="separate"/>
      </w:r>
      <w:r w:rsidR="00134D31">
        <w:t xml:space="preserve">Table </w:t>
      </w:r>
      <w:r w:rsidR="00134D31">
        <w:rPr>
          <w:noProof/>
        </w:rPr>
        <w:t>2</w:t>
      </w:r>
      <w:r>
        <w:fldChar w:fldCharType="end"/>
      </w:r>
      <w:r w:rsidR="00E862AA" w:rsidRPr="0CEE6DE9">
        <w:t>)</w:t>
      </w:r>
      <w:r w:rsidRPr="0CEE6DE9">
        <w:t xml:space="preserve"> as no change in market uptake </w:t>
      </w:r>
      <w:r w:rsidR="009E28CE" w:rsidRPr="0CEE6DE9">
        <w:t xml:space="preserve">was </w:t>
      </w:r>
      <w:r w:rsidRPr="0CEE6DE9">
        <w:t>anticipated</w:t>
      </w:r>
      <w:r w:rsidR="00396B9B">
        <w:t xml:space="preserve">, </w:t>
      </w:r>
      <w:r w:rsidR="007357AA">
        <w:t>noting</w:t>
      </w:r>
      <w:r w:rsidR="00CF274C" w:rsidRPr="00BC13F4">
        <w:rPr>
          <w:iCs/>
        </w:rPr>
        <w:t xml:space="preserve"> that the </w:t>
      </w:r>
      <w:r w:rsidR="005D4446" w:rsidRPr="00BC13F4">
        <w:rPr>
          <w:iCs/>
        </w:rPr>
        <w:t xml:space="preserve">financial impact to Services Australia </w:t>
      </w:r>
      <w:r w:rsidR="007357AA">
        <w:rPr>
          <w:iCs/>
        </w:rPr>
        <w:t>would</w:t>
      </w:r>
      <w:r w:rsidR="007357AA" w:rsidRPr="00BC13F4">
        <w:rPr>
          <w:iCs/>
        </w:rPr>
        <w:t xml:space="preserve"> </w:t>
      </w:r>
      <w:r w:rsidR="005D4446" w:rsidRPr="00BC13F4">
        <w:rPr>
          <w:iCs/>
        </w:rPr>
        <w:t>be determined by that agency as part of the post-PBAC process</w:t>
      </w:r>
      <w:r w:rsidR="00396B9B">
        <w:rPr>
          <w:iCs/>
        </w:rPr>
        <w:t>.</w:t>
      </w:r>
    </w:p>
    <w:p w14:paraId="5776D7DB" w14:textId="3F06A9A9" w:rsidR="00272DE5" w:rsidRPr="001661F3" w:rsidRDefault="005A00E3" w:rsidP="005A00E3">
      <w:pPr>
        <w:pStyle w:val="Caption"/>
        <w:keepNext/>
        <w:keepLines/>
        <w:rPr>
          <w:rFonts w:asciiTheme="minorHAnsi" w:hAnsiTheme="minorHAnsi" w:cstheme="minorHAnsi"/>
          <w:sz w:val="24"/>
          <w:szCs w:val="24"/>
        </w:rPr>
      </w:pPr>
      <w:bookmarkStart w:id="7" w:name="_Ref188520821"/>
      <w:bookmarkStart w:id="8" w:name="_Hlk121755068"/>
      <w:r>
        <w:t xml:space="preserve">Table </w:t>
      </w:r>
      <w:r>
        <w:fldChar w:fldCharType="begin" w:fldLock="1"/>
      </w:r>
      <w:r>
        <w:instrText xml:space="preserve"> SEQ Table \* ARABIC </w:instrText>
      </w:r>
      <w:r>
        <w:fldChar w:fldCharType="separate"/>
      </w:r>
      <w:r>
        <w:rPr>
          <w:noProof/>
        </w:rPr>
        <w:t>2</w:t>
      </w:r>
      <w:r>
        <w:rPr>
          <w:noProof/>
        </w:rPr>
        <w:fldChar w:fldCharType="end"/>
      </w:r>
      <w:bookmarkEnd w:id="7"/>
      <w:r w:rsidR="00D70349" w:rsidRPr="00A6439B">
        <w:rPr>
          <w:rFonts w:eastAsiaTheme="majorEastAsia"/>
        </w:rPr>
        <w:t>:</w:t>
      </w:r>
      <w:bookmarkEnd w:id="8"/>
      <w:r w:rsidR="00D70349" w:rsidRPr="00A6439B">
        <w:rPr>
          <w:rFonts w:eastAsiaTheme="majorEastAsia"/>
        </w:rPr>
        <w:t xml:space="preserve"> </w:t>
      </w:r>
      <w:r w:rsidR="00D70349" w:rsidRPr="00A6439B">
        <w:rPr>
          <w:rStyle w:val="CommentReference"/>
          <w:sz w:val="20"/>
          <w:szCs w:val="22"/>
        </w:rPr>
        <w:t xml:space="preserve">Estimated use and financial implications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
      </w:tblPr>
      <w:tblGrid>
        <w:gridCol w:w="2015"/>
        <w:gridCol w:w="1166"/>
        <w:gridCol w:w="1167"/>
        <w:gridCol w:w="1167"/>
        <w:gridCol w:w="1167"/>
        <w:gridCol w:w="1167"/>
        <w:gridCol w:w="1167"/>
      </w:tblGrid>
      <w:tr w:rsidR="00D70349" w:rsidRPr="007107DF" w14:paraId="50517F09" w14:textId="77777777" w:rsidTr="0CEE6DE9">
        <w:trPr>
          <w:cantSplit/>
          <w:tblHeader/>
          <w:jc w:val="center"/>
        </w:trPr>
        <w:tc>
          <w:tcPr>
            <w:tcW w:w="1118" w:type="pct"/>
            <w:shd w:val="clear" w:color="auto" w:fill="F2F2F2" w:themeFill="background1" w:themeFillShade="F2"/>
            <w:vAlign w:val="center"/>
          </w:tcPr>
          <w:p w14:paraId="146FDDC6" w14:textId="77777777" w:rsidR="00D70349" w:rsidRPr="007107DF" w:rsidRDefault="00D70349" w:rsidP="005A00E3">
            <w:pPr>
              <w:pStyle w:val="TableText0"/>
              <w:keepLines/>
            </w:pPr>
          </w:p>
        </w:tc>
        <w:tc>
          <w:tcPr>
            <w:tcW w:w="647" w:type="pct"/>
            <w:shd w:val="clear" w:color="auto" w:fill="F2F2F2" w:themeFill="background1" w:themeFillShade="F2"/>
            <w:vAlign w:val="center"/>
          </w:tcPr>
          <w:p w14:paraId="229BAAA8" w14:textId="77777777" w:rsidR="00D70349" w:rsidRPr="007107DF" w:rsidRDefault="00D70349" w:rsidP="005A00E3">
            <w:pPr>
              <w:pStyle w:val="TableText0"/>
              <w:keepLines/>
              <w:rPr>
                <w:b/>
              </w:rPr>
            </w:pPr>
            <w:r w:rsidRPr="007107DF">
              <w:rPr>
                <w:b/>
              </w:rPr>
              <w:t>Year 1</w:t>
            </w:r>
          </w:p>
        </w:tc>
        <w:tc>
          <w:tcPr>
            <w:tcW w:w="647" w:type="pct"/>
            <w:shd w:val="clear" w:color="auto" w:fill="F2F2F2" w:themeFill="background1" w:themeFillShade="F2"/>
            <w:vAlign w:val="center"/>
          </w:tcPr>
          <w:p w14:paraId="48EEAB93" w14:textId="77777777" w:rsidR="00D70349" w:rsidRPr="007107DF" w:rsidRDefault="00D70349" w:rsidP="005A00E3">
            <w:pPr>
              <w:pStyle w:val="TableText0"/>
              <w:keepLines/>
              <w:rPr>
                <w:b/>
              </w:rPr>
            </w:pPr>
            <w:r w:rsidRPr="007107DF">
              <w:rPr>
                <w:b/>
              </w:rPr>
              <w:t>Year 2</w:t>
            </w:r>
          </w:p>
        </w:tc>
        <w:tc>
          <w:tcPr>
            <w:tcW w:w="647" w:type="pct"/>
            <w:shd w:val="clear" w:color="auto" w:fill="F2F2F2" w:themeFill="background1" w:themeFillShade="F2"/>
            <w:vAlign w:val="center"/>
          </w:tcPr>
          <w:p w14:paraId="0738F741" w14:textId="77777777" w:rsidR="00D70349" w:rsidRPr="007107DF" w:rsidRDefault="00D70349" w:rsidP="005A00E3">
            <w:pPr>
              <w:pStyle w:val="TableText0"/>
              <w:keepLines/>
              <w:rPr>
                <w:b/>
              </w:rPr>
            </w:pPr>
            <w:r w:rsidRPr="007107DF">
              <w:rPr>
                <w:b/>
              </w:rPr>
              <w:t>Year 3</w:t>
            </w:r>
          </w:p>
        </w:tc>
        <w:tc>
          <w:tcPr>
            <w:tcW w:w="647" w:type="pct"/>
            <w:shd w:val="clear" w:color="auto" w:fill="F2F2F2" w:themeFill="background1" w:themeFillShade="F2"/>
            <w:vAlign w:val="center"/>
          </w:tcPr>
          <w:p w14:paraId="2F722BB7" w14:textId="77777777" w:rsidR="00D70349" w:rsidRPr="007107DF" w:rsidRDefault="00D70349" w:rsidP="005A00E3">
            <w:pPr>
              <w:pStyle w:val="TableText0"/>
              <w:keepLines/>
              <w:rPr>
                <w:b/>
              </w:rPr>
            </w:pPr>
            <w:r w:rsidRPr="007107DF">
              <w:rPr>
                <w:b/>
              </w:rPr>
              <w:t>Year 4</w:t>
            </w:r>
          </w:p>
        </w:tc>
        <w:tc>
          <w:tcPr>
            <w:tcW w:w="647" w:type="pct"/>
            <w:shd w:val="clear" w:color="auto" w:fill="F2F2F2" w:themeFill="background1" w:themeFillShade="F2"/>
            <w:vAlign w:val="center"/>
          </w:tcPr>
          <w:p w14:paraId="4A03E0AC" w14:textId="77777777" w:rsidR="00D70349" w:rsidRPr="007107DF" w:rsidRDefault="00D70349" w:rsidP="005A00E3">
            <w:pPr>
              <w:pStyle w:val="TableText0"/>
              <w:keepLines/>
              <w:rPr>
                <w:b/>
              </w:rPr>
            </w:pPr>
            <w:r w:rsidRPr="007107DF">
              <w:rPr>
                <w:b/>
              </w:rPr>
              <w:t>Year 5</w:t>
            </w:r>
          </w:p>
        </w:tc>
        <w:tc>
          <w:tcPr>
            <w:tcW w:w="647" w:type="pct"/>
            <w:shd w:val="clear" w:color="auto" w:fill="F2F2F2" w:themeFill="background1" w:themeFillShade="F2"/>
          </w:tcPr>
          <w:p w14:paraId="11CF147B" w14:textId="77777777" w:rsidR="00D70349" w:rsidRPr="007107DF" w:rsidRDefault="00D70349" w:rsidP="005A00E3">
            <w:pPr>
              <w:pStyle w:val="TableText0"/>
              <w:keepLines/>
              <w:rPr>
                <w:b/>
              </w:rPr>
            </w:pPr>
            <w:r w:rsidRPr="007107DF">
              <w:rPr>
                <w:b/>
              </w:rPr>
              <w:t>Year 6</w:t>
            </w:r>
          </w:p>
        </w:tc>
      </w:tr>
      <w:tr w:rsidR="00D70349" w:rsidRPr="007107DF" w14:paraId="07125BC5" w14:textId="77777777" w:rsidTr="0CEE6DE9">
        <w:trPr>
          <w:cantSplit/>
          <w:jc w:val="center"/>
        </w:trPr>
        <w:tc>
          <w:tcPr>
            <w:tcW w:w="5000" w:type="pct"/>
            <w:gridSpan w:val="7"/>
            <w:shd w:val="clear" w:color="auto" w:fill="auto"/>
            <w:vAlign w:val="center"/>
          </w:tcPr>
          <w:p w14:paraId="618359A1" w14:textId="77777777" w:rsidR="00D70349" w:rsidRPr="007107DF" w:rsidRDefault="00D70349" w:rsidP="005A00E3">
            <w:pPr>
              <w:pStyle w:val="TableText0"/>
              <w:keepLines/>
              <w:rPr>
                <w:b/>
                <w:color w:val="000000"/>
              </w:rPr>
            </w:pPr>
            <w:r w:rsidRPr="007107DF">
              <w:rPr>
                <w:b/>
                <w:color w:val="000000"/>
              </w:rPr>
              <w:t>Estimated extent of use</w:t>
            </w:r>
          </w:p>
        </w:tc>
      </w:tr>
      <w:tr w:rsidR="00821C73" w:rsidRPr="007107DF" w14:paraId="5D5D440C" w14:textId="77777777" w:rsidTr="0CEE6DE9">
        <w:trPr>
          <w:cantSplit/>
          <w:jc w:val="center"/>
        </w:trPr>
        <w:tc>
          <w:tcPr>
            <w:tcW w:w="1118" w:type="pct"/>
            <w:shd w:val="clear" w:color="auto" w:fill="auto"/>
            <w:vAlign w:val="center"/>
          </w:tcPr>
          <w:p w14:paraId="359E474F" w14:textId="51C22FA2" w:rsidR="00821C73" w:rsidRPr="007107DF" w:rsidRDefault="2CCAE59A" w:rsidP="0CEE6DE9">
            <w:pPr>
              <w:pStyle w:val="TableText0"/>
              <w:keepLines/>
              <w:rPr>
                <w:vertAlign w:val="superscript"/>
              </w:rPr>
            </w:pPr>
            <w:r w:rsidRPr="0CEE6DE9">
              <w:t>Number of scripts dispensed</w:t>
            </w:r>
            <w:r w:rsidR="00940361">
              <w:t xml:space="preserve"> </w:t>
            </w:r>
            <w:r w:rsidRPr="0CEE6DE9">
              <w:rPr>
                <w:vertAlign w:val="superscript"/>
              </w:rPr>
              <w:t>a</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4228129" w14:textId="2FD99915" w:rsidR="00821C73" w:rsidRPr="007107DF" w:rsidRDefault="00D52E23" w:rsidP="005A00E3">
            <w:pPr>
              <w:pStyle w:val="TableText0"/>
              <w:keepLines/>
              <w:jc w:val="right"/>
              <w:rPr>
                <w:color w:val="000000"/>
              </w:rPr>
            </w:pPr>
            <w:r w:rsidRPr="00D52E23">
              <w:rPr>
                <w:rFonts w:cs="Arial"/>
                <w:color w:val="000000"/>
                <w:szCs w:val="20"/>
                <w:shd w:val="solid" w:color="000000" w:fill="000000"/>
                <w14:textFill>
                  <w14:solidFill>
                    <w14:srgbClr w14:val="000000">
                      <w14:alpha w14:val="100000"/>
                    </w14:srgbClr>
                  </w14:solidFill>
                </w14:textFill>
              </w:rPr>
              <w:t>|</w:t>
            </w:r>
            <w:r w:rsidR="00B67C39">
              <w:rPr>
                <w:rFonts w:cs="Arial"/>
                <w:color w:val="000000"/>
                <w:szCs w:val="20"/>
              </w:rPr>
              <w:t xml:space="preserve"> </w:t>
            </w:r>
            <w:r w:rsidR="00B67C39">
              <w:rPr>
                <w:rFonts w:cs="Arial"/>
                <w:color w:val="000000"/>
                <w:szCs w:val="20"/>
                <w:vertAlign w:val="superscript"/>
              </w:rPr>
              <w:t>1</w:t>
            </w:r>
            <w:r w:rsidR="00821C73" w:rsidRPr="007107DF">
              <w:rPr>
                <w:rFonts w:cs="Arial"/>
                <w:color w:val="000000"/>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14:paraId="0AC1C51C" w14:textId="18AA595D" w:rsidR="00821C73" w:rsidRPr="007107DF" w:rsidRDefault="00D52E23" w:rsidP="005A00E3">
            <w:pPr>
              <w:pStyle w:val="TableText0"/>
              <w:keepLines/>
              <w:jc w:val="right"/>
              <w:rPr>
                <w:color w:val="000000"/>
              </w:rPr>
            </w:pPr>
            <w:r w:rsidRPr="00D52E23">
              <w:rPr>
                <w:rFonts w:cs="Arial"/>
                <w:color w:val="000000"/>
                <w:szCs w:val="20"/>
                <w:shd w:val="solid" w:color="000000" w:fill="000000"/>
                <w14:textFill>
                  <w14:solidFill>
                    <w14:srgbClr w14:val="000000">
                      <w14:alpha w14:val="100000"/>
                    </w14:srgbClr>
                  </w14:solidFill>
                </w14:textFill>
              </w:rPr>
              <w:t>|</w:t>
            </w:r>
            <w:r w:rsidR="00B67C39">
              <w:rPr>
                <w:rFonts w:cs="Arial"/>
                <w:color w:val="000000"/>
                <w:szCs w:val="20"/>
              </w:rPr>
              <w:t xml:space="preserve"> </w:t>
            </w:r>
            <w:r w:rsidR="00B67C39">
              <w:rPr>
                <w:rFonts w:cs="Arial"/>
                <w:color w:val="000000"/>
                <w:szCs w:val="20"/>
                <w:vertAlign w:val="superscript"/>
              </w:rPr>
              <w:t>2</w:t>
            </w:r>
            <w:r w:rsidR="00821C73" w:rsidRPr="007107DF">
              <w:rPr>
                <w:rFonts w:cs="Arial"/>
                <w:color w:val="000000"/>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14:paraId="46B37406" w14:textId="67F372B1" w:rsidR="00821C73" w:rsidRPr="007107DF" w:rsidRDefault="00D52E23" w:rsidP="005A00E3">
            <w:pPr>
              <w:pStyle w:val="TableText0"/>
              <w:keepLines/>
              <w:jc w:val="right"/>
              <w:rPr>
                <w:color w:val="000000"/>
              </w:rPr>
            </w:pPr>
            <w:r w:rsidRPr="00D52E23">
              <w:rPr>
                <w:rFonts w:cs="Arial"/>
                <w:color w:val="000000"/>
                <w:szCs w:val="20"/>
                <w:shd w:val="solid" w:color="000000" w:fill="000000"/>
                <w14:textFill>
                  <w14:solidFill>
                    <w14:srgbClr w14:val="000000">
                      <w14:alpha w14:val="100000"/>
                    </w14:srgbClr>
                  </w14:solidFill>
                </w14:textFill>
              </w:rPr>
              <w:t>|</w:t>
            </w:r>
            <w:r w:rsidR="00B67C39">
              <w:rPr>
                <w:rFonts w:cs="Arial"/>
                <w:color w:val="000000"/>
                <w:szCs w:val="20"/>
              </w:rPr>
              <w:t xml:space="preserve"> </w:t>
            </w:r>
            <w:r w:rsidR="00B67C39">
              <w:rPr>
                <w:rFonts w:cs="Arial"/>
                <w:color w:val="000000"/>
                <w:szCs w:val="20"/>
                <w:vertAlign w:val="superscript"/>
              </w:rPr>
              <w:t>2</w:t>
            </w:r>
            <w:r w:rsidR="00D25F67">
              <w:rPr>
                <w:rFonts w:cs="Arial"/>
                <w:color w:val="000000"/>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14:paraId="6D76F480" w14:textId="3D5B05C0" w:rsidR="00821C73" w:rsidRPr="007107DF" w:rsidRDefault="00D52E23" w:rsidP="005A00E3">
            <w:pPr>
              <w:pStyle w:val="TableText0"/>
              <w:keepLines/>
              <w:jc w:val="right"/>
              <w:rPr>
                <w:color w:val="000000"/>
              </w:rPr>
            </w:pPr>
            <w:r w:rsidRPr="00D52E23">
              <w:rPr>
                <w:rFonts w:cs="Arial"/>
                <w:color w:val="000000"/>
                <w:szCs w:val="20"/>
                <w:shd w:val="solid" w:color="000000" w:fill="000000"/>
                <w14:textFill>
                  <w14:solidFill>
                    <w14:srgbClr w14:val="000000">
                      <w14:alpha w14:val="100000"/>
                    </w14:srgbClr>
                  </w14:solidFill>
                </w14:textFill>
              </w:rPr>
              <w:t>|</w:t>
            </w:r>
            <w:r w:rsidR="00B67C39">
              <w:rPr>
                <w:rFonts w:cs="Arial"/>
                <w:color w:val="000000"/>
                <w:szCs w:val="20"/>
              </w:rPr>
              <w:t xml:space="preserve"> </w:t>
            </w:r>
            <w:r w:rsidR="00B67C39">
              <w:rPr>
                <w:rFonts w:cs="Arial"/>
                <w:color w:val="000000"/>
                <w:szCs w:val="20"/>
                <w:vertAlign w:val="superscript"/>
              </w:rPr>
              <w:t>2</w:t>
            </w:r>
            <w:r w:rsidR="00D25F67">
              <w:rPr>
                <w:rFonts w:cs="Arial"/>
                <w:color w:val="000000"/>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14:paraId="078EC90A" w14:textId="4068F4FA" w:rsidR="00821C73" w:rsidRPr="007107DF" w:rsidRDefault="00D52E23" w:rsidP="005A00E3">
            <w:pPr>
              <w:pStyle w:val="TableText0"/>
              <w:keepLines/>
              <w:jc w:val="right"/>
              <w:rPr>
                <w:color w:val="000000"/>
              </w:rPr>
            </w:pPr>
            <w:r w:rsidRPr="00D52E23">
              <w:rPr>
                <w:rFonts w:cs="Arial"/>
                <w:color w:val="000000"/>
                <w:szCs w:val="20"/>
                <w:shd w:val="solid" w:color="000000" w:fill="000000"/>
                <w14:textFill>
                  <w14:solidFill>
                    <w14:srgbClr w14:val="000000">
                      <w14:alpha w14:val="100000"/>
                    </w14:srgbClr>
                  </w14:solidFill>
                </w14:textFill>
              </w:rPr>
              <w:t>|</w:t>
            </w:r>
            <w:r w:rsidR="00B67C39">
              <w:rPr>
                <w:rFonts w:cs="Arial"/>
                <w:color w:val="000000"/>
                <w:szCs w:val="20"/>
              </w:rPr>
              <w:t xml:space="preserve"> </w:t>
            </w:r>
            <w:r w:rsidR="00B67C39">
              <w:rPr>
                <w:rFonts w:cs="Arial"/>
                <w:color w:val="000000"/>
                <w:szCs w:val="20"/>
                <w:vertAlign w:val="superscript"/>
              </w:rPr>
              <w:t>2</w:t>
            </w:r>
            <w:r w:rsidR="00D25F67">
              <w:rPr>
                <w:rFonts w:cs="Arial"/>
                <w:color w:val="000000"/>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14:paraId="0BC345E6" w14:textId="0C6EC4E0" w:rsidR="00821C73" w:rsidRPr="007107DF" w:rsidRDefault="00D52E23" w:rsidP="005A00E3">
            <w:pPr>
              <w:pStyle w:val="TableText0"/>
              <w:keepLines/>
              <w:jc w:val="right"/>
              <w:rPr>
                <w:color w:val="000000"/>
              </w:rPr>
            </w:pPr>
            <w:r w:rsidRPr="00D52E23">
              <w:rPr>
                <w:rFonts w:cs="Arial"/>
                <w:color w:val="000000"/>
                <w:szCs w:val="20"/>
                <w:shd w:val="solid" w:color="000000" w:fill="000000"/>
                <w14:textFill>
                  <w14:solidFill>
                    <w14:srgbClr w14:val="000000">
                      <w14:alpha w14:val="100000"/>
                    </w14:srgbClr>
                  </w14:solidFill>
                </w14:textFill>
              </w:rPr>
              <w:t>|</w:t>
            </w:r>
            <w:r w:rsidR="00B67C39">
              <w:rPr>
                <w:rFonts w:cs="Arial"/>
                <w:color w:val="000000"/>
                <w:szCs w:val="20"/>
              </w:rPr>
              <w:t xml:space="preserve"> </w:t>
            </w:r>
            <w:r w:rsidR="00B67C39">
              <w:rPr>
                <w:rFonts w:cs="Arial"/>
                <w:color w:val="000000"/>
                <w:szCs w:val="20"/>
                <w:vertAlign w:val="superscript"/>
              </w:rPr>
              <w:t>2</w:t>
            </w:r>
            <w:r w:rsidR="00D25F67">
              <w:rPr>
                <w:rFonts w:cs="Arial"/>
                <w:color w:val="000000"/>
                <w:szCs w:val="20"/>
              </w:rPr>
              <w:t xml:space="preserve"> </w:t>
            </w:r>
          </w:p>
        </w:tc>
      </w:tr>
      <w:tr w:rsidR="000C1AFF" w:rsidRPr="007107DF" w14:paraId="3CD835A0" w14:textId="77777777" w:rsidTr="0CEE6DE9">
        <w:trPr>
          <w:cantSplit/>
          <w:jc w:val="center"/>
        </w:trPr>
        <w:tc>
          <w:tcPr>
            <w:tcW w:w="5000" w:type="pct"/>
            <w:gridSpan w:val="7"/>
            <w:shd w:val="clear" w:color="auto" w:fill="auto"/>
            <w:vAlign w:val="center"/>
          </w:tcPr>
          <w:p w14:paraId="0717F32A" w14:textId="599CB1D7" w:rsidR="000C1AFF" w:rsidRPr="007107DF" w:rsidRDefault="000C1AFF" w:rsidP="005A00E3">
            <w:pPr>
              <w:pStyle w:val="TableText0"/>
              <w:keepLines/>
              <w:rPr>
                <w:b/>
                <w:bCs w:val="0"/>
                <w:color w:val="000000"/>
              </w:rPr>
            </w:pPr>
            <w:r w:rsidRPr="007107DF">
              <w:rPr>
                <w:b/>
                <w:bCs w:val="0"/>
                <w:color w:val="000000"/>
              </w:rPr>
              <w:t>Net financial implications</w:t>
            </w:r>
          </w:p>
        </w:tc>
      </w:tr>
      <w:tr w:rsidR="002E5578" w:rsidRPr="007107DF" w14:paraId="6DC7AAF7" w14:textId="77777777" w:rsidTr="0CEE6DE9">
        <w:trPr>
          <w:cantSplit/>
          <w:jc w:val="center"/>
        </w:trPr>
        <w:tc>
          <w:tcPr>
            <w:tcW w:w="1118" w:type="pct"/>
            <w:shd w:val="clear" w:color="auto" w:fill="auto"/>
            <w:vAlign w:val="center"/>
          </w:tcPr>
          <w:p w14:paraId="41FA959D" w14:textId="21AA333E" w:rsidR="002E5578" w:rsidRPr="007107DF" w:rsidRDefault="35624D13" w:rsidP="0CEE6DE9">
            <w:pPr>
              <w:pStyle w:val="TableText0"/>
              <w:keepLines/>
              <w:rPr>
                <w:vertAlign w:val="superscript"/>
              </w:rPr>
            </w:pPr>
            <w:r w:rsidRPr="0CEE6DE9">
              <w:t>Net cost to PBS/RPBS</w:t>
            </w:r>
            <w:r w:rsidR="00940361">
              <w:t xml:space="preserve"> </w:t>
            </w:r>
            <w:r w:rsidR="110E6FC0" w:rsidRPr="0CEE6DE9">
              <w:rPr>
                <w:vertAlign w:val="superscript"/>
              </w:rPr>
              <w:t>a</w:t>
            </w:r>
          </w:p>
        </w:tc>
        <w:tc>
          <w:tcPr>
            <w:tcW w:w="647" w:type="pct"/>
            <w:shd w:val="clear" w:color="auto" w:fill="auto"/>
          </w:tcPr>
          <w:p w14:paraId="454A7C1B" w14:textId="4BF19C53" w:rsidR="002E5578" w:rsidRPr="007107DF" w:rsidRDefault="002E5578" w:rsidP="005A00E3">
            <w:pPr>
              <w:pStyle w:val="TableText0"/>
              <w:keepLines/>
              <w:jc w:val="right"/>
              <w:rPr>
                <w:color w:val="000000"/>
              </w:rPr>
            </w:pPr>
            <w:r w:rsidRPr="007107DF">
              <w:t>$0</w:t>
            </w:r>
          </w:p>
        </w:tc>
        <w:tc>
          <w:tcPr>
            <w:tcW w:w="647" w:type="pct"/>
            <w:shd w:val="clear" w:color="auto" w:fill="auto"/>
          </w:tcPr>
          <w:p w14:paraId="5587EA01" w14:textId="0F06F28C" w:rsidR="002E5578" w:rsidRPr="007107DF" w:rsidRDefault="002E5578" w:rsidP="005A00E3">
            <w:pPr>
              <w:pStyle w:val="TableText0"/>
              <w:keepLines/>
              <w:jc w:val="right"/>
              <w:rPr>
                <w:color w:val="000000"/>
              </w:rPr>
            </w:pPr>
            <w:r w:rsidRPr="007107DF">
              <w:t>$0</w:t>
            </w:r>
          </w:p>
        </w:tc>
        <w:tc>
          <w:tcPr>
            <w:tcW w:w="647" w:type="pct"/>
            <w:shd w:val="clear" w:color="auto" w:fill="auto"/>
          </w:tcPr>
          <w:p w14:paraId="5A290C2B" w14:textId="1893A8E6" w:rsidR="002E5578" w:rsidRPr="007107DF" w:rsidRDefault="002E5578" w:rsidP="005A00E3">
            <w:pPr>
              <w:pStyle w:val="TableText0"/>
              <w:keepLines/>
              <w:jc w:val="right"/>
              <w:rPr>
                <w:color w:val="000000"/>
              </w:rPr>
            </w:pPr>
            <w:r w:rsidRPr="007107DF">
              <w:t>$0</w:t>
            </w:r>
          </w:p>
        </w:tc>
        <w:tc>
          <w:tcPr>
            <w:tcW w:w="647" w:type="pct"/>
            <w:shd w:val="clear" w:color="auto" w:fill="auto"/>
          </w:tcPr>
          <w:p w14:paraId="73C4A55C" w14:textId="73C33055" w:rsidR="002E5578" w:rsidRPr="007107DF" w:rsidRDefault="002E5578" w:rsidP="005A00E3">
            <w:pPr>
              <w:pStyle w:val="TableText0"/>
              <w:keepLines/>
              <w:jc w:val="right"/>
              <w:rPr>
                <w:color w:val="000000"/>
              </w:rPr>
            </w:pPr>
            <w:r w:rsidRPr="007107DF">
              <w:t>$0</w:t>
            </w:r>
          </w:p>
        </w:tc>
        <w:tc>
          <w:tcPr>
            <w:tcW w:w="647" w:type="pct"/>
            <w:shd w:val="clear" w:color="auto" w:fill="auto"/>
          </w:tcPr>
          <w:p w14:paraId="5A08AF29" w14:textId="2222103C" w:rsidR="002E5578" w:rsidRPr="007107DF" w:rsidRDefault="002E5578" w:rsidP="005A00E3">
            <w:pPr>
              <w:pStyle w:val="TableText0"/>
              <w:keepLines/>
              <w:jc w:val="right"/>
              <w:rPr>
                <w:color w:val="000000"/>
              </w:rPr>
            </w:pPr>
            <w:r w:rsidRPr="007107DF">
              <w:t>$0</w:t>
            </w:r>
          </w:p>
        </w:tc>
        <w:tc>
          <w:tcPr>
            <w:tcW w:w="647" w:type="pct"/>
            <w:shd w:val="clear" w:color="auto" w:fill="auto"/>
          </w:tcPr>
          <w:p w14:paraId="1A3491BC" w14:textId="0FD5A23F" w:rsidR="002E5578" w:rsidRPr="007107DF" w:rsidRDefault="002E5578" w:rsidP="005A00E3">
            <w:pPr>
              <w:pStyle w:val="TableText0"/>
              <w:keepLines/>
              <w:jc w:val="right"/>
              <w:rPr>
                <w:color w:val="000000"/>
              </w:rPr>
            </w:pPr>
            <w:r w:rsidRPr="007107DF">
              <w:t>$0</w:t>
            </w:r>
          </w:p>
        </w:tc>
      </w:tr>
    </w:tbl>
    <w:p w14:paraId="0C566A53" w14:textId="2470C576" w:rsidR="000F7C27" w:rsidRPr="00516537" w:rsidRDefault="67B0AB53" w:rsidP="005A00E3">
      <w:pPr>
        <w:pStyle w:val="TableFigureFooter"/>
        <w:keepNext/>
        <w:keepLines/>
        <w:jc w:val="left"/>
      </w:pPr>
      <w:proofErr w:type="spellStart"/>
      <w:r w:rsidRPr="0CEE6DE9">
        <w:rPr>
          <w:vertAlign w:val="superscript"/>
        </w:rPr>
        <w:t>a</w:t>
      </w:r>
      <w:proofErr w:type="spellEnd"/>
      <w:r w:rsidRPr="0CEE6DE9">
        <w:t xml:space="preserve"> </w:t>
      </w:r>
      <w:r w:rsidR="3004E2B7" w:rsidRPr="0CEE6DE9">
        <w:t xml:space="preserve">The </w:t>
      </w:r>
      <w:r w:rsidR="3004E2B7" w:rsidRPr="006E677E">
        <w:t xml:space="preserve">financial impact was calculated based on the AEMPs of </w:t>
      </w:r>
      <w:r w:rsidR="372409CF" w:rsidRPr="006E677E">
        <w:t xml:space="preserve">Remsima® SC </w:t>
      </w:r>
      <w:r w:rsidR="3004E2B7" w:rsidRPr="006E677E">
        <w:t>Drug A, with the pre</w:t>
      </w:r>
      <w:r w:rsidR="372409CF" w:rsidRPr="006E677E">
        <w:t>-</w:t>
      </w:r>
      <w:r w:rsidR="3004E2B7" w:rsidRPr="006E677E">
        <w:t>filled pen at $</w:t>
      </w:r>
      <w:r w:rsidR="372409CF" w:rsidRPr="006E677E">
        <w:t>252.4</w:t>
      </w:r>
      <w:r w:rsidR="3004E2B7" w:rsidRPr="006E677E">
        <w:t xml:space="preserve"> and the pre</w:t>
      </w:r>
      <w:r w:rsidR="5672664F" w:rsidRPr="006E677E">
        <w:t>-</w:t>
      </w:r>
      <w:r w:rsidR="3004E2B7" w:rsidRPr="006E677E">
        <w:t>filled syringe at $</w:t>
      </w:r>
      <w:r w:rsidR="5672664F" w:rsidRPr="006E677E">
        <w:t>332.8</w:t>
      </w:r>
      <w:r w:rsidR="3004E2B7" w:rsidRPr="006E677E">
        <w:t>, respectively.</w:t>
      </w:r>
    </w:p>
    <w:p w14:paraId="42320224" w14:textId="22134D50" w:rsidR="00D70349" w:rsidRPr="00A6439B" w:rsidRDefault="00AB4684" w:rsidP="005A00E3">
      <w:pPr>
        <w:pStyle w:val="TableFigureFooter"/>
        <w:keepNext/>
        <w:keepLines/>
        <w:jc w:val="left"/>
      </w:pPr>
      <w:r w:rsidRPr="00A6439B">
        <w:t>Abbreviations: PBS = Pharmaceutical Benefits Scheme; RPBS = Repatriation Pharmaceutical Benefits Scheme</w:t>
      </w:r>
      <w:r w:rsidR="006652F2">
        <w:t xml:space="preserve">; </w:t>
      </w:r>
      <w:r w:rsidR="006652F2" w:rsidRPr="006652F2">
        <w:t>AEMP</w:t>
      </w:r>
      <w:r w:rsidR="006652F2">
        <w:t xml:space="preserve"> = </w:t>
      </w:r>
      <w:r w:rsidR="0002294E">
        <w:t>A</w:t>
      </w:r>
      <w:r w:rsidR="0002294E" w:rsidRPr="0002294E">
        <w:t>pproved ex-manufacturer price</w:t>
      </w:r>
    </w:p>
    <w:p w14:paraId="6D21A960" w14:textId="06D8507F" w:rsidR="00D70349" w:rsidRDefault="00D70349" w:rsidP="00365FCC">
      <w:pPr>
        <w:pStyle w:val="TableFigureFooter"/>
        <w:keepNext/>
        <w:keepLines/>
        <w:spacing w:after="0"/>
        <w:jc w:val="left"/>
      </w:pPr>
      <w:r w:rsidRPr="00A6439B">
        <w:t xml:space="preserve">Source: </w:t>
      </w:r>
      <w:r w:rsidR="00572410" w:rsidRPr="00370A90">
        <w:t>Financial Estimates workbook</w:t>
      </w:r>
    </w:p>
    <w:p w14:paraId="6409ECEC" w14:textId="77777777" w:rsidR="00F66C02" w:rsidRPr="00365FCC" w:rsidRDefault="00F66C02" w:rsidP="00F66C02">
      <w:pPr>
        <w:rPr>
          <w:rFonts w:ascii="Arial Narrow" w:hAnsi="Arial Narrow" w:cs="Arial"/>
          <w:iCs/>
          <w:sz w:val="18"/>
          <w:szCs w:val="18"/>
        </w:rPr>
      </w:pPr>
      <w:r w:rsidRPr="00365FCC">
        <w:rPr>
          <w:rFonts w:ascii="Arial Narrow" w:hAnsi="Arial Narrow" w:cs="Arial"/>
          <w:iCs/>
          <w:sz w:val="18"/>
          <w:szCs w:val="18"/>
        </w:rPr>
        <w:t xml:space="preserve">The redacted values correspond to the following ranges: </w:t>
      </w:r>
    </w:p>
    <w:p w14:paraId="6BD2FB10" w14:textId="697CE7CA" w:rsidR="00F66C02" w:rsidRPr="00365FCC" w:rsidRDefault="00F66C02" w:rsidP="00F66C02">
      <w:pPr>
        <w:rPr>
          <w:rFonts w:ascii="Arial Narrow" w:hAnsi="Arial Narrow" w:cs="Arial"/>
          <w:iCs/>
          <w:sz w:val="18"/>
          <w:szCs w:val="18"/>
        </w:rPr>
      </w:pPr>
      <w:r w:rsidRPr="00365FCC">
        <w:rPr>
          <w:rFonts w:ascii="Arial Narrow" w:hAnsi="Arial Narrow" w:cs="Arial"/>
          <w:iCs/>
          <w:sz w:val="18"/>
          <w:szCs w:val="18"/>
          <w:vertAlign w:val="superscript"/>
        </w:rPr>
        <w:t>1</w:t>
      </w:r>
      <w:r w:rsidRPr="00365FCC">
        <w:rPr>
          <w:rFonts w:ascii="Arial Narrow" w:hAnsi="Arial Narrow" w:cs="Arial"/>
          <w:iCs/>
          <w:sz w:val="18"/>
          <w:szCs w:val="18"/>
        </w:rPr>
        <w:t xml:space="preserve"> </w:t>
      </w:r>
      <w:r w:rsidR="00D62D9E" w:rsidRPr="00365FCC">
        <w:rPr>
          <w:rFonts w:ascii="Arial Narrow" w:hAnsi="Arial Narrow" w:cs="Arial"/>
          <w:iCs/>
          <w:sz w:val="18"/>
          <w:szCs w:val="18"/>
        </w:rPr>
        <w:t>30,000 to &lt; 40,000</w:t>
      </w:r>
    </w:p>
    <w:p w14:paraId="4854252E" w14:textId="12A64B11" w:rsidR="00F66C02" w:rsidRPr="00966A27" w:rsidRDefault="00F66C02" w:rsidP="00365FCC">
      <w:pPr>
        <w:spacing w:after="120"/>
        <w:rPr>
          <w:iCs/>
          <w:szCs w:val="18"/>
        </w:rPr>
      </w:pPr>
      <w:r w:rsidRPr="00365FCC">
        <w:rPr>
          <w:rFonts w:ascii="Arial Narrow" w:hAnsi="Arial Narrow" w:cs="Arial"/>
          <w:iCs/>
          <w:sz w:val="18"/>
          <w:szCs w:val="18"/>
          <w:vertAlign w:val="superscript"/>
        </w:rPr>
        <w:t>2</w:t>
      </w:r>
      <w:r w:rsidRPr="00365FCC">
        <w:rPr>
          <w:rFonts w:ascii="Arial Narrow" w:hAnsi="Arial Narrow" w:cs="Arial"/>
          <w:iCs/>
          <w:sz w:val="18"/>
          <w:szCs w:val="18"/>
        </w:rPr>
        <w:t xml:space="preserve"> </w:t>
      </w:r>
      <w:r w:rsidR="00106FC6" w:rsidRPr="00365FCC">
        <w:rPr>
          <w:rFonts w:ascii="Arial Narrow" w:hAnsi="Arial Narrow" w:cs="Arial"/>
          <w:iCs/>
          <w:sz w:val="18"/>
          <w:szCs w:val="18"/>
        </w:rPr>
        <w:t>40,000 to &lt; 50,000</w:t>
      </w:r>
    </w:p>
    <w:p w14:paraId="78DC4197" w14:textId="77777777" w:rsidR="00C51CA5" w:rsidRPr="00370A90" w:rsidRDefault="00C51CA5" w:rsidP="00C51CA5">
      <w:pPr>
        <w:pStyle w:val="4-SubsectionHeading"/>
        <w:rPr>
          <w:lang w:eastAsia="en-US"/>
        </w:rPr>
      </w:pPr>
      <w:r w:rsidRPr="00370A90">
        <w:rPr>
          <w:lang w:eastAsia="en-US"/>
        </w:rPr>
        <w:t xml:space="preserve">Quality use of medicines </w:t>
      </w:r>
    </w:p>
    <w:p w14:paraId="51BB6286" w14:textId="6D82BCE2" w:rsidR="00316165" w:rsidRPr="00491D38" w:rsidRDefault="3F682740" w:rsidP="00491D38">
      <w:pPr>
        <w:pStyle w:val="3-BodyText"/>
      </w:pPr>
      <w:r w:rsidRPr="00BC13F4">
        <w:rPr>
          <w:iCs/>
        </w:rPr>
        <w:t xml:space="preserve">If </w:t>
      </w:r>
      <w:r w:rsidR="00C2713C" w:rsidRPr="00BC13F4">
        <w:rPr>
          <w:iCs/>
        </w:rPr>
        <w:t>listed</w:t>
      </w:r>
      <w:r w:rsidRPr="00BC13F4">
        <w:rPr>
          <w:iCs/>
        </w:rPr>
        <w:t xml:space="preserve">, the </w:t>
      </w:r>
      <w:r w:rsidR="5544E114" w:rsidRPr="00BC13F4">
        <w:rPr>
          <w:iCs/>
        </w:rPr>
        <w:t>sponsor is expected to provide training and resources</w:t>
      </w:r>
      <w:r w:rsidR="1F22B784" w:rsidRPr="00BC13F4">
        <w:rPr>
          <w:iCs/>
        </w:rPr>
        <w:t xml:space="preserve"> to</w:t>
      </w:r>
      <w:r w:rsidR="5409CEDB" w:rsidRPr="00BC13F4">
        <w:rPr>
          <w:iCs/>
        </w:rPr>
        <w:t xml:space="preserve"> prescribers</w:t>
      </w:r>
      <w:r w:rsidR="1F22B784" w:rsidRPr="00BC13F4">
        <w:rPr>
          <w:iCs/>
        </w:rPr>
        <w:t>,</w:t>
      </w:r>
      <w:r w:rsidR="5544E114" w:rsidRPr="00BC13F4">
        <w:rPr>
          <w:iCs/>
        </w:rPr>
        <w:t xml:space="preserve"> </w:t>
      </w:r>
      <w:r w:rsidR="1F22B784" w:rsidRPr="00BC13F4">
        <w:rPr>
          <w:iCs/>
        </w:rPr>
        <w:t xml:space="preserve">including specialist physicians, </w:t>
      </w:r>
      <w:r w:rsidR="5544E114" w:rsidRPr="00BC13F4">
        <w:rPr>
          <w:iCs/>
        </w:rPr>
        <w:t>on</w:t>
      </w:r>
      <w:r w:rsidRPr="00BC13F4">
        <w:rPr>
          <w:iCs/>
        </w:rPr>
        <w:t xml:space="preserve"> the</w:t>
      </w:r>
      <w:r w:rsidR="5544E114" w:rsidRPr="00BC13F4">
        <w:rPr>
          <w:iCs/>
        </w:rPr>
        <w:t xml:space="preserve"> current treatment guidelines and </w:t>
      </w:r>
      <w:r w:rsidR="00041F4E" w:rsidRPr="00BC13F4">
        <w:rPr>
          <w:iCs/>
        </w:rPr>
        <w:t xml:space="preserve">the recommended </w:t>
      </w:r>
      <w:r w:rsidR="5544E114" w:rsidRPr="00BC13F4">
        <w:rPr>
          <w:iCs/>
        </w:rPr>
        <w:t xml:space="preserve">PBS eligibility criteria </w:t>
      </w:r>
      <w:r w:rsidR="00041F4E" w:rsidRPr="00BC13F4">
        <w:rPr>
          <w:iCs/>
        </w:rPr>
        <w:t xml:space="preserve">of the respective indications of </w:t>
      </w:r>
      <w:r w:rsidR="5544E114" w:rsidRPr="00BC13F4">
        <w:rPr>
          <w:iCs/>
        </w:rPr>
        <w:t xml:space="preserve">Remsima SC to support appropriate prescribing. Prescribers are required to prescribe in accordance </w:t>
      </w:r>
      <w:r w:rsidR="5544E114" w:rsidRPr="00BC13F4">
        <w:rPr>
          <w:iCs/>
        </w:rPr>
        <w:lastRenderedPageBreak/>
        <w:t>with PBS restriction criteria</w:t>
      </w:r>
      <w:r w:rsidR="07E8F0AF" w:rsidRPr="00BC13F4">
        <w:rPr>
          <w:iCs/>
        </w:rPr>
        <w:t xml:space="preserve"> and</w:t>
      </w:r>
      <w:r w:rsidR="5544E114" w:rsidRPr="00BC13F4">
        <w:rPr>
          <w:iCs/>
        </w:rPr>
        <w:t xml:space="preserve"> maintain evidence of compliance and patient eligibility</w:t>
      </w:r>
      <w:r w:rsidR="5E601DB9" w:rsidRPr="00BC13F4">
        <w:rPr>
          <w:iCs/>
        </w:rPr>
        <w:t xml:space="preserve"> on patient records</w:t>
      </w:r>
      <w:r w:rsidR="42DB28E3" w:rsidRPr="00BC13F4">
        <w:rPr>
          <w:iCs/>
        </w:rPr>
        <w:t>.</w:t>
      </w:r>
    </w:p>
    <w:p w14:paraId="31F56192" w14:textId="7FCFF4A6" w:rsidR="00491D38" w:rsidRDefault="00491D38" w:rsidP="00491D38">
      <w:pPr>
        <w:pStyle w:val="2-SectionHeading"/>
      </w:pPr>
      <w:r>
        <w:t>PBAC Outcome</w:t>
      </w:r>
    </w:p>
    <w:p w14:paraId="6DAD21A0" w14:textId="062251E2" w:rsidR="009B4DE9" w:rsidRPr="009B4DE9" w:rsidRDefault="006C6CFF" w:rsidP="00250F05">
      <w:pPr>
        <w:pStyle w:val="3-BodyText"/>
        <w:rPr>
          <w:iCs/>
        </w:rPr>
      </w:pPr>
      <w:r>
        <w:t xml:space="preserve">The PBAC recommended changing the authority level of </w:t>
      </w:r>
      <w:r w:rsidR="002605D4">
        <w:t xml:space="preserve">SC IFX </w:t>
      </w:r>
      <w:r w:rsidR="002445E0">
        <w:t xml:space="preserve">from </w:t>
      </w:r>
      <w:r w:rsidR="00D02295">
        <w:t xml:space="preserve">Authority Required to Streamlined </w:t>
      </w:r>
      <w:r w:rsidR="00AC1342">
        <w:t>for the continuing treatment</w:t>
      </w:r>
      <w:r w:rsidR="001E1A36">
        <w:rPr>
          <w:rFonts w:eastAsiaTheme="minorEastAsia"/>
        </w:rPr>
        <w:t xml:space="preserve"> listings of all the listed indications (</w:t>
      </w:r>
      <w:r w:rsidR="001E1A36">
        <w:t>AS</w:t>
      </w:r>
      <w:r w:rsidR="00940C81">
        <w:t>, severe CD, severe CPP, severe PsA, severe active RA, complex RFCD</w:t>
      </w:r>
      <w:r w:rsidR="00ED7CBB">
        <w:t xml:space="preserve">, and moderate to severe UC). </w:t>
      </w:r>
      <w:r w:rsidR="005D4BD4" w:rsidRPr="00250F05">
        <w:rPr>
          <w:iCs/>
        </w:rPr>
        <w:t>In recommending this, the PBAC considered it appropriate to amend the Prescribing Instructions of the continuing treatment restrictions to be consistent with a Streamlined authority level.</w:t>
      </w:r>
    </w:p>
    <w:p w14:paraId="2072DBFD" w14:textId="0616A7F4" w:rsidR="009D5A19" w:rsidRPr="004047C2" w:rsidRDefault="008B077C" w:rsidP="004047C2">
      <w:pPr>
        <w:pStyle w:val="3-BodyText"/>
        <w:rPr>
          <w:iCs/>
        </w:rPr>
      </w:pPr>
      <w:r>
        <w:t>At its November 2020 meeting th</w:t>
      </w:r>
      <w:r w:rsidR="00064E2C" w:rsidRPr="0CEE6DE9">
        <w:t>e PBAC considered that the restrictions of the SC form of IFX should not be based on the biosimilar preferred prescribing policy,</w:t>
      </w:r>
      <w:r w:rsidR="00E54B00">
        <w:t xml:space="preserve"> despite Remsima not being the innovator brand of IFX,</w:t>
      </w:r>
      <w:r w:rsidR="00064E2C" w:rsidRPr="0CEE6DE9">
        <w:t xml:space="preserve"> as the assertion of biosimilarity for the purposes of PBS listing was not valid given the different routes of administration and evidence of different pharmacokinetic profiles</w:t>
      </w:r>
      <w:r>
        <w:t>.</w:t>
      </w:r>
      <w:r w:rsidR="001D6ED8">
        <w:t xml:space="preserve"> </w:t>
      </w:r>
      <w:r w:rsidR="003717B0">
        <w:t>T</w:t>
      </w:r>
      <w:r w:rsidR="00BC4A88">
        <w:t>he PBAC</w:t>
      </w:r>
      <w:r w:rsidR="001218F3">
        <w:t xml:space="preserve"> considered that </w:t>
      </w:r>
      <w:r w:rsidR="001218F3">
        <w:rPr>
          <w:iCs/>
        </w:rPr>
        <w:t>the</w:t>
      </w:r>
      <w:r w:rsidR="001218F3" w:rsidRPr="00BC13F4">
        <w:rPr>
          <w:iCs/>
        </w:rPr>
        <w:t xml:space="preserve"> authority level of SC IFX in the subsequent continuing treatment (or ‘continuing treatment’ in UC) phase should be based on consistency with other SC agents and/or similar indications</w:t>
      </w:r>
      <w:r w:rsidR="001218F3">
        <w:rPr>
          <w:iCs/>
        </w:rPr>
        <w:t>.</w:t>
      </w:r>
      <w:r>
        <w:t xml:space="preserve"> </w:t>
      </w:r>
      <w:r w:rsidR="00625237">
        <w:t xml:space="preserve">The PBAC noted </w:t>
      </w:r>
      <w:r w:rsidR="001218F3">
        <w:t xml:space="preserve">its </w:t>
      </w:r>
      <w:r w:rsidR="00A82B53">
        <w:t xml:space="preserve">March 2023 </w:t>
      </w:r>
      <w:r w:rsidR="00625237">
        <w:t>recommendation</w:t>
      </w:r>
      <w:r w:rsidR="00A82B53">
        <w:t xml:space="preserve"> of </w:t>
      </w:r>
      <w:r w:rsidR="00E53868">
        <w:t xml:space="preserve">a new SC PFS form of </w:t>
      </w:r>
      <w:r w:rsidR="00A82B53">
        <w:t>natalizumab</w:t>
      </w:r>
      <w:r w:rsidR="00E53868">
        <w:t xml:space="preserve"> and </w:t>
      </w:r>
      <w:r w:rsidR="00625237">
        <w:t>noted that a</w:t>
      </w:r>
      <w:r w:rsidR="00625237" w:rsidRPr="00BC13F4">
        <w:rPr>
          <w:iCs/>
        </w:rPr>
        <w:t>batacept has</w:t>
      </w:r>
      <w:r w:rsidR="00625237">
        <w:rPr>
          <w:iCs/>
        </w:rPr>
        <w:t xml:space="preserve"> Streamlined listings of</w:t>
      </w:r>
      <w:r w:rsidR="00625237" w:rsidRPr="00BC13F4">
        <w:rPr>
          <w:iCs/>
        </w:rPr>
        <w:t xml:space="preserve"> both</w:t>
      </w:r>
      <w:r w:rsidR="00625237">
        <w:rPr>
          <w:iCs/>
        </w:rPr>
        <w:t xml:space="preserve"> the</w:t>
      </w:r>
      <w:r w:rsidR="00625237" w:rsidRPr="00BC13F4">
        <w:rPr>
          <w:iCs/>
        </w:rPr>
        <w:t xml:space="preserve"> IV and the SC forms for the subsequent continuing treatment of severe active rheumatoid arthritis</w:t>
      </w:r>
      <w:r w:rsidR="003442AA">
        <w:rPr>
          <w:iCs/>
        </w:rPr>
        <w:t>.</w:t>
      </w:r>
      <w:r w:rsidR="00625237">
        <w:t xml:space="preserve"> </w:t>
      </w:r>
      <w:r w:rsidR="00B91F0C">
        <w:t>Given the</w:t>
      </w:r>
      <w:r w:rsidR="00786AC2">
        <w:t xml:space="preserve"> precedent of listing SC forms of </w:t>
      </w:r>
      <w:r w:rsidR="004047C2">
        <w:t xml:space="preserve">listed </w:t>
      </w:r>
      <w:r w:rsidR="00786AC2">
        <w:t>IV medicines for the treatment of similar indications to IFX</w:t>
      </w:r>
      <w:r w:rsidR="00586F5C">
        <w:t xml:space="preserve"> at a Streamlined authority level,</w:t>
      </w:r>
      <w:r w:rsidR="00786AC2">
        <w:t xml:space="preserve"> </w:t>
      </w:r>
      <w:r w:rsidR="00586F5C">
        <w:t>t</w:t>
      </w:r>
      <w:r w:rsidR="00ED7CBB">
        <w:t>he PBAC</w:t>
      </w:r>
      <w:r w:rsidR="004D7793">
        <w:t xml:space="preserve"> </w:t>
      </w:r>
      <w:r w:rsidR="008F7F2C">
        <w:rPr>
          <w:iCs/>
        </w:rPr>
        <w:t>considered that there was no</w:t>
      </w:r>
      <w:r w:rsidR="00021AD1" w:rsidRPr="00BC13F4">
        <w:rPr>
          <w:iCs/>
        </w:rPr>
        <w:t xml:space="preserve"> clinical reason</w:t>
      </w:r>
      <w:r w:rsidR="008F7F2C">
        <w:rPr>
          <w:iCs/>
        </w:rPr>
        <w:t xml:space="preserve"> to have</w:t>
      </w:r>
      <w:r w:rsidR="00021AD1" w:rsidRPr="00BC13F4">
        <w:rPr>
          <w:iCs/>
        </w:rPr>
        <w:t xml:space="preserve"> SC IFX </w:t>
      </w:r>
      <w:r w:rsidR="003E42D4">
        <w:rPr>
          <w:iCs/>
        </w:rPr>
        <w:t xml:space="preserve">listed </w:t>
      </w:r>
      <w:r w:rsidR="00252D84">
        <w:rPr>
          <w:iCs/>
        </w:rPr>
        <w:t>at</w:t>
      </w:r>
      <w:r w:rsidR="003E42D4">
        <w:rPr>
          <w:iCs/>
        </w:rPr>
        <w:t xml:space="preserve"> </w:t>
      </w:r>
      <w:r w:rsidR="00021AD1" w:rsidRPr="00BC13F4">
        <w:rPr>
          <w:iCs/>
        </w:rPr>
        <w:t>a higher authority level than the IV listings</w:t>
      </w:r>
      <w:r w:rsidR="00252D84">
        <w:rPr>
          <w:iCs/>
        </w:rPr>
        <w:t xml:space="preserve"> for the same indication and equivalent treatment phase</w:t>
      </w:r>
      <w:r w:rsidR="00250F05" w:rsidRPr="00BC13F4">
        <w:rPr>
          <w:iCs/>
        </w:rPr>
        <w:t>.</w:t>
      </w:r>
    </w:p>
    <w:p w14:paraId="60745D43" w14:textId="289CC25D" w:rsidR="00CC7682" w:rsidRDefault="00041AAD" w:rsidP="00BB7ADD">
      <w:pPr>
        <w:pStyle w:val="3-BodyText"/>
        <w:rPr>
          <w:rFonts w:eastAsiaTheme="minorEastAsia"/>
        </w:rPr>
      </w:pPr>
      <w:r>
        <w:t>The PBAC also recommended the removal of reference to continuing treatment from the SC IFX balance of supply restrictions</w:t>
      </w:r>
      <w:r w:rsidR="009D5A19">
        <w:t xml:space="preserve"> and to retain its authority level.</w:t>
      </w:r>
      <w:r w:rsidR="00FF6A3F">
        <w:t xml:space="preserve"> The PBAC noted that c</w:t>
      </w:r>
      <w:r w:rsidR="00FF6A3F" w:rsidRPr="00BC13F4">
        <w:t xml:space="preserve">hanging the restriction level </w:t>
      </w:r>
      <w:r w:rsidR="009D688E">
        <w:t xml:space="preserve">of a continuing treatment </w:t>
      </w:r>
      <w:r w:rsidR="00A25B29">
        <w:t>restriction</w:t>
      </w:r>
      <w:r w:rsidR="009D688E">
        <w:t xml:space="preserve"> </w:t>
      </w:r>
      <w:r w:rsidR="00FF6A3F" w:rsidRPr="00BC13F4">
        <w:t xml:space="preserve">to </w:t>
      </w:r>
      <w:r w:rsidR="00FF6A3F">
        <w:t>Streamlined</w:t>
      </w:r>
      <w:r w:rsidR="00FF6A3F" w:rsidRPr="00BC13F4">
        <w:t xml:space="preserve"> </w:t>
      </w:r>
      <w:r w:rsidR="00FF6A3F">
        <w:t xml:space="preserve">permits prescribers to write subsequent prescriptions </w:t>
      </w:r>
      <w:r w:rsidR="00FF6A3F" w:rsidRPr="00BC13F4">
        <w:t xml:space="preserve">to complete </w:t>
      </w:r>
      <w:r w:rsidR="00874B13">
        <w:t>a</w:t>
      </w:r>
      <w:r w:rsidR="00FF6A3F" w:rsidRPr="00BC13F4">
        <w:t xml:space="preserve"> treatment course without </w:t>
      </w:r>
      <w:r w:rsidR="00FF6A3F">
        <w:t>requiring</w:t>
      </w:r>
      <w:r w:rsidR="00FF6A3F" w:rsidRPr="00BC13F4">
        <w:t xml:space="preserve"> prior authority approval.</w:t>
      </w:r>
      <w:r w:rsidR="00B700A6">
        <w:t xml:space="preserve"> The PBAC therefore did not consider it </w:t>
      </w:r>
      <w:r w:rsidR="00B5530D">
        <w:t xml:space="preserve">appropriate to have a </w:t>
      </w:r>
      <w:r w:rsidR="00313B61">
        <w:t xml:space="preserve">Streamlined </w:t>
      </w:r>
      <w:r w:rsidR="00B5530D">
        <w:t xml:space="preserve">balance of supply </w:t>
      </w:r>
      <w:r w:rsidR="00313B61">
        <w:t xml:space="preserve">restriction </w:t>
      </w:r>
      <w:r w:rsidR="00313B61" w:rsidRPr="00BC13F4">
        <w:t xml:space="preserve">as it would create inconsistencies with the current administration of balance of supply restrictions, which are all </w:t>
      </w:r>
      <w:r w:rsidR="00313B61" w:rsidRPr="00BC13F4" w:rsidDel="00BF6162">
        <w:t>Authority Required</w:t>
      </w:r>
      <w:r w:rsidR="00313B61">
        <w:rPr>
          <w:rFonts w:eastAsiaTheme="minorEastAsia"/>
        </w:rPr>
        <w:t xml:space="preserve">, and advised that </w:t>
      </w:r>
      <w:r w:rsidR="00CB1C01">
        <w:rPr>
          <w:rFonts w:eastAsiaTheme="minorEastAsia"/>
        </w:rPr>
        <w:t>reference to continuing treatment be removed from the SC IFX balance of supply restrictions.</w:t>
      </w:r>
    </w:p>
    <w:p w14:paraId="5C3065BB" w14:textId="046F264D" w:rsidR="00491D38" w:rsidRDefault="00BB7ADD" w:rsidP="00637C67">
      <w:pPr>
        <w:pStyle w:val="3-BodyText"/>
      </w:pPr>
      <w:r>
        <w:t xml:space="preserve">The PBAC </w:t>
      </w:r>
      <w:r w:rsidR="00816918">
        <w:t>agreed that no change in market up</w:t>
      </w:r>
      <w:r w:rsidR="00CA7139">
        <w:t>take was anticipated and that</w:t>
      </w:r>
      <w:r w:rsidR="00491D38" w:rsidRPr="00BC13F4">
        <w:t xml:space="preserve"> there would be </w:t>
      </w:r>
      <w:r w:rsidR="00637C67">
        <w:t>no</w:t>
      </w:r>
      <w:r w:rsidR="00637C67" w:rsidRPr="00BC13F4">
        <w:t xml:space="preserve"> </w:t>
      </w:r>
      <w:r w:rsidR="00491D38" w:rsidRPr="00BC13F4">
        <w:t xml:space="preserve">financial implications </w:t>
      </w:r>
      <w:r w:rsidR="00D817C1">
        <w:t xml:space="preserve">to the </w:t>
      </w:r>
      <w:r w:rsidR="00C11C7E">
        <w:t xml:space="preserve">PBS </w:t>
      </w:r>
      <w:r w:rsidR="00491D38" w:rsidRPr="00BC13F4">
        <w:t xml:space="preserve">from lowering the restriction </w:t>
      </w:r>
      <w:r w:rsidR="00637C67">
        <w:t xml:space="preserve">authority </w:t>
      </w:r>
      <w:r w:rsidR="00491D38" w:rsidRPr="00BC13F4">
        <w:t xml:space="preserve">level to </w:t>
      </w:r>
      <w:r w:rsidR="00D812CF">
        <w:t>S</w:t>
      </w:r>
      <w:r w:rsidR="00D812CF" w:rsidRPr="00BC13F4">
        <w:t>treamlined</w:t>
      </w:r>
      <w:r w:rsidR="00491D38" w:rsidRPr="00BC13F4">
        <w:t>.</w:t>
      </w:r>
    </w:p>
    <w:p w14:paraId="264611FA" w14:textId="28022D5D" w:rsidR="00BC2B1B" w:rsidRPr="00BC13F4" w:rsidRDefault="00A27C23" w:rsidP="00F26F07">
      <w:pPr>
        <w:pStyle w:val="3-BodyText"/>
      </w:pPr>
      <w:r w:rsidRPr="00D8553E">
        <w:rPr>
          <w:rFonts w:cs="Arial"/>
          <w:bCs/>
          <w:snapToGrid w:val="0"/>
          <w:lang w:val="en-GB"/>
        </w:rPr>
        <w:t>The PBAC noted that this submission is not eligible for an Independent Review</w:t>
      </w:r>
      <w:r w:rsidR="00ED071E">
        <w:rPr>
          <w:rFonts w:cs="Arial"/>
          <w:bCs/>
          <w:snapToGrid w:val="0"/>
          <w:lang w:val="en-GB"/>
        </w:rPr>
        <w:t>.</w:t>
      </w:r>
    </w:p>
    <w:p w14:paraId="079C749B" w14:textId="77777777" w:rsidR="00B832EE" w:rsidRPr="00525B39" w:rsidRDefault="00B832EE" w:rsidP="00F26F07">
      <w:pPr>
        <w:keepNext/>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529F2C2D" w14:textId="72B30093" w:rsidR="00B832EE" w:rsidRPr="00B54755" w:rsidRDefault="00B832EE" w:rsidP="00B54755">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4528EF57" w14:textId="73892D0D" w:rsidR="00B832EE" w:rsidRDefault="00B832EE" w:rsidP="00B832EE">
      <w:pPr>
        <w:pStyle w:val="2-SectionHeading"/>
      </w:pPr>
      <w:r>
        <w:lastRenderedPageBreak/>
        <w:t>Recommended listing</w:t>
      </w:r>
    </w:p>
    <w:p w14:paraId="19D2817E" w14:textId="738E9002" w:rsidR="000706E9" w:rsidRPr="00BC13F4" w:rsidRDefault="000706E9" w:rsidP="005C6A66">
      <w:pPr>
        <w:pStyle w:val="3-BodyText"/>
      </w:pPr>
      <w:r w:rsidRPr="00BC13F4">
        <w:t>Amend existing listings as follows:</w:t>
      </w:r>
    </w:p>
    <w:p w14:paraId="49341560" w14:textId="77777777" w:rsidR="000706E9" w:rsidRPr="004728BA" w:rsidRDefault="000706E9" w:rsidP="000706E9">
      <w:pPr>
        <w:pStyle w:val="4-SubsectionHeading"/>
        <w:spacing w:after="0"/>
      </w:pPr>
      <w:r w:rsidRPr="004728BA">
        <w:t>Ankylosing spondylitis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ankylosing spondylitis"/>
        <w:tblDescription w:val="Changes: authority required, prescribing instructions"/>
      </w:tblPr>
      <w:tblGrid>
        <w:gridCol w:w="1271"/>
        <w:gridCol w:w="2552"/>
        <w:gridCol w:w="927"/>
        <w:gridCol w:w="812"/>
        <w:gridCol w:w="811"/>
        <w:gridCol w:w="812"/>
        <w:gridCol w:w="1831"/>
      </w:tblGrid>
      <w:tr w:rsidR="000706E9" w:rsidRPr="001E6F3E" w14:paraId="6B184E3B" w14:textId="77777777">
        <w:trPr>
          <w:cantSplit/>
          <w:trHeight w:val="20"/>
        </w:trPr>
        <w:tc>
          <w:tcPr>
            <w:tcW w:w="3823" w:type="dxa"/>
            <w:gridSpan w:val="2"/>
            <w:vAlign w:val="center"/>
          </w:tcPr>
          <w:p w14:paraId="6E24E774" w14:textId="77777777" w:rsidR="000706E9" w:rsidRPr="001E6F3E" w:rsidRDefault="000706E9">
            <w:pPr>
              <w:keepLines/>
              <w:rPr>
                <w:rFonts w:ascii="Arial Narrow" w:hAnsi="Arial Narrow" w:cs="Arial"/>
                <w:b/>
                <w:bCs/>
                <w:sz w:val="20"/>
                <w:szCs w:val="20"/>
              </w:rPr>
            </w:pPr>
            <w:r w:rsidRPr="001E6F3E">
              <w:rPr>
                <w:rFonts w:ascii="Arial Narrow" w:hAnsi="Arial Narrow" w:cs="Arial"/>
                <w:b/>
                <w:bCs/>
                <w:sz w:val="20"/>
                <w:szCs w:val="20"/>
              </w:rPr>
              <w:t>MEDICINAL PRODUCT</w:t>
            </w:r>
          </w:p>
          <w:p w14:paraId="18D03658" w14:textId="77777777" w:rsidR="000706E9" w:rsidRPr="001E6F3E" w:rsidRDefault="000706E9">
            <w:pPr>
              <w:keepLines/>
              <w:rPr>
                <w:rFonts w:ascii="Arial Narrow" w:hAnsi="Arial Narrow" w:cs="Arial"/>
                <w:b/>
                <w:sz w:val="20"/>
                <w:szCs w:val="20"/>
              </w:rPr>
            </w:pPr>
            <w:r w:rsidRPr="001E6F3E">
              <w:rPr>
                <w:rFonts w:ascii="Arial Narrow" w:hAnsi="Arial Narrow" w:cs="Arial"/>
                <w:b/>
                <w:bCs/>
                <w:sz w:val="20"/>
                <w:szCs w:val="20"/>
              </w:rPr>
              <w:t>medicinal product pack</w:t>
            </w:r>
          </w:p>
        </w:tc>
        <w:tc>
          <w:tcPr>
            <w:tcW w:w="927" w:type="dxa"/>
            <w:vAlign w:val="center"/>
          </w:tcPr>
          <w:p w14:paraId="06C18259" w14:textId="77777777" w:rsidR="000706E9" w:rsidRPr="001E6F3E" w:rsidRDefault="000706E9">
            <w:pPr>
              <w:keepLines/>
              <w:jc w:val="center"/>
              <w:rPr>
                <w:rFonts w:ascii="Arial Narrow" w:hAnsi="Arial Narrow" w:cs="Arial"/>
                <w:b/>
                <w:sz w:val="20"/>
                <w:szCs w:val="20"/>
              </w:rPr>
            </w:pPr>
            <w:r w:rsidRPr="001E6F3E">
              <w:rPr>
                <w:rFonts w:ascii="Arial Narrow" w:hAnsi="Arial Narrow" w:cs="Arial"/>
                <w:b/>
                <w:sz w:val="20"/>
                <w:szCs w:val="20"/>
              </w:rPr>
              <w:t>PBS item code</w:t>
            </w:r>
          </w:p>
        </w:tc>
        <w:tc>
          <w:tcPr>
            <w:tcW w:w="812" w:type="dxa"/>
            <w:vAlign w:val="center"/>
          </w:tcPr>
          <w:p w14:paraId="48B24289" w14:textId="77777777" w:rsidR="000706E9" w:rsidRPr="001E6F3E" w:rsidRDefault="000706E9">
            <w:pPr>
              <w:keepLines/>
              <w:jc w:val="center"/>
              <w:rPr>
                <w:rFonts w:ascii="Arial Narrow" w:hAnsi="Arial Narrow" w:cs="Arial"/>
                <w:b/>
                <w:sz w:val="20"/>
                <w:szCs w:val="20"/>
              </w:rPr>
            </w:pPr>
            <w:r w:rsidRPr="001E6F3E">
              <w:rPr>
                <w:rFonts w:ascii="Arial Narrow" w:hAnsi="Arial Narrow" w:cs="Arial"/>
                <w:b/>
                <w:sz w:val="20"/>
                <w:szCs w:val="20"/>
              </w:rPr>
              <w:t>Max. qty packs</w:t>
            </w:r>
          </w:p>
        </w:tc>
        <w:tc>
          <w:tcPr>
            <w:tcW w:w="811" w:type="dxa"/>
            <w:vAlign w:val="center"/>
          </w:tcPr>
          <w:p w14:paraId="79AF5011" w14:textId="77777777" w:rsidR="000706E9" w:rsidRPr="001E6F3E" w:rsidRDefault="000706E9">
            <w:pPr>
              <w:keepLines/>
              <w:jc w:val="center"/>
              <w:rPr>
                <w:rFonts w:ascii="Arial Narrow" w:hAnsi="Arial Narrow" w:cs="Arial"/>
                <w:b/>
                <w:sz w:val="20"/>
                <w:szCs w:val="20"/>
              </w:rPr>
            </w:pPr>
            <w:r w:rsidRPr="001E6F3E">
              <w:rPr>
                <w:rFonts w:ascii="Arial Narrow" w:hAnsi="Arial Narrow" w:cs="Arial"/>
                <w:b/>
                <w:sz w:val="20"/>
                <w:szCs w:val="20"/>
              </w:rPr>
              <w:t>Max. qty units</w:t>
            </w:r>
          </w:p>
        </w:tc>
        <w:tc>
          <w:tcPr>
            <w:tcW w:w="812" w:type="dxa"/>
            <w:vAlign w:val="center"/>
          </w:tcPr>
          <w:p w14:paraId="559F9542" w14:textId="77777777" w:rsidR="000706E9" w:rsidRPr="001E6F3E" w:rsidRDefault="000706E9">
            <w:pPr>
              <w:keepLines/>
              <w:jc w:val="center"/>
              <w:rPr>
                <w:rFonts w:ascii="Arial Narrow" w:hAnsi="Arial Narrow" w:cs="Arial"/>
                <w:b/>
                <w:bCs/>
                <w:sz w:val="20"/>
                <w:szCs w:val="20"/>
              </w:rPr>
            </w:pPr>
            <w:r w:rsidRPr="0CEE6DE9">
              <w:rPr>
                <w:rFonts w:ascii="Arial Narrow" w:hAnsi="Arial Narrow" w:cs="Arial"/>
                <w:b/>
                <w:bCs/>
                <w:sz w:val="20"/>
                <w:szCs w:val="20"/>
              </w:rPr>
              <w:t>№.of</w:t>
            </w:r>
          </w:p>
          <w:p w14:paraId="662DF332" w14:textId="77777777" w:rsidR="000706E9" w:rsidRPr="001E6F3E" w:rsidRDefault="000706E9">
            <w:pPr>
              <w:keepLines/>
              <w:jc w:val="center"/>
              <w:rPr>
                <w:rFonts w:ascii="Arial Narrow" w:hAnsi="Arial Narrow" w:cs="Arial"/>
                <w:b/>
                <w:bCs/>
                <w:sz w:val="20"/>
                <w:szCs w:val="20"/>
              </w:rPr>
            </w:pPr>
            <w:r w:rsidRPr="0CEE6DE9">
              <w:rPr>
                <w:rFonts w:ascii="Arial Narrow" w:hAnsi="Arial Narrow" w:cs="Arial"/>
                <w:b/>
                <w:bCs/>
                <w:sz w:val="20"/>
                <w:szCs w:val="20"/>
              </w:rPr>
              <w:t>Rpts</w:t>
            </w:r>
          </w:p>
        </w:tc>
        <w:tc>
          <w:tcPr>
            <w:tcW w:w="1831" w:type="dxa"/>
            <w:vAlign w:val="center"/>
          </w:tcPr>
          <w:p w14:paraId="0BD7A66D" w14:textId="77777777" w:rsidR="000706E9" w:rsidRPr="001E6F3E" w:rsidRDefault="000706E9">
            <w:pPr>
              <w:keepLines/>
              <w:rPr>
                <w:rFonts w:ascii="Arial Narrow" w:hAnsi="Arial Narrow" w:cs="Arial"/>
                <w:b/>
                <w:sz w:val="20"/>
                <w:szCs w:val="20"/>
                <w:lang w:val="fr-FR"/>
              </w:rPr>
            </w:pPr>
            <w:r w:rsidRPr="001E6F3E">
              <w:rPr>
                <w:rFonts w:ascii="Arial Narrow" w:hAnsi="Arial Narrow" w:cs="Arial"/>
                <w:b/>
                <w:sz w:val="20"/>
                <w:szCs w:val="20"/>
              </w:rPr>
              <w:t>Available brands</w:t>
            </w:r>
          </w:p>
        </w:tc>
      </w:tr>
      <w:tr w:rsidR="000706E9" w:rsidRPr="001E6F3E" w14:paraId="65F222B1" w14:textId="77777777">
        <w:trPr>
          <w:cantSplit/>
          <w:trHeight w:val="20"/>
        </w:trPr>
        <w:tc>
          <w:tcPr>
            <w:tcW w:w="9016" w:type="dxa"/>
            <w:gridSpan w:val="7"/>
            <w:vAlign w:val="center"/>
          </w:tcPr>
          <w:p w14:paraId="1E7E14D6" w14:textId="77777777" w:rsidR="000706E9" w:rsidRPr="001E6F3E" w:rsidRDefault="000706E9">
            <w:pPr>
              <w:keepLines/>
              <w:rPr>
                <w:rFonts w:ascii="Arial Narrow" w:hAnsi="Arial Narrow" w:cs="Arial"/>
                <w:sz w:val="20"/>
                <w:szCs w:val="20"/>
              </w:rPr>
            </w:pPr>
            <w:r w:rsidRPr="001E6F3E">
              <w:rPr>
                <w:rFonts w:ascii="Arial Narrow" w:hAnsi="Arial Narrow" w:cs="Arial"/>
                <w:sz w:val="20"/>
                <w:szCs w:val="20"/>
              </w:rPr>
              <w:t>INFLIXIMAB</w:t>
            </w:r>
          </w:p>
        </w:tc>
      </w:tr>
      <w:tr w:rsidR="000706E9" w:rsidRPr="001E6F3E" w14:paraId="2C74E0DB" w14:textId="77777777">
        <w:trPr>
          <w:cantSplit/>
          <w:trHeight w:val="20"/>
        </w:trPr>
        <w:tc>
          <w:tcPr>
            <w:tcW w:w="3823" w:type="dxa"/>
            <w:gridSpan w:val="2"/>
            <w:vAlign w:val="center"/>
          </w:tcPr>
          <w:p w14:paraId="1529CF0C" w14:textId="77777777" w:rsidR="000706E9" w:rsidRPr="001E6F3E" w:rsidRDefault="000706E9">
            <w:pPr>
              <w:keepLines/>
              <w:rPr>
                <w:rFonts w:ascii="Arial Narrow" w:hAnsi="Arial Narrow" w:cs="Arial"/>
                <w:sz w:val="20"/>
                <w:szCs w:val="20"/>
              </w:rPr>
            </w:pPr>
            <w:r w:rsidRPr="001E6F3E">
              <w:rPr>
                <w:rFonts w:ascii="Arial Narrow" w:hAnsi="Arial Narrow" w:cs="Arial"/>
                <w:sz w:val="20"/>
                <w:szCs w:val="20"/>
              </w:rPr>
              <w:t>infliximab 120 mg/mL injection, 1 mL pen device</w:t>
            </w:r>
          </w:p>
        </w:tc>
        <w:tc>
          <w:tcPr>
            <w:tcW w:w="927" w:type="dxa"/>
            <w:vAlign w:val="center"/>
          </w:tcPr>
          <w:p w14:paraId="7FF8C4AA" w14:textId="77777777" w:rsidR="000706E9" w:rsidRPr="001E6F3E" w:rsidRDefault="000706E9">
            <w:pPr>
              <w:keepLines/>
              <w:jc w:val="center"/>
              <w:rPr>
                <w:rFonts w:ascii="Arial Narrow" w:hAnsi="Arial Narrow" w:cs="Arial"/>
                <w:sz w:val="20"/>
                <w:szCs w:val="20"/>
              </w:rPr>
            </w:pPr>
            <w:r w:rsidRPr="001E6F3E">
              <w:rPr>
                <w:rFonts w:ascii="Arial Narrow" w:hAnsi="Arial Narrow" w:cs="Arial"/>
                <w:sz w:val="20"/>
                <w:szCs w:val="20"/>
              </w:rPr>
              <w:t>13048R</w:t>
            </w:r>
          </w:p>
        </w:tc>
        <w:tc>
          <w:tcPr>
            <w:tcW w:w="812" w:type="dxa"/>
          </w:tcPr>
          <w:p w14:paraId="059DAEA3" w14:textId="77777777" w:rsidR="000706E9" w:rsidRPr="001E6F3E" w:rsidRDefault="000706E9">
            <w:pPr>
              <w:keepLines/>
              <w:jc w:val="center"/>
              <w:rPr>
                <w:rFonts w:ascii="Arial Narrow" w:hAnsi="Arial Narrow" w:cs="Arial"/>
                <w:sz w:val="20"/>
                <w:szCs w:val="20"/>
              </w:rPr>
            </w:pPr>
            <w:r w:rsidRPr="001E6F3E">
              <w:rPr>
                <w:rFonts w:ascii="Arial Narrow" w:hAnsi="Arial Narrow" w:cs="Arial"/>
                <w:sz w:val="20"/>
                <w:szCs w:val="20"/>
              </w:rPr>
              <w:t>2</w:t>
            </w:r>
          </w:p>
        </w:tc>
        <w:tc>
          <w:tcPr>
            <w:tcW w:w="811" w:type="dxa"/>
          </w:tcPr>
          <w:p w14:paraId="0D4166E1" w14:textId="77777777" w:rsidR="000706E9" w:rsidRPr="001E6F3E" w:rsidRDefault="000706E9">
            <w:pPr>
              <w:keepLines/>
              <w:jc w:val="center"/>
              <w:rPr>
                <w:rFonts w:ascii="Arial Narrow" w:hAnsi="Arial Narrow" w:cs="Arial"/>
                <w:sz w:val="20"/>
                <w:szCs w:val="20"/>
              </w:rPr>
            </w:pPr>
            <w:r w:rsidRPr="001E6F3E">
              <w:rPr>
                <w:rFonts w:ascii="Arial Narrow" w:hAnsi="Arial Narrow" w:cs="Arial"/>
                <w:sz w:val="20"/>
                <w:szCs w:val="20"/>
              </w:rPr>
              <w:t>2</w:t>
            </w:r>
          </w:p>
        </w:tc>
        <w:tc>
          <w:tcPr>
            <w:tcW w:w="812" w:type="dxa"/>
          </w:tcPr>
          <w:p w14:paraId="21147A0A" w14:textId="77777777" w:rsidR="000706E9" w:rsidRPr="001E6F3E" w:rsidRDefault="000706E9">
            <w:pPr>
              <w:keepLines/>
              <w:jc w:val="center"/>
              <w:rPr>
                <w:rFonts w:ascii="Arial Narrow" w:hAnsi="Arial Narrow" w:cs="Arial"/>
                <w:sz w:val="20"/>
                <w:szCs w:val="20"/>
              </w:rPr>
            </w:pPr>
            <w:r w:rsidRPr="001E6F3E">
              <w:rPr>
                <w:rFonts w:ascii="Arial Narrow" w:hAnsi="Arial Narrow" w:cs="Arial"/>
                <w:sz w:val="20"/>
                <w:szCs w:val="20"/>
              </w:rPr>
              <w:t>5</w:t>
            </w:r>
          </w:p>
        </w:tc>
        <w:tc>
          <w:tcPr>
            <w:tcW w:w="1831" w:type="dxa"/>
            <w:vAlign w:val="center"/>
          </w:tcPr>
          <w:p w14:paraId="299AA33B" w14:textId="77777777" w:rsidR="000706E9" w:rsidRPr="001E6F3E"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1E6F3E" w14:paraId="6524F5C2" w14:textId="77777777">
        <w:trPr>
          <w:cantSplit/>
          <w:trHeight w:val="20"/>
        </w:trPr>
        <w:tc>
          <w:tcPr>
            <w:tcW w:w="3823" w:type="dxa"/>
            <w:gridSpan w:val="2"/>
            <w:vAlign w:val="center"/>
          </w:tcPr>
          <w:p w14:paraId="1AE303E8" w14:textId="77777777" w:rsidR="000706E9" w:rsidRPr="001E6F3E" w:rsidRDefault="000706E9">
            <w:pPr>
              <w:keepLines/>
              <w:rPr>
                <w:rFonts w:ascii="Arial Narrow" w:hAnsi="Arial Narrow" w:cs="Arial"/>
                <w:sz w:val="20"/>
                <w:szCs w:val="20"/>
              </w:rPr>
            </w:pPr>
            <w:r w:rsidRPr="001E6F3E">
              <w:rPr>
                <w:rFonts w:ascii="Arial Narrow" w:hAnsi="Arial Narrow" w:cs="Arial"/>
                <w:sz w:val="20"/>
                <w:szCs w:val="20"/>
              </w:rPr>
              <w:t>infliximab 120 mg/mL injection, 1 mL syringe</w:t>
            </w:r>
          </w:p>
        </w:tc>
        <w:tc>
          <w:tcPr>
            <w:tcW w:w="927" w:type="dxa"/>
            <w:vAlign w:val="center"/>
          </w:tcPr>
          <w:p w14:paraId="1219A6AA" w14:textId="77777777" w:rsidR="000706E9" w:rsidRPr="001E6F3E" w:rsidRDefault="000706E9">
            <w:pPr>
              <w:keepLines/>
              <w:jc w:val="center"/>
              <w:rPr>
                <w:rFonts w:ascii="Arial Narrow" w:hAnsi="Arial Narrow" w:cs="Arial"/>
                <w:sz w:val="20"/>
                <w:szCs w:val="20"/>
              </w:rPr>
            </w:pPr>
            <w:r w:rsidRPr="001E6F3E">
              <w:rPr>
                <w:rFonts w:ascii="Arial Narrow" w:hAnsi="Arial Narrow" w:cs="Arial"/>
                <w:sz w:val="20"/>
                <w:szCs w:val="20"/>
              </w:rPr>
              <w:t>13069W</w:t>
            </w:r>
          </w:p>
        </w:tc>
        <w:tc>
          <w:tcPr>
            <w:tcW w:w="812" w:type="dxa"/>
            <w:vAlign w:val="center"/>
          </w:tcPr>
          <w:p w14:paraId="7D1B70E4" w14:textId="77777777" w:rsidR="000706E9" w:rsidRPr="001E6F3E" w:rsidRDefault="000706E9">
            <w:pPr>
              <w:keepLines/>
              <w:jc w:val="center"/>
              <w:rPr>
                <w:rFonts w:ascii="Arial Narrow" w:hAnsi="Arial Narrow" w:cs="Arial"/>
                <w:sz w:val="20"/>
                <w:szCs w:val="20"/>
              </w:rPr>
            </w:pPr>
            <w:r w:rsidRPr="001E6F3E">
              <w:rPr>
                <w:rFonts w:ascii="Arial Narrow" w:hAnsi="Arial Narrow" w:cs="Arial"/>
                <w:sz w:val="20"/>
                <w:szCs w:val="20"/>
              </w:rPr>
              <w:t>2</w:t>
            </w:r>
          </w:p>
        </w:tc>
        <w:tc>
          <w:tcPr>
            <w:tcW w:w="811" w:type="dxa"/>
            <w:vAlign w:val="center"/>
          </w:tcPr>
          <w:p w14:paraId="20C6D051" w14:textId="77777777" w:rsidR="000706E9" w:rsidRPr="001E6F3E" w:rsidRDefault="000706E9">
            <w:pPr>
              <w:keepLines/>
              <w:jc w:val="center"/>
              <w:rPr>
                <w:rFonts w:ascii="Arial Narrow" w:hAnsi="Arial Narrow" w:cs="Arial"/>
                <w:sz w:val="20"/>
                <w:szCs w:val="20"/>
              </w:rPr>
            </w:pPr>
            <w:r w:rsidRPr="001E6F3E">
              <w:rPr>
                <w:rFonts w:ascii="Arial Narrow" w:hAnsi="Arial Narrow" w:cs="Arial"/>
                <w:sz w:val="20"/>
                <w:szCs w:val="20"/>
              </w:rPr>
              <w:t>2</w:t>
            </w:r>
          </w:p>
        </w:tc>
        <w:tc>
          <w:tcPr>
            <w:tcW w:w="812" w:type="dxa"/>
            <w:vAlign w:val="center"/>
          </w:tcPr>
          <w:p w14:paraId="06328613" w14:textId="77777777" w:rsidR="000706E9" w:rsidRPr="001E6F3E" w:rsidRDefault="000706E9">
            <w:pPr>
              <w:keepLines/>
              <w:jc w:val="center"/>
              <w:rPr>
                <w:rFonts w:ascii="Arial Narrow" w:hAnsi="Arial Narrow" w:cs="Arial"/>
                <w:sz w:val="20"/>
                <w:szCs w:val="20"/>
              </w:rPr>
            </w:pPr>
            <w:r w:rsidRPr="001E6F3E">
              <w:rPr>
                <w:rFonts w:ascii="Arial Narrow" w:hAnsi="Arial Narrow" w:cs="Arial"/>
                <w:sz w:val="20"/>
                <w:szCs w:val="20"/>
              </w:rPr>
              <w:t>5</w:t>
            </w:r>
          </w:p>
        </w:tc>
        <w:tc>
          <w:tcPr>
            <w:tcW w:w="1831" w:type="dxa"/>
            <w:vAlign w:val="center"/>
          </w:tcPr>
          <w:p w14:paraId="5B4E47CA" w14:textId="77777777" w:rsidR="000706E9" w:rsidRPr="001E6F3E"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1E6F3E" w14:paraId="349F3BCA"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5F50A76" w14:textId="77777777" w:rsidR="000706E9" w:rsidRPr="001E6F3E" w:rsidRDefault="000706E9">
            <w:pPr>
              <w:rPr>
                <w:rFonts w:ascii="Arial Narrow" w:hAnsi="Arial Narrow" w:cs="Arial"/>
                <w:sz w:val="20"/>
                <w:szCs w:val="20"/>
              </w:rPr>
            </w:pPr>
          </w:p>
        </w:tc>
      </w:tr>
      <w:tr w:rsidR="000706E9" w:rsidRPr="001E6F3E" w14:paraId="4616050F"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BC595F0" w14:textId="54976682" w:rsidR="000706E9" w:rsidRPr="001E6F3E" w:rsidRDefault="000706E9">
            <w:pPr>
              <w:keepLines/>
              <w:rPr>
                <w:rFonts w:ascii="Arial Narrow" w:hAnsi="Arial Narrow" w:cs="Arial"/>
                <w:b/>
                <w:sz w:val="20"/>
                <w:szCs w:val="20"/>
              </w:rPr>
            </w:pPr>
            <w:r w:rsidRPr="001E6F3E">
              <w:rPr>
                <w:rFonts w:ascii="Arial Narrow" w:hAnsi="Arial Narrow"/>
                <w:b/>
                <w:sz w:val="20"/>
                <w:szCs w:val="20"/>
              </w:rPr>
              <w:t xml:space="preserve">Restriction Summary / Treatment of Concept: </w:t>
            </w:r>
          </w:p>
        </w:tc>
      </w:tr>
      <w:tr w:rsidR="000706E9" w:rsidRPr="001E6F3E" w14:paraId="6F2D013D"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55CCE75D" w14:textId="11CC647C" w:rsidR="000706E9" w:rsidRPr="001E6F3E" w:rsidRDefault="000706E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0D4CF9A" w14:textId="77777777" w:rsidR="000706E9" w:rsidRPr="001E6F3E" w:rsidRDefault="000706E9">
            <w:pPr>
              <w:keepLines/>
              <w:rPr>
                <w:rFonts w:ascii="Arial Narrow" w:hAnsi="Arial Narrow" w:cs="Arial"/>
                <w:sz w:val="20"/>
                <w:szCs w:val="20"/>
              </w:rPr>
            </w:pPr>
            <w:r w:rsidRPr="001E6F3E">
              <w:rPr>
                <w:rFonts w:ascii="Arial Narrow" w:hAnsi="Arial Narrow" w:cs="Arial"/>
                <w:b/>
                <w:sz w:val="20"/>
                <w:szCs w:val="20"/>
              </w:rPr>
              <w:t>Category / Program:</w:t>
            </w:r>
            <w:r w:rsidRPr="001E6F3E">
              <w:rPr>
                <w:rFonts w:ascii="Arial Narrow" w:hAnsi="Arial Narrow" w:cs="Arial"/>
                <w:color w:val="FF0000"/>
                <w:sz w:val="20"/>
                <w:szCs w:val="20"/>
              </w:rPr>
              <w:t xml:space="preserve"> </w:t>
            </w:r>
            <w:r w:rsidRPr="001E6F3E">
              <w:rPr>
                <w:rFonts w:ascii="Arial Narrow" w:eastAsia="Calibri" w:hAnsi="Arial Narrow" w:cs="Arial"/>
                <w:sz w:val="20"/>
                <w:szCs w:val="20"/>
              </w:rPr>
              <w:t xml:space="preserve">GENERAL - General Schedule (Code GE) </w:t>
            </w:r>
          </w:p>
        </w:tc>
      </w:tr>
      <w:tr w:rsidR="000706E9" w:rsidRPr="001E6F3E" w14:paraId="48D9E208" w14:textId="77777777">
        <w:tblPrEx>
          <w:tblCellMar>
            <w:top w:w="15" w:type="dxa"/>
            <w:bottom w:w="15" w:type="dxa"/>
          </w:tblCellMar>
          <w:tblLook w:val="04A0" w:firstRow="1" w:lastRow="0" w:firstColumn="1" w:lastColumn="0" w:noHBand="0" w:noVBand="1"/>
        </w:tblPrEx>
        <w:trPr>
          <w:trHeight w:val="20"/>
        </w:trPr>
        <w:tc>
          <w:tcPr>
            <w:tcW w:w="1271" w:type="dxa"/>
            <w:vMerge/>
          </w:tcPr>
          <w:p w14:paraId="2C956724" w14:textId="77777777" w:rsidR="000706E9" w:rsidRPr="001E6F3E"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AA28BCB" w14:textId="77777777" w:rsidR="000706E9" w:rsidRPr="001E6F3E" w:rsidRDefault="000706E9">
            <w:pPr>
              <w:keepLines/>
              <w:rPr>
                <w:rFonts w:ascii="Arial Narrow" w:hAnsi="Arial Narrow" w:cs="Arial"/>
                <w:b/>
                <w:sz w:val="20"/>
                <w:szCs w:val="20"/>
              </w:rPr>
            </w:pPr>
            <w:r w:rsidRPr="001E6F3E">
              <w:rPr>
                <w:rFonts w:ascii="Arial Narrow" w:hAnsi="Arial Narrow" w:cs="Arial"/>
                <w:b/>
                <w:sz w:val="20"/>
                <w:szCs w:val="20"/>
              </w:rPr>
              <w:t xml:space="preserve">Prescriber type: </w:t>
            </w:r>
            <w:r w:rsidRPr="001E6F3E">
              <w:rPr>
                <w:rFonts w:ascii="Arial Narrow" w:hAnsi="Arial Narrow" w:cs="Arial"/>
                <w:sz w:val="20"/>
                <w:szCs w:val="20"/>
              </w:rPr>
              <w:fldChar w:fldCharType="begin" w:fldLock="1">
                <w:ffData>
                  <w:name w:val=""/>
                  <w:enabled/>
                  <w:calcOnExit w:val="0"/>
                  <w:checkBox>
                    <w:sizeAuto/>
                    <w:default w:val="1"/>
                  </w:checkBox>
                </w:ffData>
              </w:fldChar>
            </w:r>
            <w:r w:rsidRPr="001E6F3E">
              <w:rPr>
                <w:rFonts w:ascii="Arial Narrow" w:hAnsi="Arial Narrow" w:cs="Arial"/>
                <w:sz w:val="20"/>
                <w:szCs w:val="20"/>
              </w:rPr>
              <w:instrText xml:space="preserve"> FORMCHECKBOX </w:instrText>
            </w:r>
            <w:r w:rsidRPr="001E6F3E">
              <w:rPr>
                <w:rFonts w:ascii="Arial Narrow" w:hAnsi="Arial Narrow" w:cs="Arial"/>
                <w:sz w:val="20"/>
                <w:szCs w:val="20"/>
              </w:rPr>
            </w:r>
            <w:r w:rsidRPr="001E6F3E">
              <w:rPr>
                <w:rFonts w:ascii="Arial Narrow" w:hAnsi="Arial Narrow" w:cs="Arial"/>
                <w:sz w:val="20"/>
                <w:szCs w:val="20"/>
              </w:rPr>
              <w:fldChar w:fldCharType="separate"/>
            </w:r>
            <w:r w:rsidRPr="001E6F3E">
              <w:rPr>
                <w:rFonts w:ascii="Arial Narrow" w:hAnsi="Arial Narrow" w:cs="Arial"/>
                <w:sz w:val="20"/>
                <w:szCs w:val="20"/>
              </w:rPr>
              <w:fldChar w:fldCharType="end"/>
            </w:r>
            <w:r w:rsidRPr="001E6F3E">
              <w:rPr>
                <w:rFonts w:ascii="Arial Narrow" w:hAnsi="Arial Narrow" w:cs="Arial"/>
                <w:sz w:val="20"/>
                <w:szCs w:val="20"/>
              </w:rPr>
              <w:t xml:space="preserve">Medical Practitioners </w:t>
            </w:r>
          </w:p>
        </w:tc>
      </w:tr>
      <w:tr w:rsidR="000706E9" w:rsidRPr="001E6F3E" w14:paraId="52E0C72C" w14:textId="77777777">
        <w:tblPrEx>
          <w:tblCellMar>
            <w:top w:w="15" w:type="dxa"/>
            <w:bottom w:w="15" w:type="dxa"/>
          </w:tblCellMar>
          <w:tblLook w:val="04A0" w:firstRow="1" w:lastRow="0" w:firstColumn="1" w:lastColumn="0" w:noHBand="0" w:noVBand="1"/>
        </w:tblPrEx>
        <w:trPr>
          <w:trHeight w:val="20"/>
        </w:trPr>
        <w:tc>
          <w:tcPr>
            <w:tcW w:w="1271" w:type="dxa"/>
            <w:vMerge/>
          </w:tcPr>
          <w:p w14:paraId="69C12D56" w14:textId="77777777" w:rsidR="000706E9" w:rsidRPr="001E6F3E"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2F533AE" w14:textId="77777777" w:rsidR="000706E9" w:rsidRPr="001E6F3E" w:rsidRDefault="000706E9">
            <w:pPr>
              <w:keepLines/>
              <w:rPr>
                <w:rFonts w:ascii="Arial Narrow" w:hAnsi="Arial Narrow" w:cs="Arial"/>
                <w:b/>
                <w:sz w:val="20"/>
                <w:szCs w:val="20"/>
              </w:rPr>
            </w:pPr>
            <w:r w:rsidRPr="001E6F3E">
              <w:rPr>
                <w:rFonts w:ascii="Arial Narrow" w:hAnsi="Arial Narrow" w:cs="Arial"/>
                <w:b/>
                <w:sz w:val="20"/>
                <w:szCs w:val="20"/>
              </w:rPr>
              <w:t xml:space="preserve">Restriction type: </w:t>
            </w:r>
          </w:p>
          <w:p w14:paraId="03CC6239" w14:textId="73B730F4" w:rsidR="000706E9" w:rsidRPr="001E6F3E" w:rsidRDefault="000706E9">
            <w:pPr>
              <w:keepLines/>
              <w:jc w:val="left"/>
              <w:rPr>
                <w:rFonts w:ascii="Arial Narrow" w:eastAsia="Calibri" w:hAnsi="Arial Narrow" w:cs="Arial"/>
                <w:color w:val="FF0000"/>
                <w:sz w:val="20"/>
                <w:szCs w:val="20"/>
              </w:rPr>
            </w:pPr>
            <w:r w:rsidRPr="001E6F3E">
              <w:rPr>
                <w:rFonts w:ascii="Arial Narrow" w:eastAsia="Calibri" w:hAnsi="Arial Narrow" w:cs="Arial"/>
                <w:sz w:val="20"/>
                <w:szCs w:val="20"/>
              </w:rPr>
              <w:fldChar w:fldCharType="begin" w:fldLock="1">
                <w:ffData>
                  <w:name w:val=""/>
                  <w:enabled/>
                  <w:calcOnExit w:val="0"/>
                  <w:checkBox>
                    <w:sizeAuto/>
                    <w:default w:val="1"/>
                  </w:checkBox>
                </w:ffData>
              </w:fldChar>
            </w:r>
            <w:r w:rsidRPr="001E6F3E">
              <w:rPr>
                <w:rFonts w:ascii="Arial Narrow" w:eastAsia="Calibri" w:hAnsi="Arial Narrow" w:cs="Arial"/>
                <w:sz w:val="20"/>
                <w:szCs w:val="20"/>
              </w:rPr>
              <w:instrText xml:space="preserve"> FORMCHECKBOX </w:instrText>
            </w:r>
            <w:r w:rsidRPr="001E6F3E">
              <w:rPr>
                <w:rFonts w:ascii="Arial Narrow" w:eastAsia="Calibri" w:hAnsi="Arial Narrow" w:cs="Arial"/>
                <w:sz w:val="20"/>
                <w:szCs w:val="20"/>
              </w:rPr>
            </w:r>
            <w:r w:rsidRPr="001E6F3E">
              <w:rPr>
                <w:rFonts w:ascii="Arial Narrow" w:eastAsia="Calibri" w:hAnsi="Arial Narrow" w:cs="Arial"/>
                <w:sz w:val="20"/>
                <w:szCs w:val="20"/>
              </w:rPr>
              <w:fldChar w:fldCharType="separate"/>
            </w:r>
            <w:r w:rsidRPr="001E6F3E">
              <w:rPr>
                <w:rFonts w:ascii="Arial Narrow" w:eastAsia="Calibri" w:hAnsi="Arial Narrow" w:cs="Arial"/>
                <w:sz w:val="20"/>
                <w:szCs w:val="20"/>
              </w:rPr>
              <w:fldChar w:fldCharType="end"/>
            </w:r>
            <w:r w:rsidRPr="001E6F3E">
              <w:rPr>
                <w:rFonts w:ascii="Arial Narrow" w:eastAsia="Calibri" w:hAnsi="Arial Narrow" w:cs="Arial"/>
                <w:i/>
                <w:iCs/>
                <w:sz w:val="20"/>
                <w:szCs w:val="20"/>
              </w:rPr>
              <w:t>Authority Required (Streamlined)</w:t>
            </w:r>
            <w:r w:rsidRPr="001E6F3E">
              <w:rPr>
                <w:rFonts w:ascii="Arial Narrow" w:eastAsia="Calibri" w:hAnsi="Arial Narrow" w:cs="Arial"/>
                <w:i/>
                <w:iCs/>
                <w:color w:val="FF0000"/>
                <w:sz w:val="20"/>
                <w:szCs w:val="20"/>
              </w:rPr>
              <w:br/>
            </w:r>
            <w:r w:rsidRPr="001E6F3E">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1E6F3E">
              <w:rPr>
                <w:rFonts w:ascii="Arial Narrow" w:eastAsia="Calibri" w:hAnsi="Arial Narrow" w:cs="Arial"/>
                <w:strike/>
                <w:sz w:val="20"/>
                <w:szCs w:val="20"/>
              </w:rPr>
              <w:instrText xml:space="preserve"> FORMCHECKBOX </w:instrText>
            </w:r>
            <w:r w:rsidRPr="001E6F3E">
              <w:rPr>
                <w:rFonts w:ascii="Arial Narrow" w:eastAsia="Calibri" w:hAnsi="Arial Narrow" w:cs="Arial"/>
                <w:strike/>
                <w:sz w:val="20"/>
                <w:szCs w:val="20"/>
              </w:rPr>
            </w:r>
            <w:r w:rsidRPr="001E6F3E">
              <w:rPr>
                <w:rFonts w:ascii="Arial Narrow" w:eastAsia="Calibri" w:hAnsi="Arial Narrow" w:cs="Arial"/>
                <w:strike/>
                <w:sz w:val="20"/>
                <w:szCs w:val="20"/>
              </w:rPr>
              <w:fldChar w:fldCharType="separate"/>
            </w:r>
            <w:r w:rsidRPr="001E6F3E">
              <w:rPr>
                <w:rFonts w:ascii="Arial Narrow" w:eastAsia="Calibri" w:hAnsi="Arial Narrow" w:cs="Arial"/>
                <w:strike/>
                <w:sz w:val="20"/>
                <w:szCs w:val="20"/>
              </w:rPr>
              <w:fldChar w:fldCharType="end"/>
            </w:r>
            <w:r w:rsidRPr="001E6F3E">
              <w:rPr>
                <w:rFonts w:ascii="Arial Narrow" w:eastAsia="Calibri" w:hAnsi="Arial Narrow" w:cs="Arial"/>
                <w:strike/>
                <w:sz w:val="20"/>
                <w:szCs w:val="20"/>
              </w:rPr>
              <w:t>Authority Required (in writing only via post/HPOS upload)</w:t>
            </w:r>
          </w:p>
        </w:tc>
      </w:tr>
      <w:tr w:rsidR="000706E9" w:rsidRPr="001E6F3E" w14:paraId="13880E7E" w14:textId="77777777" w:rsidTr="00365FCC">
        <w:tblPrEx>
          <w:tblCellMar>
            <w:top w:w="15" w:type="dxa"/>
            <w:bottom w:w="15" w:type="dxa"/>
          </w:tblCellMar>
        </w:tblPrEx>
        <w:trPr>
          <w:cantSplit/>
          <w:trHeight w:val="20"/>
        </w:trPr>
        <w:tc>
          <w:tcPr>
            <w:tcW w:w="1271" w:type="dxa"/>
            <w:vAlign w:val="center"/>
          </w:tcPr>
          <w:p w14:paraId="1445D21B" w14:textId="69379554" w:rsidR="000706E9" w:rsidRPr="001E6F3E" w:rsidRDefault="000706E9">
            <w:pPr>
              <w:keepLines/>
              <w:jc w:val="center"/>
              <w:rPr>
                <w:rFonts w:ascii="Arial Narrow" w:hAnsi="Arial Narrow"/>
                <w:sz w:val="20"/>
                <w:szCs w:val="20"/>
              </w:rPr>
            </w:pPr>
          </w:p>
        </w:tc>
        <w:tc>
          <w:tcPr>
            <w:tcW w:w="7745" w:type="dxa"/>
            <w:gridSpan w:val="6"/>
            <w:vAlign w:val="center"/>
            <w:hideMark/>
          </w:tcPr>
          <w:p w14:paraId="559A1798" w14:textId="77777777" w:rsidR="000706E9" w:rsidRPr="001E6F3E" w:rsidRDefault="000706E9">
            <w:pPr>
              <w:keepLines/>
              <w:rPr>
                <w:rFonts w:ascii="Arial Narrow" w:hAnsi="Arial Narrow"/>
                <w:color w:val="333333"/>
                <w:sz w:val="20"/>
                <w:szCs w:val="20"/>
              </w:rPr>
            </w:pPr>
            <w:r w:rsidRPr="001E6F3E">
              <w:rPr>
                <w:rFonts w:ascii="Arial Narrow" w:hAnsi="Arial Narrow"/>
                <w:b/>
                <w:bCs/>
                <w:sz w:val="20"/>
                <w:szCs w:val="20"/>
              </w:rPr>
              <w:t>Indication:</w:t>
            </w:r>
            <w:r w:rsidRPr="001E6F3E">
              <w:rPr>
                <w:rFonts w:ascii="Arial Narrow" w:hAnsi="Arial Narrow"/>
                <w:sz w:val="20"/>
                <w:szCs w:val="20"/>
              </w:rPr>
              <w:t xml:space="preserve"> Ankylosing spondylitis</w:t>
            </w:r>
          </w:p>
        </w:tc>
      </w:tr>
      <w:tr w:rsidR="000706E9" w:rsidRPr="001E6F3E" w14:paraId="1472F1C7" w14:textId="77777777" w:rsidTr="00365FCC">
        <w:tblPrEx>
          <w:tblCellMar>
            <w:top w:w="15" w:type="dxa"/>
            <w:bottom w:w="15" w:type="dxa"/>
          </w:tblCellMar>
        </w:tblPrEx>
        <w:trPr>
          <w:cantSplit/>
          <w:trHeight w:val="20"/>
        </w:trPr>
        <w:tc>
          <w:tcPr>
            <w:tcW w:w="1271" w:type="dxa"/>
            <w:vAlign w:val="center"/>
          </w:tcPr>
          <w:p w14:paraId="65A0BD4E" w14:textId="77777777" w:rsidR="000706E9" w:rsidRPr="001E6F3E" w:rsidRDefault="000706E9">
            <w:pPr>
              <w:jc w:val="center"/>
              <w:rPr>
                <w:rFonts w:ascii="Arial Narrow" w:hAnsi="Arial Narrow"/>
                <w:sz w:val="20"/>
                <w:szCs w:val="20"/>
              </w:rPr>
            </w:pPr>
          </w:p>
        </w:tc>
        <w:tc>
          <w:tcPr>
            <w:tcW w:w="7745" w:type="dxa"/>
            <w:gridSpan w:val="6"/>
            <w:vAlign w:val="center"/>
            <w:hideMark/>
          </w:tcPr>
          <w:p w14:paraId="628B48C1" w14:textId="77777777" w:rsidR="000706E9" w:rsidRPr="001E6F3E" w:rsidRDefault="000706E9">
            <w:pPr>
              <w:rPr>
                <w:rFonts w:ascii="Arial Narrow" w:hAnsi="Arial Narrow"/>
                <w:sz w:val="20"/>
                <w:szCs w:val="20"/>
              </w:rPr>
            </w:pPr>
            <w:r w:rsidRPr="001E6F3E">
              <w:rPr>
                <w:rFonts w:ascii="Arial Narrow" w:hAnsi="Arial Narrow"/>
                <w:b/>
                <w:bCs/>
                <w:sz w:val="20"/>
                <w:szCs w:val="20"/>
              </w:rPr>
              <w:t>Treatment Phase:</w:t>
            </w:r>
            <w:r w:rsidRPr="001E6F3E">
              <w:rPr>
                <w:rFonts w:ascii="Arial Narrow" w:hAnsi="Arial Narrow"/>
                <w:sz w:val="20"/>
                <w:szCs w:val="20"/>
              </w:rPr>
              <w:t xml:space="preserve"> Continuing treatment with subcutaneous form or switching from intravenous form to subcutaneous form</w:t>
            </w:r>
          </w:p>
        </w:tc>
      </w:tr>
      <w:tr w:rsidR="000706E9" w:rsidRPr="001E6F3E" w14:paraId="57F240D1"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EA27BB5" w14:textId="079E6120" w:rsidR="000706E9" w:rsidRPr="001E6F3E"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70A6B8" w14:textId="77777777" w:rsidR="000706E9" w:rsidRPr="001E6F3E" w:rsidRDefault="000706E9">
            <w:pPr>
              <w:rPr>
                <w:rFonts w:ascii="Arial Narrow" w:hAnsi="Arial Narrow"/>
                <w:strike/>
                <w:sz w:val="20"/>
                <w:szCs w:val="20"/>
              </w:rPr>
            </w:pPr>
            <w:r w:rsidRPr="001E6F3E">
              <w:rPr>
                <w:rFonts w:ascii="Arial Narrow" w:hAnsi="Arial Narrow"/>
                <w:b/>
                <w:bCs/>
                <w:strike/>
                <w:sz w:val="20"/>
                <w:szCs w:val="20"/>
              </w:rPr>
              <w:t>Prescribing Instructions</w:t>
            </w:r>
            <w:r w:rsidRPr="001E6F3E">
              <w:rPr>
                <w:rFonts w:ascii="Arial Narrow" w:hAnsi="Arial Narrow"/>
                <w:strike/>
                <w:sz w:val="20"/>
                <w:szCs w:val="20"/>
              </w:rPr>
              <w:t>:</w:t>
            </w:r>
          </w:p>
          <w:p w14:paraId="4EB8DB20" w14:textId="77777777" w:rsidR="000706E9" w:rsidRPr="001E6F3E" w:rsidRDefault="000706E9">
            <w:pPr>
              <w:rPr>
                <w:rFonts w:ascii="Arial Narrow" w:hAnsi="Arial Narrow"/>
                <w:strike/>
                <w:sz w:val="20"/>
                <w:szCs w:val="20"/>
              </w:rPr>
            </w:pPr>
            <w:r w:rsidRPr="001E6F3E">
              <w:rPr>
                <w:rFonts w:ascii="Arial Narrow" w:hAnsi="Arial Narrow"/>
                <w:strike/>
                <w:sz w:val="20"/>
                <w:szCs w:val="20"/>
              </w:rPr>
              <w:t>The authority application must be made in writing and must include:</w:t>
            </w:r>
          </w:p>
          <w:p w14:paraId="24BB4540" w14:textId="77777777" w:rsidR="000706E9" w:rsidRPr="001E6F3E" w:rsidRDefault="000706E9">
            <w:pPr>
              <w:rPr>
                <w:rFonts w:ascii="Arial Narrow" w:hAnsi="Arial Narrow"/>
                <w:strike/>
                <w:sz w:val="20"/>
                <w:szCs w:val="20"/>
              </w:rPr>
            </w:pPr>
            <w:r w:rsidRPr="001E6F3E">
              <w:rPr>
                <w:rFonts w:ascii="Arial Narrow" w:hAnsi="Arial Narrow"/>
                <w:strike/>
                <w:sz w:val="20"/>
                <w:szCs w:val="20"/>
              </w:rPr>
              <w:t>(1) a completed authority prescription form; and</w:t>
            </w:r>
          </w:p>
          <w:p w14:paraId="3F5C6DEF" w14:textId="77777777" w:rsidR="000706E9" w:rsidRPr="001E6F3E" w:rsidRDefault="000706E9">
            <w:pPr>
              <w:rPr>
                <w:rFonts w:ascii="Arial Narrow" w:hAnsi="Arial Narrow"/>
                <w:strike/>
                <w:sz w:val="20"/>
                <w:szCs w:val="20"/>
              </w:rPr>
            </w:pPr>
            <w:r w:rsidRPr="0CEE6DE9">
              <w:rPr>
                <w:rFonts w:ascii="Arial Narrow" w:hAnsi="Arial Narrow"/>
                <w:strike/>
                <w:sz w:val="20"/>
                <w:szCs w:val="20"/>
              </w:rPr>
              <w:t>(2) a completed authority application form relevant to the indication and treatment phase (the latest version is located on the website specified in the Administrative Advice).</w:t>
            </w:r>
          </w:p>
        </w:tc>
      </w:tr>
      <w:tr w:rsidR="000706E9" w:rsidRPr="001E6F3E" w14:paraId="24CEA62C"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3AD6759" w14:textId="48CAE6ED" w:rsidR="000706E9" w:rsidRPr="001E6F3E"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627782" w14:textId="77777777" w:rsidR="000706E9" w:rsidRPr="001E6F3E" w:rsidRDefault="000706E9">
            <w:pPr>
              <w:rPr>
                <w:rFonts w:ascii="Arial Narrow" w:hAnsi="Arial Narrow"/>
                <w:b/>
                <w:bCs/>
                <w:sz w:val="20"/>
                <w:szCs w:val="20"/>
              </w:rPr>
            </w:pPr>
            <w:r w:rsidRPr="001E6F3E">
              <w:rPr>
                <w:rFonts w:ascii="Arial Narrow" w:hAnsi="Arial Narrow"/>
                <w:b/>
                <w:bCs/>
                <w:sz w:val="20"/>
                <w:szCs w:val="20"/>
              </w:rPr>
              <w:t>Prescribing Instructions:</w:t>
            </w:r>
          </w:p>
          <w:p w14:paraId="128F7638" w14:textId="77777777" w:rsidR="000706E9" w:rsidRPr="001E6F3E" w:rsidRDefault="000706E9">
            <w:pPr>
              <w:rPr>
                <w:rFonts w:ascii="Arial Narrow" w:hAnsi="Arial Narrow"/>
                <w:sz w:val="20"/>
                <w:szCs w:val="20"/>
              </w:rPr>
            </w:pPr>
            <w:r w:rsidRPr="001E6F3E">
              <w:rPr>
                <w:rFonts w:ascii="Arial Narrow" w:hAnsi="Arial Narrow"/>
                <w:sz w:val="20"/>
                <w:szCs w:val="20"/>
              </w:rPr>
              <w:t>An adequate response is defined as an improvement from baseline of at least 2 of the BASDAI and 1 of the following:</w:t>
            </w:r>
          </w:p>
          <w:p w14:paraId="24B6FA78" w14:textId="77777777" w:rsidR="000706E9" w:rsidRPr="001E6F3E" w:rsidRDefault="000706E9">
            <w:pPr>
              <w:rPr>
                <w:rFonts w:ascii="Arial Narrow" w:hAnsi="Arial Narrow"/>
                <w:sz w:val="20"/>
                <w:szCs w:val="20"/>
              </w:rPr>
            </w:pPr>
            <w:r w:rsidRPr="001E6F3E">
              <w:rPr>
                <w:rFonts w:ascii="Arial Narrow" w:hAnsi="Arial Narrow"/>
                <w:sz w:val="20"/>
                <w:szCs w:val="20"/>
              </w:rPr>
              <w:t>(a) an ESR measurement no greater than 25 mm per hour; or</w:t>
            </w:r>
          </w:p>
          <w:p w14:paraId="1AB382F2" w14:textId="77777777" w:rsidR="000706E9" w:rsidRPr="001E6F3E" w:rsidRDefault="000706E9">
            <w:pPr>
              <w:rPr>
                <w:rFonts w:ascii="Arial Narrow" w:hAnsi="Arial Narrow"/>
                <w:sz w:val="20"/>
                <w:szCs w:val="20"/>
              </w:rPr>
            </w:pPr>
            <w:r w:rsidRPr="001E6F3E">
              <w:rPr>
                <w:rFonts w:ascii="Arial Narrow" w:hAnsi="Arial Narrow"/>
                <w:sz w:val="20"/>
                <w:szCs w:val="20"/>
              </w:rPr>
              <w:t>(b) a CRP measurement no greater than 10 mg per L; or</w:t>
            </w:r>
          </w:p>
          <w:p w14:paraId="73B33DFA" w14:textId="77777777" w:rsidR="000706E9" w:rsidRPr="001E6F3E" w:rsidRDefault="000706E9">
            <w:pPr>
              <w:rPr>
                <w:rFonts w:ascii="Arial Narrow" w:hAnsi="Arial Narrow"/>
                <w:sz w:val="20"/>
                <w:szCs w:val="20"/>
              </w:rPr>
            </w:pPr>
            <w:r w:rsidRPr="001E6F3E">
              <w:rPr>
                <w:rFonts w:ascii="Arial Narrow" w:hAnsi="Arial Narrow"/>
                <w:sz w:val="20"/>
                <w:szCs w:val="20"/>
              </w:rPr>
              <w:t>(c) an ESR or CRP measurement reduced by at least 20% from baseline.</w:t>
            </w:r>
          </w:p>
          <w:p w14:paraId="3E5D8546" w14:textId="77777777" w:rsidR="000706E9" w:rsidRPr="001E6F3E" w:rsidRDefault="000706E9">
            <w:pPr>
              <w:rPr>
                <w:rFonts w:ascii="Arial Narrow" w:hAnsi="Arial Narrow"/>
                <w:sz w:val="20"/>
                <w:szCs w:val="20"/>
              </w:rPr>
            </w:pPr>
            <w:r w:rsidRPr="001E6F3E">
              <w:rPr>
                <w:rFonts w:ascii="Arial Narrow" w:hAnsi="Arial Narrow"/>
                <w:sz w:val="20"/>
                <w:szCs w:val="20"/>
              </w:rPr>
              <w:t>Where only 1 acute phase reactant measurement is supplied in the first application for PBS-subsidised treatment, that same marker must be measured and used to assess all future responses to treatment.</w:t>
            </w:r>
          </w:p>
        </w:tc>
      </w:tr>
      <w:tr w:rsidR="000706E9" w:rsidRPr="001E6F3E" w14:paraId="2CF71781"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319071D" w14:textId="79A244A6" w:rsidR="000706E9" w:rsidRPr="001E6F3E"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32A746" w14:textId="77777777" w:rsidR="000706E9" w:rsidRPr="001E6F3E" w:rsidRDefault="000706E9">
            <w:pPr>
              <w:rPr>
                <w:rFonts w:ascii="Arial Narrow" w:hAnsi="Arial Narrow"/>
                <w:b/>
                <w:bCs/>
                <w:sz w:val="20"/>
                <w:szCs w:val="20"/>
              </w:rPr>
            </w:pPr>
            <w:r w:rsidRPr="001E6F3E">
              <w:rPr>
                <w:rFonts w:ascii="Arial Narrow" w:hAnsi="Arial Narrow"/>
                <w:b/>
                <w:bCs/>
                <w:sz w:val="20"/>
                <w:szCs w:val="20"/>
              </w:rPr>
              <w:t>Prescribing Instructions:</w:t>
            </w:r>
          </w:p>
          <w:p w14:paraId="3C47E3B3" w14:textId="77777777" w:rsidR="000706E9" w:rsidRPr="001E6F3E" w:rsidRDefault="000706E9">
            <w:pPr>
              <w:rPr>
                <w:rFonts w:ascii="Arial Narrow" w:hAnsi="Arial Narrow"/>
                <w:sz w:val="20"/>
                <w:szCs w:val="20"/>
              </w:rPr>
            </w:pPr>
            <w:r w:rsidRPr="001E6F3E">
              <w:rPr>
                <w:rFonts w:ascii="Arial Narrow" w:hAnsi="Arial Narrow"/>
                <w:sz w:val="20"/>
                <w:szCs w:val="20"/>
              </w:rPr>
              <w:t xml:space="preserve">The assessment of response to treatment must be documented in the patient's medical records </w:t>
            </w:r>
            <w:r w:rsidRPr="001E6F3E">
              <w:rPr>
                <w:rFonts w:ascii="Arial Narrow" w:hAnsi="Arial Narrow"/>
                <w:i/>
                <w:iCs/>
                <w:sz w:val="20"/>
                <w:szCs w:val="20"/>
              </w:rPr>
              <w:t>and must be no more than 4 weeks old at the time of the authority application.</w:t>
            </w:r>
          </w:p>
        </w:tc>
      </w:tr>
      <w:tr w:rsidR="000706E9" w:rsidRPr="001E6F3E" w14:paraId="3A9C190E"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E4D82A9" w14:textId="61308DD6" w:rsidR="000706E9" w:rsidRPr="001E6F3E"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9A5C39" w14:textId="77777777" w:rsidR="000706E9" w:rsidRPr="001E6F3E" w:rsidRDefault="000706E9">
            <w:pPr>
              <w:rPr>
                <w:rFonts w:ascii="Arial Narrow" w:hAnsi="Arial Narrow"/>
                <w:strike/>
                <w:sz w:val="20"/>
                <w:szCs w:val="20"/>
              </w:rPr>
            </w:pPr>
            <w:r w:rsidRPr="001E6F3E">
              <w:rPr>
                <w:rFonts w:ascii="Arial Narrow" w:hAnsi="Arial Narrow"/>
                <w:strike/>
                <w:sz w:val="20"/>
                <w:szCs w:val="20"/>
              </w:rPr>
              <w:t>Prescribing Instructions:</w:t>
            </w:r>
          </w:p>
          <w:p w14:paraId="22D0AD7B" w14:textId="77777777" w:rsidR="000706E9" w:rsidRPr="001E6F3E" w:rsidRDefault="000706E9">
            <w:pPr>
              <w:rPr>
                <w:rFonts w:ascii="Arial Narrow" w:hAnsi="Arial Narrow"/>
                <w:strike/>
                <w:sz w:val="20"/>
                <w:szCs w:val="20"/>
              </w:rPr>
            </w:pPr>
            <w:r w:rsidRPr="001E6F3E">
              <w:rPr>
                <w:rFonts w:ascii="Arial Narrow" w:hAnsi="Arial Narrow"/>
                <w:strike/>
                <w:sz w:val="20"/>
                <w:szCs w:val="20"/>
              </w:rPr>
              <w:t>All measurements provided must be no more than 1 month old at the time of application.</w:t>
            </w:r>
          </w:p>
        </w:tc>
      </w:tr>
      <w:tr w:rsidR="000706E9" w:rsidRPr="001E6F3E" w14:paraId="62098666"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17A11F8" w14:textId="1EBE3C90" w:rsidR="000706E9" w:rsidRPr="001E6F3E"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100F71" w14:textId="77777777" w:rsidR="000706E9" w:rsidRPr="001E6F3E" w:rsidRDefault="000706E9">
            <w:pPr>
              <w:rPr>
                <w:rFonts w:ascii="Arial Narrow" w:hAnsi="Arial Narrow"/>
                <w:b/>
                <w:bCs/>
                <w:i/>
                <w:iCs/>
                <w:sz w:val="20"/>
                <w:szCs w:val="20"/>
              </w:rPr>
            </w:pPr>
            <w:r w:rsidRPr="001E6F3E">
              <w:rPr>
                <w:rFonts w:ascii="Arial Narrow" w:hAnsi="Arial Narrow"/>
                <w:b/>
                <w:bCs/>
                <w:i/>
                <w:iCs/>
                <w:sz w:val="20"/>
                <w:szCs w:val="20"/>
              </w:rPr>
              <w:t>Prescribing Instructions:</w:t>
            </w:r>
          </w:p>
          <w:p w14:paraId="6A2D2C4D" w14:textId="77777777" w:rsidR="000706E9" w:rsidRPr="001E6F3E" w:rsidRDefault="000706E9">
            <w:pPr>
              <w:rPr>
                <w:rFonts w:ascii="Arial Narrow" w:hAnsi="Arial Narrow"/>
                <w:i/>
                <w:iCs/>
                <w:sz w:val="20"/>
                <w:szCs w:val="20"/>
              </w:rPr>
            </w:pPr>
            <w:r w:rsidRPr="0CEE6DE9">
              <w:rPr>
                <w:rFonts w:ascii="Arial Narrow" w:hAnsi="Arial Narrow"/>
                <w:i/>
                <w:iCs/>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0706E9" w:rsidRPr="001E6F3E" w14:paraId="27197A8C"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275DDA2" w14:textId="0326106C" w:rsidR="000706E9" w:rsidRPr="001E6F3E"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C45CE1" w14:textId="77777777" w:rsidR="000706E9" w:rsidRPr="001E6F3E" w:rsidRDefault="000706E9">
            <w:pPr>
              <w:rPr>
                <w:rFonts w:ascii="Arial Narrow" w:hAnsi="Arial Narrow"/>
                <w:b/>
                <w:bCs/>
                <w:i/>
                <w:iCs/>
                <w:sz w:val="20"/>
                <w:szCs w:val="20"/>
              </w:rPr>
            </w:pPr>
            <w:r w:rsidRPr="001E6F3E">
              <w:rPr>
                <w:rFonts w:ascii="Arial Narrow" w:hAnsi="Arial Narrow"/>
                <w:b/>
                <w:bCs/>
                <w:i/>
                <w:iCs/>
                <w:sz w:val="20"/>
                <w:szCs w:val="20"/>
              </w:rPr>
              <w:t>Prescribing Instructions:</w:t>
            </w:r>
          </w:p>
          <w:p w14:paraId="6E2BF316" w14:textId="77777777" w:rsidR="000706E9" w:rsidRPr="001E6F3E" w:rsidRDefault="000706E9">
            <w:pPr>
              <w:rPr>
                <w:rFonts w:ascii="Arial Narrow" w:hAnsi="Arial Narrow"/>
                <w:i/>
                <w:iCs/>
                <w:sz w:val="20"/>
                <w:szCs w:val="20"/>
              </w:rPr>
            </w:pPr>
            <w:r w:rsidRPr="001E6F3E">
              <w:rPr>
                <w:rFonts w:ascii="Arial Narrow" w:hAnsi="Arial Narrow"/>
                <w:i/>
                <w:iCs/>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0706E9" w:rsidRPr="001E6F3E" w14:paraId="17F684B0"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E6AB2D7" w14:textId="2BCD594E" w:rsidR="000706E9" w:rsidRPr="001E6F3E"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5BECA5" w14:textId="77777777" w:rsidR="000706E9" w:rsidRPr="001E6F3E" w:rsidRDefault="000706E9">
            <w:pPr>
              <w:rPr>
                <w:rFonts w:ascii="Arial Narrow" w:hAnsi="Arial Narrow"/>
                <w:b/>
                <w:bCs/>
                <w:i/>
                <w:iCs/>
                <w:sz w:val="20"/>
                <w:szCs w:val="20"/>
              </w:rPr>
            </w:pPr>
            <w:r w:rsidRPr="001E6F3E">
              <w:rPr>
                <w:rFonts w:ascii="Arial Narrow" w:hAnsi="Arial Narrow"/>
                <w:b/>
                <w:bCs/>
                <w:i/>
                <w:iCs/>
                <w:sz w:val="20"/>
                <w:szCs w:val="20"/>
              </w:rPr>
              <w:t>Administrative Advice:</w:t>
            </w:r>
          </w:p>
          <w:p w14:paraId="0792709A" w14:textId="77777777" w:rsidR="000706E9" w:rsidRPr="001E6F3E" w:rsidRDefault="000706E9">
            <w:pPr>
              <w:rPr>
                <w:rFonts w:ascii="Arial Narrow" w:hAnsi="Arial Narrow"/>
                <w:i/>
                <w:iCs/>
                <w:sz w:val="20"/>
                <w:szCs w:val="20"/>
              </w:rPr>
            </w:pPr>
            <w:r w:rsidRPr="001E6F3E">
              <w:rPr>
                <w:rFonts w:ascii="Arial Narrow" w:hAnsi="Arial Narrow"/>
                <w:i/>
                <w:iCs/>
                <w:sz w:val="20"/>
                <w:szCs w:val="20"/>
              </w:rPr>
              <w:t>Any queries concerning the arrangements to prescribe may be directed to Services Australia on 1800 700 270 (hours of operation 8 a.m. to 5 p.m. Monday to Friday).</w:t>
            </w:r>
          </w:p>
        </w:tc>
      </w:tr>
    </w:tbl>
    <w:p w14:paraId="41DFD910" w14:textId="77777777" w:rsidR="00E03BE9" w:rsidRDefault="00E03BE9" w:rsidP="00365FCC">
      <w:pPr>
        <w:pStyle w:val="TableFigureFooter"/>
        <w:spacing w:after="0"/>
      </w:pPr>
    </w:p>
    <w:p w14:paraId="1CDB6951" w14:textId="78467412" w:rsidR="000706E9" w:rsidRPr="00314BC0" w:rsidRDefault="000706E9" w:rsidP="000706E9">
      <w:pPr>
        <w:pStyle w:val="4-SubsectionHeading"/>
        <w:spacing w:after="0"/>
      </w:pPr>
      <w:r w:rsidRPr="00314BC0">
        <w:lastRenderedPageBreak/>
        <w:t>Severe Crohn disease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severe Chron disease"/>
        <w:tblDescription w:val="Treatment phase: Continuing treatment with subcutaneous form or switching from intravenous form to subcutaneous form&#10;Changes to restriction type, prescribing instructions&#10;Removal of administrative advice"/>
      </w:tblPr>
      <w:tblGrid>
        <w:gridCol w:w="1271"/>
        <w:gridCol w:w="2668"/>
        <w:gridCol w:w="811"/>
        <w:gridCol w:w="812"/>
        <w:gridCol w:w="811"/>
        <w:gridCol w:w="812"/>
        <w:gridCol w:w="1831"/>
      </w:tblGrid>
      <w:tr w:rsidR="000706E9" w:rsidRPr="001428E9" w14:paraId="4F4E4E14" w14:textId="77777777">
        <w:trPr>
          <w:cantSplit/>
          <w:trHeight w:val="20"/>
        </w:trPr>
        <w:tc>
          <w:tcPr>
            <w:tcW w:w="3939" w:type="dxa"/>
            <w:gridSpan w:val="2"/>
            <w:vAlign w:val="center"/>
          </w:tcPr>
          <w:p w14:paraId="2864184D" w14:textId="77777777" w:rsidR="000706E9" w:rsidRPr="001428E9" w:rsidRDefault="000706E9">
            <w:pPr>
              <w:keepLines/>
              <w:rPr>
                <w:rFonts w:ascii="Arial Narrow" w:hAnsi="Arial Narrow" w:cs="Arial"/>
                <w:b/>
                <w:bCs/>
                <w:sz w:val="20"/>
                <w:szCs w:val="20"/>
              </w:rPr>
            </w:pPr>
            <w:r w:rsidRPr="001428E9">
              <w:rPr>
                <w:rFonts w:ascii="Arial Narrow" w:hAnsi="Arial Narrow" w:cs="Arial"/>
                <w:b/>
                <w:bCs/>
                <w:sz w:val="20"/>
                <w:szCs w:val="20"/>
              </w:rPr>
              <w:t>MEDICINAL PRODUCT</w:t>
            </w:r>
          </w:p>
          <w:p w14:paraId="23050D94" w14:textId="77777777" w:rsidR="000706E9" w:rsidRPr="001428E9" w:rsidRDefault="000706E9">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13E6A4CF" w14:textId="77777777" w:rsidR="000706E9" w:rsidRPr="001428E9" w:rsidRDefault="000706E9">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124D5BF7" w14:textId="77777777" w:rsidR="000706E9" w:rsidRPr="001428E9" w:rsidRDefault="000706E9">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3CCDC023" w14:textId="77777777" w:rsidR="000706E9" w:rsidRPr="001428E9" w:rsidRDefault="000706E9">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3C50DB67" w14:textId="77777777" w:rsidR="000706E9" w:rsidRPr="001428E9" w:rsidRDefault="000706E9">
            <w:pPr>
              <w:keepLines/>
              <w:jc w:val="center"/>
              <w:rPr>
                <w:rFonts w:ascii="Arial Narrow" w:hAnsi="Arial Narrow" w:cs="Arial"/>
                <w:b/>
                <w:bCs/>
                <w:sz w:val="20"/>
                <w:szCs w:val="20"/>
              </w:rPr>
            </w:pPr>
            <w:r w:rsidRPr="0CEE6DE9">
              <w:rPr>
                <w:rFonts w:ascii="Arial Narrow" w:hAnsi="Arial Narrow" w:cs="Arial"/>
                <w:b/>
                <w:bCs/>
                <w:sz w:val="20"/>
                <w:szCs w:val="20"/>
              </w:rPr>
              <w:t>№.of</w:t>
            </w:r>
          </w:p>
          <w:p w14:paraId="04FDCC59" w14:textId="77777777" w:rsidR="000706E9" w:rsidRPr="001428E9" w:rsidRDefault="000706E9">
            <w:pPr>
              <w:keepLines/>
              <w:jc w:val="center"/>
              <w:rPr>
                <w:rFonts w:ascii="Arial Narrow" w:hAnsi="Arial Narrow" w:cs="Arial"/>
                <w:b/>
                <w:bCs/>
                <w:sz w:val="20"/>
                <w:szCs w:val="20"/>
              </w:rPr>
            </w:pPr>
            <w:r w:rsidRPr="0CEE6DE9">
              <w:rPr>
                <w:rFonts w:ascii="Arial Narrow" w:hAnsi="Arial Narrow" w:cs="Arial"/>
                <w:b/>
                <w:bCs/>
                <w:sz w:val="20"/>
                <w:szCs w:val="20"/>
              </w:rPr>
              <w:t>Rpts</w:t>
            </w:r>
          </w:p>
        </w:tc>
        <w:tc>
          <w:tcPr>
            <w:tcW w:w="1831" w:type="dxa"/>
            <w:vAlign w:val="center"/>
          </w:tcPr>
          <w:p w14:paraId="17952237" w14:textId="77777777" w:rsidR="000706E9" w:rsidRPr="001428E9" w:rsidRDefault="000706E9">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0706E9" w:rsidRPr="001428E9" w14:paraId="10EEA6EA" w14:textId="77777777">
        <w:trPr>
          <w:cantSplit/>
          <w:trHeight w:val="20"/>
        </w:trPr>
        <w:tc>
          <w:tcPr>
            <w:tcW w:w="9016" w:type="dxa"/>
            <w:gridSpan w:val="7"/>
            <w:vAlign w:val="center"/>
          </w:tcPr>
          <w:p w14:paraId="0A1634A7" w14:textId="77777777" w:rsidR="000706E9" w:rsidRPr="001428E9" w:rsidRDefault="000706E9">
            <w:pPr>
              <w:keepLines/>
              <w:rPr>
                <w:rFonts w:ascii="Arial Narrow" w:hAnsi="Arial Narrow" w:cs="Arial"/>
                <w:sz w:val="20"/>
                <w:szCs w:val="20"/>
              </w:rPr>
            </w:pPr>
            <w:r w:rsidRPr="00697752">
              <w:rPr>
                <w:rFonts w:ascii="Arial Narrow" w:hAnsi="Arial Narrow" w:cs="Arial"/>
                <w:sz w:val="20"/>
                <w:szCs w:val="20"/>
              </w:rPr>
              <w:t>INFLIXIMAB</w:t>
            </w:r>
          </w:p>
        </w:tc>
      </w:tr>
      <w:tr w:rsidR="000706E9" w:rsidRPr="001428E9" w14:paraId="2DFA9972" w14:textId="77777777">
        <w:trPr>
          <w:cantSplit/>
          <w:trHeight w:val="20"/>
        </w:trPr>
        <w:tc>
          <w:tcPr>
            <w:tcW w:w="3939" w:type="dxa"/>
            <w:gridSpan w:val="2"/>
            <w:vAlign w:val="center"/>
          </w:tcPr>
          <w:p w14:paraId="2E8613FC" w14:textId="77777777" w:rsidR="000706E9" w:rsidRPr="001428E9" w:rsidRDefault="000706E9">
            <w:pPr>
              <w:keepLines/>
              <w:rPr>
                <w:rFonts w:ascii="Arial Narrow" w:hAnsi="Arial Narrow" w:cs="Arial"/>
                <w:sz w:val="20"/>
                <w:szCs w:val="20"/>
              </w:rPr>
            </w:pPr>
            <w:r w:rsidRPr="004C1889">
              <w:rPr>
                <w:rFonts w:ascii="Arial Narrow" w:hAnsi="Arial Narrow" w:cs="Arial"/>
                <w:sz w:val="20"/>
                <w:szCs w:val="20"/>
              </w:rPr>
              <w:t>infliximab 120 mg/mL injection, 1 mL pen device</w:t>
            </w:r>
          </w:p>
        </w:tc>
        <w:tc>
          <w:tcPr>
            <w:tcW w:w="811" w:type="dxa"/>
            <w:vAlign w:val="center"/>
          </w:tcPr>
          <w:p w14:paraId="68B96E21" w14:textId="77777777" w:rsidR="000706E9" w:rsidRPr="001428E9" w:rsidRDefault="000706E9">
            <w:pPr>
              <w:keepLines/>
              <w:jc w:val="center"/>
              <w:rPr>
                <w:rFonts w:ascii="Arial Narrow" w:hAnsi="Arial Narrow" w:cs="Arial"/>
                <w:sz w:val="20"/>
                <w:szCs w:val="20"/>
              </w:rPr>
            </w:pPr>
            <w:r w:rsidRPr="000B603B">
              <w:rPr>
                <w:rFonts w:ascii="Arial Narrow" w:hAnsi="Arial Narrow" w:cs="Arial"/>
                <w:sz w:val="20"/>
                <w:szCs w:val="20"/>
              </w:rPr>
              <w:t>12560C</w:t>
            </w:r>
          </w:p>
        </w:tc>
        <w:tc>
          <w:tcPr>
            <w:tcW w:w="812" w:type="dxa"/>
          </w:tcPr>
          <w:p w14:paraId="2CC2E20C" w14:textId="77777777" w:rsidR="000706E9" w:rsidRPr="001428E9" w:rsidRDefault="000706E9">
            <w:pPr>
              <w:keepLines/>
              <w:jc w:val="center"/>
              <w:rPr>
                <w:rFonts w:ascii="Arial Narrow" w:hAnsi="Arial Narrow" w:cs="Arial"/>
                <w:sz w:val="20"/>
                <w:szCs w:val="20"/>
              </w:rPr>
            </w:pPr>
            <w:r w:rsidRPr="00D52290">
              <w:rPr>
                <w:rFonts w:ascii="Arial Narrow" w:hAnsi="Arial Narrow" w:cs="Arial"/>
                <w:sz w:val="20"/>
                <w:szCs w:val="20"/>
              </w:rPr>
              <w:t>2</w:t>
            </w:r>
          </w:p>
        </w:tc>
        <w:tc>
          <w:tcPr>
            <w:tcW w:w="811" w:type="dxa"/>
          </w:tcPr>
          <w:p w14:paraId="4B66BC14" w14:textId="77777777" w:rsidR="000706E9" w:rsidRPr="001428E9" w:rsidRDefault="000706E9">
            <w:pPr>
              <w:keepLines/>
              <w:jc w:val="center"/>
              <w:rPr>
                <w:rFonts w:ascii="Arial Narrow" w:hAnsi="Arial Narrow" w:cs="Arial"/>
                <w:sz w:val="20"/>
                <w:szCs w:val="20"/>
              </w:rPr>
            </w:pPr>
            <w:r w:rsidRPr="00D52290">
              <w:rPr>
                <w:rFonts w:ascii="Arial Narrow" w:hAnsi="Arial Narrow" w:cs="Arial"/>
                <w:sz w:val="20"/>
                <w:szCs w:val="20"/>
              </w:rPr>
              <w:t>2</w:t>
            </w:r>
          </w:p>
        </w:tc>
        <w:tc>
          <w:tcPr>
            <w:tcW w:w="812" w:type="dxa"/>
          </w:tcPr>
          <w:p w14:paraId="3F4A1D50" w14:textId="77777777" w:rsidR="000706E9" w:rsidRPr="001428E9" w:rsidRDefault="000706E9">
            <w:pPr>
              <w:keepLines/>
              <w:jc w:val="center"/>
              <w:rPr>
                <w:rFonts w:ascii="Arial Narrow" w:hAnsi="Arial Narrow" w:cs="Arial"/>
                <w:sz w:val="20"/>
                <w:szCs w:val="20"/>
              </w:rPr>
            </w:pPr>
            <w:r w:rsidRPr="00D52290">
              <w:rPr>
                <w:rFonts w:ascii="Arial Narrow" w:hAnsi="Arial Narrow" w:cs="Arial"/>
                <w:sz w:val="20"/>
                <w:szCs w:val="20"/>
              </w:rPr>
              <w:t>5</w:t>
            </w:r>
          </w:p>
        </w:tc>
        <w:tc>
          <w:tcPr>
            <w:tcW w:w="1831" w:type="dxa"/>
            <w:vAlign w:val="center"/>
          </w:tcPr>
          <w:p w14:paraId="19535BEF" w14:textId="77777777" w:rsidR="000706E9" w:rsidRPr="001428E9"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1428E9" w14:paraId="6DFC97AA" w14:textId="77777777">
        <w:trPr>
          <w:cantSplit/>
          <w:trHeight w:val="20"/>
        </w:trPr>
        <w:tc>
          <w:tcPr>
            <w:tcW w:w="3939" w:type="dxa"/>
            <w:gridSpan w:val="2"/>
            <w:vAlign w:val="center"/>
          </w:tcPr>
          <w:p w14:paraId="01DD780B" w14:textId="77777777" w:rsidR="000706E9" w:rsidRPr="001428E9" w:rsidRDefault="000706E9">
            <w:pPr>
              <w:keepLines/>
              <w:rPr>
                <w:rFonts w:ascii="Arial Narrow" w:hAnsi="Arial Narrow" w:cs="Arial"/>
                <w:sz w:val="20"/>
                <w:szCs w:val="20"/>
              </w:rPr>
            </w:pPr>
            <w:r w:rsidRPr="00442909">
              <w:rPr>
                <w:rFonts w:ascii="Arial Narrow" w:hAnsi="Arial Narrow" w:cs="Arial"/>
                <w:sz w:val="20"/>
                <w:szCs w:val="20"/>
              </w:rPr>
              <w:t>infliximab 120 mg/mL injection, 1 mL syringe</w:t>
            </w:r>
          </w:p>
        </w:tc>
        <w:tc>
          <w:tcPr>
            <w:tcW w:w="811" w:type="dxa"/>
            <w:vAlign w:val="center"/>
          </w:tcPr>
          <w:p w14:paraId="2852F85E" w14:textId="77777777" w:rsidR="000706E9" w:rsidRPr="001428E9" w:rsidRDefault="000706E9">
            <w:pPr>
              <w:keepLines/>
              <w:jc w:val="center"/>
              <w:rPr>
                <w:rFonts w:ascii="Arial Narrow" w:hAnsi="Arial Narrow" w:cs="Arial"/>
                <w:sz w:val="20"/>
                <w:szCs w:val="20"/>
              </w:rPr>
            </w:pPr>
            <w:r w:rsidRPr="00B02836">
              <w:rPr>
                <w:rFonts w:ascii="Arial Narrow" w:hAnsi="Arial Narrow" w:cs="Arial"/>
                <w:sz w:val="20"/>
                <w:szCs w:val="20"/>
              </w:rPr>
              <w:t>12586K</w:t>
            </w:r>
          </w:p>
        </w:tc>
        <w:tc>
          <w:tcPr>
            <w:tcW w:w="812" w:type="dxa"/>
            <w:vAlign w:val="center"/>
          </w:tcPr>
          <w:p w14:paraId="120EF4BD" w14:textId="77777777" w:rsidR="000706E9" w:rsidRPr="001428E9" w:rsidRDefault="000706E9">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62CF9ED2" w14:textId="77777777" w:rsidR="000706E9" w:rsidRPr="001428E9" w:rsidRDefault="000706E9">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20CC5EA" w14:textId="77777777" w:rsidR="000706E9" w:rsidRPr="001428E9" w:rsidRDefault="000706E9">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4F1183DD" w14:textId="77777777" w:rsidR="000706E9" w:rsidRPr="001428E9"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1428E9" w14:paraId="2B06B489"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E53418F" w14:textId="77777777" w:rsidR="000706E9" w:rsidRPr="001428E9" w:rsidRDefault="000706E9">
            <w:pPr>
              <w:rPr>
                <w:rFonts w:ascii="Arial Narrow" w:hAnsi="Arial Narrow" w:cs="Arial"/>
                <w:sz w:val="20"/>
                <w:szCs w:val="20"/>
              </w:rPr>
            </w:pPr>
          </w:p>
        </w:tc>
      </w:tr>
      <w:tr w:rsidR="000706E9" w:rsidRPr="001428E9" w14:paraId="70BAEFE3"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B48BE57" w14:textId="4E89DD35" w:rsidR="000706E9" w:rsidRPr="001428E9" w:rsidRDefault="000706E9">
            <w:pPr>
              <w:keepLines/>
              <w:rPr>
                <w:rFonts w:ascii="Arial Narrow" w:hAnsi="Arial Narrow" w:cs="Arial"/>
                <w:b/>
                <w:sz w:val="20"/>
                <w:szCs w:val="20"/>
              </w:rPr>
            </w:pPr>
            <w:r w:rsidRPr="001428E9">
              <w:rPr>
                <w:rFonts w:ascii="Arial Narrow" w:hAnsi="Arial Narrow"/>
                <w:b/>
                <w:sz w:val="20"/>
                <w:szCs w:val="20"/>
              </w:rPr>
              <w:t>Restriction Summary / Treatment of Concept:</w:t>
            </w:r>
            <w:r>
              <w:t xml:space="preserve"> </w:t>
            </w:r>
          </w:p>
        </w:tc>
      </w:tr>
      <w:tr w:rsidR="000706E9" w:rsidRPr="001428E9" w14:paraId="6CCDCC43"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E91C0F7" w14:textId="6832BEEF" w:rsidR="000706E9" w:rsidRPr="001428E9" w:rsidRDefault="000706E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8A493FA" w14:textId="77777777" w:rsidR="000706E9" w:rsidRPr="001428E9" w:rsidRDefault="000706E9">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t xml:space="preserve">GENERAL - General Schedule (Code GE) </w:t>
            </w:r>
          </w:p>
        </w:tc>
      </w:tr>
      <w:tr w:rsidR="000706E9" w:rsidRPr="001428E9" w14:paraId="04F5E189" w14:textId="77777777">
        <w:tblPrEx>
          <w:tblCellMar>
            <w:top w:w="15" w:type="dxa"/>
            <w:bottom w:w="15" w:type="dxa"/>
          </w:tblCellMar>
          <w:tblLook w:val="04A0" w:firstRow="1" w:lastRow="0" w:firstColumn="1" w:lastColumn="0" w:noHBand="0" w:noVBand="1"/>
        </w:tblPrEx>
        <w:trPr>
          <w:trHeight w:val="20"/>
        </w:trPr>
        <w:tc>
          <w:tcPr>
            <w:tcW w:w="1271" w:type="dxa"/>
            <w:vMerge/>
          </w:tcPr>
          <w:p w14:paraId="2E221C81" w14:textId="77777777" w:rsidR="000706E9" w:rsidRPr="001428E9"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AC4592" w14:textId="77777777" w:rsidR="000706E9" w:rsidRPr="001428E9" w:rsidRDefault="000706E9">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0706E9" w:rsidRPr="00D56F94" w14:paraId="123A6A08" w14:textId="77777777">
        <w:tblPrEx>
          <w:tblCellMar>
            <w:top w:w="15" w:type="dxa"/>
            <w:bottom w:w="15" w:type="dxa"/>
          </w:tblCellMar>
          <w:tblLook w:val="04A0" w:firstRow="1" w:lastRow="0" w:firstColumn="1" w:lastColumn="0" w:noHBand="0" w:noVBand="1"/>
        </w:tblPrEx>
        <w:trPr>
          <w:trHeight w:val="20"/>
        </w:trPr>
        <w:tc>
          <w:tcPr>
            <w:tcW w:w="1271" w:type="dxa"/>
            <w:vMerge/>
          </w:tcPr>
          <w:p w14:paraId="67DA0308" w14:textId="77777777" w:rsidR="000706E9" w:rsidRPr="001428E9"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1B347F0" w14:textId="77777777" w:rsidR="000706E9" w:rsidRPr="001428E9" w:rsidRDefault="000706E9">
            <w:pPr>
              <w:keepLines/>
              <w:rPr>
                <w:rFonts w:ascii="Arial Narrow" w:hAnsi="Arial Narrow" w:cs="Arial"/>
                <w:b/>
                <w:sz w:val="20"/>
                <w:szCs w:val="20"/>
              </w:rPr>
            </w:pPr>
            <w:r w:rsidRPr="001428E9">
              <w:rPr>
                <w:rFonts w:ascii="Arial Narrow" w:hAnsi="Arial Narrow" w:cs="Arial"/>
                <w:b/>
                <w:sz w:val="20"/>
                <w:szCs w:val="20"/>
              </w:rPr>
              <w:t xml:space="preserve">Restriction type: </w:t>
            </w:r>
          </w:p>
          <w:p w14:paraId="45DB8998" w14:textId="77777777" w:rsidR="000706E9" w:rsidRPr="00D56F94" w:rsidRDefault="000706E9">
            <w:pPr>
              <w:keepLines/>
              <w:jc w:val="left"/>
              <w:rPr>
                <w:rFonts w:ascii="Arial Narrow" w:eastAsia="Calibri" w:hAnsi="Arial Narrow" w:cs="Arial"/>
                <w:color w:val="FF0000"/>
                <w:sz w:val="20"/>
                <w:szCs w:val="20"/>
              </w:rPr>
            </w:pP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6C0F08">
              <w:rPr>
                <w:rFonts w:ascii="Arial Narrow" w:eastAsia="Calibri" w:hAnsi="Arial Narrow" w:cs="Arial"/>
                <w:i/>
                <w:iCs/>
                <w:sz w:val="20"/>
                <w:szCs w:val="20"/>
              </w:rPr>
              <w:t>Authority Required (Streamlined)</w:t>
            </w:r>
            <w:r w:rsidRPr="004A16D7">
              <w:rPr>
                <w:rFonts w:ascii="Arial Narrow" w:eastAsia="Calibri" w:hAnsi="Arial Narrow" w:cs="Arial"/>
                <w:sz w:val="20"/>
                <w:szCs w:val="20"/>
              </w:rPr>
              <w:t xml:space="preserve"> </w:t>
            </w:r>
            <w:r w:rsidRPr="004A16D7">
              <w:rPr>
                <w:rFonts w:ascii="Arial Narrow" w:eastAsia="Calibri" w:hAnsi="Arial Narrow" w:cs="Arial"/>
                <w:color w:val="FF0000"/>
                <w:sz w:val="20"/>
                <w:szCs w:val="20"/>
              </w:rPr>
              <w:br/>
            </w:r>
            <w:r w:rsidRPr="00D338BD">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D338BD">
              <w:rPr>
                <w:rFonts w:ascii="Arial Narrow" w:eastAsia="Calibri" w:hAnsi="Arial Narrow" w:cs="Arial"/>
                <w:strike/>
                <w:sz w:val="20"/>
                <w:szCs w:val="20"/>
              </w:rPr>
              <w:instrText xml:space="preserve"> FORMCHECKBOX </w:instrText>
            </w:r>
            <w:r w:rsidRPr="00D338BD">
              <w:rPr>
                <w:rFonts w:ascii="Arial Narrow" w:eastAsia="Calibri" w:hAnsi="Arial Narrow" w:cs="Arial"/>
                <w:strike/>
                <w:sz w:val="20"/>
                <w:szCs w:val="20"/>
              </w:rPr>
            </w:r>
            <w:r w:rsidRPr="00D338BD">
              <w:rPr>
                <w:rFonts w:ascii="Arial Narrow" w:eastAsia="Calibri" w:hAnsi="Arial Narrow" w:cs="Arial"/>
                <w:strike/>
                <w:sz w:val="20"/>
                <w:szCs w:val="20"/>
              </w:rPr>
              <w:fldChar w:fldCharType="separate"/>
            </w:r>
            <w:r w:rsidRPr="00D338BD">
              <w:rPr>
                <w:rFonts w:ascii="Arial Narrow" w:eastAsia="Calibri" w:hAnsi="Arial Narrow" w:cs="Arial"/>
                <w:strike/>
                <w:sz w:val="20"/>
                <w:szCs w:val="20"/>
              </w:rPr>
              <w:fldChar w:fldCharType="end"/>
            </w:r>
            <w:r w:rsidRPr="00D338BD">
              <w:rPr>
                <w:rFonts w:ascii="Arial Narrow" w:eastAsia="Calibri" w:hAnsi="Arial Narrow" w:cs="Arial"/>
                <w:strike/>
                <w:sz w:val="20"/>
                <w:szCs w:val="20"/>
              </w:rPr>
              <w:t xml:space="preserve">Authority </w:t>
            </w:r>
            <w:r w:rsidRPr="00332881">
              <w:rPr>
                <w:rFonts w:ascii="Arial Narrow" w:eastAsia="Calibri" w:hAnsi="Arial Narrow" w:cs="Arial"/>
                <w:strike/>
                <w:sz w:val="20"/>
                <w:szCs w:val="20"/>
              </w:rPr>
              <w:t>Required (in writing only via post/HPOS upload)</w:t>
            </w:r>
            <w:r w:rsidRPr="00D338BD">
              <w:rPr>
                <w:rFonts w:ascii="Arial Narrow" w:eastAsia="Calibri" w:hAnsi="Arial Narrow" w:cs="Arial"/>
                <w:strike/>
                <w:sz w:val="20"/>
                <w:szCs w:val="20"/>
              </w:rPr>
              <w:t xml:space="preserve"> </w:t>
            </w:r>
          </w:p>
        </w:tc>
      </w:tr>
      <w:tr w:rsidR="000706E9" w:rsidRPr="001428E9" w14:paraId="52368CA4" w14:textId="77777777" w:rsidTr="00365FCC">
        <w:tblPrEx>
          <w:tblCellMar>
            <w:top w:w="15" w:type="dxa"/>
            <w:bottom w:w="15" w:type="dxa"/>
          </w:tblCellMar>
        </w:tblPrEx>
        <w:trPr>
          <w:cantSplit/>
          <w:trHeight w:val="20"/>
        </w:trPr>
        <w:tc>
          <w:tcPr>
            <w:tcW w:w="1271" w:type="dxa"/>
            <w:vAlign w:val="center"/>
          </w:tcPr>
          <w:p w14:paraId="66027844" w14:textId="7DD3B2AF" w:rsidR="000706E9" w:rsidRPr="00432EBF" w:rsidRDefault="000706E9">
            <w:pPr>
              <w:keepLines/>
              <w:jc w:val="center"/>
              <w:rPr>
                <w:rFonts w:ascii="Arial Narrow" w:hAnsi="Arial Narrow"/>
                <w:sz w:val="20"/>
                <w:szCs w:val="20"/>
              </w:rPr>
            </w:pPr>
          </w:p>
        </w:tc>
        <w:tc>
          <w:tcPr>
            <w:tcW w:w="7745" w:type="dxa"/>
            <w:gridSpan w:val="6"/>
            <w:vAlign w:val="center"/>
            <w:hideMark/>
          </w:tcPr>
          <w:p w14:paraId="07CCADDC" w14:textId="77777777" w:rsidR="000706E9" w:rsidRPr="001428E9" w:rsidRDefault="000706E9">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A15419">
              <w:rPr>
                <w:rFonts w:ascii="Arial Narrow" w:hAnsi="Arial Narrow"/>
                <w:sz w:val="20"/>
                <w:szCs w:val="20"/>
              </w:rPr>
              <w:t>Severe Crohn disease</w:t>
            </w:r>
          </w:p>
        </w:tc>
      </w:tr>
      <w:tr w:rsidR="000706E9" w:rsidRPr="001428E9" w14:paraId="5B89F7E5" w14:textId="77777777" w:rsidTr="00365FCC">
        <w:tblPrEx>
          <w:tblCellMar>
            <w:top w:w="15" w:type="dxa"/>
            <w:bottom w:w="15" w:type="dxa"/>
          </w:tblCellMar>
        </w:tblPrEx>
        <w:trPr>
          <w:cantSplit/>
          <w:trHeight w:val="20"/>
        </w:trPr>
        <w:tc>
          <w:tcPr>
            <w:tcW w:w="1271" w:type="dxa"/>
            <w:vAlign w:val="center"/>
          </w:tcPr>
          <w:p w14:paraId="11BE4081" w14:textId="77777777" w:rsidR="000706E9" w:rsidRPr="00432EBF" w:rsidRDefault="000706E9">
            <w:pPr>
              <w:jc w:val="center"/>
              <w:rPr>
                <w:rFonts w:ascii="Arial Narrow" w:hAnsi="Arial Narrow"/>
                <w:sz w:val="20"/>
                <w:szCs w:val="20"/>
              </w:rPr>
            </w:pPr>
          </w:p>
        </w:tc>
        <w:tc>
          <w:tcPr>
            <w:tcW w:w="7745" w:type="dxa"/>
            <w:gridSpan w:val="6"/>
            <w:vAlign w:val="center"/>
            <w:hideMark/>
          </w:tcPr>
          <w:p w14:paraId="4ABD4EEF" w14:textId="77777777" w:rsidR="000706E9" w:rsidRPr="001428E9" w:rsidRDefault="000706E9">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D03C2F">
              <w:rPr>
                <w:rFonts w:ascii="Arial Narrow" w:hAnsi="Arial Narrow"/>
                <w:sz w:val="20"/>
                <w:szCs w:val="20"/>
              </w:rPr>
              <w:t>Continuing treatment with subcutaneous form or switching from intravenous form to subcutaneous form</w:t>
            </w:r>
          </w:p>
        </w:tc>
      </w:tr>
      <w:tr w:rsidR="000706E9" w:rsidRPr="00FC2186" w14:paraId="2E56AF60"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2A16732" w14:textId="2A436E30" w:rsidR="000706E9" w:rsidRPr="00FC2186"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500D151" w14:textId="77777777" w:rsidR="000706E9" w:rsidRPr="00FC2186" w:rsidRDefault="000706E9">
            <w:pPr>
              <w:rPr>
                <w:rFonts w:ascii="Arial Narrow" w:hAnsi="Arial Narrow"/>
                <w:b/>
                <w:bCs/>
                <w:strike/>
                <w:sz w:val="20"/>
                <w:szCs w:val="20"/>
              </w:rPr>
            </w:pPr>
            <w:r w:rsidRPr="00FC2186">
              <w:rPr>
                <w:rFonts w:ascii="Arial Narrow" w:hAnsi="Arial Narrow"/>
                <w:b/>
                <w:bCs/>
                <w:strike/>
                <w:sz w:val="20"/>
                <w:szCs w:val="20"/>
              </w:rPr>
              <w:t>Prescribing Instructions:</w:t>
            </w:r>
          </w:p>
          <w:p w14:paraId="7B6AED69" w14:textId="77777777" w:rsidR="000706E9" w:rsidRPr="00FC2186" w:rsidRDefault="000706E9">
            <w:pPr>
              <w:rPr>
                <w:rFonts w:ascii="Arial Narrow" w:hAnsi="Arial Narrow"/>
                <w:strike/>
                <w:sz w:val="20"/>
                <w:szCs w:val="20"/>
              </w:rPr>
            </w:pPr>
            <w:r w:rsidRPr="00FC2186">
              <w:rPr>
                <w:rFonts w:ascii="Arial Narrow" w:hAnsi="Arial Narrow"/>
                <w:strike/>
                <w:sz w:val="20"/>
                <w:szCs w:val="20"/>
              </w:rPr>
              <w:t>Applications for authorisation must be made in writing and must include:</w:t>
            </w:r>
          </w:p>
          <w:p w14:paraId="5022BEF1" w14:textId="77777777" w:rsidR="000706E9" w:rsidRPr="00FC2186" w:rsidRDefault="000706E9">
            <w:pPr>
              <w:rPr>
                <w:rFonts w:ascii="Arial Narrow" w:hAnsi="Arial Narrow"/>
                <w:strike/>
                <w:sz w:val="20"/>
                <w:szCs w:val="20"/>
              </w:rPr>
            </w:pPr>
            <w:r w:rsidRPr="00FC2186">
              <w:rPr>
                <w:rFonts w:ascii="Arial Narrow" w:hAnsi="Arial Narrow"/>
                <w:strike/>
                <w:sz w:val="20"/>
                <w:szCs w:val="20"/>
              </w:rPr>
              <w:t>(a) a completed authority prescription form; and</w:t>
            </w:r>
          </w:p>
          <w:p w14:paraId="60040FAC" w14:textId="77777777" w:rsidR="000706E9" w:rsidRPr="00FC2186" w:rsidRDefault="000706E9">
            <w:pPr>
              <w:rPr>
                <w:rFonts w:ascii="Arial Narrow" w:hAnsi="Arial Narrow"/>
                <w:strike/>
                <w:sz w:val="20"/>
                <w:szCs w:val="20"/>
              </w:rPr>
            </w:pPr>
            <w:r w:rsidRPr="00FC2186">
              <w:rPr>
                <w:rFonts w:ascii="Arial Narrow" w:hAnsi="Arial Narrow"/>
                <w:strike/>
                <w:sz w:val="20"/>
                <w:szCs w:val="20"/>
              </w:rPr>
              <w:t>(b) a completed Crohn Disease PBS Authority Application - Supporting Information Form which includes the following:</w:t>
            </w:r>
          </w:p>
          <w:p w14:paraId="16DA1773" w14:textId="77777777" w:rsidR="000706E9" w:rsidRPr="00FC2186" w:rsidRDefault="000706E9">
            <w:pPr>
              <w:rPr>
                <w:rFonts w:ascii="Arial Narrow" w:hAnsi="Arial Narrow"/>
                <w:strike/>
                <w:sz w:val="20"/>
                <w:szCs w:val="20"/>
              </w:rPr>
            </w:pPr>
            <w:r w:rsidRPr="0CEE6DE9">
              <w:rPr>
                <w:rFonts w:ascii="Arial Narrow" w:hAnsi="Arial Narrow"/>
                <w:strike/>
                <w:sz w:val="20"/>
                <w:szCs w:val="20"/>
              </w:rPr>
              <w:t>(i) the completed Crohn Disease Activity Index (CDAI) Score calculation sheet including the date of the assessment of the patient's condition, if relevant; or</w:t>
            </w:r>
          </w:p>
          <w:p w14:paraId="47C241B6" w14:textId="77777777" w:rsidR="000706E9" w:rsidRPr="00FC2186" w:rsidRDefault="000706E9">
            <w:pPr>
              <w:rPr>
                <w:rFonts w:ascii="Arial Narrow" w:hAnsi="Arial Narrow"/>
                <w:strike/>
                <w:sz w:val="20"/>
                <w:szCs w:val="20"/>
              </w:rPr>
            </w:pPr>
            <w:r w:rsidRPr="0CEE6DE9">
              <w:rPr>
                <w:rFonts w:ascii="Arial Narrow" w:hAnsi="Arial Narrow"/>
                <w:strike/>
                <w:sz w:val="20"/>
                <w:szCs w:val="20"/>
              </w:rPr>
              <w:t>(ii) the reports and dates of the pathology test or diagnostic imaging test(s) used to assess response to therapy for patients with short gut syndrome, extensive small intestine disease or an ostomy, if relevant; and</w:t>
            </w:r>
          </w:p>
          <w:p w14:paraId="025FC008" w14:textId="77777777" w:rsidR="000706E9" w:rsidRPr="00FC2186" w:rsidRDefault="000706E9">
            <w:pPr>
              <w:rPr>
                <w:rFonts w:ascii="Arial Narrow" w:hAnsi="Arial Narrow"/>
                <w:b/>
                <w:bCs/>
                <w:strike/>
                <w:sz w:val="20"/>
                <w:szCs w:val="20"/>
              </w:rPr>
            </w:pPr>
            <w:r w:rsidRPr="00FC2186">
              <w:rPr>
                <w:rFonts w:ascii="Arial Narrow" w:hAnsi="Arial Narrow"/>
                <w:strike/>
                <w:sz w:val="20"/>
                <w:szCs w:val="20"/>
              </w:rPr>
              <w:t>(iii) the date of clinical assessment.</w:t>
            </w:r>
          </w:p>
        </w:tc>
      </w:tr>
      <w:tr w:rsidR="000706E9" w:rsidRPr="00FC2186" w14:paraId="5919837E"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E92BFC2" w14:textId="0716C0F1" w:rsidR="000706E9" w:rsidRPr="00FC2186"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ED343B3" w14:textId="77777777" w:rsidR="000706E9" w:rsidRPr="00FC2186" w:rsidRDefault="000706E9">
            <w:pPr>
              <w:rPr>
                <w:rFonts w:ascii="Arial Narrow" w:hAnsi="Arial Narrow"/>
                <w:b/>
                <w:bCs/>
                <w:strike/>
                <w:sz w:val="20"/>
                <w:szCs w:val="20"/>
              </w:rPr>
            </w:pPr>
            <w:r w:rsidRPr="00FC2186">
              <w:rPr>
                <w:rFonts w:ascii="Arial Narrow" w:hAnsi="Arial Narrow"/>
                <w:b/>
                <w:bCs/>
                <w:strike/>
                <w:sz w:val="20"/>
                <w:szCs w:val="20"/>
              </w:rPr>
              <w:t>Prescribing Instructions:</w:t>
            </w:r>
          </w:p>
          <w:p w14:paraId="39D91C25" w14:textId="77777777" w:rsidR="000706E9" w:rsidRPr="00FC2186" w:rsidRDefault="000706E9">
            <w:pPr>
              <w:rPr>
                <w:rFonts w:ascii="Arial Narrow" w:hAnsi="Arial Narrow"/>
                <w:strike/>
                <w:sz w:val="20"/>
                <w:szCs w:val="20"/>
              </w:rPr>
            </w:pPr>
            <w:r w:rsidRPr="00FC2186">
              <w:rPr>
                <w:rFonts w:ascii="Arial Narrow" w:hAnsi="Arial Narrow"/>
                <w:strike/>
                <w:sz w:val="20"/>
                <w:szCs w:val="20"/>
              </w:rPr>
              <w:t>An application for the continuing treatment must be accompanied with the assessment of response conducted up to 12 weeks of therapy and no later than 4 weeks from the date of completion of treatment. This will enable ongoing treatment for those who meet the continuing restriction for PBS-subsidised treatment.</w:t>
            </w:r>
          </w:p>
        </w:tc>
      </w:tr>
      <w:tr w:rsidR="000706E9" w:rsidRPr="00FC2186" w14:paraId="710D1695"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D660A0" w14:textId="0EF49FDE" w:rsidR="000706E9" w:rsidRPr="00FC2186"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545AA86" w14:textId="77777777" w:rsidR="000706E9" w:rsidRPr="00FC2186" w:rsidRDefault="000706E9">
            <w:pPr>
              <w:rPr>
                <w:rFonts w:ascii="Arial Narrow" w:hAnsi="Arial Narrow"/>
                <w:b/>
                <w:bCs/>
                <w:sz w:val="20"/>
                <w:szCs w:val="20"/>
              </w:rPr>
            </w:pPr>
            <w:r w:rsidRPr="00FC2186">
              <w:rPr>
                <w:rFonts w:ascii="Arial Narrow" w:hAnsi="Arial Narrow"/>
                <w:b/>
                <w:bCs/>
                <w:sz w:val="20"/>
                <w:szCs w:val="20"/>
              </w:rPr>
              <w:t>Prescribing Instructions:</w:t>
            </w:r>
          </w:p>
          <w:p w14:paraId="4CABACB2" w14:textId="77777777" w:rsidR="000706E9" w:rsidRPr="00FC2186" w:rsidRDefault="000706E9">
            <w:pPr>
              <w:rPr>
                <w:rFonts w:ascii="Arial Narrow" w:hAnsi="Arial Narrow"/>
                <w:sz w:val="20"/>
                <w:szCs w:val="20"/>
              </w:rPr>
            </w:pPr>
            <w:r w:rsidRPr="0CEE6DE9">
              <w:rPr>
                <w:rFonts w:ascii="Arial Narrow" w:hAnsi="Arial Narrow"/>
                <w:sz w:val="20"/>
                <w:szCs w:val="20"/>
              </w:rPr>
              <w:t>The patient remains eligible to receive continuing treatment with the same biological medicine in courses of up to 24 weeks providing they continue to sustain an adequate response. It is recommended that a patient be reviewed within 4 weeks prior to completing their current course of treatment.</w:t>
            </w:r>
          </w:p>
        </w:tc>
      </w:tr>
      <w:tr w:rsidR="000706E9" w:rsidRPr="00FC2186" w14:paraId="1D838BB0"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E283DE1" w14:textId="59A5B19B" w:rsidR="000706E9" w:rsidRPr="00216EC0"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8DA9C03" w14:textId="77777777" w:rsidR="000706E9" w:rsidRPr="00216EC0" w:rsidRDefault="000706E9">
            <w:pPr>
              <w:rPr>
                <w:rFonts w:ascii="Arial Narrow" w:hAnsi="Arial Narrow"/>
                <w:b/>
                <w:bCs/>
                <w:strike/>
                <w:sz w:val="20"/>
                <w:szCs w:val="20"/>
              </w:rPr>
            </w:pPr>
            <w:r w:rsidRPr="00216EC0">
              <w:rPr>
                <w:rFonts w:ascii="Arial Narrow" w:hAnsi="Arial Narrow"/>
                <w:b/>
                <w:bCs/>
                <w:strike/>
                <w:sz w:val="20"/>
                <w:szCs w:val="20"/>
              </w:rPr>
              <w:t>Prescribing Instructions:</w:t>
            </w:r>
          </w:p>
          <w:p w14:paraId="459FC634" w14:textId="77777777" w:rsidR="000706E9" w:rsidRPr="00216EC0" w:rsidRDefault="000706E9">
            <w:pPr>
              <w:rPr>
                <w:rFonts w:ascii="Arial Narrow" w:hAnsi="Arial Narrow"/>
                <w:strike/>
                <w:sz w:val="20"/>
                <w:szCs w:val="20"/>
              </w:rPr>
            </w:pPr>
            <w:r w:rsidRPr="0CEE6DE9">
              <w:rPr>
                <w:rFonts w:ascii="Arial Narrow" w:hAnsi="Arial Narrow"/>
                <w:strike/>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0706E9" w:rsidRPr="00FC2186" w14:paraId="769941AD"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A92ADC3" w14:textId="449B7CB9" w:rsidR="000706E9" w:rsidRPr="00FC2186"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820EEFA" w14:textId="77777777" w:rsidR="000706E9" w:rsidRPr="00FC2186" w:rsidRDefault="000706E9">
            <w:pPr>
              <w:rPr>
                <w:rFonts w:ascii="Arial Narrow" w:hAnsi="Arial Narrow"/>
                <w:b/>
                <w:bCs/>
                <w:sz w:val="20"/>
                <w:szCs w:val="20"/>
              </w:rPr>
            </w:pPr>
            <w:r w:rsidRPr="00FC2186">
              <w:rPr>
                <w:rFonts w:ascii="Arial Narrow" w:hAnsi="Arial Narrow"/>
                <w:b/>
                <w:bCs/>
                <w:sz w:val="20"/>
                <w:szCs w:val="20"/>
              </w:rPr>
              <w:t>Prescribing Instructions:</w:t>
            </w:r>
          </w:p>
          <w:p w14:paraId="327CBE32" w14:textId="77777777" w:rsidR="000706E9" w:rsidRPr="00FC2186" w:rsidRDefault="000706E9">
            <w:pPr>
              <w:rPr>
                <w:rFonts w:ascii="Arial Narrow" w:hAnsi="Arial Narrow"/>
                <w:sz w:val="20"/>
                <w:szCs w:val="20"/>
              </w:rPr>
            </w:pPr>
            <w:r w:rsidRPr="0CEE6DE9">
              <w:rPr>
                <w:rFonts w:ascii="Arial Narrow" w:hAnsi="Arial Narrow"/>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0706E9" w:rsidRPr="00FC2186" w14:paraId="378152E8"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0798EEB" w14:textId="1C0C90E3" w:rsidR="000706E9" w:rsidRPr="00FC2186"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26CBDFE" w14:textId="77777777" w:rsidR="000706E9" w:rsidRPr="00FC2186" w:rsidRDefault="000706E9">
            <w:pPr>
              <w:rPr>
                <w:rFonts w:ascii="Arial Narrow" w:hAnsi="Arial Narrow"/>
                <w:b/>
                <w:bCs/>
                <w:sz w:val="20"/>
                <w:szCs w:val="20"/>
              </w:rPr>
            </w:pPr>
            <w:r w:rsidRPr="00FC2186">
              <w:rPr>
                <w:rFonts w:ascii="Arial Narrow" w:hAnsi="Arial Narrow"/>
                <w:b/>
                <w:bCs/>
                <w:sz w:val="20"/>
                <w:szCs w:val="20"/>
              </w:rPr>
              <w:t>Prescribing Instructions:</w:t>
            </w:r>
          </w:p>
          <w:p w14:paraId="20C16D0D" w14:textId="77777777" w:rsidR="000706E9" w:rsidRPr="00FC2186" w:rsidRDefault="000706E9">
            <w:pPr>
              <w:rPr>
                <w:rFonts w:ascii="Arial Narrow" w:hAnsi="Arial Narrow"/>
                <w:sz w:val="20"/>
                <w:szCs w:val="20"/>
              </w:rPr>
            </w:pPr>
            <w:r w:rsidRPr="00FC2186">
              <w:rPr>
                <w:rFonts w:ascii="Arial Narrow" w:hAnsi="Arial Narrow"/>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0706E9" w:rsidRPr="00FC2186" w14:paraId="7CEABC7F"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7566E30" w14:textId="291F197A" w:rsidR="000706E9" w:rsidRPr="00E96661"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9CE1475" w14:textId="77777777" w:rsidR="000706E9" w:rsidRPr="00E96661" w:rsidRDefault="000706E9">
            <w:pPr>
              <w:rPr>
                <w:rFonts w:ascii="Arial Narrow" w:hAnsi="Arial Narrow"/>
                <w:b/>
                <w:bCs/>
                <w:strike/>
                <w:sz w:val="20"/>
                <w:szCs w:val="20"/>
              </w:rPr>
            </w:pPr>
            <w:r w:rsidRPr="00E96661">
              <w:rPr>
                <w:rFonts w:ascii="Arial Narrow" w:hAnsi="Arial Narrow"/>
                <w:b/>
                <w:bCs/>
                <w:strike/>
                <w:sz w:val="20"/>
                <w:szCs w:val="20"/>
              </w:rPr>
              <w:t>Prescribing Instructions:</w:t>
            </w:r>
          </w:p>
          <w:p w14:paraId="01F3B170" w14:textId="77777777" w:rsidR="000706E9" w:rsidRPr="00E96661" w:rsidRDefault="000706E9">
            <w:pPr>
              <w:rPr>
                <w:rFonts w:ascii="Arial Narrow" w:hAnsi="Arial Narrow"/>
                <w:strike/>
                <w:sz w:val="20"/>
                <w:szCs w:val="20"/>
              </w:rPr>
            </w:pPr>
            <w:r w:rsidRPr="0CEE6DE9">
              <w:rPr>
                <w:rFonts w:ascii="Arial Narrow" w:hAnsi="Arial Narrow"/>
                <w:strike/>
                <w:sz w:val="20"/>
                <w:szCs w:val="20"/>
              </w:rPr>
              <w:t>At the time of the authority application, medical practitioners should request sufficient quantity for up to 24 weeks of treatment under this restriction.</w:t>
            </w:r>
          </w:p>
        </w:tc>
      </w:tr>
      <w:tr w:rsidR="000706E9" w:rsidRPr="00FC2186" w14:paraId="1B753F10"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44E57CA" w14:textId="29211BF6" w:rsidR="000706E9" w:rsidRPr="002552EB"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C8AB054" w14:textId="77777777" w:rsidR="000706E9" w:rsidRPr="002552EB" w:rsidRDefault="000706E9">
            <w:pPr>
              <w:rPr>
                <w:rFonts w:ascii="Arial Narrow" w:hAnsi="Arial Narrow"/>
                <w:b/>
                <w:bCs/>
                <w:strike/>
                <w:sz w:val="20"/>
                <w:szCs w:val="20"/>
              </w:rPr>
            </w:pPr>
            <w:r w:rsidRPr="002552EB">
              <w:rPr>
                <w:rFonts w:ascii="Arial Narrow" w:hAnsi="Arial Narrow"/>
                <w:b/>
                <w:bCs/>
                <w:strike/>
                <w:sz w:val="20"/>
                <w:szCs w:val="20"/>
              </w:rPr>
              <w:t>Prescribing Instructions:</w:t>
            </w:r>
          </w:p>
          <w:p w14:paraId="4F9B7F73" w14:textId="77777777" w:rsidR="000706E9" w:rsidRPr="002552EB" w:rsidRDefault="000706E9">
            <w:pPr>
              <w:rPr>
                <w:rFonts w:ascii="Arial Narrow" w:hAnsi="Arial Narrow"/>
                <w:strike/>
                <w:sz w:val="20"/>
                <w:szCs w:val="20"/>
              </w:rPr>
            </w:pPr>
            <w:r w:rsidRPr="002552EB">
              <w:rPr>
                <w:rFonts w:ascii="Arial Narrow" w:hAnsi="Arial Narrow"/>
                <w:strike/>
                <w:sz w:val="20"/>
                <w:szCs w:val="20"/>
              </w:rPr>
              <w:t xml:space="preserve">If fewer than 5 repeats are requested at the time of the application, authority approvals for sufficient repeats to complete 24 weeks treatment may be requested by telephone or electronically via the Online PBS Authorities system and authorised through the </w:t>
            </w:r>
            <w:r>
              <w:rPr>
                <w:rFonts w:ascii="Arial Narrow" w:hAnsi="Arial Narrow"/>
                <w:strike/>
                <w:sz w:val="20"/>
                <w:szCs w:val="20"/>
              </w:rPr>
              <w:t>Balance of supply</w:t>
            </w:r>
            <w:r w:rsidRPr="002552EB">
              <w:rPr>
                <w:rFonts w:ascii="Arial Narrow" w:hAnsi="Arial Narrow"/>
                <w:strike/>
                <w:sz w:val="20"/>
                <w:szCs w:val="20"/>
              </w:rPr>
              <w:t xml:space="preserve"> treatment phase PBS restriction. Under no circumstances will immediate assessment approvals be granted for continuing authority applications, or for treatment that would otherwise extend the continuing treatment period.</w:t>
            </w:r>
          </w:p>
        </w:tc>
      </w:tr>
      <w:tr w:rsidR="000706E9" w:rsidRPr="00FC2186" w14:paraId="6618913B" w14:textId="77777777" w:rsidTr="00365FCC">
        <w:tblPrEx>
          <w:tblCellMar>
            <w:top w:w="15" w:type="dxa"/>
            <w:bottom w:w="15" w:type="dxa"/>
          </w:tblCellMar>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18FB833" w14:textId="1809F8AF" w:rsidR="000706E9" w:rsidRPr="00FC2186"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19A534C" w14:textId="77777777" w:rsidR="000706E9" w:rsidRPr="00FC2186" w:rsidRDefault="000706E9">
            <w:pPr>
              <w:rPr>
                <w:rFonts w:ascii="Arial Narrow" w:hAnsi="Arial Narrow"/>
                <w:b/>
                <w:bCs/>
                <w:strike/>
                <w:sz w:val="20"/>
                <w:szCs w:val="20"/>
              </w:rPr>
            </w:pPr>
            <w:r w:rsidRPr="00FC2186">
              <w:rPr>
                <w:rFonts w:ascii="Arial Narrow" w:hAnsi="Arial Narrow"/>
                <w:b/>
                <w:bCs/>
                <w:strike/>
                <w:sz w:val="20"/>
                <w:szCs w:val="20"/>
              </w:rPr>
              <w:t>Administrative Advice:</w:t>
            </w:r>
          </w:p>
          <w:p w14:paraId="387A4B20" w14:textId="77777777" w:rsidR="000706E9" w:rsidRPr="00FC2186" w:rsidRDefault="000706E9">
            <w:pPr>
              <w:rPr>
                <w:rFonts w:ascii="Arial Narrow" w:hAnsi="Arial Narrow"/>
                <w:strike/>
                <w:sz w:val="20"/>
                <w:szCs w:val="20"/>
              </w:rPr>
            </w:pPr>
            <w:r w:rsidRPr="00FC2186">
              <w:rPr>
                <w:rFonts w:ascii="Arial Narrow" w:hAnsi="Arial Narrow"/>
                <w:strike/>
                <w:sz w:val="20"/>
                <w:szCs w:val="20"/>
              </w:rPr>
              <w:t>Any queries concerning the arrangements to prescribe may be directed to Services Australia on 1800 700 270 (hours of operation 8 a.m. to 5 p.m. EST Monday to Friday).</w:t>
            </w:r>
          </w:p>
          <w:p w14:paraId="46A0CD29" w14:textId="77777777" w:rsidR="000706E9" w:rsidRPr="00FC2186" w:rsidRDefault="000706E9">
            <w:pPr>
              <w:rPr>
                <w:rFonts w:ascii="Arial Narrow" w:hAnsi="Arial Narrow"/>
                <w:strike/>
                <w:sz w:val="20"/>
                <w:szCs w:val="20"/>
              </w:rPr>
            </w:pPr>
            <w:r w:rsidRPr="00FC2186">
              <w:rPr>
                <w:rFonts w:ascii="Arial Narrow" w:hAnsi="Arial Narrow"/>
                <w:strike/>
                <w:sz w:val="20"/>
                <w:szCs w:val="20"/>
              </w:rPr>
              <w:t>Prescribing information (including Authority Application forms and other relevant documentation as applicable) is available on the Services Australia website at www.servicesaustralia.gov.au</w:t>
            </w:r>
          </w:p>
          <w:p w14:paraId="21EB8320" w14:textId="77777777" w:rsidR="000706E9" w:rsidRPr="00FC2186" w:rsidRDefault="000706E9">
            <w:pPr>
              <w:rPr>
                <w:rFonts w:ascii="Arial Narrow" w:hAnsi="Arial Narrow"/>
                <w:strike/>
                <w:sz w:val="20"/>
                <w:szCs w:val="20"/>
              </w:rPr>
            </w:pPr>
            <w:r w:rsidRPr="0CEE6DE9">
              <w:rPr>
                <w:rFonts w:ascii="Arial Narrow" w:hAnsi="Arial Narrow"/>
                <w:strike/>
                <w:sz w:val="20"/>
                <w:szCs w:val="20"/>
              </w:rPr>
              <w:t>Applications for authority to prescribe should be submitted online using the form upload facility in Health Professional Online Services (HPOS) at www.servicesaustralia.gov.au/hpos</w:t>
            </w:r>
          </w:p>
          <w:p w14:paraId="6312254F" w14:textId="77777777" w:rsidR="000706E9" w:rsidRPr="00FC2186" w:rsidRDefault="000706E9">
            <w:pPr>
              <w:rPr>
                <w:rFonts w:ascii="Arial Narrow" w:hAnsi="Arial Narrow"/>
                <w:strike/>
                <w:sz w:val="20"/>
                <w:szCs w:val="20"/>
              </w:rPr>
            </w:pPr>
            <w:r w:rsidRPr="00FC2186">
              <w:rPr>
                <w:rFonts w:ascii="Arial Narrow" w:hAnsi="Arial Narrow"/>
                <w:strike/>
                <w:sz w:val="20"/>
                <w:szCs w:val="20"/>
              </w:rPr>
              <w:t>Or mailed to:</w:t>
            </w:r>
          </w:p>
          <w:p w14:paraId="4A2E3ADD" w14:textId="77777777" w:rsidR="000706E9" w:rsidRPr="00FC2186" w:rsidRDefault="000706E9">
            <w:pPr>
              <w:rPr>
                <w:rFonts w:ascii="Arial Narrow" w:hAnsi="Arial Narrow"/>
                <w:strike/>
                <w:sz w:val="20"/>
                <w:szCs w:val="20"/>
              </w:rPr>
            </w:pPr>
            <w:r w:rsidRPr="00FC2186">
              <w:rPr>
                <w:rFonts w:ascii="Arial Narrow" w:hAnsi="Arial Narrow"/>
                <w:strike/>
                <w:sz w:val="20"/>
                <w:szCs w:val="20"/>
              </w:rPr>
              <w:t>Services Australia</w:t>
            </w:r>
          </w:p>
          <w:p w14:paraId="6A951117" w14:textId="77777777" w:rsidR="000706E9" w:rsidRPr="00FC2186" w:rsidRDefault="000706E9">
            <w:pPr>
              <w:rPr>
                <w:rFonts w:ascii="Arial Narrow" w:hAnsi="Arial Narrow"/>
                <w:strike/>
                <w:sz w:val="20"/>
                <w:szCs w:val="20"/>
              </w:rPr>
            </w:pPr>
            <w:r w:rsidRPr="00FC2186">
              <w:rPr>
                <w:rFonts w:ascii="Arial Narrow" w:hAnsi="Arial Narrow"/>
                <w:strike/>
                <w:sz w:val="20"/>
                <w:szCs w:val="20"/>
              </w:rPr>
              <w:t>Complex Drugs</w:t>
            </w:r>
          </w:p>
          <w:p w14:paraId="73BD9344" w14:textId="77777777" w:rsidR="000706E9" w:rsidRPr="00FC2186" w:rsidRDefault="000706E9">
            <w:pPr>
              <w:rPr>
                <w:rFonts w:ascii="Arial Narrow" w:hAnsi="Arial Narrow"/>
                <w:strike/>
                <w:sz w:val="20"/>
                <w:szCs w:val="20"/>
              </w:rPr>
            </w:pPr>
            <w:r w:rsidRPr="00FC2186">
              <w:rPr>
                <w:rFonts w:ascii="Arial Narrow" w:hAnsi="Arial Narrow"/>
                <w:strike/>
                <w:sz w:val="20"/>
                <w:szCs w:val="20"/>
              </w:rPr>
              <w:t>Reply Paid 9826</w:t>
            </w:r>
          </w:p>
          <w:p w14:paraId="4AC797D5" w14:textId="77777777" w:rsidR="000706E9" w:rsidRPr="00FC2186" w:rsidRDefault="000706E9">
            <w:pPr>
              <w:rPr>
                <w:rFonts w:ascii="Arial Narrow" w:hAnsi="Arial Narrow"/>
                <w:b/>
                <w:bCs/>
                <w:strike/>
                <w:sz w:val="20"/>
                <w:szCs w:val="20"/>
              </w:rPr>
            </w:pPr>
            <w:r w:rsidRPr="00FC2186">
              <w:rPr>
                <w:rFonts w:ascii="Arial Narrow" w:hAnsi="Arial Narrow"/>
                <w:strike/>
                <w:sz w:val="20"/>
                <w:szCs w:val="20"/>
              </w:rPr>
              <w:t>HOBART TAS 7001</w:t>
            </w:r>
          </w:p>
        </w:tc>
      </w:tr>
    </w:tbl>
    <w:p w14:paraId="22A644A5" w14:textId="77777777" w:rsidR="00EF62EB" w:rsidRDefault="00EF62EB" w:rsidP="00365FCC">
      <w:pPr>
        <w:pStyle w:val="TableFigureFooter"/>
        <w:spacing w:after="0"/>
      </w:pPr>
    </w:p>
    <w:p w14:paraId="57886FE1" w14:textId="61CD78F5" w:rsidR="000706E9" w:rsidRPr="00B37E6C" w:rsidRDefault="000706E9" w:rsidP="005C6A66">
      <w:pPr>
        <w:pStyle w:val="5-SubsectionSubheading"/>
      </w:pPr>
      <w:r w:rsidRPr="00B37E6C">
        <w:t xml:space="preserve">Severe Crohn disease – </w:t>
      </w:r>
      <w:r>
        <w: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Chron disease"/>
        <w:tblDescription w:val="Treatment phase: balance of supply for initial treatment - subcutaneous form&#10;Changes to clinical criteria, treatment phase"/>
      </w:tblPr>
      <w:tblGrid>
        <w:gridCol w:w="1271"/>
        <w:gridCol w:w="2668"/>
        <w:gridCol w:w="811"/>
        <w:gridCol w:w="812"/>
        <w:gridCol w:w="811"/>
        <w:gridCol w:w="812"/>
        <w:gridCol w:w="1831"/>
      </w:tblGrid>
      <w:tr w:rsidR="000706E9" w:rsidRPr="001428E9" w14:paraId="25F4A094" w14:textId="77777777">
        <w:trPr>
          <w:cantSplit/>
          <w:trHeight w:val="20"/>
        </w:trPr>
        <w:tc>
          <w:tcPr>
            <w:tcW w:w="3939" w:type="dxa"/>
            <w:gridSpan w:val="2"/>
            <w:vAlign w:val="center"/>
          </w:tcPr>
          <w:p w14:paraId="2838F6B6" w14:textId="77777777" w:rsidR="000706E9" w:rsidRPr="001428E9" w:rsidRDefault="000706E9">
            <w:pPr>
              <w:keepLines/>
              <w:rPr>
                <w:rFonts w:ascii="Arial Narrow" w:hAnsi="Arial Narrow" w:cs="Arial"/>
                <w:b/>
                <w:bCs/>
                <w:sz w:val="20"/>
                <w:szCs w:val="20"/>
              </w:rPr>
            </w:pPr>
            <w:r w:rsidRPr="001428E9">
              <w:rPr>
                <w:rFonts w:ascii="Arial Narrow" w:hAnsi="Arial Narrow" w:cs="Arial"/>
                <w:b/>
                <w:bCs/>
                <w:sz w:val="20"/>
                <w:szCs w:val="20"/>
              </w:rPr>
              <w:t>MEDICINAL PRODUCT</w:t>
            </w:r>
          </w:p>
          <w:p w14:paraId="2C5D7424" w14:textId="77777777" w:rsidR="000706E9" w:rsidRPr="001428E9" w:rsidRDefault="000706E9">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183D629F" w14:textId="77777777" w:rsidR="000706E9" w:rsidRPr="001428E9" w:rsidRDefault="000706E9">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05FD2390" w14:textId="77777777" w:rsidR="000706E9" w:rsidRPr="001428E9" w:rsidRDefault="000706E9">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5B4A0ED2" w14:textId="77777777" w:rsidR="000706E9" w:rsidRPr="001428E9" w:rsidRDefault="000706E9">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43278161" w14:textId="77777777" w:rsidR="000706E9" w:rsidRPr="001428E9" w:rsidRDefault="000706E9">
            <w:pPr>
              <w:keepLines/>
              <w:jc w:val="center"/>
              <w:rPr>
                <w:rFonts w:ascii="Arial Narrow" w:hAnsi="Arial Narrow" w:cs="Arial"/>
                <w:b/>
                <w:bCs/>
                <w:sz w:val="20"/>
                <w:szCs w:val="20"/>
              </w:rPr>
            </w:pPr>
            <w:r w:rsidRPr="0CEE6DE9">
              <w:rPr>
                <w:rFonts w:ascii="Arial Narrow" w:hAnsi="Arial Narrow" w:cs="Arial"/>
                <w:b/>
                <w:bCs/>
                <w:sz w:val="20"/>
                <w:szCs w:val="20"/>
              </w:rPr>
              <w:t>№.of</w:t>
            </w:r>
          </w:p>
          <w:p w14:paraId="5D9B4013" w14:textId="77777777" w:rsidR="000706E9" w:rsidRPr="001428E9" w:rsidRDefault="000706E9">
            <w:pPr>
              <w:keepLines/>
              <w:jc w:val="center"/>
              <w:rPr>
                <w:rFonts w:ascii="Arial Narrow" w:hAnsi="Arial Narrow" w:cs="Arial"/>
                <w:b/>
                <w:bCs/>
                <w:sz w:val="20"/>
                <w:szCs w:val="20"/>
              </w:rPr>
            </w:pPr>
            <w:r w:rsidRPr="0CEE6DE9">
              <w:rPr>
                <w:rFonts w:ascii="Arial Narrow" w:hAnsi="Arial Narrow" w:cs="Arial"/>
                <w:b/>
                <w:bCs/>
                <w:sz w:val="20"/>
                <w:szCs w:val="20"/>
              </w:rPr>
              <w:t>Rpts</w:t>
            </w:r>
          </w:p>
        </w:tc>
        <w:tc>
          <w:tcPr>
            <w:tcW w:w="1831" w:type="dxa"/>
            <w:vAlign w:val="center"/>
          </w:tcPr>
          <w:p w14:paraId="27F610F0" w14:textId="77777777" w:rsidR="000706E9" w:rsidRPr="001428E9" w:rsidRDefault="000706E9">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0706E9" w:rsidRPr="001428E9" w14:paraId="6F5BAB06" w14:textId="77777777">
        <w:trPr>
          <w:cantSplit/>
          <w:trHeight w:val="20"/>
        </w:trPr>
        <w:tc>
          <w:tcPr>
            <w:tcW w:w="9016" w:type="dxa"/>
            <w:gridSpan w:val="7"/>
            <w:vAlign w:val="center"/>
          </w:tcPr>
          <w:p w14:paraId="34C11BFE" w14:textId="77777777" w:rsidR="000706E9" w:rsidRPr="001428E9" w:rsidRDefault="000706E9">
            <w:pPr>
              <w:keepLines/>
              <w:rPr>
                <w:rFonts w:ascii="Arial Narrow" w:hAnsi="Arial Narrow" w:cs="Arial"/>
                <w:sz w:val="20"/>
                <w:szCs w:val="20"/>
              </w:rPr>
            </w:pPr>
            <w:r w:rsidRPr="00697752">
              <w:rPr>
                <w:rFonts w:ascii="Arial Narrow" w:hAnsi="Arial Narrow" w:cs="Arial"/>
                <w:sz w:val="20"/>
                <w:szCs w:val="20"/>
              </w:rPr>
              <w:t>INFLIXIMAB</w:t>
            </w:r>
          </w:p>
        </w:tc>
      </w:tr>
      <w:tr w:rsidR="000706E9" w:rsidRPr="001428E9" w14:paraId="6F5FD80D" w14:textId="77777777">
        <w:trPr>
          <w:cantSplit/>
          <w:trHeight w:val="20"/>
        </w:trPr>
        <w:tc>
          <w:tcPr>
            <w:tcW w:w="3939" w:type="dxa"/>
            <w:gridSpan w:val="2"/>
            <w:vAlign w:val="center"/>
          </w:tcPr>
          <w:p w14:paraId="2ABCF786" w14:textId="77777777" w:rsidR="000706E9" w:rsidRPr="001428E9" w:rsidRDefault="000706E9">
            <w:pPr>
              <w:keepLines/>
              <w:rPr>
                <w:rFonts w:ascii="Arial Narrow" w:hAnsi="Arial Narrow" w:cs="Arial"/>
                <w:sz w:val="20"/>
                <w:szCs w:val="20"/>
              </w:rPr>
            </w:pPr>
            <w:r w:rsidRPr="004C1889">
              <w:rPr>
                <w:rFonts w:ascii="Arial Narrow" w:hAnsi="Arial Narrow" w:cs="Arial"/>
                <w:sz w:val="20"/>
                <w:szCs w:val="20"/>
              </w:rPr>
              <w:t>infliximab 120 mg/mL injection, 1 mL pen device</w:t>
            </w:r>
          </w:p>
        </w:tc>
        <w:tc>
          <w:tcPr>
            <w:tcW w:w="811" w:type="dxa"/>
            <w:vAlign w:val="center"/>
          </w:tcPr>
          <w:p w14:paraId="2E708A5A" w14:textId="77777777" w:rsidR="000706E9" w:rsidRPr="001428E9" w:rsidRDefault="000706E9">
            <w:pPr>
              <w:keepLines/>
              <w:jc w:val="center"/>
              <w:rPr>
                <w:rFonts w:ascii="Arial Narrow" w:hAnsi="Arial Narrow" w:cs="Arial"/>
                <w:sz w:val="20"/>
                <w:szCs w:val="20"/>
              </w:rPr>
            </w:pPr>
            <w:r w:rsidRPr="00C14D1A">
              <w:rPr>
                <w:rFonts w:ascii="Arial Narrow" w:hAnsi="Arial Narrow" w:cs="Arial"/>
                <w:sz w:val="20"/>
                <w:szCs w:val="20"/>
              </w:rPr>
              <w:t>12567K</w:t>
            </w:r>
          </w:p>
        </w:tc>
        <w:tc>
          <w:tcPr>
            <w:tcW w:w="812" w:type="dxa"/>
          </w:tcPr>
          <w:p w14:paraId="2E785ACA" w14:textId="77777777" w:rsidR="000706E9" w:rsidRPr="001428E9" w:rsidRDefault="000706E9">
            <w:pPr>
              <w:keepLines/>
              <w:jc w:val="center"/>
              <w:rPr>
                <w:rFonts w:ascii="Arial Narrow" w:hAnsi="Arial Narrow" w:cs="Arial"/>
                <w:sz w:val="20"/>
                <w:szCs w:val="20"/>
              </w:rPr>
            </w:pPr>
            <w:r>
              <w:rPr>
                <w:rFonts w:ascii="Arial Narrow" w:hAnsi="Arial Narrow" w:cs="Arial"/>
                <w:sz w:val="20"/>
                <w:szCs w:val="20"/>
              </w:rPr>
              <w:t>2</w:t>
            </w:r>
          </w:p>
        </w:tc>
        <w:tc>
          <w:tcPr>
            <w:tcW w:w="811" w:type="dxa"/>
          </w:tcPr>
          <w:p w14:paraId="5A3FC4C8" w14:textId="77777777" w:rsidR="000706E9" w:rsidRPr="001428E9" w:rsidRDefault="000706E9">
            <w:pPr>
              <w:keepLines/>
              <w:jc w:val="center"/>
              <w:rPr>
                <w:rFonts w:ascii="Arial Narrow" w:hAnsi="Arial Narrow" w:cs="Arial"/>
                <w:sz w:val="20"/>
                <w:szCs w:val="20"/>
              </w:rPr>
            </w:pPr>
            <w:r>
              <w:rPr>
                <w:rFonts w:ascii="Arial Narrow" w:hAnsi="Arial Narrow" w:cs="Arial"/>
                <w:sz w:val="20"/>
                <w:szCs w:val="20"/>
              </w:rPr>
              <w:t>2</w:t>
            </w:r>
          </w:p>
        </w:tc>
        <w:tc>
          <w:tcPr>
            <w:tcW w:w="812" w:type="dxa"/>
          </w:tcPr>
          <w:p w14:paraId="5B6D1ED8" w14:textId="77777777" w:rsidR="000706E9" w:rsidRPr="001428E9" w:rsidRDefault="000706E9">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04453DC8" w14:textId="77777777" w:rsidR="000706E9" w:rsidRPr="001428E9"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1428E9" w14:paraId="4A6181D8" w14:textId="77777777">
        <w:trPr>
          <w:cantSplit/>
          <w:trHeight w:val="20"/>
        </w:trPr>
        <w:tc>
          <w:tcPr>
            <w:tcW w:w="3939" w:type="dxa"/>
            <w:gridSpan w:val="2"/>
            <w:vAlign w:val="center"/>
          </w:tcPr>
          <w:p w14:paraId="4AF065FB" w14:textId="77777777" w:rsidR="000706E9" w:rsidRPr="001428E9" w:rsidRDefault="000706E9">
            <w:pPr>
              <w:keepLines/>
              <w:rPr>
                <w:rFonts w:ascii="Arial Narrow" w:hAnsi="Arial Narrow" w:cs="Arial"/>
                <w:sz w:val="20"/>
                <w:szCs w:val="20"/>
              </w:rPr>
            </w:pPr>
            <w:r w:rsidRPr="00442909">
              <w:rPr>
                <w:rFonts w:ascii="Arial Narrow" w:hAnsi="Arial Narrow" w:cs="Arial"/>
                <w:sz w:val="20"/>
                <w:szCs w:val="20"/>
              </w:rPr>
              <w:t>infliximab 120 mg/mL injection, 1 mL syringe</w:t>
            </w:r>
          </w:p>
        </w:tc>
        <w:tc>
          <w:tcPr>
            <w:tcW w:w="811" w:type="dxa"/>
            <w:vAlign w:val="center"/>
          </w:tcPr>
          <w:p w14:paraId="03852062" w14:textId="77777777" w:rsidR="000706E9" w:rsidRPr="001428E9" w:rsidRDefault="000706E9">
            <w:pPr>
              <w:keepLines/>
              <w:jc w:val="center"/>
              <w:rPr>
                <w:rFonts w:ascii="Arial Narrow" w:hAnsi="Arial Narrow" w:cs="Arial"/>
                <w:sz w:val="20"/>
                <w:szCs w:val="20"/>
              </w:rPr>
            </w:pPr>
            <w:r w:rsidRPr="002907D9">
              <w:rPr>
                <w:rFonts w:ascii="Arial Narrow" w:hAnsi="Arial Narrow" w:cs="Arial"/>
                <w:sz w:val="20"/>
                <w:szCs w:val="20"/>
              </w:rPr>
              <w:t>12597B</w:t>
            </w:r>
          </w:p>
        </w:tc>
        <w:tc>
          <w:tcPr>
            <w:tcW w:w="812" w:type="dxa"/>
            <w:vAlign w:val="center"/>
          </w:tcPr>
          <w:p w14:paraId="25380D0B" w14:textId="77777777" w:rsidR="000706E9" w:rsidRPr="001428E9" w:rsidRDefault="000706E9">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725936BC" w14:textId="77777777" w:rsidR="000706E9" w:rsidRPr="001428E9" w:rsidRDefault="000706E9">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6395BF09" w14:textId="77777777" w:rsidR="000706E9" w:rsidRPr="001428E9" w:rsidRDefault="000706E9">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02CE961D" w14:textId="77777777" w:rsidR="000706E9" w:rsidRPr="001428E9"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1428E9" w14:paraId="52902126"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9BF14DD" w14:textId="77777777" w:rsidR="000706E9" w:rsidRPr="001428E9" w:rsidRDefault="000706E9">
            <w:pPr>
              <w:rPr>
                <w:rFonts w:ascii="Arial Narrow" w:hAnsi="Arial Narrow" w:cs="Arial"/>
                <w:sz w:val="20"/>
                <w:szCs w:val="20"/>
              </w:rPr>
            </w:pPr>
          </w:p>
        </w:tc>
      </w:tr>
      <w:tr w:rsidR="000706E9" w:rsidRPr="001428E9" w14:paraId="0E52795D"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E5497DA" w14:textId="10AAB696" w:rsidR="000706E9" w:rsidRPr="001428E9" w:rsidRDefault="000706E9">
            <w:pPr>
              <w:keepLines/>
              <w:rPr>
                <w:rFonts w:ascii="Arial Narrow" w:hAnsi="Arial Narrow" w:cs="Arial"/>
                <w:b/>
                <w:bCs/>
                <w:sz w:val="20"/>
                <w:szCs w:val="20"/>
              </w:rPr>
            </w:pPr>
            <w:r w:rsidRPr="73796C13">
              <w:rPr>
                <w:rFonts w:ascii="Arial Narrow" w:hAnsi="Arial Narrow"/>
                <w:b/>
                <w:bCs/>
                <w:sz w:val="20"/>
                <w:szCs w:val="20"/>
              </w:rPr>
              <w:t xml:space="preserve">Restriction Summary / Treatment of Concept: </w:t>
            </w:r>
          </w:p>
        </w:tc>
      </w:tr>
      <w:tr w:rsidR="000706E9" w:rsidRPr="001428E9" w14:paraId="55437233"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D069F4F" w14:textId="515F0145" w:rsidR="000706E9" w:rsidRPr="001428E9" w:rsidRDefault="000706E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21A47DB" w14:textId="77777777" w:rsidR="000706E9" w:rsidRPr="001428E9" w:rsidRDefault="000706E9">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t xml:space="preserve">GENERAL - General Schedule (Code GE) </w:t>
            </w:r>
          </w:p>
        </w:tc>
      </w:tr>
      <w:tr w:rsidR="000706E9" w:rsidRPr="001428E9" w14:paraId="5A5EB03C" w14:textId="77777777">
        <w:tblPrEx>
          <w:tblCellMar>
            <w:top w:w="15" w:type="dxa"/>
            <w:bottom w:w="15" w:type="dxa"/>
          </w:tblCellMar>
          <w:tblLook w:val="04A0" w:firstRow="1" w:lastRow="0" w:firstColumn="1" w:lastColumn="0" w:noHBand="0" w:noVBand="1"/>
        </w:tblPrEx>
        <w:trPr>
          <w:trHeight w:val="20"/>
        </w:trPr>
        <w:tc>
          <w:tcPr>
            <w:tcW w:w="1271" w:type="dxa"/>
            <w:vMerge/>
          </w:tcPr>
          <w:p w14:paraId="1780FFF9" w14:textId="77777777" w:rsidR="000706E9" w:rsidRPr="001428E9"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E8A715" w14:textId="77777777" w:rsidR="000706E9" w:rsidRPr="001428E9" w:rsidRDefault="000706E9">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0706E9" w:rsidRPr="00D56F94" w14:paraId="479A49D2" w14:textId="77777777">
        <w:tblPrEx>
          <w:tblCellMar>
            <w:top w:w="15" w:type="dxa"/>
            <w:bottom w:w="15" w:type="dxa"/>
          </w:tblCellMar>
          <w:tblLook w:val="04A0" w:firstRow="1" w:lastRow="0" w:firstColumn="1" w:lastColumn="0" w:noHBand="0" w:noVBand="1"/>
        </w:tblPrEx>
        <w:trPr>
          <w:trHeight w:val="20"/>
        </w:trPr>
        <w:tc>
          <w:tcPr>
            <w:tcW w:w="1271" w:type="dxa"/>
            <w:vMerge/>
          </w:tcPr>
          <w:p w14:paraId="7D9BE54E" w14:textId="77777777" w:rsidR="000706E9" w:rsidRPr="001428E9"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0B8D6AC" w14:textId="77777777" w:rsidR="000706E9" w:rsidRPr="00D13770" w:rsidRDefault="000706E9">
            <w:pPr>
              <w:keepLines/>
              <w:rPr>
                <w:rFonts w:ascii="Arial Narrow" w:hAnsi="Arial Narrow" w:cs="Arial"/>
                <w:b/>
                <w:sz w:val="20"/>
                <w:szCs w:val="20"/>
              </w:rPr>
            </w:pPr>
            <w:r w:rsidRPr="73796C13">
              <w:rPr>
                <w:rFonts w:ascii="Arial Narrow" w:hAnsi="Arial Narrow" w:cs="Arial"/>
                <w:b/>
                <w:bCs/>
                <w:sz w:val="20"/>
                <w:szCs w:val="20"/>
              </w:rPr>
              <w:t xml:space="preserve">Restriction type: </w:t>
            </w:r>
          </w:p>
          <w:p w14:paraId="2E106FB5" w14:textId="77777777" w:rsidR="000706E9" w:rsidRPr="001428E9" w:rsidRDefault="000706E9">
            <w:pPr>
              <w:keepLines/>
              <w:rPr>
                <w:rFonts w:ascii="Arial Narrow" w:eastAsia="Calibri" w:hAnsi="Arial Narrow" w:cs="Arial"/>
                <w:strike/>
                <w:color w:val="FF0000"/>
                <w:sz w:val="20"/>
                <w:szCs w:val="20"/>
              </w:rPr>
            </w:pP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4F3EFA">
              <w:rPr>
                <w:rFonts w:ascii="Arial Narrow" w:eastAsia="Calibri" w:hAnsi="Arial Narrow" w:cs="Arial"/>
                <w:sz w:val="20"/>
                <w:szCs w:val="20"/>
              </w:rPr>
              <w:t xml:space="preserve"> Authority Required (telephone/online PBS Authorities system)</w:t>
            </w:r>
            <w:r w:rsidRPr="006C0F08">
              <w:rPr>
                <w:rFonts w:ascii="Arial Narrow" w:eastAsia="Calibri" w:hAnsi="Arial Narrow" w:cs="Arial"/>
                <w:strike/>
                <w:sz w:val="20"/>
                <w:szCs w:val="20"/>
              </w:rPr>
              <w:t xml:space="preserve"> </w:t>
            </w:r>
          </w:p>
        </w:tc>
      </w:tr>
      <w:tr w:rsidR="000706E9" w:rsidRPr="001428E9" w14:paraId="0F47E312" w14:textId="77777777" w:rsidTr="00365FCC">
        <w:tblPrEx>
          <w:tblCellMar>
            <w:top w:w="15" w:type="dxa"/>
            <w:bottom w:w="15" w:type="dxa"/>
          </w:tblCellMar>
        </w:tblPrEx>
        <w:trPr>
          <w:cantSplit/>
          <w:trHeight w:val="20"/>
        </w:trPr>
        <w:tc>
          <w:tcPr>
            <w:tcW w:w="1271" w:type="dxa"/>
            <w:vAlign w:val="center"/>
          </w:tcPr>
          <w:p w14:paraId="050ED9AE" w14:textId="44C08366" w:rsidR="000706E9" w:rsidRPr="000A58D5" w:rsidRDefault="000706E9">
            <w:pPr>
              <w:keepLines/>
              <w:jc w:val="center"/>
              <w:rPr>
                <w:rFonts w:ascii="Arial Narrow" w:hAnsi="Arial Narrow"/>
                <w:sz w:val="20"/>
                <w:szCs w:val="20"/>
              </w:rPr>
            </w:pPr>
          </w:p>
        </w:tc>
        <w:tc>
          <w:tcPr>
            <w:tcW w:w="7745" w:type="dxa"/>
            <w:gridSpan w:val="6"/>
            <w:vAlign w:val="center"/>
            <w:hideMark/>
          </w:tcPr>
          <w:p w14:paraId="25C19A44" w14:textId="77777777" w:rsidR="000706E9" w:rsidRPr="000A58D5" w:rsidRDefault="000706E9">
            <w:pPr>
              <w:keepLines/>
              <w:rPr>
                <w:rFonts w:ascii="Arial Narrow" w:hAnsi="Arial Narrow"/>
                <w:color w:val="333333"/>
                <w:sz w:val="20"/>
                <w:szCs w:val="20"/>
              </w:rPr>
            </w:pPr>
            <w:r w:rsidRPr="000A58D5">
              <w:rPr>
                <w:rFonts w:ascii="Arial Narrow" w:hAnsi="Arial Narrow"/>
                <w:b/>
                <w:bCs/>
                <w:sz w:val="20"/>
                <w:szCs w:val="20"/>
              </w:rPr>
              <w:t>Indication:</w:t>
            </w:r>
            <w:r w:rsidRPr="000A58D5">
              <w:rPr>
                <w:rFonts w:ascii="Arial Narrow" w:hAnsi="Arial Narrow"/>
                <w:sz w:val="20"/>
                <w:szCs w:val="20"/>
              </w:rPr>
              <w:t xml:space="preserve"> Severe Crohn disease</w:t>
            </w:r>
          </w:p>
        </w:tc>
      </w:tr>
      <w:tr w:rsidR="000706E9" w:rsidRPr="001428E9" w14:paraId="29183D60" w14:textId="77777777" w:rsidTr="00365FCC">
        <w:tblPrEx>
          <w:tblCellMar>
            <w:top w:w="15" w:type="dxa"/>
            <w:bottom w:w="15" w:type="dxa"/>
          </w:tblCellMar>
        </w:tblPrEx>
        <w:trPr>
          <w:cantSplit/>
          <w:trHeight w:val="20"/>
        </w:trPr>
        <w:tc>
          <w:tcPr>
            <w:tcW w:w="1271" w:type="dxa"/>
            <w:vAlign w:val="center"/>
          </w:tcPr>
          <w:p w14:paraId="53DEDE23" w14:textId="77777777" w:rsidR="000706E9" w:rsidRPr="000A58D5" w:rsidRDefault="000706E9">
            <w:pPr>
              <w:jc w:val="center"/>
              <w:rPr>
                <w:rFonts w:ascii="Arial Narrow" w:hAnsi="Arial Narrow"/>
                <w:sz w:val="20"/>
                <w:szCs w:val="20"/>
              </w:rPr>
            </w:pPr>
          </w:p>
        </w:tc>
        <w:tc>
          <w:tcPr>
            <w:tcW w:w="7745" w:type="dxa"/>
            <w:gridSpan w:val="6"/>
            <w:vAlign w:val="center"/>
            <w:hideMark/>
          </w:tcPr>
          <w:p w14:paraId="27FCD230" w14:textId="77777777" w:rsidR="000706E9" w:rsidRPr="000A58D5" w:rsidRDefault="000706E9">
            <w:pPr>
              <w:rPr>
                <w:rFonts w:ascii="Arial Narrow" w:hAnsi="Arial Narrow"/>
                <w:sz w:val="20"/>
                <w:szCs w:val="20"/>
              </w:rPr>
            </w:pPr>
            <w:r w:rsidRPr="73796C13">
              <w:rPr>
                <w:rFonts w:ascii="Arial Narrow" w:hAnsi="Arial Narrow"/>
                <w:b/>
                <w:bCs/>
                <w:sz w:val="20"/>
                <w:szCs w:val="20"/>
              </w:rPr>
              <w:t>Treatment Phase:</w:t>
            </w:r>
            <w:r w:rsidRPr="73796C13">
              <w:rPr>
                <w:rFonts w:ascii="Arial Narrow" w:hAnsi="Arial Narrow"/>
                <w:sz w:val="20"/>
                <w:szCs w:val="20"/>
              </w:rPr>
              <w:t xml:space="preserve"> </w:t>
            </w:r>
            <w:r>
              <w:rPr>
                <w:rFonts w:ascii="Arial Narrow" w:hAnsi="Arial Narrow"/>
                <w:sz w:val="20"/>
                <w:szCs w:val="20"/>
              </w:rPr>
              <w:t>Balance of supply</w:t>
            </w:r>
            <w:r w:rsidRPr="73796C13">
              <w:rPr>
                <w:rFonts w:ascii="Arial Narrow" w:hAnsi="Arial Narrow"/>
                <w:sz w:val="20"/>
                <w:szCs w:val="20"/>
              </w:rPr>
              <w:t xml:space="preserve"> for </w:t>
            </w:r>
            <w:r w:rsidRPr="00C3712F">
              <w:rPr>
                <w:rFonts w:ascii="Arial Narrow" w:hAnsi="Arial Narrow"/>
                <w:sz w:val="20"/>
                <w:szCs w:val="20"/>
              </w:rPr>
              <w:t>Initial treatment</w:t>
            </w:r>
            <w:r w:rsidRPr="004F3EFA">
              <w:rPr>
                <w:rFonts w:ascii="Arial Narrow" w:hAnsi="Arial Narrow"/>
                <w:strike/>
                <w:sz w:val="20"/>
                <w:szCs w:val="20"/>
              </w:rPr>
              <w:t>, Continuing treatment</w:t>
            </w:r>
            <w:r w:rsidRPr="73796C13">
              <w:rPr>
                <w:rFonts w:ascii="Arial Narrow" w:hAnsi="Arial Narrow"/>
                <w:sz w:val="20"/>
                <w:szCs w:val="20"/>
              </w:rPr>
              <w:t xml:space="preserve"> - subcutaneous form</w:t>
            </w:r>
          </w:p>
        </w:tc>
      </w:tr>
      <w:tr w:rsidR="000706E9" w:rsidRPr="006A2544" w14:paraId="27B36D4E"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1F75FB9" w14:textId="287DA91D" w:rsidR="000706E9" w:rsidRPr="000A58D5" w:rsidRDefault="000706E9">
            <w:pPr>
              <w:jc w:val="center"/>
              <w:rPr>
                <w:rFonts w:ascii="Arial Narrow" w:hAnsi="Arial Narrow"/>
                <w:sz w:val="20"/>
                <w:szCs w:val="20"/>
                <w:highlight w:val="yellow"/>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1FF980" w14:textId="77777777" w:rsidR="000706E9" w:rsidRPr="000A58D5" w:rsidRDefault="000706E9">
            <w:pPr>
              <w:rPr>
                <w:rFonts w:ascii="Arial Narrow" w:hAnsi="Arial Narrow"/>
                <w:b/>
                <w:bCs/>
                <w:sz w:val="20"/>
                <w:szCs w:val="20"/>
                <w:highlight w:val="yellow"/>
              </w:rPr>
            </w:pPr>
            <w:r w:rsidRPr="000A58D5">
              <w:rPr>
                <w:rFonts w:ascii="Arial Narrow" w:hAnsi="Arial Narrow"/>
                <w:b/>
                <w:bCs/>
                <w:sz w:val="20"/>
                <w:szCs w:val="20"/>
              </w:rPr>
              <w:t>Clinical criteria:</w:t>
            </w:r>
          </w:p>
        </w:tc>
      </w:tr>
      <w:tr w:rsidR="000706E9" w:rsidRPr="006A2544" w14:paraId="77849AE7"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9751FF4" w14:textId="77CD74D4" w:rsidR="000706E9" w:rsidRPr="000A58D5"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57AC95" w14:textId="77777777" w:rsidR="000706E9" w:rsidRPr="000A58D5" w:rsidRDefault="000706E9">
            <w:pPr>
              <w:rPr>
                <w:rFonts w:ascii="Arial Narrow" w:hAnsi="Arial Narrow"/>
                <w:sz w:val="20"/>
                <w:szCs w:val="20"/>
              </w:rPr>
            </w:pPr>
            <w:r w:rsidRPr="0CEE6DE9">
              <w:rPr>
                <w:rFonts w:ascii="Arial Narrow" w:hAnsi="Arial Narrow"/>
                <w:sz w:val="20"/>
                <w:szCs w:val="20"/>
              </w:rPr>
              <w:t>Patient must have received insufficient therapy with this drug under the Initial treatment with subcutaneous form to complete 14 to 16 weeks initial treatment (intravenous and subcutaneous inclusive)</w:t>
            </w:r>
            <w:r w:rsidRPr="0CEE6DE9">
              <w:rPr>
                <w:rFonts w:ascii="Arial Narrow" w:hAnsi="Arial Narrow"/>
                <w:strike/>
                <w:sz w:val="20"/>
                <w:szCs w:val="20"/>
              </w:rPr>
              <w:t>; or</w:t>
            </w:r>
          </w:p>
        </w:tc>
      </w:tr>
      <w:tr w:rsidR="000706E9" w:rsidRPr="006A2544" w14:paraId="710E348E"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5379AC3" w14:textId="2007EB2B" w:rsidR="000706E9" w:rsidRPr="004F3EFA"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38F4A5" w14:textId="77777777" w:rsidR="000706E9" w:rsidRPr="004F3EFA" w:rsidRDefault="000706E9">
            <w:pPr>
              <w:rPr>
                <w:rFonts w:ascii="Arial Narrow" w:hAnsi="Arial Narrow"/>
                <w:strike/>
                <w:sz w:val="20"/>
                <w:szCs w:val="20"/>
              </w:rPr>
            </w:pPr>
            <w:r w:rsidRPr="004F3EFA">
              <w:rPr>
                <w:rFonts w:ascii="Arial Narrow" w:hAnsi="Arial Narrow"/>
                <w:strike/>
                <w:sz w:val="20"/>
                <w:szCs w:val="20"/>
              </w:rPr>
              <w:t>Patient must have received insufficient therapy with this drug for this condition under the continuing treatment with subcutaneous form restriction to complete 24 weeks treatment</w:t>
            </w:r>
          </w:p>
        </w:tc>
      </w:tr>
      <w:tr w:rsidR="000706E9" w:rsidRPr="006A2544" w14:paraId="7311F9A8"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9032AE4" w14:textId="77777777" w:rsidR="000706E9" w:rsidRPr="000A58D5"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9137AF" w14:textId="77777777" w:rsidR="000706E9" w:rsidRPr="000A58D5" w:rsidRDefault="000706E9">
            <w:pPr>
              <w:rPr>
                <w:rFonts w:ascii="Arial Narrow" w:hAnsi="Arial Narrow"/>
                <w:sz w:val="20"/>
                <w:szCs w:val="20"/>
              </w:rPr>
            </w:pPr>
            <w:r w:rsidRPr="000A58D5">
              <w:rPr>
                <w:rFonts w:ascii="Arial Narrow" w:hAnsi="Arial Narrow"/>
                <w:sz w:val="20"/>
                <w:szCs w:val="20"/>
              </w:rPr>
              <w:t>AND</w:t>
            </w:r>
          </w:p>
        </w:tc>
      </w:tr>
      <w:tr w:rsidR="000706E9" w:rsidRPr="009D1C4B" w14:paraId="78986B5F"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3A38E02" w14:textId="6AD597BA" w:rsidR="000706E9" w:rsidRPr="000A58D5"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8B8C77" w14:textId="77777777" w:rsidR="000706E9" w:rsidRPr="000A58D5" w:rsidRDefault="000706E9">
            <w:pPr>
              <w:rPr>
                <w:rFonts w:ascii="Arial Narrow" w:hAnsi="Arial Narrow"/>
                <w:b/>
                <w:bCs/>
                <w:sz w:val="20"/>
                <w:szCs w:val="20"/>
              </w:rPr>
            </w:pPr>
            <w:r w:rsidRPr="000A58D5">
              <w:rPr>
                <w:rFonts w:ascii="Arial Narrow" w:hAnsi="Arial Narrow"/>
                <w:b/>
                <w:bCs/>
                <w:sz w:val="20"/>
                <w:szCs w:val="20"/>
              </w:rPr>
              <w:t>Clinical criteria:</w:t>
            </w:r>
          </w:p>
        </w:tc>
      </w:tr>
      <w:tr w:rsidR="000706E9" w:rsidRPr="009D1C4B" w14:paraId="628E5D0D"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A5C19EB" w14:textId="1F2AA2DF" w:rsidR="000706E9" w:rsidRPr="000A58D5"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5B1056" w14:textId="77777777" w:rsidR="000706E9" w:rsidRPr="000A58D5" w:rsidRDefault="000706E9">
            <w:pPr>
              <w:rPr>
                <w:rFonts w:ascii="Arial Narrow" w:hAnsi="Arial Narrow"/>
                <w:sz w:val="20"/>
                <w:szCs w:val="20"/>
              </w:rPr>
            </w:pPr>
            <w:r w:rsidRPr="000A58D5">
              <w:rPr>
                <w:rFonts w:ascii="Arial Narrow" w:hAnsi="Arial Narrow"/>
                <w:sz w:val="20"/>
                <w:szCs w:val="20"/>
              </w:rPr>
              <w:t>The treatment must provide no more than the balance of doses up to 14 to 16 weeks therapy available under Initial treatment - subcutaneous form</w:t>
            </w:r>
            <w:r w:rsidRPr="004F3EFA">
              <w:rPr>
                <w:rFonts w:ascii="Arial Narrow" w:hAnsi="Arial Narrow"/>
                <w:strike/>
                <w:sz w:val="20"/>
                <w:szCs w:val="20"/>
              </w:rPr>
              <w:t>; or</w:t>
            </w:r>
          </w:p>
        </w:tc>
      </w:tr>
      <w:tr w:rsidR="000706E9" w:rsidRPr="009D1C4B" w14:paraId="2368930A"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A94A334" w14:textId="41B718DB" w:rsidR="000706E9" w:rsidRPr="004F3EFA"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45AF73" w14:textId="77777777" w:rsidR="000706E9" w:rsidRPr="004F3EFA" w:rsidRDefault="000706E9">
            <w:pPr>
              <w:rPr>
                <w:rFonts w:ascii="Arial Narrow" w:hAnsi="Arial Narrow"/>
                <w:strike/>
                <w:sz w:val="20"/>
                <w:szCs w:val="20"/>
              </w:rPr>
            </w:pPr>
            <w:r w:rsidRPr="004F3EFA">
              <w:rPr>
                <w:rFonts w:ascii="Arial Narrow" w:hAnsi="Arial Narrow"/>
                <w:strike/>
                <w:sz w:val="20"/>
                <w:szCs w:val="20"/>
              </w:rPr>
              <w:t>The treatment must provide no more than the balance of up to 24 weeks treatment available under the Continuing treatment - subcutaneous form</w:t>
            </w:r>
          </w:p>
        </w:tc>
      </w:tr>
      <w:tr w:rsidR="000706E9" w:rsidRPr="001428E9" w14:paraId="20DC3BD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C288D6C" w14:textId="1A3AE728" w:rsidR="000706E9" w:rsidRPr="000A58D5" w:rsidRDefault="000706E9">
            <w:pPr>
              <w:jc w:val="center"/>
              <w:rPr>
                <w:rFonts w:ascii="Arial Narrow" w:hAnsi="Arial Narrow"/>
                <w:sz w:val="20"/>
                <w:szCs w:val="20"/>
              </w:rPr>
            </w:pPr>
          </w:p>
        </w:tc>
        <w:tc>
          <w:tcPr>
            <w:tcW w:w="7745" w:type="dxa"/>
            <w:gridSpan w:val="6"/>
            <w:vAlign w:val="center"/>
          </w:tcPr>
          <w:p w14:paraId="7AC63495" w14:textId="77777777" w:rsidR="000706E9" w:rsidRPr="000A58D5" w:rsidRDefault="000706E9">
            <w:pPr>
              <w:ind w:left="-57"/>
              <w:rPr>
                <w:rFonts w:ascii="Arial Narrow" w:hAnsi="Arial Narrow"/>
                <w:bCs/>
                <w:sz w:val="20"/>
                <w:szCs w:val="20"/>
              </w:rPr>
            </w:pPr>
            <w:r w:rsidRPr="000A58D5">
              <w:rPr>
                <w:rFonts w:ascii="Arial Narrow" w:hAnsi="Arial Narrow"/>
                <w:b/>
                <w:bCs/>
                <w:sz w:val="20"/>
                <w:szCs w:val="20"/>
              </w:rPr>
              <w:t xml:space="preserve">Administrative Advice: </w:t>
            </w:r>
            <w:r w:rsidRPr="000A58D5">
              <w:rPr>
                <w:rFonts w:ascii="Arial Narrow" w:hAnsi="Arial Narrow"/>
                <w:bCs/>
                <w:sz w:val="20"/>
                <w:szCs w:val="20"/>
              </w:rPr>
              <w:t xml:space="preserve">Applications for authorisation under this restriction may be made in real time using the Online PBS Authorities system (see </w:t>
            </w:r>
            <w:hyperlink r:id="rId11" w:history="1">
              <w:r w:rsidRPr="000A58D5">
                <w:rPr>
                  <w:rStyle w:val="Hyperlink"/>
                  <w:rFonts w:ascii="Arial Narrow" w:hAnsi="Arial Narrow"/>
                  <w:bCs/>
                  <w:sz w:val="20"/>
                  <w:szCs w:val="20"/>
                </w:rPr>
                <w:t>www.servicesaustralia.gov.au/HPOS</w:t>
              </w:r>
            </w:hyperlink>
            <w:r w:rsidRPr="000A58D5">
              <w:rPr>
                <w:rFonts w:ascii="Arial Narrow" w:hAnsi="Arial Narrow"/>
                <w:bCs/>
                <w:sz w:val="20"/>
                <w:szCs w:val="20"/>
              </w:rPr>
              <w:t>) or by telephone by contacting Services Australia on 1800 700 270 (hours of operation 8 a.m. to 5 p.m. Monday to Friday). </w:t>
            </w:r>
          </w:p>
        </w:tc>
      </w:tr>
    </w:tbl>
    <w:p w14:paraId="30BD3BFD" w14:textId="77777777" w:rsidR="00E03BE9" w:rsidRDefault="00E03BE9" w:rsidP="00365FCC">
      <w:pPr>
        <w:pStyle w:val="TableFigureFooter"/>
        <w:spacing w:after="0"/>
      </w:pPr>
    </w:p>
    <w:p w14:paraId="2AA11C6C" w14:textId="62715455" w:rsidR="000706E9" w:rsidRDefault="000706E9" w:rsidP="000706E9">
      <w:pPr>
        <w:pStyle w:val="4-SubsectionHeading"/>
        <w:spacing w:after="0"/>
      </w:pPr>
      <w:r w:rsidRPr="0070519A">
        <w:t>Severe chronic plaque psoriasis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hronic plaque psoriasis"/>
        <w:tblDescription w:val="Changes to restriction type, prescribing instructions&#10;Removal of administrative advice"/>
      </w:tblPr>
      <w:tblGrid>
        <w:gridCol w:w="1271"/>
        <w:gridCol w:w="2552"/>
        <w:gridCol w:w="927"/>
        <w:gridCol w:w="812"/>
        <w:gridCol w:w="811"/>
        <w:gridCol w:w="812"/>
        <w:gridCol w:w="1831"/>
      </w:tblGrid>
      <w:tr w:rsidR="000706E9" w:rsidRPr="001428E9" w14:paraId="48F4CCCA" w14:textId="77777777">
        <w:trPr>
          <w:cantSplit/>
          <w:trHeight w:val="20"/>
        </w:trPr>
        <w:tc>
          <w:tcPr>
            <w:tcW w:w="3823" w:type="dxa"/>
            <w:gridSpan w:val="2"/>
            <w:vAlign w:val="center"/>
          </w:tcPr>
          <w:p w14:paraId="01CC1A8E" w14:textId="77777777" w:rsidR="000706E9" w:rsidRPr="001428E9" w:rsidRDefault="000706E9">
            <w:pPr>
              <w:keepLines/>
              <w:rPr>
                <w:rFonts w:ascii="Arial Narrow" w:hAnsi="Arial Narrow" w:cs="Arial"/>
                <w:b/>
                <w:bCs/>
                <w:sz w:val="20"/>
                <w:szCs w:val="20"/>
              </w:rPr>
            </w:pPr>
            <w:r w:rsidRPr="001428E9">
              <w:rPr>
                <w:rFonts w:ascii="Arial Narrow" w:hAnsi="Arial Narrow" w:cs="Arial"/>
                <w:b/>
                <w:bCs/>
                <w:sz w:val="20"/>
                <w:szCs w:val="20"/>
              </w:rPr>
              <w:t>MEDICINAL PRODUCT</w:t>
            </w:r>
          </w:p>
          <w:p w14:paraId="0E23595C" w14:textId="77777777" w:rsidR="000706E9" w:rsidRPr="001428E9" w:rsidRDefault="000706E9">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927" w:type="dxa"/>
            <w:vAlign w:val="center"/>
          </w:tcPr>
          <w:p w14:paraId="7D27D27F" w14:textId="77777777" w:rsidR="000706E9" w:rsidRPr="001428E9" w:rsidRDefault="000706E9">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7BC34C31" w14:textId="77777777" w:rsidR="000706E9" w:rsidRPr="001428E9" w:rsidRDefault="000706E9">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0E4EEFF6" w14:textId="77777777" w:rsidR="000706E9" w:rsidRPr="001428E9" w:rsidRDefault="000706E9">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05586319" w14:textId="77777777" w:rsidR="000706E9" w:rsidRPr="001428E9" w:rsidRDefault="000706E9">
            <w:pPr>
              <w:keepLines/>
              <w:jc w:val="center"/>
              <w:rPr>
                <w:rFonts w:ascii="Arial Narrow" w:hAnsi="Arial Narrow" w:cs="Arial"/>
                <w:b/>
                <w:bCs/>
                <w:sz w:val="20"/>
                <w:szCs w:val="20"/>
              </w:rPr>
            </w:pPr>
            <w:r w:rsidRPr="0CEE6DE9">
              <w:rPr>
                <w:rFonts w:ascii="Arial Narrow" w:hAnsi="Arial Narrow" w:cs="Arial"/>
                <w:b/>
                <w:bCs/>
                <w:sz w:val="20"/>
                <w:szCs w:val="20"/>
              </w:rPr>
              <w:t>№.of</w:t>
            </w:r>
          </w:p>
          <w:p w14:paraId="2ADE686F" w14:textId="77777777" w:rsidR="000706E9" w:rsidRPr="001428E9" w:rsidRDefault="000706E9">
            <w:pPr>
              <w:keepLines/>
              <w:jc w:val="center"/>
              <w:rPr>
                <w:rFonts w:ascii="Arial Narrow" w:hAnsi="Arial Narrow" w:cs="Arial"/>
                <w:b/>
                <w:bCs/>
                <w:sz w:val="20"/>
                <w:szCs w:val="20"/>
              </w:rPr>
            </w:pPr>
            <w:r w:rsidRPr="0CEE6DE9">
              <w:rPr>
                <w:rFonts w:ascii="Arial Narrow" w:hAnsi="Arial Narrow" w:cs="Arial"/>
                <w:b/>
                <w:bCs/>
                <w:sz w:val="20"/>
                <w:szCs w:val="20"/>
              </w:rPr>
              <w:t>Rpts</w:t>
            </w:r>
          </w:p>
        </w:tc>
        <w:tc>
          <w:tcPr>
            <w:tcW w:w="1831" w:type="dxa"/>
            <w:vAlign w:val="center"/>
          </w:tcPr>
          <w:p w14:paraId="31594690" w14:textId="77777777" w:rsidR="000706E9" w:rsidRPr="001428E9" w:rsidRDefault="000706E9">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0706E9" w:rsidRPr="001428E9" w14:paraId="1A5466E9" w14:textId="77777777">
        <w:trPr>
          <w:cantSplit/>
          <w:trHeight w:val="20"/>
        </w:trPr>
        <w:tc>
          <w:tcPr>
            <w:tcW w:w="9016" w:type="dxa"/>
            <w:gridSpan w:val="7"/>
            <w:vAlign w:val="center"/>
          </w:tcPr>
          <w:p w14:paraId="72615059" w14:textId="77777777" w:rsidR="000706E9" w:rsidRPr="001428E9" w:rsidRDefault="000706E9">
            <w:pPr>
              <w:keepLines/>
              <w:rPr>
                <w:rFonts w:ascii="Arial Narrow" w:hAnsi="Arial Narrow" w:cs="Arial"/>
                <w:sz w:val="20"/>
                <w:szCs w:val="20"/>
              </w:rPr>
            </w:pPr>
            <w:r w:rsidRPr="00697752">
              <w:rPr>
                <w:rFonts w:ascii="Arial Narrow" w:hAnsi="Arial Narrow" w:cs="Arial"/>
                <w:sz w:val="20"/>
                <w:szCs w:val="20"/>
              </w:rPr>
              <w:t>INFLIXIMAB</w:t>
            </w:r>
          </w:p>
        </w:tc>
      </w:tr>
      <w:tr w:rsidR="000706E9" w:rsidRPr="001428E9" w14:paraId="3B4F3E43" w14:textId="77777777">
        <w:trPr>
          <w:cantSplit/>
          <w:trHeight w:val="20"/>
        </w:trPr>
        <w:tc>
          <w:tcPr>
            <w:tcW w:w="3823" w:type="dxa"/>
            <w:gridSpan w:val="2"/>
            <w:vAlign w:val="center"/>
          </w:tcPr>
          <w:p w14:paraId="32FCC6CC" w14:textId="77777777" w:rsidR="000706E9" w:rsidRPr="001428E9" w:rsidRDefault="000706E9">
            <w:pPr>
              <w:keepLines/>
              <w:rPr>
                <w:rFonts w:ascii="Arial Narrow" w:hAnsi="Arial Narrow" w:cs="Arial"/>
                <w:sz w:val="20"/>
                <w:szCs w:val="20"/>
              </w:rPr>
            </w:pPr>
            <w:r w:rsidRPr="004C1889">
              <w:rPr>
                <w:rFonts w:ascii="Arial Narrow" w:hAnsi="Arial Narrow" w:cs="Arial"/>
                <w:sz w:val="20"/>
                <w:szCs w:val="20"/>
              </w:rPr>
              <w:t>infliximab 120 mg/mL injection, 1 mL pen device</w:t>
            </w:r>
          </w:p>
        </w:tc>
        <w:tc>
          <w:tcPr>
            <w:tcW w:w="927" w:type="dxa"/>
            <w:vAlign w:val="center"/>
          </w:tcPr>
          <w:p w14:paraId="266344E5" w14:textId="77777777" w:rsidR="000706E9" w:rsidRPr="001428E9" w:rsidRDefault="000706E9">
            <w:pPr>
              <w:keepLines/>
              <w:jc w:val="center"/>
              <w:rPr>
                <w:rFonts w:ascii="Arial Narrow" w:hAnsi="Arial Narrow" w:cs="Arial"/>
                <w:sz w:val="20"/>
                <w:szCs w:val="20"/>
              </w:rPr>
            </w:pPr>
            <w:r w:rsidRPr="00AB686F">
              <w:rPr>
                <w:rFonts w:ascii="Arial Narrow" w:hAnsi="Arial Narrow" w:cs="Arial"/>
                <w:sz w:val="20"/>
                <w:szCs w:val="20"/>
              </w:rPr>
              <w:t>13076F</w:t>
            </w:r>
          </w:p>
        </w:tc>
        <w:tc>
          <w:tcPr>
            <w:tcW w:w="812" w:type="dxa"/>
          </w:tcPr>
          <w:p w14:paraId="4956D54A" w14:textId="77777777" w:rsidR="000706E9" w:rsidRPr="001428E9" w:rsidRDefault="000706E9">
            <w:pPr>
              <w:keepLines/>
              <w:jc w:val="center"/>
              <w:rPr>
                <w:rFonts w:ascii="Arial Narrow" w:hAnsi="Arial Narrow" w:cs="Arial"/>
                <w:sz w:val="20"/>
                <w:szCs w:val="20"/>
              </w:rPr>
            </w:pPr>
            <w:r w:rsidRPr="00D52290">
              <w:rPr>
                <w:rFonts w:ascii="Arial Narrow" w:hAnsi="Arial Narrow" w:cs="Arial"/>
                <w:sz w:val="20"/>
                <w:szCs w:val="20"/>
              </w:rPr>
              <w:t>2</w:t>
            </w:r>
          </w:p>
        </w:tc>
        <w:tc>
          <w:tcPr>
            <w:tcW w:w="811" w:type="dxa"/>
          </w:tcPr>
          <w:p w14:paraId="23415864" w14:textId="77777777" w:rsidR="000706E9" w:rsidRPr="001428E9" w:rsidRDefault="000706E9">
            <w:pPr>
              <w:keepLines/>
              <w:jc w:val="center"/>
              <w:rPr>
                <w:rFonts w:ascii="Arial Narrow" w:hAnsi="Arial Narrow" w:cs="Arial"/>
                <w:sz w:val="20"/>
                <w:szCs w:val="20"/>
              </w:rPr>
            </w:pPr>
            <w:r w:rsidRPr="00D52290">
              <w:rPr>
                <w:rFonts w:ascii="Arial Narrow" w:hAnsi="Arial Narrow" w:cs="Arial"/>
                <w:sz w:val="20"/>
                <w:szCs w:val="20"/>
              </w:rPr>
              <w:t>2</w:t>
            </w:r>
          </w:p>
        </w:tc>
        <w:tc>
          <w:tcPr>
            <w:tcW w:w="812" w:type="dxa"/>
          </w:tcPr>
          <w:p w14:paraId="1CE8CC5F" w14:textId="77777777" w:rsidR="000706E9" w:rsidRPr="001428E9" w:rsidRDefault="000706E9">
            <w:pPr>
              <w:keepLines/>
              <w:jc w:val="center"/>
              <w:rPr>
                <w:rFonts w:ascii="Arial Narrow" w:hAnsi="Arial Narrow" w:cs="Arial"/>
                <w:sz w:val="20"/>
                <w:szCs w:val="20"/>
              </w:rPr>
            </w:pPr>
            <w:r w:rsidRPr="00D52290">
              <w:rPr>
                <w:rFonts w:ascii="Arial Narrow" w:hAnsi="Arial Narrow" w:cs="Arial"/>
                <w:sz w:val="20"/>
                <w:szCs w:val="20"/>
              </w:rPr>
              <w:t>5</w:t>
            </w:r>
          </w:p>
        </w:tc>
        <w:tc>
          <w:tcPr>
            <w:tcW w:w="1831" w:type="dxa"/>
            <w:vAlign w:val="center"/>
          </w:tcPr>
          <w:p w14:paraId="29F51C66" w14:textId="77777777" w:rsidR="000706E9" w:rsidRPr="001428E9"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1428E9" w14:paraId="38B25C56" w14:textId="77777777">
        <w:trPr>
          <w:cantSplit/>
          <w:trHeight w:val="20"/>
        </w:trPr>
        <w:tc>
          <w:tcPr>
            <w:tcW w:w="3823" w:type="dxa"/>
            <w:gridSpan w:val="2"/>
            <w:vAlign w:val="center"/>
          </w:tcPr>
          <w:p w14:paraId="6A145592" w14:textId="77777777" w:rsidR="000706E9" w:rsidRPr="001428E9" w:rsidRDefault="000706E9">
            <w:pPr>
              <w:keepLines/>
              <w:rPr>
                <w:rFonts w:ascii="Arial Narrow" w:hAnsi="Arial Narrow" w:cs="Arial"/>
                <w:sz w:val="20"/>
                <w:szCs w:val="20"/>
              </w:rPr>
            </w:pPr>
            <w:r w:rsidRPr="00442909">
              <w:rPr>
                <w:rFonts w:ascii="Arial Narrow" w:hAnsi="Arial Narrow" w:cs="Arial"/>
                <w:sz w:val="20"/>
                <w:szCs w:val="20"/>
              </w:rPr>
              <w:t>infliximab 120 mg/mL injection, 1 mL syringe</w:t>
            </w:r>
          </w:p>
        </w:tc>
        <w:tc>
          <w:tcPr>
            <w:tcW w:w="927" w:type="dxa"/>
            <w:vAlign w:val="center"/>
          </w:tcPr>
          <w:p w14:paraId="2923BBF3" w14:textId="77777777" w:rsidR="000706E9" w:rsidRPr="001428E9" w:rsidRDefault="000706E9">
            <w:pPr>
              <w:keepLines/>
              <w:jc w:val="center"/>
              <w:rPr>
                <w:rFonts w:ascii="Arial Narrow" w:hAnsi="Arial Narrow" w:cs="Arial"/>
                <w:sz w:val="20"/>
                <w:szCs w:val="20"/>
              </w:rPr>
            </w:pPr>
            <w:r w:rsidRPr="00336948">
              <w:rPr>
                <w:rFonts w:ascii="Arial Narrow" w:hAnsi="Arial Narrow" w:cs="Arial"/>
                <w:sz w:val="20"/>
                <w:szCs w:val="20"/>
              </w:rPr>
              <w:t>13050W</w:t>
            </w:r>
          </w:p>
        </w:tc>
        <w:tc>
          <w:tcPr>
            <w:tcW w:w="812" w:type="dxa"/>
            <w:vAlign w:val="center"/>
          </w:tcPr>
          <w:p w14:paraId="5AEE210F" w14:textId="77777777" w:rsidR="000706E9" w:rsidRPr="001428E9" w:rsidRDefault="000706E9">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7C7716BC" w14:textId="77777777" w:rsidR="000706E9" w:rsidRPr="001428E9" w:rsidRDefault="000706E9">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7FB025C6" w14:textId="77777777" w:rsidR="000706E9" w:rsidRPr="001428E9" w:rsidRDefault="000706E9">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23A62A52" w14:textId="77777777" w:rsidR="000706E9" w:rsidRPr="001428E9"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1428E9" w14:paraId="1CF1EAD8"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D8D3333" w14:textId="77777777" w:rsidR="000706E9" w:rsidRPr="001428E9" w:rsidRDefault="000706E9">
            <w:pPr>
              <w:rPr>
                <w:rFonts w:ascii="Arial Narrow" w:hAnsi="Arial Narrow" w:cs="Arial"/>
                <w:sz w:val="20"/>
                <w:szCs w:val="20"/>
              </w:rPr>
            </w:pPr>
          </w:p>
        </w:tc>
      </w:tr>
      <w:tr w:rsidR="000706E9" w:rsidRPr="001428E9" w14:paraId="1794BC63"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7CB269B" w14:textId="5CC185FC" w:rsidR="000706E9" w:rsidRPr="001428E9" w:rsidRDefault="000706E9">
            <w:pPr>
              <w:keepLines/>
              <w:rPr>
                <w:rFonts w:ascii="Arial Narrow" w:hAnsi="Arial Narrow" w:cs="Arial"/>
                <w:b/>
                <w:sz w:val="20"/>
                <w:szCs w:val="20"/>
              </w:rPr>
            </w:pPr>
            <w:r w:rsidRPr="001428E9">
              <w:rPr>
                <w:rFonts w:ascii="Arial Narrow" w:hAnsi="Arial Narrow"/>
                <w:b/>
                <w:sz w:val="20"/>
                <w:szCs w:val="20"/>
              </w:rPr>
              <w:t>Restriction Summary</w:t>
            </w:r>
            <w:r>
              <w:rPr>
                <w:rFonts w:ascii="Arial Narrow" w:hAnsi="Arial Narrow"/>
                <w:b/>
                <w:sz w:val="20"/>
                <w:szCs w:val="20"/>
              </w:rPr>
              <w:t xml:space="preserve"> </w:t>
            </w:r>
            <w:r w:rsidRPr="001428E9">
              <w:rPr>
                <w:rFonts w:ascii="Arial Narrow" w:hAnsi="Arial Narrow"/>
                <w:b/>
                <w:sz w:val="20"/>
                <w:szCs w:val="20"/>
              </w:rPr>
              <w:t>/ Treatment of Concept:</w:t>
            </w:r>
            <w:r w:rsidRPr="00304A5F">
              <w:rPr>
                <w:rFonts w:ascii="Arial Narrow" w:hAnsi="Arial Narrow"/>
                <w:b/>
                <w:sz w:val="20"/>
                <w:szCs w:val="20"/>
              </w:rPr>
              <w:t xml:space="preserve"> </w:t>
            </w:r>
          </w:p>
        </w:tc>
      </w:tr>
      <w:tr w:rsidR="000706E9" w:rsidRPr="001428E9" w14:paraId="4BD77026"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00BDEA8" w14:textId="5C7E8965" w:rsidR="000706E9" w:rsidRPr="001428E9" w:rsidRDefault="000706E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69B1D1" w14:textId="77777777" w:rsidR="000706E9" w:rsidRPr="001428E9" w:rsidRDefault="000706E9">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t xml:space="preserve">GENERAL - General Schedule (Code GE) </w:t>
            </w:r>
          </w:p>
        </w:tc>
      </w:tr>
      <w:tr w:rsidR="000706E9" w:rsidRPr="001428E9" w14:paraId="65FFB01C" w14:textId="77777777">
        <w:tblPrEx>
          <w:tblCellMar>
            <w:top w:w="15" w:type="dxa"/>
            <w:bottom w:w="15" w:type="dxa"/>
          </w:tblCellMar>
          <w:tblLook w:val="04A0" w:firstRow="1" w:lastRow="0" w:firstColumn="1" w:lastColumn="0" w:noHBand="0" w:noVBand="1"/>
        </w:tblPrEx>
        <w:trPr>
          <w:trHeight w:val="20"/>
        </w:trPr>
        <w:tc>
          <w:tcPr>
            <w:tcW w:w="1271" w:type="dxa"/>
            <w:vMerge/>
          </w:tcPr>
          <w:p w14:paraId="22F637C0" w14:textId="77777777" w:rsidR="000706E9" w:rsidRPr="001428E9"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AC58156" w14:textId="77777777" w:rsidR="000706E9" w:rsidRPr="001428E9" w:rsidRDefault="000706E9">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0706E9" w:rsidRPr="00D56F94" w14:paraId="1ED6E354" w14:textId="77777777">
        <w:tblPrEx>
          <w:tblCellMar>
            <w:top w:w="15" w:type="dxa"/>
            <w:bottom w:w="15" w:type="dxa"/>
          </w:tblCellMar>
          <w:tblLook w:val="04A0" w:firstRow="1" w:lastRow="0" w:firstColumn="1" w:lastColumn="0" w:noHBand="0" w:noVBand="1"/>
        </w:tblPrEx>
        <w:trPr>
          <w:trHeight w:val="20"/>
        </w:trPr>
        <w:tc>
          <w:tcPr>
            <w:tcW w:w="1271" w:type="dxa"/>
            <w:vMerge/>
          </w:tcPr>
          <w:p w14:paraId="1D140348" w14:textId="77777777" w:rsidR="000706E9" w:rsidRPr="001428E9"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3CEA438" w14:textId="77777777" w:rsidR="000706E9" w:rsidRPr="001428E9" w:rsidRDefault="000706E9">
            <w:pPr>
              <w:keepLines/>
              <w:rPr>
                <w:rFonts w:ascii="Arial Narrow" w:hAnsi="Arial Narrow" w:cs="Arial"/>
                <w:b/>
                <w:sz w:val="20"/>
                <w:szCs w:val="20"/>
              </w:rPr>
            </w:pPr>
            <w:r w:rsidRPr="001428E9">
              <w:rPr>
                <w:rFonts w:ascii="Arial Narrow" w:hAnsi="Arial Narrow" w:cs="Arial"/>
                <w:b/>
                <w:sz w:val="20"/>
                <w:szCs w:val="20"/>
              </w:rPr>
              <w:t xml:space="preserve">Restriction type: </w:t>
            </w:r>
          </w:p>
          <w:p w14:paraId="497EC1A0" w14:textId="77777777" w:rsidR="000706E9" w:rsidRPr="00D56F94" w:rsidRDefault="000706E9">
            <w:pPr>
              <w:keepLines/>
              <w:jc w:val="left"/>
              <w:rPr>
                <w:rFonts w:ascii="Arial Narrow" w:eastAsia="Calibri" w:hAnsi="Arial Narrow" w:cs="Arial"/>
                <w:color w:val="FF0000"/>
                <w:sz w:val="20"/>
                <w:szCs w:val="20"/>
              </w:rPr>
            </w:pP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D338BD">
              <w:rPr>
                <w:rFonts w:ascii="Arial Narrow" w:eastAsia="Calibri" w:hAnsi="Arial Narrow" w:cs="Arial"/>
                <w:i/>
                <w:iCs/>
                <w:sz w:val="20"/>
                <w:szCs w:val="20"/>
              </w:rPr>
              <w:t>Authority Required (Streamlined)</w:t>
            </w:r>
            <w:r w:rsidRPr="001428E9">
              <w:rPr>
                <w:rFonts w:ascii="Arial Narrow" w:eastAsia="Calibri" w:hAnsi="Arial Narrow" w:cs="Arial"/>
                <w:sz w:val="20"/>
                <w:szCs w:val="20"/>
              </w:rPr>
              <w:t xml:space="preserve"> </w:t>
            </w:r>
            <w:r>
              <w:rPr>
                <w:rFonts w:ascii="Arial Narrow" w:eastAsia="Calibri" w:hAnsi="Arial Narrow" w:cs="Arial"/>
                <w:color w:val="FF0000"/>
                <w:sz w:val="20"/>
                <w:szCs w:val="20"/>
              </w:rPr>
              <w:br/>
            </w:r>
            <w:r w:rsidRPr="00D338BD">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D338BD">
              <w:rPr>
                <w:rFonts w:ascii="Arial Narrow" w:eastAsia="Calibri" w:hAnsi="Arial Narrow" w:cs="Arial"/>
                <w:strike/>
                <w:sz w:val="20"/>
                <w:szCs w:val="20"/>
              </w:rPr>
              <w:instrText xml:space="preserve"> FORMCHECKBOX </w:instrText>
            </w:r>
            <w:r w:rsidRPr="00D338BD">
              <w:rPr>
                <w:rFonts w:ascii="Arial Narrow" w:eastAsia="Calibri" w:hAnsi="Arial Narrow" w:cs="Arial"/>
                <w:strike/>
                <w:sz w:val="20"/>
                <w:szCs w:val="20"/>
              </w:rPr>
            </w:r>
            <w:r w:rsidRPr="00D338BD">
              <w:rPr>
                <w:rFonts w:ascii="Arial Narrow" w:eastAsia="Calibri" w:hAnsi="Arial Narrow" w:cs="Arial"/>
                <w:strike/>
                <w:sz w:val="20"/>
                <w:szCs w:val="20"/>
              </w:rPr>
              <w:fldChar w:fldCharType="separate"/>
            </w:r>
            <w:r w:rsidRPr="00D338BD">
              <w:rPr>
                <w:rFonts w:ascii="Arial Narrow" w:eastAsia="Calibri" w:hAnsi="Arial Narrow" w:cs="Arial"/>
                <w:strike/>
                <w:sz w:val="20"/>
                <w:szCs w:val="20"/>
              </w:rPr>
              <w:fldChar w:fldCharType="end"/>
            </w:r>
            <w:r w:rsidRPr="00D338BD">
              <w:rPr>
                <w:rFonts w:ascii="Arial Narrow" w:eastAsia="Calibri" w:hAnsi="Arial Narrow" w:cs="Arial"/>
                <w:strike/>
                <w:sz w:val="20"/>
                <w:szCs w:val="20"/>
              </w:rPr>
              <w:t xml:space="preserve">Authority </w:t>
            </w:r>
            <w:r w:rsidRPr="00DE778E">
              <w:rPr>
                <w:rFonts w:ascii="Arial Narrow" w:eastAsia="Calibri" w:hAnsi="Arial Narrow" w:cs="Arial"/>
                <w:strike/>
                <w:sz w:val="20"/>
                <w:szCs w:val="20"/>
              </w:rPr>
              <w:t xml:space="preserve">Required </w:t>
            </w:r>
            <w:r w:rsidRPr="00A4002A">
              <w:rPr>
                <w:rFonts w:ascii="Arial Narrow" w:eastAsia="Calibri" w:hAnsi="Arial Narrow" w:cs="Arial"/>
                <w:strike/>
                <w:sz w:val="20"/>
                <w:szCs w:val="20"/>
              </w:rPr>
              <w:t>(in writing only via post/HPOS upload)</w:t>
            </w:r>
            <w:r w:rsidRPr="00D338BD">
              <w:rPr>
                <w:rFonts w:ascii="Arial Narrow" w:eastAsia="Calibri" w:hAnsi="Arial Narrow" w:cs="Arial"/>
                <w:strike/>
                <w:sz w:val="20"/>
                <w:szCs w:val="20"/>
              </w:rPr>
              <w:t xml:space="preserve"> </w:t>
            </w:r>
          </w:p>
        </w:tc>
      </w:tr>
      <w:tr w:rsidR="000706E9" w:rsidRPr="001428E9" w14:paraId="33F4E386" w14:textId="77777777" w:rsidTr="00365FCC">
        <w:tblPrEx>
          <w:tblCellMar>
            <w:top w:w="15" w:type="dxa"/>
            <w:bottom w:w="15" w:type="dxa"/>
          </w:tblCellMar>
        </w:tblPrEx>
        <w:trPr>
          <w:cantSplit/>
          <w:trHeight w:val="20"/>
        </w:trPr>
        <w:tc>
          <w:tcPr>
            <w:tcW w:w="1271" w:type="dxa"/>
            <w:vAlign w:val="center"/>
          </w:tcPr>
          <w:p w14:paraId="34DBDCF1" w14:textId="7D69D77B" w:rsidR="000706E9" w:rsidRPr="00432EBF" w:rsidRDefault="000706E9">
            <w:pPr>
              <w:keepLines/>
              <w:jc w:val="center"/>
              <w:rPr>
                <w:rFonts w:ascii="Arial Narrow" w:hAnsi="Arial Narrow"/>
                <w:sz w:val="20"/>
                <w:szCs w:val="20"/>
              </w:rPr>
            </w:pPr>
          </w:p>
        </w:tc>
        <w:tc>
          <w:tcPr>
            <w:tcW w:w="7745" w:type="dxa"/>
            <w:gridSpan w:val="6"/>
            <w:vAlign w:val="center"/>
            <w:hideMark/>
          </w:tcPr>
          <w:p w14:paraId="71B7D1B4" w14:textId="77777777" w:rsidR="000706E9" w:rsidRPr="001428E9" w:rsidRDefault="000706E9">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C7670D">
              <w:rPr>
                <w:rFonts w:ascii="Arial Narrow" w:hAnsi="Arial Narrow"/>
                <w:sz w:val="20"/>
                <w:szCs w:val="20"/>
              </w:rPr>
              <w:t>Severe chronic plaque psoriasis</w:t>
            </w:r>
          </w:p>
        </w:tc>
      </w:tr>
      <w:tr w:rsidR="000706E9" w:rsidRPr="001428E9" w14:paraId="32B8780A" w14:textId="77777777" w:rsidTr="00365FCC">
        <w:tblPrEx>
          <w:tblCellMar>
            <w:top w:w="15" w:type="dxa"/>
            <w:bottom w:w="15" w:type="dxa"/>
          </w:tblCellMar>
        </w:tblPrEx>
        <w:trPr>
          <w:cantSplit/>
          <w:trHeight w:val="20"/>
        </w:trPr>
        <w:tc>
          <w:tcPr>
            <w:tcW w:w="1271" w:type="dxa"/>
            <w:vAlign w:val="center"/>
          </w:tcPr>
          <w:p w14:paraId="54C94C58" w14:textId="77777777" w:rsidR="000706E9" w:rsidRPr="00432EBF" w:rsidRDefault="000706E9">
            <w:pPr>
              <w:jc w:val="center"/>
              <w:rPr>
                <w:rFonts w:ascii="Arial Narrow" w:hAnsi="Arial Narrow"/>
                <w:sz w:val="20"/>
                <w:szCs w:val="20"/>
              </w:rPr>
            </w:pPr>
          </w:p>
        </w:tc>
        <w:tc>
          <w:tcPr>
            <w:tcW w:w="7745" w:type="dxa"/>
            <w:gridSpan w:val="6"/>
            <w:vAlign w:val="center"/>
            <w:hideMark/>
          </w:tcPr>
          <w:p w14:paraId="49829C71" w14:textId="77777777" w:rsidR="000706E9" w:rsidRPr="001428E9" w:rsidRDefault="000706E9">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D03C2F">
              <w:rPr>
                <w:rFonts w:ascii="Arial Narrow" w:hAnsi="Arial Narrow"/>
                <w:sz w:val="20"/>
                <w:szCs w:val="20"/>
              </w:rPr>
              <w:t>Continuing treatment with subcutaneous form or switching from intravenous form to subcutaneous form</w:t>
            </w:r>
          </w:p>
        </w:tc>
      </w:tr>
      <w:tr w:rsidR="000706E9" w:rsidRPr="008F6029" w14:paraId="1D43A499"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18ACC93" w14:textId="4DA2C509" w:rsidR="000706E9" w:rsidRPr="008F6029"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D6CE56" w14:textId="77777777" w:rsidR="000706E9" w:rsidRPr="008F6029" w:rsidRDefault="000706E9">
            <w:pPr>
              <w:rPr>
                <w:rFonts w:ascii="Arial Narrow" w:hAnsi="Arial Narrow"/>
                <w:strike/>
                <w:sz w:val="20"/>
                <w:szCs w:val="20"/>
              </w:rPr>
            </w:pPr>
            <w:r w:rsidRPr="008F6029">
              <w:rPr>
                <w:rFonts w:ascii="Arial Narrow" w:hAnsi="Arial Narrow"/>
                <w:b/>
                <w:bCs/>
                <w:strike/>
                <w:sz w:val="20"/>
                <w:szCs w:val="20"/>
              </w:rPr>
              <w:t>Prescribing Instructions</w:t>
            </w:r>
            <w:r w:rsidRPr="008F6029">
              <w:rPr>
                <w:rFonts w:ascii="Arial Narrow" w:hAnsi="Arial Narrow"/>
                <w:strike/>
                <w:sz w:val="20"/>
                <w:szCs w:val="20"/>
              </w:rPr>
              <w:t>:</w:t>
            </w:r>
          </w:p>
          <w:p w14:paraId="7FB69627" w14:textId="77777777" w:rsidR="000706E9" w:rsidRPr="008F6029" w:rsidRDefault="000706E9">
            <w:pPr>
              <w:rPr>
                <w:rFonts w:ascii="Arial Narrow" w:hAnsi="Arial Narrow"/>
                <w:strike/>
                <w:sz w:val="20"/>
                <w:szCs w:val="20"/>
              </w:rPr>
            </w:pPr>
            <w:r w:rsidRPr="008F6029">
              <w:rPr>
                <w:rFonts w:ascii="Arial Narrow" w:hAnsi="Arial Narrow"/>
                <w:strike/>
                <w:sz w:val="20"/>
                <w:szCs w:val="20"/>
              </w:rPr>
              <w:t>The authority application must be made in writing and must include:</w:t>
            </w:r>
          </w:p>
          <w:p w14:paraId="1AAB4477" w14:textId="77777777" w:rsidR="000706E9" w:rsidRPr="008F6029" w:rsidRDefault="000706E9">
            <w:pPr>
              <w:rPr>
                <w:rFonts w:ascii="Arial Narrow" w:hAnsi="Arial Narrow"/>
                <w:strike/>
                <w:sz w:val="20"/>
                <w:szCs w:val="20"/>
              </w:rPr>
            </w:pPr>
            <w:r w:rsidRPr="008F6029">
              <w:rPr>
                <w:rFonts w:ascii="Arial Narrow" w:hAnsi="Arial Narrow"/>
                <w:strike/>
                <w:sz w:val="20"/>
                <w:szCs w:val="20"/>
              </w:rPr>
              <w:t>(1) a completed authority prescription form; and</w:t>
            </w:r>
          </w:p>
          <w:p w14:paraId="376E4B18" w14:textId="77777777" w:rsidR="000706E9" w:rsidRPr="008F6029" w:rsidRDefault="000706E9">
            <w:pPr>
              <w:rPr>
                <w:rFonts w:ascii="Arial Narrow" w:hAnsi="Arial Narrow"/>
                <w:strike/>
                <w:sz w:val="20"/>
                <w:szCs w:val="20"/>
              </w:rPr>
            </w:pPr>
            <w:r w:rsidRPr="0CEE6DE9">
              <w:rPr>
                <w:rFonts w:ascii="Arial Narrow" w:hAnsi="Arial Narrow"/>
                <w:strike/>
                <w:sz w:val="20"/>
                <w:szCs w:val="20"/>
              </w:rPr>
              <w:t>(2) a completed authority application form relevant to the indication and treatment phase (the latest version is located on the website specified in the Administrative Advice).</w:t>
            </w:r>
          </w:p>
        </w:tc>
      </w:tr>
      <w:tr w:rsidR="000706E9" w:rsidRPr="008F6029" w14:paraId="1174C142"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70E42FF" w14:textId="7F5C21E1" w:rsidR="000706E9" w:rsidRPr="00B121C3"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092CFA12" w14:textId="77777777" w:rsidR="000706E9" w:rsidRPr="00107D72" w:rsidRDefault="000706E9">
            <w:pPr>
              <w:jc w:val="left"/>
              <w:rPr>
                <w:rFonts w:ascii="Arial Narrow" w:hAnsi="Arial Narrow"/>
                <w:sz w:val="20"/>
                <w:szCs w:val="20"/>
              </w:rPr>
            </w:pPr>
            <w:r w:rsidRPr="00107D72">
              <w:rPr>
                <w:rFonts w:ascii="Arial Narrow" w:hAnsi="Arial Narrow"/>
                <w:b/>
                <w:bCs/>
                <w:sz w:val="20"/>
                <w:szCs w:val="20"/>
              </w:rPr>
              <w:t>Prescribing Instructions</w:t>
            </w:r>
            <w:r w:rsidRPr="00107D72">
              <w:rPr>
                <w:rFonts w:ascii="Arial Narrow" w:hAnsi="Arial Narrow"/>
                <w:sz w:val="20"/>
                <w:szCs w:val="20"/>
              </w:rPr>
              <w:t>:</w:t>
            </w:r>
          </w:p>
          <w:p w14:paraId="1D823851" w14:textId="77777777" w:rsidR="000706E9" w:rsidRPr="00107D72" w:rsidRDefault="000706E9">
            <w:pPr>
              <w:jc w:val="left"/>
              <w:rPr>
                <w:rFonts w:ascii="Arial Narrow" w:hAnsi="Arial Narrow"/>
                <w:sz w:val="20"/>
                <w:szCs w:val="20"/>
              </w:rPr>
            </w:pPr>
            <w:r w:rsidRPr="00107D72">
              <w:rPr>
                <w:rFonts w:ascii="Arial Narrow" w:hAnsi="Arial Narrow"/>
                <w:sz w:val="20"/>
                <w:szCs w:val="20"/>
              </w:rPr>
              <w:t>Where the condition is affecting the whole body, an adequate response to treatment is defined as:</w:t>
            </w:r>
          </w:p>
          <w:p w14:paraId="27B7429C" w14:textId="77777777" w:rsidR="000706E9" w:rsidRPr="00B121C3" w:rsidRDefault="000706E9">
            <w:pPr>
              <w:jc w:val="left"/>
              <w:rPr>
                <w:rFonts w:ascii="Arial Narrow" w:hAnsi="Arial Narrow"/>
                <w:strike/>
                <w:sz w:val="20"/>
                <w:szCs w:val="20"/>
              </w:rPr>
            </w:pPr>
            <w:r w:rsidRPr="0CEE6DE9">
              <w:rPr>
                <w:rFonts w:ascii="Arial Narrow" w:hAnsi="Arial Narrow"/>
                <w:sz w:val="20"/>
                <w:szCs w:val="20"/>
              </w:rPr>
              <w:t xml:space="preserve">A Psoriasis Area and Severity Index (PASI) score which is reduced by at least 75%, or, is sustained at this level, when compared with the baseline value for this treatment cycle. </w:t>
            </w:r>
            <w:r w:rsidRPr="0CEE6DE9">
              <w:rPr>
                <w:rFonts w:ascii="Arial Narrow" w:hAnsi="Arial Narrow"/>
                <w:strike/>
                <w:sz w:val="20"/>
                <w:szCs w:val="20"/>
              </w:rPr>
              <w:t>State the qualifying PASI score in the authority application.</w:t>
            </w:r>
          </w:p>
          <w:p w14:paraId="3C832394" w14:textId="77777777" w:rsidR="000706E9" w:rsidRPr="00107D72" w:rsidRDefault="000706E9">
            <w:pPr>
              <w:jc w:val="left"/>
              <w:rPr>
                <w:rFonts w:ascii="Arial Narrow" w:hAnsi="Arial Narrow"/>
                <w:sz w:val="20"/>
                <w:szCs w:val="20"/>
              </w:rPr>
            </w:pPr>
            <w:r w:rsidRPr="00107D72">
              <w:rPr>
                <w:rFonts w:ascii="Arial Narrow" w:hAnsi="Arial Narrow"/>
                <w:sz w:val="20"/>
                <w:szCs w:val="20"/>
              </w:rPr>
              <w:t>Where the condition is affecting the face/hand/foot, an adequate response to treatment is defined as the plaque or plaques assessed prior to biological treatment showing:</w:t>
            </w:r>
          </w:p>
          <w:p w14:paraId="0DF8B47E" w14:textId="77777777" w:rsidR="000706E9" w:rsidRPr="00107D72" w:rsidRDefault="000706E9">
            <w:pPr>
              <w:jc w:val="left"/>
              <w:rPr>
                <w:rFonts w:ascii="Arial Narrow" w:hAnsi="Arial Narrow"/>
                <w:sz w:val="20"/>
                <w:szCs w:val="20"/>
              </w:rPr>
            </w:pPr>
            <w:r w:rsidRPr="0CEE6DE9">
              <w:rPr>
                <w:rFonts w:ascii="Arial Narrow" w:hAnsi="Arial Narrow"/>
                <w:sz w:val="20"/>
                <w:szCs w:val="20"/>
              </w:rPr>
              <w:t>(i) A reduction in the Psoriasis Area and Severity Index (PASI) symptom subscores for all 3 of erythema, thickness and scaling, to slight or better, or, sustained at this level, as compared to the baseline values. Indicate the rating (0=none, 1=slight) for each of these 3 observations in the authority application for each affected area; or</w:t>
            </w:r>
          </w:p>
          <w:p w14:paraId="19310371" w14:textId="77777777" w:rsidR="000706E9" w:rsidRPr="00EB3D1B" w:rsidRDefault="000706E9">
            <w:pPr>
              <w:jc w:val="left"/>
              <w:rPr>
                <w:rFonts w:ascii="Arial Narrow" w:hAnsi="Arial Narrow"/>
                <w:strike/>
                <w:sz w:val="20"/>
                <w:szCs w:val="20"/>
              </w:rPr>
            </w:pPr>
            <w:r w:rsidRPr="0CEE6DE9">
              <w:rPr>
                <w:rFonts w:ascii="Arial Narrow" w:hAnsi="Arial Narrow"/>
                <w:sz w:val="20"/>
                <w:szCs w:val="20"/>
              </w:rPr>
              <w:t xml:space="preserve">(ii) A reduction by at least 75% in the skin area affected, or, sustained at this level, as compared to the baseline value for this treatment cycle. </w:t>
            </w:r>
            <w:r w:rsidRPr="0CEE6DE9">
              <w:rPr>
                <w:rFonts w:ascii="Arial Narrow" w:hAnsi="Arial Narrow"/>
                <w:strike/>
                <w:sz w:val="20"/>
                <w:szCs w:val="20"/>
              </w:rPr>
              <w:t>State the qualifying numerical percentage figure in the authority application for each affected area.</w:t>
            </w:r>
          </w:p>
          <w:p w14:paraId="085DCC56" w14:textId="77777777" w:rsidR="000706E9" w:rsidRPr="008F6029" w:rsidRDefault="000706E9">
            <w:pPr>
              <w:jc w:val="left"/>
              <w:rPr>
                <w:rFonts w:ascii="Arial Narrow" w:hAnsi="Arial Narrow"/>
                <w:strike/>
                <w:sz w:val="20"/>
                <w:szCs w:val="20"/>
              </w:rPr>
            </w:pPr>
            <w:r w:rsidRPr="00107D72">
              <w:rPr>
                <w:rFonts w:ascii="Arial Narrow" w:hAnsi="Arial Narrow"/>
                <w:sz w:val="20"/>
                <w:szCs w:val="20"/>
              </w:rPr>
              <w:t>All assessment findings must be no more than 1 month old at the time of application. Response assessments must be performed on the same affected area assessed at baseline.</w:t>
            </w:r>
          </w:p>
        </w:tc>
      </w:tr>
      <w:tr w:rsidR="000706E9" w:rsidRPr="00645DEA" w14:paraId="4D657480"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726B56D" w14:textId="0C8CACB4" w:rsidR="000706E9" w:rsidRPr="00180DBE"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0AF622" w14:textId="77777777" w:rsidR="000706E9" w:rsidRPr="00180DBE" w:rsidRDefault="000706E9">
            <w:pPr>
              <w:rPr>
                <w:rFonts w:ascii="Arial Narrow" w:hAnsi="Arial Narrow"/>
                <w:b/>
                <w:bCs/>
                <w:i/>
                <w:iCs/>
                <w:sz w:val="20"/>
                <w:szCs w:val="20"/>
              </w:rPr>
            </w:pPr>
            <w:r w:rsidRPr="00180DBE">
              <w:rPr>
                <w:rFonts w:ascii="Arial Narrow" w:hAnsi="Arial Narrow"/>
                <w:b/>
                <w:bCs/>
                <w:i/>
                <w:iCs/>
                <w:sz w:val="20"/>
                <w:szCs w:val="20"/>
              </w:rPr>
              <w:t>Prescribing Instructions:</w:t>
            </w:r>
          </w:p>
          <w:p w14:paraId="46914088" w14:textId="77777777" w:rsidR="000706E9" w:rsidRPr="00180DBE" w:rsidRDefault="000706E9">
            <w:pPr>
              <w:rPr>
                <w:rFonts w:ascii="Arial Narrow" w:hAnsi="Arial Narrow"/>
                <w:i/>
                <w:iCs/>
                <w:sz w:val="20"/>
                <w:szCs w:val="20"/>
              </w:rPr>
            </w:pPr>
            <w:r w:rsidRPr="00180DBE">
              <w:rPr>
                <w:rFonts w:ascii="Arial Narrow" w:hAnsi="Arial Narrow"/>
                <w:i/>
                <w:iCs/>
                <w:sz w:val="20"/>
                <w:szCs w:val="20"/>
              </w:rPr>
              <w:t>The measurement of response to the prior course of therapy must be documented in the patient's medical notes.</w:t>
            </w:r>
          </w:p>
        </w:tc>
      </w:tr>
      <w:tr w:rsidR="000706E9" w:rsidRPr="00645DEA" w14:paraId="3F988F12"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8333D33" w14:textId="0BCA2187" w:rsidR="000706E9" w:rsidRPr="00180DBE"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BF9A2D" w14:textId="77777777" w:rsidR="000706E9" w:rsidRPr="00180DBE" w:rsidRDefault="000706E9">
            <w:pPr>
              <w:rPr>
                <w:rFonts w:ascii="Arial Narrow" w:hAnsi="Arial Narrow"/>
                <w:b/>
                <w:bCs/>
                <w:i/>
                <w:iCs/>
                <w:sz w:val="20"/>
                <w:szCs w:val="20"/>
              </w:rPr>
            </w:pPr>
            <w:r w:rsidRPr="00180DBE">
              <w:rPr>
                <w:rFonts w:ascii="Arial Narrow" w:hAnsi="Arial Narrow"/>
                <w:b/>
                <w:bCs/>
                <w:i/>
                <w:iCs/>
                <w:sz w:val="20"/>
                <w:szCs w:val="20"/>
              </w:rPr>
              <w:t>Prescribing Instructions:</w:t>
            </w:r>
          </w:p>
          <w:p w14:paraId="018AA996" w14:textId="77777777" w:rsidR="000706E9" w:rsidRPr="00180DBE" w:rsidRDefault="000706E9">
            <w:pPr>
              <w:rPr>
                <w:rFonts w:ascii="Arial Narrow" w:hAnsi="Arial Narrow"/>
                <w:i/>
                <w:iCs/>
                <w:sz w:val="20"/>
                <w:szCs w:val="20"/>
              </w:rPr>
            </w:pPr>
            <w:r w:rsidRPr="00180DBE">
              <w:rPr>
                <w:rFonts w:ascii="Arial Narrow" w:hAnsi="Arial Narrow"/>
                <w:i/>
                <w:iCs/>
                <w:sz w:val="20"/>
                <w:szCs w:val="20"/>
              </w:rPr>
              <w:t>Determination of response must be based on the PASI assessment of response to the most recent course of treatment with this drug.</w:t>
            </w:r>
          </w:p>
        </w:tc>
      </w:tr>
      <w:tr w:rsidR="000706E9" w:rsidRPr="00645DEA" w14:paraId="196F9D41"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AB58C7E" w14:textId="6474EAFE" w:rsidR="000706E9" w:rsidRPr="00180DBE"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DB92BF" w14:textId="77777777" w:rsidR="000706E9" w:rsidRPr="00180DBE" w:rsidRDefault="000706E9">
            <w:pPr>
              <w:rPr>
                <w:rFonts w:ascii="Arial Narrow" w:hAnsi="Arial Narrow"/>
                <w:b/>
                <w:bCs/>
                <w:i/>
                <w:iCs/>
                <w:sz w:val="20"/>
                <w:szCs w:val="20"/>
              </w:rPr>
            </w:pPr>
            <w:r w:rsidRPr="00180DBE">
              <w:rPr>
                <w:rFonts w:ascii="Arial Narrow" w:hAnsi="Arial Narrow"/>
                <w:b/>
                <w:bCs/>
                <w:i/>
                <w:iCs/>
                <w:sz w:val="20"/>
                <w:szCs w:val="20"/>
              </w:rPr>
              <w:t>Prescribing Instructions:</w:t>
            </w:r>
          </w:p>
          <w:p w14:paraId="5F995C1D" w14:textId="77777777" w:rsidR="000706E9" w:rsidRPr="00180DBE" w:rsidRDefault="000706E9">
            <w:pPr>
              <w:rPr>
                <w:rFonts w:ascii="Arial Narrow" w:hAnsi="Arial Narrow"/>
                <w:i/>
                <w:iCs/>
                <w:sz w:val="20"/>
                <w:szCs w:val="20"/>
              </w:rPr>
            </w:pPr>
            <w:r w:rsidRPr="0CEE6DE9">
              <w:rPr>
                <w:rFonts w:ascii="Arial Narrow" w:hAnsi="Arial Narrow"/>
                <w:i/>
                <w:iCs/>
                <w:sz w:val="20"/>
                <w:szCs w:val="20"/>
              </w:rPr>
              <w:t>If a patient fails to demonstrate a response to treatment with this drug under this restriction they will not be eligible to receive further PBS-subsidised treatment with this drug for this condition within this treatment cycle.</w:t>
            </w:r>
          </w:p>
        </w:tc>
      </w:tr>
      <w:tr w:rsidR="000706E9" w:rsidRPr="00645DEA" w14:paraId="5A44CAC9"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9F0937D" w14:textId="7467FFE4" w:rsidR="000706E9" w:rsidRPr="00180DBE"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570A2F" w14:textId="77777777" w:rsidR="000706E9" w:rsidRPr="00180DBE" w:rsidRDefault="000706E9">
            <w:pPr>
              <w:rPr>
                <w:rFonts w:ascii="Arial Narrow" w:hAnsi="Arial Narrow"/>
                <w:b/>
                <w:bCs/>
                <w:i/>
                <w:iCs/>
                <w:sz w:val="20"/>
                <w:szCs w:val="20"/>
              </w:rPr>
            </w:pPr>
            <w:r w:rsidRPr="00180DBE">
              <w:rPr>
                <w:rFonts w:ascii="Arial Narrow" w:hAnsi="Arial Narrow"/>
                <w:b/>
                <w:bCs/>
                <w:i/>
                <w:iCs/>
                <w:sz w:val="20"/>
                <w:szCs w:val="20"/>
              </w:rPr>
              <w:t>Prescribing Instructions:</w:t>
            </w:r>
          </w:p>
          <w:p w14:paraId="1F2E9CDF" w14:textId="77777777" w:rsidR="000706E9" w:rsidRPr="00180DBE" w:rsidRDefault="000706E9">
            <w:pPr>
              <w:rPr>
                <w:rFonts w:ascii="Arial Narrow" w:hAnsi="Arial Narrow"/>
                <w:i/>
                <w:iCs/>
                <w:sz w:val="20"/>
                <w:szCs w:val="20"/>
              </w:rPr>
            </w:pPr>
            <w:r w:rsidRPr="00180DBE">
              <w:rPr>
                <w:rFonts w:ascii="Arial Narrow" w:hAnsi="Arial Narrow"/>
                <w:i/>
                <w:iCs/>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0706E9" w:rsidRPr="00176170" w14:paraId="02D0D63E"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CB27995" w14:textId="75B6AA91" w:rsidR="000706E9" w:rsidRPr="00176170"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EF18DB" w14:textId="77777777" w:rsidR="000706E9" w:rsidRPr="00176170" w:rsidRDefault="000706E9">
            <w:pPr>
              <w:rPr>
                <w:rFonts w:ascii="Arial Narrow" w:hAnsi="Arial Narrow"/>
                <w:b/>
                <w:bCs/>
                <w:strike/>
                <w:sz w:val="20"/>
                <w:szCs w:val="20"/>
              </w:rPr>
            </w:pPr>
            <w:r w:rsidRPr="00176170">
              <w:rPr>
                <w:rFonts w:ascii="Arial Narrow" w:hAnsi="Arial Narrow"/>
                <w:b/>
                <w:bCs/>
                <w:strike/>
                <w:sz w:val="20"/>
                <w:szCs w:val="20"/>
              </w:rPr>
              <w:t>Administrative Advice:</w:t>
            </w:r>
          </w:p>
          <w:p w14:paraId="60994739" w14:textId="77777777" w:rsidR="000706E9" w:rsidRPr="00176170" w:rsidRDefault="000706E9">
            <w:pPr>
              <w:rPr>
                <w:rFonts w:ascii="Arial Narrow" w:hAnsi="Arial Narrow"/>
                <w:strike/>
                <w:sz w:val="20"/>
                <w:szCs w:val="20"/>
              </w:rPr>
            </w:pPr>
            <w:r w:rsidRPr="00176170">
              <w:rPr>
                <w:rFonts w:ascii="Arial Narrow" w:hAnsi="Arial Narrow"/>
                <w:strike/>
                <w:sz w:val="20"/>
                <w:szCs w:val="20"/>
              </w:rPr>
              <w:t>Any queries concerning the arrangements to prescribe may be directed to Services Australia on 1800 700 270 (hours of operation 8 a.m. to 5 p.m. Monday to Friday).</w:t>
            </w:r>
          </w:p>
          <w:p w14:paraId="734E425A" w14:textId="77777777" w:rsidR="000706E9" w:rsidRPr="00176170" w:rsidRDefault="000706E9">
            <w:pPr>
              <w:rPr>
                <w:rFonts w:ascii="Arial Narrow" w:hAnsi="Arial Narrow"/>
                <w:strike/>
                <w:sz w:val="20"/>
                <w:szCs w:val="20"/>
              </w:rPr>
            </w:pPr>
            <w:r w:rsidRPr="00176170">
              <w:rPr>
                <w:rFonts w:ascii="Arial Narrow" w:hAnsi="Arial Narrow"/>
                <w:strike/>
                <w:sz w:val="20"/>
                <w:szCs w:val="20"/>
              </w:rPr>
              <w:t>Prescribing information (including Authority Application forms and other relevant documentation as applicable) is available on the Services Australia website at www.servicesaustralia.gov.au</w:t>
            </w:r>
          </w:p>
          <w:p w14:paraId="1C545F13" w14:textId="77777777" w:rsidR="000706E9" w:rsidRPr="00176170" w:rsidRDefault="000706E9">
            <w:pPr>
              <w:rPr>
                <w:rFonts w:ascii="Arial Narrow" w:hAnsi="Arial Narrow"/>
                <w:strike/>
                <w:sz w:val="20"/>
                <w:szCs w:val="20"/>
              </w:rPr>
            </w:pPr>
            <w:r w:rsidRPr="0CEE6DE9">
              <w:rPr>
                <w:rFonts w:ascii="Arial Narrow" w:hAnsi="Arial Narrow"/>
                <w:strike/>
                <w:sz w:val="20"/>
                <w:szCs w:val="20"/>
              </w:rPr>
              <w:t>Applications for authority to prescribe should be submitted online using the form upload facility in Health Professional Online Services (HPOS) at www.servicesaustralia.gov.au/hpos</w:t>
            </w:r>
          </w:p>
          <w:p w14:paraId="6BD0106D" w14:textId="77777777" w:rsidR="000706E9" w:rsidRPr="00176170" w:rsidRDefault="000706E9">
            <w:pPr>
              <w:rPr>
                <w:rFonts w:ascii="Arial Narrow" w:hAnsi="Arial Narrow"/>
                <w:strike/>
                <w:sz w:val="20"/>
                <w:szCs w:val="20"/>
              </w:rPr>
            </w:pPr>
            <w:r w:rsidRPr="00176170">
              <w:rPr>
                <w:rFonts w:ascii="Arial Narrow" w:hAnsi="Arial Narrow"/>
                <w:strike/>
                <w:sz w:val="20"/>
                <w:szCs w:val="20"/>
              </w:rPr>
              <w:t>Or mailed to:</w:t>
            </w:r>
          </w:p>
          <w:p w14:paraId="28130C1A" w14:textId="77777777" w:rsidR="000706E9" w:rsidRPr="00176170" w:rsidRDefault="000706E9">
            <w:pPr>
              <w:rPr>
                <w:rFonts w:ascii="Arial Narrow" w:hAnsi="Arial Narrow"/>
                <w:strike/>
                <w:sz w:val="20"/>
                <w:szCs w:val="20"/>
              </w:rPr>
            </w:pPr>
            <w:r w:rsidRPr="00176170">
              <w:rPr>
                <w:rFonts w:ascii="Arial Narrow" w:hAnsi="Arial Narrow"/>
                <w:strike/>
                <w:sz w:val="20"/>
                <w:szCs w:val="20"/>
              </w:rPr>
              <w:t>Services Australia</w:t>
            </w:r>
          </w:p>
          <w:p w14:paraId="7DC40780" w14:textId="77777777" w:rsidR="000706E9" w:rsidRPr="00176170" w:rsidRDefault="000706E9">
            <w:pPr>
              <w:rPr>
                <w:rFonts w:ascii="Arial Narrow" w:hAnsi="Arial Narrow"/>
                <w:strike/>
                <w:sz w:val="20"/>
                <w:szCs w:val="20"/>
              </w:rPr>
            </w:pPr>
            <w:r w:rsidRPr="00176170">
              <w:rPr>
                <w:rFonts w:ascii="Arial Narrow" w:hAnsi="Arial Narrow"/>
                <w:strike/>
                <w:sz w:val="20"/>
                <w:szCs w:val="20"/>
              </w:rPr>
              <w:t>Complex Drugs</w:t>
            </w:r>
          </w:p>
          <w:p w14:paraId="6460B355" w14:textId="77777777" w:rsidR="000706E9" w:rsidRPr="00176170" w:rsidRDefault="000706E9">
            <w:pPr>
              <w:rPr>
                <w:rFonts w:ascii="Arial Narrow" w:hAnsi="Arial Narrow"/>
                <w:strike/>
                <w:sz w:val="20"/>
                <w:szCs w:val="20"/>
              </w:rPr>
            </w:pPr>
            <w:r w:rsidRPr="00176170">
              <w:rPr>
                <w:rFonts w:ascii="Arial Narrow" w:hAnsi="Arial Narrow"/>
                <w:strike/>
                <w:sz w:val="20"/>
                <w:szCs w:val="20"/>
              </w:rPr>
              <w:t>Reply Paid 9826</w:t>
            </w:r>
          </w:p>
          <w:p w14:paraId="6CCCAB34" w14:textId="77777777" w:rsidR="000706E9" w:rsidRPr="00176170" w:rsidRDefault="000706E9">
            <w:pPr>
              <w:rPr>
                <w:rFonts w:ascii="Arial Narrow" w:hAnsi="Arial Narrow"/>
                <w:strike/>
                <w:sz w:val="20"/>
                <w:szCs w:val="20"/>
              </w:rPr>
            </w:pPr>
            <w:r w:rsidRPr="00176170">
              <w:rPr>
                <w:rFonts w:ascii="Arial Narrow" w:hAnsi="Arial Narrow"/>
                <w:strike/>
                <w:sz w:val="20"/>
                <w:szCs w:val="20"/>
              </w:rPr>
              <w:t>HOBART TAS 7001</w:t>
            </w:r>
          </w:p>
        </w:tc>
      </w:tr>
    </w:tbl>
    <w:p w14:paraId="2966D2F2" w14:textId="77777777" w:rsidR="000706E9" w:rsidRPr="00B832EE" w:rsidRDefault="000706E9" w:rsidP="00365FCC">
      <w:pPr>
        <w:pStyle w:val="TableFigureFooter"/>
        <w:spacing w:after="0"/>
      </w:pPr>
    </w:p>
    <w:p w14:paraId="492B5F1F" w14:textId="77777777" w:rsidR="000706E9" w:rsidRPr="00087A3C" w:rsidRDefault="000706E9" w:rsidP="000706E9">
      <w:pPr>
        <w:pStyle w:val="4-SubsectionHeading"/>
        <w:spacing w:after="0"/>
      </w:pPr>
      <w:r w:rsidRPr="00087A3C">
        <w:t>Severe psoriatic arthritis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severe psoriatic arthritis"/>
        <w:tblDescription w:val="Changes to restriction type and prescribing information&#10;Removal of administrative advice"/>
      </w:tblPr>
      <w:tblGrid>
        <w:gridCol w:w="1271"/>
        <w:gridCol w:w="2552"/>
        <w:gridCol w:w="927"/>
        <w:gridCol w:w="812"/>
        <w:gridCol w:w="811"/>
        <w:gridCol w:w="812"/>
        <w:gridCol w:w="1831"/>
      </w:tblGrid>
      <w:tr w:rsidR="000706E9" w:rsidRPr="005E1044" w14:paraId="55F73746" w14:textId="77777777">
        <w:trPr>
          <w:cantSplit/>
          <w:trHeight w:val="20"/>
        </w:trPr>
        <w:tc>
          <w:tcPr>
            <w:tcW w:w="3823" w:type="dxa"/>
            <w:gridSpan w:val="2"/>
            <w:vAlign w:val="center"/>
          </w:tcPr>
          <w:p w14:paraId="1FED05A0" w14:textId="77777777" w:rsidR="000706E9" w:rsidRPr="005E1044" w:rsidRDefault="000706E9">
            <w:pPr>
              <w:keepLines/>
              <w:rPr>
                <w:rFonts w:ascii="Arial Narrow" w:hAnsi="Arial Narrow" w:cs="Arial"/>
                <w:b/>
                <w:bCs/>
                <w:sz w:val="20"/>
                <w:szCs w:val="20"/>
              </w:rPr>
            </w:pPr>
            <w:r w:rsidRPr="005E1044">
              <w:rPr>
                <w:rFonts w:ascii="Arial Narrow" w:hAnsi="Arial Narrow" w:cs="Arial"/>
                <w:b/>
                <w:bCs/>
                <w:sz w:val="20"/>
                <w:szCs w:val="20"/>
              </w:rPr>
              <w:t>MEDICINAL PRODUCT</w:t>
            </w:r>
          </w:p>
          <w:p w14:paraId="62FD8B09" w14:textId="77777777" w:rsidR="000706E9" w:rsidRPr="005E1044" w:rsidRDefault="000706E9">
            <w:pPr>
              <w:keepLines/>
              <w:rPr>
                <w:rFonts w:ascii="Arial Narrow" w:hAnsi="Arial Narrow" w:cs="Arial"/>
                <w:b/>
                <w:sz w:val="20"/>
                <w:szCs w:val="20"/>
              </w:rPr>
            </w:pPr>
            <w:r w:rsidRPr="005E1044">
              <w:rPr>
                <w:rFonts w:ascii="Arial Narrow" w:hAnsi="Arial Narrow" w:cs="Arial"/>
                <w:b/>
                <w:bCs/>
                <w:sz w:val="20"/>
                <w:szCs w:val="20"/>
              </w:rPr>
              <w:t>medicinal product pack</w:t>
            </w:r>
          </w:p>
        </w:tc>
        <w:tc>
          <w:tcPr>
            <w:tcW w:w="927" w:type="dxa"/>
            <w:vAlign w:val="center"/>
          </w:tcPr>
          <w:p w14:paraId="33CBD626" w14:textId="77777777" w:rsidR="000706E9" w:rsidRPr="005E1044" w:rsidRDefault="000706E9">
            <w:pPr>
              <w:keepLines/>
              <w:jc w:val="center"/>
              <w:rPr>
                <w:rFonts w:ascii="Arial Narrow" w:hAnsi="Arial Narrow" w:cs="Arial"/>
                <w:b/>
                <w:sz w:val="20"/>
                <w:szCs w:val="20"/>
              </w:rPr>
            </w:pPr>
            <w:r w:rsidRPr="005E1044">
              <w:rPr>
                <w:rFonts w:ascii="Arial Narrow" w:hAnsi="Arial Narrow" w:cs="Arial"/>
                <w:b/>
                <w:sz w:val="20"/>
                <w:szCs w:val="20"/>
              </w:rPr>
              <w:t>PBS item code</w:t>
            </w:r>
          </w:p>
        </w:tc>
        <w:tc>
          <w:tcPr>
            <w:tcW w:w="812" w:type="dxa"/>
            <w:vAlign w:val="center"/>
          </w:tcPr>
          <w:p w14:paraId="2DE34FA4" w14:textId="77777777" w:rsidR="000706E9" w:rsidRPr="005E1044" w:rsidRDefault="000706E9">
            <w:pPr>
              <w:keepLines/>
              <w:jc w:val="center"/>
              <w:rPr>
                <w:rFonts w:ascii="Arial Narrow" w:hAnsi="Arial Narrow" w:cs="Arial"/>
                <w:b/>
                <w:sz w:val="20"/>
                <w:szCs w:val="20"/>
              </w:rPr>
            </w:pPr>
            <w:r w:rsidRPr="005E1044">
              <w:rPr>
                <w:rFonts w:ascii="Arial Narrow" w:hAnsi="Arial Narrow" w:cs="Arial"/>
                <w:b/>
                <w:sz w:val="20"/>
                <w:szCs w:val="20"/>
              </w:rPr>
              <w:t>Max. qty packs</w:t>
            </w:r>
          </w:p>
        </w:tc>
        <w:tc>
          <w:tcPr>
            <w:tcW w:w="811" w:type="dxa"/>
            <w:vAlign w:val="center"/>
          </w:tcPr>
          <w:p w14:paraId="04730645" w14:textId="77777777" w:rsidR="000706E9" w:rsidRPr="005E1044" w:rsidRDefault="000706E9">
            <w:pPr>
              <w:keepLines/>
              <w:jc w:val="center"/>
              <w:rPr>
                <w:rFonts w:ascii="Arial Narrow" w:hAnsi="Arial Narrow" w:cs="Arial"/>
                <w:b/>
                <w:sz w:val="20"/>
                <w:szCs w:val="20"/>
              </w:rPr>
            </w:pPr>
            <w:r w:rsidRPr="005E1044">
              <w:rPr>
                <w:rFonts w:ascii="Arial Narrow" w:hAnsi="Arial Narrow" w:cs="Arial"/>
                <w:b/>
                <w:sz w:val="20"/>
                <w:szCs w:val="20"/>
              </w:rPr>
              <w:t>Max. qty units</w:t>
            </w:r>
          </w:p>
        </w:tc>
        <w:tc>
          <w:tcPr>
            <w:tcW w:w="812" w:type="dxa"/>
            <w:vAlign w:val="center"/>
          </w:tcPr>
          <w:p w14:paraId="4BC447AD" w14:textId="77777777" w:rsidR="000706E9" w:rsidRPr="005E1044" w:rsidRDefault="000706E9">
            <w:pPr>
              <w:keepLines/>
              <w:jc w:val="center"/>
              <w:rPr>
                <w:rFonts w:ascii="Arial Narrow" w:hAnsi="Arial Narrow" w:cs="Arial"/>
                <w:b/>
                <w:bCs/>
                <w:sz w:val="20"/>
                <w:szCs w:val="20"/>
              </w:rPr>
            </w:pPr>
            <w:r w:rsidRPr="0CEE6DE9">
              <w:rPr>
                <w:rFonts w:ascii="Arial Narrow" w:hAnsi="Arial Narrow" w:cs="Arial"/>
                <w:b/>
                <w:bCs/>
                <w:sz w:val="20"/>
                <w:szCs w:val="20"/>
              </w:rPr>
              <w:t>№.of</w:t>
            </w:r>
          </w:p>
          <w:p w14:paraId="43FEA40B" w14:textId="77777777" w:rsidR="000706E9" w:rsidRPr="005E1044" w:rsidRDefault="000706E9">
            <w:pPr>
              <w:keepLines/>
              <w:jc w:val="center"/>
              <w:rPr>
                <w:rFonts w:ascii="Arial Narrow" w:hAnsi="Arial Narrow" w:cs="Arial"/>
                <w:b/>
                <w:bCs/>
                <w:sz w:val="20"/>
                <w:szCs w:val="20"/>
              </w:rPr>
            </w:pPr>
            <w:r w:rsidRPr="0CEE6DE9">
              <w:rPr>
                <w:rFonts w:ascii="Arial Narrow" w:hAnsi="Arial Narrow" w:cs="Arial"/>
                <w:b/>
                <w:bCs/>
                <w:sz w:val="20"/>
                <w:szCs w:val="20"/>
              </w:rPr>
              <w:t>Rpts</w:t>
            </w:r>
          </w:p>
        </w:tc>
        <w:tc>
          <w:tcPr>
            <w:tcW w:w="1831" w:type="dxa"/>
            <w:vAlign w:val="center"/>
          </w:tcPr>
          <w:p w14:paraId="1AE81EED" w14:textId="77777777" w:rsidR="000706E9" w:rsidRPr="005E1044" w:rsidRDefault="000706E9">
            <w:pPr>
              <w:keepLines/>
              <w:rPr>
                <w:rFonts w:ascii="Arial Narrow" w:hAnsi="Arial Narrow" w:cs="Arial"/>
                <w:b/>
                <w:sz w:val="20"/>
                <w:szCs w:val="20"/>
                <w:lang w:val="fr-FR"/>
              </w:rPr>
            </w:pPr>
            <w:r w:rsidRPr="005E1044">
              <w:rPr>
                <w:rFonts w:ascii="Arial Narrow" w:hAnsi="Arial Narrow" w:cs="Arial"/>
                <w:b/>
                <w:sz w:val="20"/>
                <w:szCs w:val="20"/>
              </w:rPr>
              <w:t>Available brands</w:t>
            </w:r>
          </w:p>
        </w:tc>
      </w:tr>
      <w:tr w:rsidR="000706E9" w:rsidRPr="005E1044" w14:paraId="75B52CC9" w14:textId="77777777">
        <w:trPr>
          <w:cantSplit/>
          <w:trHeight w:val="20"/>
        </w:trPr>
        <w:tc>
          <w:tcPr>
            <w:tcW w:w="9016" w:type="dxa"/>
            <w:gridSpan w:val="7"/>
            <w:vAlign w:val="center"/>
          </w:tcPr>
          <w:p w14:paraId="081055B8" w14:textId="77777777" w:rsidR="000706E9" w:rsidRPr="005E1044" w:rsidRDefault="000706E9">
            <w:pPr>
              <w:keepLines/>
              <w:rPr>
                <w:rFonts w:ascii="Arial Narrow" w:hAnsi="Arial Narrow" w:cs="Arial"/>
                <w:sz w:val="20"/>
                <w:szCs w:val="20"/>
              </w:rPr>
            </w:pPr>
            <w:r w:rsidRPr="005E1044">
              <w:rPr>
                <w:rFonts w:ascii="Arial Narrow" w:hAnsi="Arial Narrow" w:cs="Arial"/>
                <w:sz w:val="20"/>
                <w:szCs w:val="20"/>
              </w:rPr>
              <w:t>INFLIXIMAB</w:t>
            </w:r>
          </w:p>
        </w:tc>
      </w:tr>
      <w:tr w:rsidR="000706E9" w:rsidRPr="005E1044" w14:paraId="63CD476C" w14:textId="77777777">
        <w:trPr>
          <w:cantSplit/>
          <w:trHeight w:val="20"/>
        </w:trPr>
        <w:tc>
          <w:tcPr>
            <w:tcW w:w="3823" w:type="dxa"/>
            <w:gridSpan w:val="2"/>
            <w:vAlign w:val="center"/>
          </w:tcPr>
          <w:p w14:paraId="42841D05" w14:textId="77777777" w:rsidR="000706E9" w:rsidRPr="005E1044" w:rsidRDefault="000706E9">
            <w:pPr>
              <w:keepLines/>
              <w:rPr>
                <w:rFonts w:ascii="Arial Narrow" w:hAnsi="Arial Narrow" w:cs="Arial"/>
                <w:sz w:val="20"/>
                <w:szCs w:val="20"/>
              </w:rPr>
            </w:pPr>
            <w:r w:rsidRPr="005E1044">
              <w:rPr>
                <w:rFonts w:ascii="Arial Narrow" w:hAnsi="Arial Narrow" w:cs="Arial"/>
                <w:sz w:val="20"/>
                <w:szCs w:val="20"/>
              </w:rPr>
              <w:t>infliximab 120 mg/mL injection, 1 mL pen device</w:t>
            </w:r>
          </w:p>
        </w:tc>
        <w:tc>
          <w:tcPr>
            <w:tcW w:w="927" w:type="dxa"/>
            <w:vAlign w:val="center"/>
          </w:tcPr>
          <w:p w14:paraId="615A2859"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13054C</w:t>
            </w:r>
          </w:p>
        </w:tc>
        <w:tc>
          <w:tcPr>
            <w:tcW w:w="812" w:type="dxa"/>
          </w:tcPr>
          <w:p w14:paraId="5ACACEDF"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2</w:t>
            </w:r>
          </w:p>
        </w:tc>
        <w:tc>
          <w:tcPr>
            <w:tcW w:w="811" w:type="dxa"/>
          </w:tcPr>
          <w:p w14:paraId="316F3A79"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2</w:t>
            </w:r>
          </w:p>
        </w:tc>
        <w:tc>
          <w:tcPr>
            <w:tcW w:w="812" w:type="dxa"/>
          </w:tcPr>
          <w:p w14:paraId="1322F84B"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5</w:t>
            </w:r>
          </w:p>
        </w:tc>
        <w:tc>
          <w:tcPr>
            <w:tcW w:w="1831" w:type="dxa"/>
            <w:vAlign w:val="center"/>
          </w:tcPr>
          <w:p w14:paraId="3F9C21E6" w14:textId="77777777" w:rsidR="000706E9" w:rsidRPr="005E1044"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5E1044" w14:paraId="7FC6F4D7" w14:textId="77777777">
        <w:trPr>
          <w:cantSplit/>
          <w:trHeight w:val="20"/>
        </w:trPr>
        <w:tc>
          <w:tcPr>
            <w:tcW w:w="3823" w:type="dxa"/>
            <w:gridSpan w:val="2"/>
            <w:vAlign w:val="center"/>
          </w:tcPr>
          <w:p w14:paraId="5539F664" w14:textId="77777777" w:rsidR="000706E9" w:rsidRPr="005E1044" w:rsidRDefault="000706E9">
            <w:pPr>
              <w:keepLines/>
              <w:rPr>
                <w:rFonts w:ascii="Arial Narrow" w:hAnsi="Arial Narrow" w:cs="Arial"/>
                <w:sz w:val="20"/>
                <w:szCs w:val="20"/>
              </w:rPr>
            </w:pPr>
            <w:r w:rsidRPr="005E1044">
              <w:rPr>
                <w:rFonts w:ascii="Arial Narrow" w:hAnsi="Arial Narrow" w:cs="Arial"/>
                <w:sz w:val="20"/>
                <w:szCs w:val="20"/>
              </w:rPr>
              <w:t>infliximab 120 mg/mL injection, 1 mL syringe</w:t>
            </w:r>
          </w:p>
        </w:tc>
        <w:tc>
          <w:tcPr>
            <w:tcW w:w="927" w:type="dxa"/>
            <w:vAlign w:val="center"/>
          </w:tcPr>
          <w:p w14:paraId="2BAE3358"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13047Q</w:t>
            </w:r>
          </w:p>
        </w:tc>
        <w:tc>
          <w:tcPr>
            <w:tcW w:w="812" w:type="dxa"/>
            <w:vAlign w:val="center"/>
          </w:tcPr>
          <w:p w14:paraId="54F488B7"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2</w:t>
            </w:r>
          </w:p>
        </w:tc>
        <w:tc>
          <w:tcPr>
            <w:tcW w:w="811" w:type="dxa"/>
            <w:vAlign w:val="center"/>
          </w:tcPr>
          <w:p w14:paraId="442DB4D7"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2</w:t>
            </w:r>
          </w:p>
        </w:tc>
        <w:tc>
          <w:tcPr>
            <w:tcW w:w="812" w:type="dxa"/>
            <w:vAlign w:val="center"/>
          </w:tcPr>
          <w:p w14:paraId="287F6636"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5</w:t>
            </w:r>
          </w:p>
        </w:tc>
        <w:tc>
          <w:tcPr>
            <w:tcW w:w="1831" w:type="dxa"/>
            <w:vAlign w:val="center"/>
          </w:tcPr>
          <w:p w14:paraId="3A80F1BF" w14:textId="77777777" w:rsidR="000706E9" w:rsidRPr="005E1044"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5E1044" w14:paraId="70274BED"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EABCEC0" w14:textId="77777777" w:rsidR="000706E9" w:rsidRPr="005E1044" w:rsidRDefault="000706E9">
            <w:pPr>
              <w:rPr>
                <w:rFonts w:ascii="Arial Narrow" w:hAnsi="Arial Narrow" w:cs="Arial"/>
                <w:sz w:val="20"/>
                <w:szCs w:val="20"/>
              </w:rPr>
            </w:pPr>
          </w:p>
        </w:tc>
      </w:tr>
      <w:tr w:rsidR="000706E9" w:rsidRPr="005E1044" w14:paraId="345B6060"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E98BB6F" w14:textId="0BEDFC89" w:rsidR="000706E9" w:rsidRPr="005E1044" w:rsidRDefault="000706E9">
            <w:pPr>
              <w:keepLines/>
              <w:rPr>
                <w:rFonts w:ascii="Arial Narrow" w:hAnsi="Arial Narrow" w:cs="Arial"/>
                <w:b/>
                <w:sz w:val="20"/>
                <w:szCs w:val="20"/>
              </w:rPr>
            </w:pPr>
            <w:r w:rsidRPr="005E1044">
              <w:rPr>
                <w:rFonts w:ascii="Arial Narrow" w:hAnsi="Arial Narrow"/>
                <w:b/>
                <w:sz w:val="20"/>
                <w:szCs w:val="20"/>
              </w:rPr>
              <w:t xml:space="preserve">Restriction Summary / Treatment of Concept: </w:t>
            </w:r>
          </w:p>
        </w:tc>
      </w:tr>
      <w:tr w:rsidR="000706E9" w:rsidRPr="005E1044" w14:paraId="38600639"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308D0E8E" w14:textId="7BEDF53E" w:rsidR="000706E9" w:rsidRPr="005E1044" w:rsidRDefault="000706E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E742299" w14:textId="77777777" w:rsidR="000706E9" w:rsidRPr="005E1044" w:rsidRDefault="000706E9">
            <w:pPr>
              <w:keepLines/>
              <w:rPr>
                <w:rFonts w:ascii="Arial Narrow" w:hAnsi="Arial Narrow" w:cs="Arial"/>
                <w:sz w:val="20"/>
                <w:szCs w:val="20"/>
              </w:rPr>
            </w:pPr>
            <w:r w:rsidRPr="005E1044">
              <w:rPr>
                <w:rFonts w:ascii="Arial Narrow" w:hAnsi="Arial Narrow" w:cs="Arial"/>
                <w:b/>
                <w:sz w:val="20"/>
                <w:szCs w:val="20"/>
              </w:rPr>
              <w:t>Category / Program:</w:t>
            </w:r>
            <w:r w:rsidRPr="005E1044">
              <w:rPr>
                <w:rFonts w:ascii="Arial Narrow" w:hAnsi="Arial Narrow" w:cs="Arial"/>
                <w:color w:val="FF0000"/>
                <w:sz w:val="20"/>
                <w:szCs w:val="20"/>
              </w:rPr>
              <w:t xml:space="preserve"> </w:t>
            </w:r>
            <w:r w:rsidRPr="005E1044">
              <w:rPr>
                <w:rFonts w:ascii="Arial Narrow" w:eastAsia="Calibri" w:hAnsi="Arial Narrow" w:cs="Arial"/>
                <w:sz w:val="20"/>
                <w:szCs w:val="20"/>
              </w:rPr>
              <w:t xml:space="preserve">GENERAL - General Schedule (Code GE) </w:t>
            </w:r>
          </w:p>
        </w:tc>
      </w:tr>
      <w:tr w:rsidR="000706E9" w:rsidRPr="005E1044" w14:paraId="78F8891A" w14:textId="77777777">
        <w:tblPrEx>
          <w:tblCellMar>
            <w:top w:w="15" w:type="dxa"/>
            <w:bottom w:w="15" w:type="dxa"/>
          </w:tblCellMar>
          <w:tblLook w:val="04A0" w:firstRow="1" w:lastRow="0" w:firstColumn="1" w:lastColumn="0" w:noHBand="0" w:noVBand="1"/>
        </w:tblPrEx>
        <w:trPr>
          <w:trHeight w:val="20"/>
        </w:trPr>
        <w:tc>
          <w:tcPr>
            <w:tcW w:w="1271" w:type="dxa"/>
            <w:vMerge/>
          </w:tcPr>
          <w:p w14:paraId="56DB8CDA" w14:textId="77777777" w:rsidR="000706E9" w:rsidRPr="005E1044"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FB7605C" w14:textId="77777777" w:rsidR="000706E9" w:rsidRPr="005E1044" w:rsidRDefault="000706E9">
            <w:pPr>
              <w:keepLines/>
              <w:rPr>
                <w:rFonts w:ascii="Arial Narrow" w:hAnsi="Arial Narrow" w:cs="Arial"/>
                <w:b/>
                <w:sz w:val="20"/>
                <w:szCs w:val="20"/>
              </w:rPr>
            </w:pPr>
            <w:r w:rsidRPr="005E1044">
              <w:rPr>
                <w:rFonts w:ascii="Arial Narrow" w:hAnsi="Arial Narrow" w:cs="Arial"/>
                <w:b/>
                <w:sz w:val="20"/>
                <w:szCs w:val="20"/>
              </w:rPr>
              <w:t xml:space="preserve">Prescriber type: </w:t>
            </w:r>
            <w:r w:rsidRPr="005E1044">
              <w:rPr>
                <w:rFonts w:ascii="Arial Narrow" w:hAnsi="Arial Narrow" w:cs="Arial"/>
                <w:sz w:val="20"/>
                <w:szCs w:val="20"/>
              </w:rPr>
              <w:fldChar w:fldCharType="begin" w:fldLock="1">
                <w:ffData>
                  <w:name w:val=""/>
                  <w:enabled/>
                  <w:calcOnExit w:val="0"/>
                  <w:checkBox>
                    <w:sizeAuto/>
                    <w:default w:val="1"/>
                  </w:checkBox>
                </w:ffData>
              </w:fldChar>
            </w:r>
            <w:r w:rsidRPr="005E1044">
              <w:rPr>
                <w:rFonts w:ascii="Arial Narrow" w:hAnsi="Arial Narrow" w:cs="Arial"/>
                <w:sz w:val="20"/>
                <w:szCs w:val="20"/>
              </w:rPr>
              <w:instrText xml:space="preserve"> FORMCHECKBOX </w:instrText>
            </w:r>
            <w:r w:rsidRPr="005E1044">
              <w:rPr>
                <w:rFonts w:ascii="Arial Narrow" w:hAnsi="Arial Narrow" w:cs="Arial"/>
                <w:sz w:val="20"/>
                <w:szCs w:val="20"/>
              </w:rPr>
            </w:r>
            <w:r w:rsidRPr="005E1044">
              <w:rPr>
                <w:rFonts w:ascii="Arial Narrow" w:hAnsi="Arial Narrow" w:cs="Arial"/>
                <w:sz w:val="20"/>
                <w:szCs w:val="20"/>
              </w:rPr>
              <w:fldChar w:fldCharType="separate"/>
            </w:r>
            <w:r w:rsidRPr="005E1044">
              <w:rPr>
                <w:rFonts w:ascii="Arial Narrow" w:hAnsi="Arial Narrow" w:cs="Arial"/>
                <w:sz w:val="20"/>
                <w:szCs w:val="20"/>
              </w:rPr>
              <w:fldChar w:fldCharType="end"/>
            </w:r>
            <w:r w:rsidRPr="005E1044">
              <w:rPr>
                <w:rFonts w:ascii="Arial Narrow" w:hAnsi="Arial Narrow" w:cs="Arial"/>
                <w:sz w:val="20"/>
                <w:szCs w:val="20"/>
              </w:rPr>
              <w:t xml:space="preserve">Medical Practitioners </w:t>
            </w:r>
          </w:p>
        </w:tc>
      </w:tr>
      <w:tr w:rsidR="000706E9" w:rsidRPr="005E1044" w14:paraId="36EBEC0D" w14:textId="77777777">
        <w:tblPrEx>
          <w:tblCellMar>
            <w:top w:w="15" w:type="dxa"/>
            <w:bottom w:w="15" w:type="dxa"/>
          </w:tblCellMar>
          <w:tblLook w:val="04A0" w:firstRow="1" w:lastRow="0" w:firstColumn="1" w:lastColumn="0" w:noHBand="0" w:noVBand="1"/>
        </w:tblPrEx>
        <w:trPr>
          <w:trHeight w:val="20"/>
        </w:trPr>
        <w:tc>
          <w:tcPr>
            <w:tcW w:w="1271" w:type="dxa"/>
            <w:vMerge/>
          </w:tcPr>
          <w:p w14:paraId="71B0A8EC" w14:textId="77777777" w:rsidR="000706E9" w:rsidRPr="005E1044"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14D56F4" w14:textId="77777777" w:rsidR="000706E9" w:rsidRPr="005E1044" w:rsidRDefault="000706E9">
            <w:pPr>
              <w:keepLines/>
              <w:rPr>
                <w:rFonts w:ascii="Arial Narrow" w:hAnsi="Arial Narrow" w:cs="Arial"/>
                <w:b/>
                <w:sz w:val="20"/>
                <w:szCs w:val="20"/>
              </w:rPr>
            </w:pPr>
            <w:r w:rsidRPr="005E1044">
              <w:rPr>
                <w:rFonts w:ascii="Arial Narrow" w:hAnsi="Arial Narrow" w:cs="Arial"/>
                <w:b/>
                <w:sz w:val="20"/>
                <w:szCs w:val="20"/>
              </w:rPr>
              <w:t xml:space="preserve">Restriction type: </w:t>
            </w:r>
          </w:p>
          <w:p w14:paraId="2F0D93CD" w14:textId="77777777" w:rsidR="000706E9" w:rsidRPr="005E1044" w:rsidRDefault="000706E9">
            <w:pPr>
              <w:keepLines/>
              <w:jc w:val="left"/>
              <w:rPr>
                <w:rFonts w:ascii="Arial Narrow" w:eastAsia="Calibri" w:hAnsi="Arial Narrow" w:cs="Arial"/>
                <w:color w:val="FF0000"/>
                <w:sz w:val="20"/>
                <w:szCs w:val="20"/>
              </w:rPr>
            </w:pPr>
            <w:r w:rsidRPr="005E1044">
              <w:rPr>
                <w:rFonts w:ascii="Arial Narrow" w:eastAsia="Calibri" w:hAnsi="Arial Narrow" w:cs="Arial"/>
                <w:sz w:val="20"/>
                <w:szCs w:val="20"/>
              </w:rPr>
              <w:fldChar w:fldCharType="begin" w:fldLock="1">
                <w:ffData>
                  <w:name w:val=""/>
                  <w:enabled/>
                  <w:calcOnExit w:val="0"/>
                  <w:checkBox>
                    <w:sizeAuto/>
                    <w:default w:val="1"/>
                  </w:checkBox>
                </w:ffData>
              </w:fldChar>
            </w:r>
            <w:r w:rsidRPr="005E1044">
              <w:rPr>
                <w:rFonts w:ascii="Arial Narrow" w:eastAsia="Calibri" w:hAnsi="Arial Narrow" w:cs="Arial"/>
                <w:sz w:val="20"/>
                <w:szCs w:val="20"/>
              </w:rPr>
              <w:instrText xml:space="preserve"> FORMCHECKBOX </w:instrText>
            </w:r>
            <w:r w:rsidRPr="005E1044">
              <w:rPr>
                <w:rFonts w:ascii="Arial Narrow" w:eastAsia="Calibri" w:hAnsi="Arial Narrow" w:cs="Arial"/>
                <w:sz w:val="20"/>
                <w:szCs w:val="20"/>
              </w:rPr>
            </w:r>
            <w:r w:rsidRPr="005E1044">
              <w:rPr>
                <w:rFonts w:ascii="Arial Narrow" w:eastAsia="Calibri" w:hAnsi="Arial Narrow" w:cs="Arial"/>
                <w:sz w:val="20"/>
                <w:szCs w:val="20"/>
              </w:rPr>
              <w:fldChar w:fldCharType="separate"/>
            </w:r>
            <w:r w:rsidRPr="005E1044">
              <w:rPr>
                <w:rFonts w:ascii="Arial Narrow" w:eastAsia="Calibri" w:hAnsi="Arial Narrow" w:cs="Arial"/>
                <w:sz w:val="20"/>
                <w:szCs w:val="20"/>
              </w:rPr>
              <w:fldChar w:fldCharType="end"/>
            </w:r>
            <w:r w:rsidRPr="005E1044">
              <w:rPr>
                <w:rFonts w:ascii="Arial Narrow" w:eastAsia="Calibri" w:hAnsi="Arial Narrow" w:cs="Arial"/>
                <w:i/>
                <w:iCs/>
                <w:sz w:val="20"/>
                <w:szCs w:val="20"/>
              </w:rPr>
              <w:t>Authority Required (Streamlined)</w:t>
            </w:r>
            <w:r w:rsidRPr="005E1044">
              <w:rPr>
                <w:rFonts w:ascii="Arial Narrow" w:eastAsia="Calibri" w:hAnsi="Arial Narrow" w:cs="Arial"/>
                <w:sz w:val="20"/>
                <w:szCs w:val="20"/>
              </w:rPr>
              <w:t xml:space="preserve"> </w:t>
            </w:r>
            <w:r w:rsidRPr="005E1044">
              <w:rPr>
                <w:rFonts w:ascii="Arial Narrow" w:eastAsia="Calibri" w:hAnsi="Arial Narrow" w:cs="Arial"/>
                <w:color w:val="FF0000"/>
                <w:sz w:val="20"/>
                <w:szCs w:val="20"/>
              </w:rPr>
              <w:br/>
            </w:r>
            <w:r w:rsidRPr="005E1044">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5E1044">
              <w:rPr>
                <w:rFonts w:ascii="Arial Narrow" w:eastAsia="Calibri" w:hAnsi="Arial Narrow" w:cs="Arial"/>
                <w:strike/>
                <w:sz w:val="20"/>
                <w:szCs w:val="20"/>
              </w:rPr>
              <w:instrText xml:space="preserve"> FORMCHECKBOX </w:instrText>
            </w:r>
            <w:r w:rsidRPr="005E1044">
              <w:rPr>
                <w:rFonts w:ascii="Arial Narrow" w:eastAsia="Calibri" w:hAnsi="Arial Narrow" w:cs="Arial"/>
                <w:strike/>
                <w:sz w:val="20"/>
                <w:szCs w:val="20"/>
              </w:rPr>
            </w:r>
            <w:r w:rsidRPr="005E1044">
              <w:rPr>
                <w:rFonts w:ascii="Arial Narrow" w:eastAsia="Calibri" w:hAnsi="Arial Narrow" w:cs="Arial"/>
                <w:strike/>
                <w:sz w:val="20"/>
                <w:szCs w:val="20"/>
              </w:rPr>
              <w:fldChar w:fldCharType="separate"/>
            </w:r>
            <w:r w:rsidRPr="005E1044">
              <w:rPr>
                <w:rFonts w:ascii="Arial Narrow" w:eastAsia="Calibri" w:hAnsi="Arial Narrow" w:cs="Arial"/>
                <w:strike/>
                <w:sz w:val="20"/>
                <w:szCs w:val="20"/>
              </w:rPr>
              <w:fldChar w:fldCharType="end"/>
            </w:r>
            <w:r w:rsidRPr="005E1044">
              <w:rPr>
                <w:rFonts w:ascii="Arial Narrow" w:eastAsia="Calibri" w:hAnsi="Arial Narrow" w:cs="Arial"/>
                <w:strike/>
                <w:sz w:val="20"/>
                <w:szCs w:val="20"/>
              </w:rPr>
              <w:t xml:space="preserve">Authority Required (in writing only via post/HPOS upload) </w:t>
            </w:r>
          </w:p>
        </w:tc>
      </w:tr>
      <w:tr w:rsidR="000706E9" w:rsidRPr="005E1044" w14:paraId="38BC2646" w14:textId="77777777" w:rsidTr="00365FCC">
        <w:tblPrEx>
          <w:tblCellMar>
            <w:top w:w="15" w:type="dxa"/>
            <w:bottom w:w="15" w:type="dxa"/>
          </w:tblCellMar>
        </w:tblPrEx>
        <w:trPr>
          <w:cantSplit/>
          <w:trHeight w:val="20"/>
        </w:trPr>
        <w:tc>
          <w:tcPr>
            <w:tcW w:w="1271" w:type="dxa"/>
            <w:vAlign w:val="center"/>
          </w:tcPr>
          <w:p w14:paraId="13CB7AA1" w14:textId="72E643C8" w:rsidR="000706E9" w:rsidRPr="005E1044" w:rsidRDefault="000706E9">
            <w:pPr>
              <w:keepLines/>
              <w:jc w:val="center"/>
              <w:rPr>
                <w:rFonts w:ascii="Arial Narrow" w:hAnsi="Arial Narrow"/>
                <w:sz w:val="20"/>
                <w:szCs w:val="20"/>
              </w:rPr>
            </w:pPr>
          </w:p>
        </w:tc>
        <w:tc>
          <w:tcPr>
            <w:tcW w:w="7745" w:type="dxa"/>
            <w:gridSpan w:val="6"/>
            <w:vAlign w:val="center"/>
            <w:hideMark/>
          </w:tcPr>
          <w:p w14:paraId="002C260B" w14:textId="77777777" w:rsidR="000706E9" w:rsidRPr="005E1044" w:rsidRDefault="000706E9">
            <w:pPr>
              <w:keepLines/>
              <w:rPr>
                <w:rFonts w:ascii="Arial Narrow" w:hAnsi="Arial Narrow"/>
                <w:color w:val="333333"/>
                <w:sz w:val="20"/>
                <w:szCs w:val="20"/>
              </w:rPr>
            </w:pPr>
            <w:r w:rsidRPr="005E1044">
              <w:rPr>
                <w:rFonts w:ascii="Arial Narrow" w:hAnsi="Arial Narrow"/>
                <w:b/>
                <w:bCs/>
                <w:sz w:val="20"/>
                <w:szCs w:val="20"/>
              </w:rPr>
              <w:t>Indication:</w:t>
            </w:r>
            <w:r w:rsidRPr="005E1044">
              <w:rPr>
                <w:rFonts w:ascii="Arial Narrow" w:hAnsi="Arial Narrow"/>
                <w:sz w:val="20"/>
                <w:szCs w:val="20"/>
              </w:rPr>
              <w:t xml:space="preserve"> Severe psoriatic arthritis</w:t>
            </w:r>
          </w:p>
        </w:tc>
      </w:tr>
      <w:tr w:rsidR="000706E9" w:rsidRPr="005E1044" w14:paraId="72CE6CE3" w14:textId="77777777" w:rsidTr="00365FCC">
        <w:tblPrEx>
          <w:tblCellMar>
            <w:top w:w="15" w:type="dxa"/>
            <w:bottom w:w="15" w:type="dxa"/>
          </w:tblCellMar>
        </w:tblPrEx>
        <w:trPr>
          <w:cantSplit/>
          <w:trHeight w:val="20"/>
        </w:trPr>
        <w:tc>
          <w:tcPr>
            <w:tcW w:w="1271" w:type="dxa"/>
            <w:vAlign w:val="center"/>
          </w:tcPr>
          <w:p w14:paraId="251520B4" w14:textId="77777777" w:rsidR="000706E9" w:rsidRPr="005E1044" w:rsidRDefault="000706E9">
            <w:pPr>
              <w:jc w:val="center"/>
              <w:rPr>
                <w:rFonts w:ascii="Arial Narrow" w:hAnsi="Arial Narrow"/>
                <w:sz w:val="20"/>
                <w:szCs w:val="20"/>
              </w:rPr>
            </w:pPr>
          </w:p>
        </w:tc>
        <w:tc>
          <w:tcPr>
            <w:tcW w:w="7745" w:type="dxa"/>
            <w:gridSpan w:val="6"/>
            <w:vAlign w:val="center"/>
            <w:hideMark/>
          </w:tcPr>
          <w:p w14:paraId="36945004" w14:textId="77777777" w:rsidR="000706E9" w:rsidRPr="005E1044" w:rsidRDefault="000706E9">
            <w:pPr>
              <w:rPr>
                <w:rFonts w:ascii="Arial Narrow" w:hAnsi="Arial Narrow"/>
                <w:sz w:val="20"/>
                <w:szCs w:val="20"/>
              </w:rPr>
            </w:pPr>
            <w:r w:rsidRPr="005E1044">
              <w:rPr>
                <w:rFonts w:ascii="Arial Narrow" w:hAnsi="Arial Narrow"/>
                <w:b/>
                <w:bCs/>
                <w:sz w:val="20"/>
                <w:szCs w:val="20"/>
              </w:rPr>
              <w:t>Treatment Phase:</w:t>
            </w:r>
            <w:r w:rsidRPr="005E1044">
              <w:rPr>
                <w:rFonts w:ascii="Arial Narrow" w:hAnsi="Arial Narrow"/>
                <w:sz w:val="20"/>
                <w:szCs w:val="20"/>
              </w:rPr>
              <w:t xml:space="preserve"> Continuing treatment with subcutaneous form or switching from intravenous form to subcutaneous form</w:t>
            </w:r>
          </w:p>
        </w:tc>
      </w:tr>
      <w:tr w:rsidR="000706E9" w:rsidRPr="005E1044" w14:paraId="69C03C2D"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B7A9762" w14:textId="64C38AB6" w:rsidR="000706E9" w:rsidRPr="005E1044"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0E6A5C" w14:textId="77777777" w:rsidR="000706E9" w:rsidRPr="005E1044" w:rsidRDefault="000706E9">
            <w:pPr>
              <w:rPr>
                <w:rFonts w:ascii="Arial Narrow" w:hAnsi="Arial Narrow"/>
                <w:b/>
                <w:bCs/>
                <w:strike/>
                <w:sz w:val="20"/>
                <w:szCs w:val="20"/>
              </w:rPr>
            </w:pPr>
            <w:r w:rsidRPr="005E1044">
              <w:rPr>
                <w:rFonts w:ascii="Arial Narrow" w:hAnsi="Arial Narrow"/>
                <w:b/>
                <w:bCs/>
                <w:strike/>
                <w:sz w:val="20"/>
                <w:szCs w:val="20"/>
              </w:rPr>
              <w:t>Prescribing Instructions:</w:t>
            </w:r>
          </w:p>
          <w:p w14:paraId="79132A81"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The authority application must be made in writing and must include:</w:t>
            </w:r>
          </w:p>
          <w:p w14:paraId="6F5283F5"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(1) a completed authority prescription form; and</w:t>
            </w:r>
          </w:p>
          <w:p w14:paraId="4B9D39D3" w14:textId="77777777" w:rsidR="000706E9" w:rsidRPr="005E1044" w:rsidRDefault="000706E9">
            <w:pPr>
              <w:rPr>
                <w:rFonts w:ascii="Arial Narrow" w:hAnsi="Arial Narrow"/>
                <w:strike/>
                <w:sz w:val="20"/>
                <w:szCs w:val="20"/>
              </w:rPr>
            </w:pPr>
            <w:r w:rsidRPr="0CEE6DE9">
              <w:rPr>
                <w:rFonts w:ascii="Arial Narrow" w:hAnsi="Arial Narrow"/>
                <w:strike/>
                <w:sz w:val="20"/>
                <w:szCs w:val="20"/>
              </w:rPr>
              <w:t>(2) a completed authority application form relevant to the indication and treatment phase (the latest version is located on the website specified in the Administrative Advice).</w:t>
            </w:r>
          </w:p>
        </w:tc>
      </w:tr>
      <w:tr w:rsidR="000706E9" w:rsidRPr="005E1044" w14:paraId="76715F84"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ED1731A" w14:textId="7FA5F7F2" w:rsidR="000706E9" w:rsidRPr="005E1044"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395D60" w14:textId="77777777" w:rsidR="000706E9" w:rsidRPr="005E1044" w:rsidRDefault="000706E9">
            <w:pPr>
              <w:rPr>
                <w:rFonts w:ascii="Arial Narrow" w:hAnsi="Arial Narrow"/>
                <w:b/>
                <w:bCs/>
                <w:sz w:val="20"/>
                <w:szCs w:val="20"/>
              </w:rPr>
            </w:pPr>
            <w:r w:rsidRPr="005E1044">
              <w:rPr>
                <w:rFonts w:ascii="Arial Narrow" w:hAnsi="Arial Narrow"/>
                <w:b/>
                <w:bCs/>
                <w:sz w:val="20"/>
                <w:szCs w:val="20"/>
              </w:rPr>
              <w:t>Prescribing Instructions:</w:t>
            </w:r>
          </w:p>
          <w:p w14:paraId="77BFF6CD" w14:textId="77777777" w:rsidR="000706E9" w:rsidRPr="005E1044" w:rsidRDefault="000706E9">
            <w:pPr>
              <w:rPr>
                <w:rFonts w:ascii="Arial Narrow" w:hAnsi="Arial Narrow"/>
                <w:sz w:val="20"/>
                <w:szCs w:val="20"/>
              </w:rPr>
            </w:pPr>
            <w:r w:rsidRPr="005E1044">
              <w:rPr>
                <w:rFonts w:ascii="Arial Narrow" w:hAnsi="Arial Narrow"/>
                <w:sz w:val="20"/>
                <w:szCs w:val="20"/>
              </w:rPr>
              <w:t>An adequate response to treatment is defined as:</w:t>
            </w:r>
          </w:p>
          <w:p w14:paraId="1A6C08E4" w14:textId="77777777" w:rsidR="000706E9" w:rsidRPr="005E1044" w:rsidRDefault="000706E9">
            <w:pPr>
              <w:rPr>
                <w:rFonts w:ascii="Arial Narrow" w:hAnsi="Arial Narrow"/>
                <w:sz w:val="20"/>
                <w:szCs w:val="20"/>
              </w:rPr>
            </w:pPr>
            <w:r w:rsidRPr="005E1044">
              <w:rPr>
                <w:rFonts w:ascii="Arial Narrow" w:hAnsi="Arial Narrow"/>
                <w:sz w:val="20"/>
                <w:szCs w:val="20"/>
              </w:rPr>
              <w:t>an erythrocyte sedimentation rate (ESR) no greater than 25 mm per hour or a C-reactive protein (CRP) level no greater than 15 mg per L or either marker reduced by at least 20% from baseline; and</w:t>
            </w:r>
          </w:p>
          <w:p w14:paraId="3D9DD464" w14:textId="77777777" w:rsidR="000706E9" w:rsidRPr="005E1044" w:rsidRDefault="000706E9">
            <w:pPr>
              <w:rPr>
                <w:rFonts w:ascii="Arial Narrow" w:hAnsi="Arial Narrow"/>
                <w:sz w:val="20"/>
                <w:szCs w:val="20"/>
              </w:rPr>
            </w:pPr>
            <w:r w:rsidRPr="005E1044">
              <w:rPr>
                <w:rFonts w:ascii="Arial Narrow" w:hAnsi="Arial Narrow"/>
                <w:sz w:val="20"/>
                <w:szCs w:val="20"/>
              </w:rPr>
              <w:t>either of the following:</w:t>
            </w:r>
          </w:p>
          <w:p w14:paraId="6AE9D7B1" w14:textId="77777777" w:rsidR="000706E9" w:rsidRPr="005E1044" w:rsidRDefault="000706E9">
            <w:pPr>
              <w:rPr>
                <w:rFonts w:ascii="Arial Narrow" w:hAnsi="Arial Narrow"/>
                <w:sz w:val="20"/>
                <w:szCs w:val="20"/>
              </w:rPr>
            </w:pPr>
            <w:r w:rsidRPr="005E1044">
              <w:rPr>
                <w:rFonts w:ascii="Arial Narrow" w:hAnsi="Arial Narrow"/>
                <w:sz w:val="20"/>
                <w:szCs w:val="20"/>
              </w:rPr>
              <w:t>(a) a reduction in the total active (swollen and tender) joint count by at least 50% from baseline, where baseline is at least 20 active joints; or</w:t>
            </w:r>
          </w:p>
          <w:p w14:paraId="28049990" w14:textId="77777777" w:rsidR="000706E9" w:rsidRPr="005E1044" w:rsidRDefault="000706E9">
            <w:pPr>
              <w:rPr>
                <w:rFonts w:ascii="Arial Narrow" w:hAnsi="Arial Narrow"/>
                <w:sz w:val="20"/>
                <w:szCs w:val="20"/>
              </w:rPr>
            </w:pPr>
            <w:r w:rsidRPr="005E1044">
              <w:rPr>
                <w:rFonts w:ascii="Arial Narrow" w:hAnsi="Arial Narrow"/>
                <w:sz w:val="20"/>
                <w:szCs w:val="20"/>
              </w:rPr>
              <w:t>(b) a reduction in the number of the following major active joints, from at least 4, by at least 50%:</w:t>
            </w:r>
          </w:p>
          <w:p w14:paraId="5383F151" w14:textId="77777777" w:rsidR="000706E9" w:rsidRPr="005E1044" w:rsidRDefault="000706E9">
            <w:pPr>
              <w:rPr>
                <w:rFonts w:ascii="Arial Narrow" w:hAnsi="Arial Narrow"/>
                <w:sz w:val="20"/>
                <w:szCs w:val="20"/>
              </w:rPr>
            </w:pPr>
            <w:r w:rsidRPr="0CEE6DE9">
              <w:rPr>
                <w:rFonts w:ascii="Arial Narrow" w:hAnsi="Arial Narrow"/>
                <w:sz w:val="20"/>
                <w:szCs w:val="20"/>
              </w:rPr>
              <w:t>(i) elbow, wrist, knee and/or ankle (assessed as swollen and tender); and/or</w:t>
            </w:r>
          </w:p>
          <w:p w14:paraId="07CD9FA0" w14:textId="77777777" w:rsidR="000706E9" w:rsidRPr="005E1044" w:rsidRDefault="000706E9">
            <w:pPr>
              <w:rPr>
                <w:rFonts w:ascii="Arial Narrow" w:hAnsi="Arial Narrow"/>
                <w:sz w:val="20"/>
                <w:szCs w:val="20"/>
              </w:rPr>
            </w:pPr>
            <w:r w:rsidRPr="005E1044">
              <w:rPr>
                <w:rFonts w:ascii="Arial Narrow" w:hAnsi="Arial Narrow"/>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0706E9" w:rsidRPr="005E1044" w14:paraId="3CCF15F2"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66A331A" w14:textId="1D260616" w:rsidR="000706E9" w:rsidRPr="005E1044"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3758DD" w14:textId="77777777" w:rsidR="000706E9" w:rsidRPr="005E1044" w:rsidRDefault="000706E9">
            <w:pPr>
              <w:rPr>
                <w:rFonts w:ascii="Arial Narrow" w:hAnsi="Arial Narrow"/>
                <w:b/>
                <w:bCs/>
                <w:sz w:val="20"/>
                <w:szCs w:val="20"/>
              </w:rPr>
            </w:pPr>
            <w:r w:rsidRPr="005E1044">
              <w:rPr>
                <w:rFonts w:ascii="Arial Narrow" w:hAnsi="Arial Narrow"/>
                <w:b/>
                <w:bCs/>
                <w:sz w:val="20"/>
                <w:szCs w:val="20"/>
              </w:rPr>
              <w:t>Prescribing Instructions:</w:t>
            </w:r>
          </w:p>
          <w:p w14:paraId="5D591031" w14:textId="77777777" w:rsidR="000706E9" w:rsidRPr="005E1044" w:rsidRDefault="000706E9">
            <w:pPr>
              <w:rPr>
                <w:rFonts w:ascii="Arial Narrow" w:hAnsi="Arial Narrow"/>
                <w:sz w:val="20"/>
                <w:szCs w:val="20"/>
              </w:rPr>
            </w:pPr>
            <w:r w:rsidRPr="0CEE6DE9">
              <w:rPr>
                <w:rFonts w:ascii="Arial Narrow" w:hAnsi="Arial Narrow"/>
                <w:sz w:val="20"/>
                <w:szCs w:val="20"/>
              </w:rPr>
              <w:t>The same indices of disease severity used to establish baseline at the commencement of treatment with each initial treatment application must be used to determine response for all subsequent continuing treatments.</w:t>
            </w:r>
          </w:p>
        </w:tc>
      </w:tr>
      <w:tr w:rsidR="000706E9" w:rsidRPr="005E1044" w14:paraId="79C19E95"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F89BF33" w14:textId="56C4478B" w:rsidR="000706E9" w:rsidRPr="005E1044"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790303" w14:textId="77777777" w:rsidR="000706E9" w:rsidRPr="005E1044" w:rsidRDefault="000706E9">
            <w:pPr>
              <w:rPr>
                <w:rFonts w:ascii="Arial Narrow" w:hAnsi="Arial Narrow"/>
                <w:b/>
                <w:bCs/>
                <w:i/>
                <w:iCs/>
                <w:sz w:val="20"/>
                <w:szCs w:val="20"/>
              </w:rPr>
            </w:pPr>
            <w:r w:rsidRPr="005E1044">
              <w:rPr>
                <w:rFonts w:ascii="Arial Narrow" w:hAnsi="Arial Narrow"/>
                <w:b/>
                <w:bCs/>
                <w:i/>
                <w:iCs/>
                <w:sz w:val="20"/>
                <w:szCs w:val="20"/>
              </w:rPr>
              <w:t>Prescribing Instructions:</w:t>
            </w:r>
          </w:p>
          <w:p w14:paraId="47754AC1" w14:textId="77777777" w:rsidR="000706E9" w:rsidRPr="005E1044" w:rsidRDefault="000706E9">
            <w:pPr>
              <w:rPr>
                <w:rFonts w:ascii="Arial Narrow" w:hAnsi="Arial Narrow"/>
                <w:i/>
                <w:iCs/>
                <w:sz w:val="20"/>
                <w:szCs w:val="20"/>
              </w:rPr>
            </w:pPr>
            <w:r w:rsidRPr="005E1044">
              <w:rPr>
                <w:rFonts w:ascii="Arial Narrow" w:hAnsi="Arial Narrow"/>
                <w:i/>
                <w:iCs/>
                <w:sz w:val="20"/>
                <w:szCs w:val="20"/>
              </w:rPr>
              <w:t>The measurement of response to the prior course of therapy must have been conducted following a minimum of 12 weeks of therapy with this drug and must be documented in the patient's medical records.</w:t>
            </w:r>
          </w:p>
        </w:tc>
      </w:tr>
      <w:tr w:rsidR="000706E9" w:rsidRPr="005E1044" w14:paraId="7C3ED9AA"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3EDBD7B" w14:textId="42F97943" w:rsidR="000706E9" w:rsidRPr="005E1044"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8ADB32" w14:textId="77777777" w:rsidR="000706E9" w:rsidRPr="005E1044" w:rsidRDefault="000706E9">
            <w:pPr>
              <w:rPr>
                <w:rFonts w:ascii="Arial Narrow" w:hAnsi="Arial Narrow"/>
                <w:b/>
                <w:bCs/>
                <w:i/>
                <w:iCs/>
                <w:sz w:val="20"/>
                <w:szCs w:val="20"/>
              </w:rPr>
            </w:pPr>
            <w:r w:rsidRPr="005E1044">
              <w:rPr>
                <w:rFonts w:ascii="Arial Narrow" w:hAnsi="Arial Narrow"/>
                <w:b/>
                <w:bCs/>
                <w:i/>
                <w:iCs/>
                <w:sz w:val="20"/>
                <w:szCs w:val="20"/>
              </w:rPr>
              <w:t>Prescribing Instructions:</w:t>
            </w:r>
          </w:p>
          <w:p w14:paraId="4407D9E4" w14:textId="77777777" w:rsidR="000706E9" w:rsidRPr="005E1044" w:rsidRDefault="000706E9">
            <w:pPr>
              <w:rPr>
                <w:rFonts w:ascii="Arial Narrow" w:hAnsi="Arial Narrow"/>
                <w:i/>
                <w:iCs/>
                <w:sz w:val="20"/>
                <w:szCs w:val="20"/>
              </w:rPr>
            </w:pPr>
            <w:r w:rsidRPr="0CEE6DE9">
              <w:rPr>
                <w:rFonts w:ascii="Arial Narrow" w:hAnsi="Arial Narrow"/>
                <w:i/>
                <w:iCs/>
                <w:sz w:val="20"/>
                <w:szCs w:val="20"/>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0706E9" w:rsidRPr="005E1044" w14:paraId="48A4A416"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23146CC" w14:textId="77ADCA0A" w:rsidR="000706E9" w:rsidRPr="005E1044"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75B34A" w14:textId="77777777" w:rsidR="000706E9" w:rsidRPr="005E1044" w:rsidRDefault="000706E9">
            <w:pPr>
              <w:rPr>
                <w:rFonts w:ascii="Arial Narrow" w:hAnsi="Arial Narrow"/>
                <w:b/>
                <w:bCs/>
                <w:i/>
                <w:iCs/>
                <w:sz w:val="20"/>
                <w:szCs w:val="20"/>
              </w:rPr>
            </w:pPr>
            <w:r w:rsidRPr="005E1044">
              <w:rPr>
                <w:rFonts w:ascii="Arial Narrow" w:hAnsi="Arial Narrow"/>
                <w:b/>
                <w:bCs/>
                <w:i/>
                <w:iCs/>
                <w:sz w:val="20"/>
                <w:szCs w:val="20"/>
              </w:rPr>
              <w:t>Prescribing Instructions:</w:t>
            </w:r>
          </w:p>
          <w:p w14:paraId="496BD3AE" w14:textId="77777777" w:rsidR="000706E9" w:rsidRPr="005E1044" w:rsidRDefault="000706E9">
            <w:pPr>
              <w:rPr>
                <w:rFonts w:ascii="Arial Narrow" w:hAnsi="Arial Narrow"/>
                <w:i/>
                <w:iCs/>
                <w:sz w:val="20"/>
                <w:szCs w:val="20"/>
              </w:rPr>
            </w:pPr>
            <w:r w:rsidRPr="005E1044">
              <w:rPr>
                <w:rFonts w:ascii="Arial Narrow" w:hAnsi="Arial Narrow"/>
                <w:i/>
                <w:iCs/>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0706E9" w:rsidRPr="005E1044" w14:paraId="7496B472"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5E9E8AF" w14:textId="197A2EB8" w:rsidR="000706E9" w:rsidRPr="005E1044"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905352" w14:textId="77777777" w:rsidR="000706E9" w:rsidRPr="005E1044" w:rsidRDefault="000706E9">
            <w:pPr>
              <w:rPr>
                <w:rFonts w:ascii="Arial Narrow" w:hAnsi="Arial Narrow"/>
                <w:b/>
                <w:bCs/>
                <w:strike/>
                <w:sz w:val="20"/>
                <w:szCs w:val="20"/>
              </w:rPr>
            </w:pPr>
            <w:r w:rsidRPr="005E1044">
              <w:rPr>
                <w:rFonts w:ascii="Arial Narrow" w:hAnsi="Arial Narrow"/>
                <w:b/>
                <w:bCs/>
                <w:strike/>
                <w:sz w:val="20"/>
                <w:szCs w:val="20"/>
              </w:rPr>
              <w:t>Administrative Advice:</w:t>
            </w:r>
          </w:p>
          <w:p w14:paraId="70D95125"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Any queries concerning the arrangements to prescribe may be directed to Services Australia on 1800 700 270 (hours of operation 8 a.m. to 5 p.m. Monday to Friday).</w:t>
            </w:r>
          </w:p>
          <w:p w14:paraId="5C0AE8E8"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Prescribing information (including Authority Application forms and other relevant documentation as applicable) is available on the Services Australia website at www.servicesaustralia.gov.au</w:t>
            </w:r>
          </w:p>
          <w:p w14:paraId="2995FED9" w14:textId="77777777" w:rsidR="000706E9" w:rsidRPr="005E1044" w:rsidRDefault="000706E9">
            <w:pPr>
              <w:rPr>
                <w:rFonts w:ascii="Arial Narrow" w:hAnsi="Arial Narrow"/>
                <w:strike/>
                <w:sz w:val="20"/>
                <w:szCs w:val="20"/>
              </w:rPr>
            </w:pPr>
            <w:r w:rsidRPr="0CEE6DE9">
              <w:rPr>
                <w:rFonts w:ascii="Arial Narrow" w:hAnsi="Arial Narrow"/>
                <w:strike/>
                <w:sz w:val="20"/>
                <w:szCs w:val="20"/>
              </w:rPr>
              <w:t>Applications for authority to prescribe should be submitted online using the form upload facility in Health Professional Online Services (HPOS) at www.servicesaustralia.gov.au/hpos</w:t>
            </w:r>
          </w:p>
          <w:p w14:paraId="7A5E9A41"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Or mailed to:</w:t>
            </w:r>
          </w:p>
          <w:p w14:paraId="1A509E23"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Services Australia</w:t>
            </w:r>
          </w:p>
          <w:p w14:paraId="21CF5532"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Complex Drugs</w:t>
            </w:r>
          </w:p>
          <w:p w14:paraId="2A0426A6"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Reply Paid 9826</w:t>
            </w:r>
          </w:p>
          <w:p w14:paraId="7C4B6CB7"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HOBART TAS 7001</w:t>
            </w:r>
          </w:p>
        </w:tc>
      </w:tr>
    </w:tbl>
    <w:p w14:paraId="086E86B5" w14:textId="77777777" w:rsidR="00E03BE9" w:rsidRDefault="00E03BE9" w:rsidP="00365FCC">
      <w:pPr>
        <w:pStyle w:val="TableFigureFooter"/>
        <w:spacing w:after="0"/>
      </w:pPr>
    </w:p>
    <w:p w14:paraId="3BBE6BBB" w14:textId="4F6FA089" w:rsidR="000706E9" w:rsidRPr="006B61F7" w:rsidRDefault="000706E9" w:rsidP="000706E9">
      <w:pPr>
        <w:pStyle w:val="4-SubsectionHeading"/>
        <w:spacing w:after="0"/>
      </w:pPr>
      <w:r w:rsidRPr="006B61F7">
        <w:t>Severe active rheumatoid arthritis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severe active rheumatoid arthritis"/>
        <w:tblDescription w:val="Treatment phase: : Continuing treatment with subcutaneous form or switching from intravenous form to subcutaneous form&#10;Changes to restriction type, prescribing instructions&#10;Removal of administrative advice"/>
      </w:tblPr>
      <w:tblGrid>
        <w:gridCol w:w="1271"/>
        <w:gridCol w:w="2668"/>
        <w:gridCol w:w="811"/>
        <w:gridCol w:w="812"/>
        <w:gridCol w:w="811"/>
        <w:gridCol w:w="812"/>
        <w:gridCol w:w="1831"/>
      </w:tblGrid>
      <w:tr w:rsidR="000706E9" w:rsidRPr="001428E9" w14:paraId="16FFA091" w14:textId="77777777">
        <w:trPr>
          <w:cantSplit/>
          <w:trHeight w:val="20"/>
        </w:trPr>
        <w:tc>
          <w:tcPr>
            <w:tcW w:w="3939" w:type="dxa"/>
            <w:gridSpan w:val="2"/>
            <w:vAlign w:val="center"/>
          </w:tcPr>
          <w:p w14:paraId="1337BE2D" w14:textId="77777777" w:rsidR="000706E9" w:rsidRPr="001428E9" w:rsidRDefault="000706E9">
            <w:pPr>
              <w:keepLines/>
              <w:rPr>
                <w:rFonts w:ascii="Arial Narrow" w:hAnsi="Arial Narrow" w:cs="Arial"/>
                <w:b/>
                <w:bCs/>
                <w:sz w:val="20"/>
                <w:szCs w:val="20"/>
              </w:rPr>
            </w:pPr>
            <w:r w:rsidRPr="001428E9">
              <w:rPr>
                <w:rFonts w:ascii="Arial Narrow" w:hAnsi="Arial Narrow" w:cs="Arial"/>
                <w:b/>
                <w:bCs/>
                <w:sz w:val="20"/>
                <w:szCs w:val="20"/>
              </w:rPr>
              <w:t>MEDICINAL PRODUCT</w:t>
            </w:r>
          </w:p>
          <w:p w14:paraId="5C8784A2" w14:textId="77777777" w:rsidR="000706E9" w:rsidRPr="001428E9" w:rsidRDefault="000706E9">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55F83535" w14:textId="77777777" w:rsidR="000706E9" w:rsidRPr="001428E9" w:rsidRDefault="000706E9">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2E1E23D9" w14:textId="77777777" w:rsidR="000706E9" w:rsidRPr="001428E9" w:rsidRDefault="000706E9">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5551FD65" w14:textId="77777777" w:rsidR="000706E9" w:rsidRPr="001428E9" w:rsidRDefault="000706E9">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4572E30F" w14:textId="77777777" w:rsidR="000706E9" w:rsidRPr="001428E9" w:rsidRDefault="000706E9">
            <w:pPr>
              <w:keepLines/>
              <w:jc w:val="center"/>
              <w:rPr>
                <w:rFonts w:ascii="Arial Narrow" w:hAnsi="Arial Narrow" w:cs="Arial"/>
                <w:b/>
                <w:bCs/>
                <w:sz w:val="20"/>
                <w:szCs w:val="20"/>
              </w:rPr>
            </w:pPr>
            <w:r w:rsidRPr="0CEE6DE9">
              <w:rPr>
                <w:rFonts w:ascii="Arial Narrow" w:hAnsi="Arial Narrow" w:cs="Arial"/>
                <w:b/>
                <w:bCs/>
                <w:sz w:val="20"/>
                <w:szCs w:val="20"/>
              </w:rPr>
              <w:t>№.of</w:t>
            </w:r>
          </w:p>
          <w:p w14:paraId="637D8858" w14:textId="77777777" w:rsidR="000706E9" w:rsidRPr="001428E9" w:rsidRDefault="000706E9">
            <w:pPr>
              <w:keepLines/>
              <w:jc w:val="center"/>
              <w:rPr>
                <w:rFonts w:ascii="Arial Narrow" w:hAnsi="Arial Narrow" w:cs="Arial"/>
                <w:b/>
                <w:bCs/>
                <w:sz w:val="20"/>
                <w:szCs w:val="20"/>
              </w:rPr>
            </w:pPr>
            <w:r w:rsidRPr="0CEE6DE9">
              <w:rPr>
                <w:rFonts w:ascii="Arial Narrow" w:hAnsi="Arial Narrow" w:cs="Arial"/>
                <w:b/>
                <w:bCs/>
                <w:sz w:val="20"/>
                <w:szCs w:val="20"/>
              </w:rPr>
              <w:t>Rpts</w:t>
            </w:r>
          </w:p>
        </w:tc>
        <w:tc>
          <w:tcPr>
            <w:tcW w:w="1831" w:type="dxa"/>
            <w:vAlign w:val="center"/>
          </w:tcPr>
          <w:p w14:paraId="61E48643" w14:textId="77777777" w:rsidR="000706E9" w:rsidRPr="001428E9" w:rsidRDefault="000706E9">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0706E9" w:rsidRPr="001428E9" w14:paraId="3E8BB400" w14:textId="77777777">
        <w:trPr>
          <w:cantSplit/>
          <w:trHeight w:val="20"/>
        </w:trPr>
        <w:tc>
          <w:tcPr>
            <w:tcW w:w="9016" w:type="dxa"/>
            <w:gridSpan w:val="7"/>
            <w:vAlign w:val="center"/>
          </w:tcPr>
          <w:p w14:paraId="67BFA78D" w14:textId="77777777" w:rsidR="000706E9" w:rsidRPr="001428E9" w:rsidRDefault="000706E9">
            <w:pPr>
              <w:keepLines/>
              <w:rPr>
                <w:rFonts w:ascii="Arial Narrow" w:hAnsi="Arial Narrow" w:cs="Arial"/>
                <w:sz w:val="20"/>
                <w:szCs w:val="20"/>
              </w:rPr>
            </w:pPr>
            <w:r w:rsidRPr="00697752">
              <w:rPr>
                <w:rFonts w:ascii="Arial Narrow" w:hAnsi="Arial Narrow" w:cs="Arial"/>
                <w:sz w:val="20"/>
                <w:szCs w:val="20"/>
              </w:rPr>
              <w:t>INFLIXIMAB</w:t>
            </w:r>
          </w:p>
        </w:tc>
      </w:tr>
      <w:tr w:rsidR="000706E9" w:rsidRPr="001428E9" w14:paraId="3507606B" w14:textId="77777777">
        <w:trPr>
          <w:cantSplit/>
          <w:trHeight w:val="20"/>
        </w:trPr>
        <w:tc>
          <w:tcPr>
            <w:tcW w:w="3939" w:type="dxa"/>
            <w:gridSpan w:val="2"/>
            <w:vAlign w:val="center"/>
          </w:tcPr>
          <w:p w14:paraId="10852D6F" w14:textId="77777777" w:rsidR="000706E9" w:rsidRPr="001428E9" w:rsidRDefault="000706E9">
            <w:pPr>
              <w:keepLines/>
              <w:rPr>
                <w:rFonts w:ascii="Arial Narrow" w:hAnsi="Arial Narrow" w:cs="Arial"/>
                <w:sz w:val="20"/>
                <w:szCs w:val="20"/>
              </w:rPr>
            </w:pPr>
            <w:r w:rsidRPr="004C1889">
              <w:rPr>
                <w:rFonts w:ascii="Arial Narrow" w:hAnsi="Arial Narrow" w:cs="Arial"/>
                <w:sz w:val="20"/>
                <w:szCs w:val="20"/>
              </w:rPr>
              <w:t>infliximab 120 mg/mL injection, 1 mL pen device</w:t>
            </w:r>
          </w:p>
        </w:tc>
        <w:tc>
          <w:tcPr>
            <w:tcW w:w="811" w:type="dxa"/>
            <w:vAlign w:val="center"/>
          </w:tcPr>
          <w:p w14:paraId="602CAF19" w14:textId="77777777" w:rsidR="000706E9" w:rsidRPr="001428E9" w:rsidRDefault="000706E9">
            <w:pPr>
              <w:keepLines/>
              <w:jc w:val="center"/>
              <w:rPr>
                <w:rFonts w:ascii="Arial Narrow" w:hAnsi="Arial Narrow" w:cs="Arial"/>
                <w:sz w:val="20"/>
                <w:szCs w:val="20"/>
              </w:rPr>
            </w:pPr>
            <w:r w:rsidRPr="00D52290">
              <w:rPr>
                <w:rFonts w:ascii="Arial Narrow" w:hAnsi="Arial Narrow" w:cs="Arial"/>
                <w:sz w:val="20"/>
                <w:szCs w:val="20"/>
              </w:rPr>
              <w:t>12554R</w:t>
            </w:r>
          </w:p>
        </w:tc>
        <w:tc>
          <w:tcPr>
            <w:tcW w:w="812" w:type="dxa"/>
          </w:tcPr>
          <w:p w14:paraId="2D463FA1" w14:textId="77777777" w:rsidR="000706E9" w:rsidRPr="001428E9" w:rsidRDefault="000706E9">
            <w:pPr>
              <w:keepLines/>
              <w:jc w:val="center"/>
              <w:rPr>
                <w:rFonts w:ascii="Arial Narrow" w:hAnsi="Arial Narrow" w:cs="Arial"/>
                <w:sz w:val="20"/>
                <w:szCs w:val="20"/>
              </w:rPr>
            </w:pPr>
            <w:r w:rsidRPr="00D52290">
              <w:rPr>
                <w:rFonts w:ascii="Arial Narrow" w:hAnsi="Arial Narrow" w:cs="Arial"/>
                <w:sz w:val="20"/>
                <w:szCs w:val="20"/>
              </w:rPr>
              <w:t>2</w:t>
            </w:r>
          </w:p>
        </w:tc>
        <w:tc>
          <w:tcPr>
            <w:tcW w:w="811" w:type="dxa"/>
          </w:tcPr>
          <w:p w14:paraId="7B03CC64" w14:textId="77777777" w:rsidR="000706E9" w:rsidRPr="001428E9" w:rsidRDefault="000706E9">
            <w:pPr>
              <w:keepLines/>
              <w:jc w:val="center"/>
              <w:rPr>
                <w:rFonts w:ascii="Arial Narrow" w:hAnsi="Arial Narrow" w:cs="Arial"/>
                <w:sz w:val="20"/>
                <w:szCs w:val="20"/>
              </w:rPr>
            </w:pPr>
            <w:r w:rsidRPr="00D52290">
              <w:rPr>
                <w:rFonts w:ascii="Arial Narrow" w:hAnsi="Arial Narrow" w:cs="Arial"/>
                <w:sz w:val="20"/>
                <w:szCs w:val="20"/>
              </w:rPr>
              <w:t>2</w:t>
            </w:r>
          </w:p>
        </w:tc>
        <w:tc>
          <w:tcPr>
            <w:tcW w:w="812" w:type="dxa"/>
          </w:tcPr>
          <w:p w14:paraId="5BC50E6A" w14:textId="77777777" w:rsidR="000706E9" w:rsidRPr="001428E9" w:rsidRDefault="000706E9">
            <w:pPr>
              <w:keepLines/>
              <w:jc w:val="center"/>
              <w:rPr>
                <w:rFonts w:ascii="Arial Narrow" w:hAnsi="Arial Narrow" w:cs="Arial"/>
                <w:sz w:val="20"/>
                <w:szCs w:val="20"/>
              </w:rPr>
            </w:pPr>
            <w:r w:rsidRPr="00D52290">
              <w:rPr>
                <w:rFonts w:ascii="Arial Narrow" w:hAnsi="Arial Narrow" w:cs="Arial"/>
                <w:sz w:val="20"/>
                <w:szCs w:val="20"/>
              </w:rPr>
              <w:t>5</w:t>
            </w:r>
          </w:p>
        </w:tc>
        <w:tc>
          <w:tcPr>
            <w:tcW w:w="1831" w:type="dxa"/>
            <w:vAlign w:val="center"/>
          </w:tcPr>
          <w:p w14:paraId="31C6DC8A" w14:textId="77777777" w:rsidR="000706E9" w:rsidRPr="001428E9"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1428E9" w14:paraId="5A2D4AD8" w14:textId="77777777">
        <w:trPr>
          <w:cantSplit/>
          <w:trHeight w:val="20"/>
        </w:trPr>
        <w:tc>
          <w:tcPr>
            <w:tcW w:w="3939" w:type="dxa"/>
            <w:gridSpan w:val="2"/>
            <w:vAlign w:val="center"/>
          </w:tcPr>
          <w:p w14:paraId="770AAAE1" w14:textId="77777777" w:rsidR="000706E9" w:rsidRPr="001428E9" w:rsidRDefault="000706E9">
            <w:pPr>
              <w:keepLines/>
              <w:rPr>
                <w:rFonts w:ascii="Arial Narrow" w:hAnsi="Arial Narrow" w:cs="Arial"/>
                <w:sz w:val="20"/>
                <w:szCs w:val="20"/>
              </w:rPr>
            </w:pPr>
            <w:r w:rsidRPr="00442909">
              <w:rPr>
                <w:rFonts w:ascii="Arial Narrow" w:hAnsi="Arial Narrow" w:cs="Arial"/>
                <w:sz w:val="20"/>
                <w:szCs w:val="20"/>
              </w:rPr>
              <w:t>infliximab 120 mg/mL injection, 1 mL syringe</w:t>
            </w:r>
          </w:p>
        </w:tc>
        <w:tc>
          <w:tcPr>
            <w:tcW w:w="811" w:type="dxa"/>
            <w:vAlign w:val="center"/>
          </w:tcPr>
          <w:p w14:paraId="6F4A7AE9" w14:textId="77777777" w:rsidR="000706E9" w:rsidRPr="001428E9" w:rsidRDefault="000706E9">
            <w:pPr>
              <w:keepLines/>
              <w:jc w:val="center"/>
              <w:rPr>
                <w:rFonts w:ascii="Arial Narrow" w:hAnsi="Arial Narrow" w:cs="Arial"/>
                <w:sz w:val="20"/>
                <w:szCs w:val="20"/>
              </w:rPr>
            </w:pPr>
            <w:r w:rsidRPr="00E22DCE">
              <w:rPr>
                <w:rFonts w:ascii="Arial Narrow" w:hAnsi="Arial Narrow" w:cs="Arial"/>
                <w:sz w:val="20"/>
                <w:szCs w:val="20"/>
              </w:rPr>
              <w:t>12553Q</w:t>
            </w:r>
          </w:p>
        </w:tc>
        <w:tc>
          <w:tcPr>
            <w:tcW w:w="812" w:type="dxa"/>
            <w:vAlign w:val="center"/>
          </w:tcPr>
          <w:p w14:paraId="175A428B" w14:textId="77777777" w:rsidR="000706E9" w:rsidRPr="001428E9" w:rsidRDefault="000706E9">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7CB798BF" w14:textId="77777777" w:rsidR="000706E9" w:rsidRPr="001428E9" w:rsidRDefault="000706E9">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2A6BD7D1" w14:textId="77777777" w:rsidR="000706E9" w:rsidRPr="001428E9" w:rsidRDefault="000706E9">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06432D4B" w14:textId="77777777" w:rsidR="000706E9" w:rsidRPr="001428E9"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1428E9" w14:paraId="26F8387D"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69D2DF1" w14:textId="77777777" w:rsidR="000706E9" w:rsidRPr="001428E9" w:rsidRDefault="000706E9">
            <w:pPr>
              <w:rPr>
                <w:rFonts w:ascii="Arial Narrow" w:hAnsi="Arial Narrow" w:cs="Arial"/>
                <w:sz w:val="20"/>
                <w:szCs w:val="20"/>
              </w:rPr>
            </w:pPr>
          </w:p>
        </w:tc>
      </w:tr>
      <w:tr w:rsidR="000706E9" w:rsidRPr="001428E9" w14:paraId="47038C45"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B9BE742" w14:textId="5B55B257" w:rsidR="000706E9" w:rsidRPr="001428E9" w:rsidRDefault="000706E9">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0706E9" w:rsidRPr="001428E9" w14:paraId="1CD2726E"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E28FCDE" w14:textId="1D15FD26" w:rsidR="000706E9" w:rsidRPr="001428E9" w:rsidRDefault="000706E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579CDA1" w14:textId="77777777" w:rsidR="000706E9" w:rsidRPr="001428E9" w:rsidRDefault="000706E9">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t xml:space="preserve">GENERAL - General Schedule (Code GE) </w:t>
            </w:r>
          </w:p>
        </w:tc>
      </w:tr>
      <w:tr w:rsidR="000706E9" w:rsidRPr="001428E9" w14:paraId="270B59CF" w14:textId="77777777">
        <w:tblPrEx>
          <w:tblCellMar>
            <w:top w:w="15" w:type="dxa"/>
            <w:bottom w:w="15" w:type="dxa"/>
          </w:tblCellMar>
          <w:tblLook w:val="04A0" w:firstRow="1" w:lastRow="0" w:firstColumn="1" w:lastColumn="0" w:noHBand="0" w:noVBand="1"/>
        </w:tblPrEx>
        <w:trPr>
          <w:trHeight w:val="20"/>
        </w:trPr>
        <w:tc>
          <w:tcPr>
            <w:tcW w:w="1271" w:type="dxa"/>
            <w:vMerge/>
          </w:tcPr>
          <w:p w14:paraId="507CB0BD" w14:textId="77777777" w:rsidR="000706E9" w:rsidRPr="001428E9"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A952723" w14:textId="77777777" w:rsidR="000706E9" w:rsidRPr="001428E9" w:rsidRDefault="000706E9">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0706E9" w:rsidRPr="00D56F94" w14:paraId="42143409" w14:textId="77777777">
        <w:tblPrEx>
          <w:tblCellMar>
            <w:top w:w="15" w:type="dxa"/>
            <w:bottom w:w="15" w:type="dxa"/>
          </w:tblCellMar>
          <w:tblLook w:val="04A0" w:firstRow="1" w:lastRow="0" w:firstColumn="1" w:lastColumn="0" w:noHBand="0" w:noVBand="1"/>
        </w:tblPrEx>
        <w:trPr>
          <w:trHeight w:val="20"/>
        </w:trPr>
        <w:tc>
          <w:tcPr>
            <w:tcW w:w="1271" w:type="dxa"/>
            <w:vMerge/>
          </w:tcPr>
          <w:p w14:paraId="798129D8" w14:textId="77777777" w:rsidR="000706E9" w:rsidRPr="001428E9"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2F46E4" w14:textId="77777777" w:rsidR="000706E9" w:rsidRPr="001428E9" w:rsidRDefault="000706E9">
            <w:pPr>
              <w:keepLines/>
              <w:rPr>
                <w:rFonts w:ascii="Arial Narrow" w:hAnsi="Arial Narrow" w:cs="Arial"/>
                <w:b/>
                <w:sz w:val="20"/>
                <w:szCs w:val="20"/>
              </w:rPr>
            </w:pPr>
            <w:r w:rsidRPr="001428E9">
              <w:rPr>
                <w:rFonts w:ascii="Arial Narrow" w:hAnsi="Arial Narrow" w:cs="Arial"/>
                <w:b/>
                <w:sz w:val="20"/>
                <w:szCs w:val="20"/>
              </w:rPr>
              <w:t xml:space="preserve">Restriction type: </w:t>
            </w:r>
          </w:p>
          <w:p w14:paraId="0FBF89C0" w14:textId="77777777" w:rsidR="000706E9" w:rsidRPr="00D56F94" w:rsidRDefault="000706E9">
            <w:pPr>
              <w:keepLines/>
              <w:jc w:val="left"/>
              <w:rPr>
                <w:rFonts w:ascii="Arial Narrow" w:eastAsia="Calibri" w:hAnsi="Arial Narrow" w:cs="Arial"/>
                <w:color w:val="FF0000"/>
                <w:sz w:val="20"/>
                <w:szCs w:val="20"/>
              </w:rPr>
            </w:pP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9E34B9">
              <w:rPr>
                <w:rFonts w:ascii="Arial Narrow" w:eastAsia="Calibri" w:hAnsi="Arial Narrow" w:cs="Arial"/>
                <w:i/>
                <w:iCs/>
                <w:sz w:val="20"/>
                <w:szCs w:val="20"/>
              </w:rPr>
              <w:t xml:space="preserve">Authority Required (Streamlined) </w:t>
            </w:r>
            <w:r w:rsidRPr="009E34B9">
              <w:rPr>
                <w:rFonts w:ascii="Arial Narrow" w:eastAsia="Calibri" w:hAnsi="Arial Narrow" w:cs="Arial"/>
                <w:i/>
                <w:iCs/>
                <w:color w:val="FF0000"/>
                <w:sz w:val="20"/>
                <w:szCs w:val="20"/>
              </w:rPr>
              <w:br/>
            </w:r>
            <w:r w:rsidRPr="00D338BD">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D338BD">
              <w:rPr>
                <w:rFonts w:ascii="Arial Narrow" w:eastAsia="Calibri" w:hAnsi="Arial Narrow" w:cs="Arial"/>
                <w:strike/>
                <w:sz w:val="20"/>
                <w:szCs w:val="20"/>
              </w:rPr>
              <w:instrText xml:space="preserve"> FORMCHECKBOX </w:instrText>
            </w:r>
            <w:r w:rsidRPr="00D338BD">
              <w:rPr>
                <w:rFonts w:ascii="Arial Narrow" w:eastAsia="Calibri" w:hAnsi="Arial Narrow" w:cs="Arial"/>
                <w:strike/>
                <w:sz w:val="20"/>
                <w:szCs w:val="20"/>
              </w:rPr>
            </w:r>
            <w:r w:rsidRPr="00D338BD">
              <w:rPr>
                <w:rFonts w:ascii="Arial Narrow" w:eastAsia="Calibri" w:hAnsi="Arial Narrow" w:cs="Arial"/>
                <w:strike/>
                <w:sz w:val="20"/>
                <w:szCs w:val="20"/>
              </w:rPr>
              <w:fldChar w:fldCharType="separate"/>
            </w:r>
            <w:r w:rsidRPr="00D338BD">
              <w:rPr>
                <w:rFonts w:ascii="Arial Narrow" w:eastAsia="Calibri" w:hAnsi="Arial Narrow" w:cs="Arial"/>
                <w:strike/>
                <w:sz w:val="20"/>
                <w:szCs w:val="20"/>
              </w:rPr>
              <w:fldChar w:fldCharType="end"/>
            </w:r>
            <w:r w:rsidRPr="00802D3B">
              <w:rPr>
                <w:rFonts w:ascii="Arial Narrow" w:eastAsia="Calibri" w:hAnsi="Arial Narrow" w:cs="Arial"/>
                <w:strike/>
                <w:sz w:val="20"/>
                <w:szCs w:val="20"/>
              </w:rPr>
              <w:t>Authority Required (in writing only via post/HPOS upload)</w:t>
            </w:r>
            <w:r w:rsidRPr="00D338BD">
              <w:rPr>
                <w:rFonts w:ascii="Arial Narrow" w:eastAsia="Calibri" w:hAnsi="Arial Narrow" w:cs="Arial"/>
                <w:strike/>
                <w:sz w:val="20"/>
                <w:szCs w:val="20"/>
              </w:rPr>
              <w:t xml:space="preserve"> </w:t>
            </w:r>
          </w:p>
        </w:tc>
      </w:tr>
      <w:tr w:rsidR="000706E9" w:rsidRPr="001428E9" w14:paraId="32732728" w14:textId="77777777" w:rsidTr="00365FCC">
        <w:tblPrEx>
          <w:tblCellMar>
            <w:top w:w="15" w:type="dxa"/>
            <w:bottom w:w="15" w:type="dxa"/>
          </w:tblCellMar>
        </w:tblPrEx>
        <w:trPr>
          <w:cantSplit/>
          <w:trHeight w:val="20"/>
        </w:trPr>
        <w:tc>
          <w:tcPr>
            <w:tcW w:w="1271" w:type="dxa"/>
            <w:vAlign w:val="center"/>
          </w:tcPr>
          <w:p w14:paraId="1C1D1A55" w14:textId="6F9D64F2" w:rsidR="000706E9" w:rsidRPr="00432EBF" w:rsidRDefault="000706E9">
            <w:pPr>
              <w:keepLines/>
              <w:jc w:val="center"/>
              <w:rPr>
                <w:rFonts w:ascii="Arial Narrow" w:hAnsi="Arial Narrow"/>
                <w:sz w:val="20"/>
                <w:szCs w:val="20"/>
              </w:rPr>
            </w:pPr>
          </w:p>
        </w:tc>
        <w:tc>
          <w:tcPr>
            <w:tcW w:w="7745" w:type="dxa"/>
            <w:gridSpan w:val="6"/>
            <w:vAlign w:val="center"/>
            <w:hideMark/>
          </w:tcPr>
          <w:p w14:paraId="2387F949" w14:textId="77777777" w:rsidR="000706E9" w:rsidRPr="001428E9" w:rsidRDefault="000706E9">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1E5013">
              <w:rPr>
                <w:rFonts w:ascii="Arial Narrow" w:hAnsi="Arial Narrow"/>
                <w:sz w:val="20"/>
                <w:szCs w:val="20"/>
              </w:rPr>
              <w:t>Severe active rheumatoid arthritis</w:t>
            </w:r>
          </w:p>
        </w:tc>
      </w:tr>
      <w:tr w:rsidR="000706E9" w:rsidRPr="001428E9" w14:paraId="3B7826E7" w14:textId="77777777" w:rsidTr="00365FCC">
        <w:tblPrEx>
          <w:tblCellMar>
            <w:top w:w="15" w:type="dxa"/>
            <w:bottom w:w="15" w:type="dxa"/>
          </w:tblCellMar>
        </w:tblPrEx>
        <w:trPr>
          <w:cantSplit/>
          <w:trHeight w:val="20"/>
        </w:trPr>
        <w:tc>
          <w:tcPr>
            <w:tcW w:w="1271" w:type="dxa"/>
            <w:vAlign w:val="center"/>
          </w:tcPr>
          <w:p w14:paraId="06B207DF" w14:textId="77777777" w:rsidR="000706E9" w:rsidRPr="00432EBF" w:rsidRDefault="000706E9">
            <w:pPr>
              <w:jc w:val="center"/>
              <w:rPr>
                <w:rFonts w:ascii="Arial Narrow" w:hAnsi="Arial Narrow"/>
                <w:sz w:val="20"/>
                <w:szCs w:val="20"/>
              </w:rPr>
            </w:pPr>
          </w:p>
        </w:tc>
        <w:tc>
          <w:tcPr>
            <w:tcW w:w="7745" w:type="dxa"/>
            <w:gridSpan w:val="6"/>
            <w:vAlign w:val="center"/>
            <w:hideMark/>
          </w:tcPr>
          <w:p w14:paraId="76E49D6C" w14:textId="77777777" w:rsidR="000706E9" w:rsidRPr="001428E9" w:rsidRDefault="000706E9">
            <w:pPr>
              <w:rPr>
                <w:rFonts w:ascii="Arial Narrow" w:hAnsi="Arial Narrow"/>
                <w:sz w:val="20"/>
                <w:szCs w:val="20"/>
              </w:rPr>
            </w:pPr>
            <w:r w:rsidRPr="00432EBF">
              <w:rPr>
                <w:rFonts w:ascii="Arial Narrow" w:hAnsi="Arial Narrow"/>
                <w:b/>
                <w:bCs/>
                <w:sz w:val="20"/>
                <w:szCs w:val="20"/>
              </w:rPr>
              <w:t>Treatment Phase:</w:t>
            </w:r>
            <w:r w:rsidRPr="00432EBF">
              <w:rPr>
                <w:rFonts w:ascii="Arial Narrow" w:hAnsi="Arial Narrow"/>
                <w:sz w:val="20"/>
                <w:szCs w:val="20"/>
              </w:rPr>
              <w:t xml:space="preserve"> </w:t>
            </w:r>
            <w:r w:rsidRPr="00D03C2F">
              <w:rPr>
                <w:rFonts w:ascii="Arial Narrow" w:hAnsi="Arial Narrow"/>
                <w:sz w:val="20"/>
                <w:szCs w:val="20"/>
              </w:rPr>
              <w:t>Continuing treatment with subcutaneous form or switching from intravenous form to subcutaneous form</w:t>
            </w:r>
          </w:p>
        </w:tc>
      </w:tr>
      <w:tr w:rsidR="000706E9" w:rsidRPr="006A2544" w14:paraId="4363AA1C"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B7950B3" w14:textId="04367AB6" w:rsidR="000706E9" w:rsidRPr="006A2544"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19A244" w14:textId="77777777" w:rsidR="000706E9" w:rsidRPr="006A2544" w:rsidRDefault="000706E9">
            <w:pPr>
              <w:rPr>
                <w:rFonts w:ascii="Arial Narrow" w:hAnsi="Arial Narrow"/>
                <w:b/>
                <w:bCs/>
                <w:sz w:val="20"/>
                <w:szCs w:val="20"/>
              </w:rPr>
            </w:pPr>
            <w:r w:rsidRPr="006A2544">
              <w:rPr>
                <w:rFonts w:ascii="Arial Narrow" w:hAnsi="Arial Narrow"/>
                <w:b/>
                <w:bCs/>
                <w:sz w:val="20"/>
                <w:szCs w:val="20"/>
              </w:rPr>
              <w:t>Prescribing Instructions:</w:t>
            </w:r>
          </w:p>
          <w:p w14:paraId="1A72F03C" w14:textId="77777777" w:rsidR="000706E9" w:rsidRPr="006A2544" w:rsidRDefault="000706E9">
            <w:pPr>
              <w:rPr>
                <w:rFonts w:ascii="Arial Narrow" w:hAnsi="Arial Narrow"/>
                <w:sz w:val="20"/>
                <w:szCs w:val="20"/>
              </w:rPr>
            </w:pPr>
            <w:r w:rsidRPr="006A2544">
              <w:rPr>
                <w:rFonts w:ascii="Arial Narrow" w:hAnsi="Arial Narrow"/>
                <w:sz w:val="20"/>
                <w:szCs w:val="20"/>
              </w:rPr>
              <w:t>An adequate response to treatment is defined as:</w:t>
            </w:r>
          </w:p>
          <w:p w14:paraId="4676E5FE" w14:textId="77777777" w:rsidR="000706E9" w:rsidRPr="006A2544" w:rsidRDefault="000706E9">
            <w:pPr>
              <w:rPr>
                <w:rFonts w:ascii="Arial Narrow" w:hAnsi="Arial Narrow"/>
                <w:sz w:val="20"/>
                <w:szCs w:val="20"/>
              </w:rPr>
            </w:pPr>
            <w:r w:rsidRPr="006A2544">
              <w:rPr>
                <w:rFonts w:ascii="Arial Narrow" w:hAnsi="Arial Narrow"/>
                <w:sz w:val="20"/>
                <w:szCs w:val="20"/>
              </w:rPr>
              <w:t>an ESR no greater than 25 mm per hour or a CRP level no greater than 15 mg per L or either marker reduced by at least 20% from baseline;</w:t>
            </w:r>
          </w:p>
          <w:p w14:paraId="5A6223F4" w14:textId="77777777" w:rsidR="000706E9" w:rsidRPr="006A2544" w:rsidRDefault="000706E9">
            <w:pPr>
              <w:rPr>
                <w:rFonts w:ascii="Arial Narrow" w:hAnsi="Arial Narrow"/>
                <w:sz w:val="20"/>
                <w:szCs w:val="20"/>
              </w:rPr>
            </w:pPr>
            <w:r w:rsidRPr="006A2544">
              <w:rPr>
                <w:rFonts w:ascii="Arial Narrow" w:hAnsi="Arial Narrow"/>
                <w:sz w:val="20"/>
                <w:szCs w:val="20"/>
              </w:rPr>
              <w:t>AND either of the following:</w:t>
            </w:r>
          </w:p>
          <w:p w14:paraId="020A29F3" w14:textId="77777777" w:rsidR="000706E9" w:rsidRPr="006A2544" w:rsidRDefault="000706E9">
            <w:pPr>
              <w:rPr>
                <w:rFonts w:ascii="Arial Narrow" w:hAnsi="Arial Narrow"/>
                <w:sz w:val="20"/>
                <w:szCs w:val="20"/>
              </w:rPr>
            </w:pPr>
            <w:r w:rsidRPr="006A2544">
              <w:rPr>
                <w:rFonts w:ascii="Arial Narrow" w:hAnsi="Arial Narrow"/>
                <w:sz w:val="20"/>
                <w:szCs w:val="20"/>
              </w:rPr>
              <w:t>(a) a reduction in the total active (swollen and tender) joint count by at least 50% from baseline, where baseline is at least 20 active joints; or</w:t>
            </w:r>
          </w:p>
          <w:p w14:paraId="5AF80EBE" w14:textId="77777777" w:rsidR="000706E9" w:rsidRPr="006A2544" w:rsidRDefault="000706E9">
            <w:pPr>
              <w:rPr>
                <w:rFonts w:ascii="Arial Narrow" w:hAnsi="Arial Narrow"/>
                <w:sz w:val="20"/>
                <w:szCs w:val="20"/>
              </w:rPr>
            </w:pPr>
            <w:r w:rsidRPr="006A2544">
              <w:rPr>
                <w:rFonts w:ascii="Arial Narrow" w:hAnsi="Arial Narrow"/>
                <w:sz w:val="20"/>
                <w:szCs w:val="20"/>
              </w:rPr>
              <w:t>(b) a reduction in the number of the following active joints, from at least 4, by at least 50%:</w:t>
            </w:r>
          </w:p>
          <w:p w14:paraId="795A6318" w14:textId="77777777" w:rsidR="000706E9" w:rsidRPr="006A2544" w:rsidRDefault="000706E9">
            <w:pPr>
              <w:rPr>
                <w:rFonts w:ascii="Arial Narrow" w:hAnsi="Arial Narrow"/>
                <w:sz w:val="20"/>
                <w:szCs w:val="20"/>
              </w:rPr>
            </w:pPr>
            <w:r w:rsidRPr="0CEE6DE9">
              <w:rPr>
                <w:rFonts w:ascii="Arial Narrow" w:hAnsi="Arial Narrow"/>
                <w:sz w:val="20"/>
                <w:szCs w:val="20"/>
              </w:rPr>
              <w:t>(i) elbow, wrist, knee and/or ankle (assessed as swollen and tender); and/or</w:t>
            </w:r>
          </w:p>
          <w:p w14:paraId="1B9878EC" w14:textId="77777777" w:rsidR="000706E9" w:rsidRPr="006A2544" w:rsidRDefault="000706E9">
            <w:pPr>
              <w:rPr>
                <w:rFonts w:ascii="Arial Narrow" w:hAnsi="Arial Narrow"/>
                <w:b/>
                <w:bCs/>
                <w:i/>
                <w:iCs/>
                <w:sz w:val="20"/>
                <w:szCs w:val="20"/>
              </w:rPr>
            </w:pPr>
            <w:r w:rsidRPr="006A2544">
              <w:rPr>
                <w:rFonts w:ascii="Arial Narrow" w:hAnsi="Arial Narrow"/>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0706E9" w:rsidRPr="006A2544" w14:paraId="5F104636"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181CCBC" w14:textId="390E4B72" w:rsidR="000706E9" w:rsidRPr="00120057"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983CF6" w14:textId="77777777" w:rsidR="000706E9" w:rsidRPr="00D016ED" w:rsidRDefault="000706E9">
            <w:pPr>
              <w:rPr>
                <w:rFonts w:ascii="Arial Narrow" w:hAnsi="Arial Narrow"/>
                <w:b/>
                <w:bCs/>
                <w:i/>
                <w:iCs/>
                <w:sz w:val="20"/>
                <w:szCs w:val="20"/>
              </w:rPr>
            </w:pPr>
            <w:r w:rsidRPr="00D016ED">
              <w:rPr>
                <w:rFonts w:ascii="Arial Narrow" w:hAnsi="Arial Narrow"/>
                <w:b/>
                <w:bCs/>
                <w:i/>
                <w:iCs/>
                <w:sz w:val="20"/>
                <w:szCs w:val="20"/>
              </w:rPr>
              <w:t>Prescribing Instructions:</w:t>
            </w:r>
          </w:p>
          <w:p w14:paraId="2A677C17" w14:textId="77777777" w:rsidR="000706E9" w:rsidRPr="00120057" w:rsidRDefault="000706E9">
            <w:pPr>
              <w:rPr>
                <w:rFonts w:ascii="Arial Narrow" w:hAnsi="Arial Narrow"/>
                <w:i/>
                <w:iCs/>
                <w:sz w:val="20"/>
                <w:szCs w:val="20"/>
                <w:highlight w:val="yellow"/>
              </w:rPr>
            </w:pPr>
            <w:r w:rsidRPr="00D016ED">
              <w:rPr>
                <w:rFonts w:ascii="Arial Narrow" w:hAnsi="Arial Narrow"/>
                <w:i/>
                <w:iCs/>
                <w:sz w:val="20"/>
                <w:szCs w:val="20"/>
              </w:rPr>
              <w:t>The assessment of response to treatment must be documented in the patient's medical records and must be no more than 4 weeks old at the time of the authority application.</w:t>
            </w:r>
          </w:p>
        </w:tc>
      </w:tr>
      <w:tr w:rsidR="000706E9" w:rsidRPr="006A2544" w14:paraId="689E84F5"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E6266E1" w14:textId="74711825" w:rsidR="000706E9" w:rsidRPr="006A2544"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11705F" w14:textId="77777777" w:rsidR="000706E9" w:rsidRPr="006A2544" w:rsidRDefault="000706E9">
            <w:pPr>
              <w:rPr>
                <w:rFonts w:ascii="Arial Narrow" w:hAnsi="Arial Narrow"/>
                <w:b/>
                <w:bCs/>
                <w:sz w:val="20"/>
                <w:szCs w:val="20"/>
              </w:rPr>
            </w:pPr>
            <w:r w:rsidRPr="006A2544">
              <w:rPr>
                <w:rFonts w:ascii="Arial Narrow" w:hAnsi="Arial Narrow"/>
                <w:b/>
                <w:bCs/>
                <w:sz w:val="20"/>
                <w:szCs w:val="20"/>
              </w:rPr>
              <w:t>Prescribing Instructions:</w:t>
            </w:r>
          </w:p>
          <w:p w14:paraId="6810D3E9" w14:textId="77777777" w:rsidR="000706E9" w:rsidRPr="006A2544" w:rsidRDefault="000706E9">
            <w:pPr>
              <w:rPr>
                <w:rFonts w:ascii="Arial Narrow" w:hAnsi="Arial Narrow"/>
                <w:i/>
                <w:iCs/>
                <w:sz w:val="20"/>
                <w:szCs w:val="20"/>
              </w:rPr>
            </w:pPr>
            <w:r w:rsidRPr="0CEE6DE9">
              <w:rPr>
                <w:rFonts w:ascii="Arial Narrow" w:hAnsi="Arial Narrow"/>
                <w:sz w:val="20"/>
                <w:szCs w:val="20"/>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r w:rsidRPr="0CEE6DE9">
              <w:rPr>
                <w:rFonts w:ascii="Arial Narrow" w:hAnsi="Arial Narrow"/>
                <w:i/>
                <w:iCs/>
                <w:sz w:val="20"/>
                <w:szCs w:val="20"/>
              </w:rPr>
              <w:t>.</w:t>
            </w:r>
          </w:p>
        </w:tc>
      </w:tr>
      <w:tr w:rsidR="000706E9" w:rsidRPr="006A2544" w14:paraId="165E5EEC"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DCCB9F6" w14:textId="484A95F4" w:rsidR="000706E9" w:rsidRPr="006A2544"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06FC64" w14:textId="77777777" w:rsidR="000706E9" w:rsidRPr="006A2544" w:rsidRDefault="000706E9">
            <w:pPr>
              <w:rPr>
                <w:rFonts w:ascii="Arial Narrow" w:hAnsi="Arial Narrow"/>
                <w:b/>
                <w:bCs/>
                <w:strike/>
                <w:sz w:val="20"/>
                <w:szCs w:val="20"/>
              </w:rPr>
            </w:pPr>
            <w:r w:rsidRPr="006A2544">
              <w:rPr>
                <w:rFonts w:ascii="Arial Narrow" w:hAnsi="Arial Narrow"/>
                <w:b/>
                <w:bCs/>
                <w:strike/>
                <w:sz w:val="20"/>
                <w:szCs w:val="20"/>
              </w:rPr>
              <w:t>Prescribing Instructions:</w:t>
            </w:r>
          </w:p>
          <w:p w14:paraId="410D79FF" w14:textId="77777777" w:rsidR="000706E9" w:rsidRPr="006A2544" w:rsidRDefault="000706E9">
            <w:pPr>
              <w:rPr>
                <w:rFonts w:ascii="Arial Narrow" w:hAnsi="Arial Narrow"/>
                <w:strike/>
                <w:sz w:val="20"/>
                <w:szCs w:val="20"/>
              </w:rPr>
            </w:pPr>
            <w:r w:rsidRPr="006A2544">
              <w:rPr>
                <w:rFonts w:ascii="Arial Narrow" w:hAnsi="Arial Narrow"/>
                <w:strike/>
                <w:sz w:val="20"/>
                <w:szCs w:val="20"/>
              </w:rPr>
              <w:t>The authority application must be made in writing and must include:</w:t>
            </w:r>
          </w:p>
          <w:p w14:paraId="3D0DF42B" w14:textId="77777777" w:rsidR="000706E9" w:rsidRPr="006A2544" w:rsidRDefault="000706E9">
            <w:pPr>
              <w:rPr>
                <w:rFonts w:ascii="Arial Narrow" w:hAnsi="Arial Narrow"/>
                <w:strike/>
                <w:sz w:val="20"/>
                <w:szCs w:val="20"/>
              </w:rPr>
            </w:pPr>
            <w:r w:rsidRPr="006A2544">
              <w:rPr>
                <w:rFonts w:ascii="Arial Narrow" w:hAnsi="Arial Narrow"/>
                <w:strike/>
                <w:sz w:val="20"/>
                <w:szCs w:val="20"/>
              </w:rPr>
              <w:t>(1) a completed authority prescription form; and</w:t>
            </w:r>
          </w:p>
          <w:p w14:paraId="5B5CE8DD" w14:textId="77777777" w:rsidR="000706E9" w:rsidRPr="006A2544" w:rsidRDefault="000706E9">
            <w:pPr>
              <w:rPr>
                <w:rFonts w:ascii="Arial Narrow" w:hAnsi="Arial Narrow"/>
                <w:b/>
                <w:bCs/>
                <w:strike/>
                <w:sz w:val="20"/>
                <w:szCs w:val="20"/>
              </w:rPr>
            </w:pPr>
            <w:r w:rsidRPr="0CEE6DE9">
              <w:rPr>
                <w:rFonts w:ascii="Arial Narrow" w:hAnsi="Arial Narrow"/>
                <w:strike/>
                <w:sz w:val="20"/>
                <w:szCs w:val="20"/>
              </w:rPr>
              <w:t>(2) a completed authority application form relevant to the indication and treatment phase (the latest version is located on the website specified in the Administrative Advice).</w:t>
            </w:r>
          </w:p>
        </w:tc>
      </w:tr>
      <w:tr w:rsidR="000706E9" w:rsidRPr="006A2544" w14:paraId="074D4D8F"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D6C4825" w14:textId="49D6FCB6" w:rsidR="000706E9" w:rsidRPr="006A2544"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18870F" w14:textId="77777777" w:rsidR="000706E9" w:rsidRPr="006A2544" w:rsidRDefault="000706E9">
            <w:pPr>
              <w:rPr>
                <w:rFonts w:ascii="Arial Narrow" w:hAnsi="Arial Narrow"/>
                <w:b/>
                <w:bCs/>
                <w:strike/>
                <w:sz w:val="20"/>
                <w:szCs w:val="20"/>
              </w:rPr>
            </w:pPr>
            <w:r w:rsidRPr="006A2544">
              <w:rPr>
                <w:rFonts w:ascii="Arial Narrow" w:hAnsi="Arial Narrow"/>
                <w:b/>
                <w:bCs/>
                <w:strike/>
                <w:sz w:val="20"/>
                <w:szCs w:val="20"/>
              </w:rPr>
              <w:t>Prescribing Instructions:</w:t>
            </w:r>
          </w:p>
          <w:p w14:paraId="0E023F91" w14:textId="77777777" w:rsidR="000706E9" w:rsidRPr="006A2544" w:rsidRDefault="000706E9">
            <w:pPr>
              <w:rPr>
                <w:rFonts w:ascii="Arial Narrow" w:hAnsi="Arial Narrow"/>
                <w:strike/>
                <w:sz w:val="20"/>
                <w:szCs w:val="20"/>
              </w:rPr>
            </w:pPr>
            <w:r w:rsidRPr="006A2544">
              <w:rPr>
                <w:rFonts w:ascii="Arial Narrow" w:hAnsi="Arial Narrow"/>
                <w:strike/>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0706E9" w:rsidRPr="006A2544" w14:paraId="5451DED3"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BA51D0C" w14:textId="25223190" w:rsidR="000706E9" w:rsidRPr="006A2544"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5834BE" w14:textId="77777777" w:rsidR="000706E9" w:rsidRPr="006A2544" w:rsidRDefault="000706E9">
            <w:pPr>
              <w:rPr>
                <w:rFonts w:ascii="Arial Narrow" w:hAnsi="Arial Narrow"/>
                <w:b/>
                <w:bCs/>
                <w:strike/>
                <w:sz w:val="20"/>
                <w:szCs w:val="20"/>
              </w:rPr>
            </w:pPr>
            <w:r w:rsidRPr="006A2544">
              <w:rPr>
                <w:rFonts w:ascii="Arial Narrow" w:hAnsi="Arial Narrow"/>
                <w:b/>
                <w:bCs/>
                <w:strike/>
                <w:sz w:val="20"/>
                <w:szCs w:val="20"/>
              </w:rPr>
              <w:t>Prescribing Instructions:</w:t>
            </w:r>
          </w:p>
          <w:p w14:paraId="7AEC3FA0" w14:textId="77777777" w:rsidR="000706E9" w:rsidRPr="006A2544" w:rsidRDefault="000706E9">
            <w:pPr>
              <w:rPr>
                <w:rFonts w:ascii="Arial Narrow" w:hAnsi="Arial Narrow"/>
                <w:strike/>
                <w:sz w:val="20"/>
                <w:szCs w:val="20"/>
              </w:rPr>
            </w:pPr>
            <w:r w:rsidRPr="0CEE6DE9">
              <w:rPr>
                <w:rFonts w:ascii="Arial Narrow" w:hAnsi="Arial Narrow"/>
                <w:strike/>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0706E9" w:rsidRPr="006A2544" w14:paraId="2393EFDC"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3DE2EAD" w14:textId="2BD42C8B" w:rsidR="000706E9" w:rsidRPr="009B13F8"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B17D82" w14:textId="77777777" w:rsidR="000706E9" w:rsidRPr="009B13F8" w:rsidRDefault="000706E9">
            <w:pPr>
              <w:rPr>
                <w:rFonts w:ascii="Arial Narrow" w:hAnsi="Arial Narrow"/>
                <w:b/>
                <w:bCs/>
                <w:i/>
                <w:iCs/>
                <w:sz w:val="20"/>
                <w:szCs w:val="20"/>
              </w:rPr>
            </w:pPr>
            <w:r w:rsidRPr="009B13F8">
              <w:rPr>
                <w:rFonts w:ascii="Arial Narrow" w:hAnsi="Arial Narrow"/>
                <w:b/>
                <w:bCs/>
                <w:i/>
                <w:iCs/>
                <w:sz w:val="20"/>
                <w:szCs w:val="20"/>
              </w:rPr>
              <w:t>Prescribing Instructions:</w:t>
            </w:r>
          </w:p>
          <w:p w14:paraId="7D28DC2F" w14:textId="77777777" w:rsidR="000706E9" w:rsidRPr="009B13F8" w:rsidRDefault="000706E9">
            <w:pPr>
              <w:rPr>
                <w:rFonts w:ascii="Arial Narrow" w:hAnsi="Arial Narrow"/>
                <w:b/>
                <w:bCs/>
                <w:i/>
                <w:iCs/>
                <w:sz w:val="20"/>
                <w:szCs w:val="20"/>
              </w:rPr>
            </w:pPr>
            <w:r w:rsidRPr="009B13F8">
              <w:rPr>
                <w:rFonts w:ascii="Arial Narrow" w:hAnsi="Arial Narrow"/>
                <w:i/>
                <w:iCs/>
                <w:sz w:val="20"/>
                <w:szCs w:val="20"/>
              </w:rPr>
              <w:t>If the requirement for concomitant treatment with methotrexate cannot be met because of a contraindication and/or severe intolerance, details must be documented in the patient's medical records.</w:t>
            </w:r>
          </w:p>
        </w:tc>
      </w:tr>
      <w:tr w:rsidR="000706E9" w:rsidRPr="006A2544" w14:paraId="58D136DF"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D659D44" w14:textId="05BD9210" w:rsidR="000706E9" w:rsidRPr="006A2544"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4F2B72" w14:textId="77777777" w:rsidR="000706E9" w:rsidRPr="006A2544" w:rsidRDefault="000706E9">
            <w:pPr>
              <w:rPr>
                <w:rFonts w:ascii="Arial Narrow" w:hAnsi="Arial Narrow"/>
                <w:b/>
                <w:bCs/>
                <w:sz w:val="20"/>
                <w:szCs w:val="20"/>
              </w:rPr>
            </w:pPr>
            <w:r w:rsidRPr="006A2544">
              <w:rPr>
                <w:rFonts w:ascii="Arial Narrow" w:hAnsi="Arial Narrow"/>
                <w:b/>
                <w:bCs/>
                <w:sz w:val="20"/>
                <w:szCs w:val="20"/>
              </w:rPr>
              <w:t>Prescribing Instructions:</w:t>
            </w:r>
          </w:p>
          <w:p w14:paraId="7E42840F" w14:textId="77777777" w:rsidR="000706E9" w:rsidRPr="006A2544" w:rsidRDefault="000706E9">
            <w:pPr>
              <w:rPr>
                <w:rFonts w:ascii="Arial Narrow" w:hAnsi="Arial Narrow"/>
                <w:sz w:val="20"/>
                <w:szCs w:val="20"/>
              </w:rPr>
            </w:pPr>
            <w:r w:rsidRPr="006A2544">
              <w:rPr>
                <w:rFonts w:ascii="Arial Narrow" w:hAnsi="Arial Narrow"/>
                <w:sz w:val="20"/>
                <w:szCs w:val="20"/>
              </w:rPr>
              <w:t>If a patient has either failed or ceased to respond to a PBS-subsidised biological medicine for this condition 5 times, they will not be eligible to receive further PBS-subsidised treatment with a biological medicine for this condition.</w:t>
            </w:r>
          </w:p>
        </w:tc>
      </w:tr>
      <w:tr w:rsidR="000706E9" w:rsidRPr="006A2544" w14:paraId="62EA380D"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D32F9ED" w14:textId="549920D1" w:rsidR="000706E9" w:rsidRPr="006A2544"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AAEF09" w14:textId="77777777" w:rsidR="000706E9" w:rsidRPr="006A2544" w:rsidRDefault="000706E9">
            <w:pPr>
              <w:rPr>
                <w:rFonts w:ascii="Arial Narrow" w:hAnsi="Arial Narrow"/>
                <w:b/>
                <w:bCs/>
                <w:sz w:val="20"/>
                <w:szCs w:val="20"/>
              </w:rPr>
            </w:pPr>
            <w:r w:rsidRPr="006A2544">
              <w:rPr>
                <w:rFonts w:ascii="Arial Narrow" w:hAnsi="Arial Narrow"/>
                <w:b/>
                <w:bCs/>
                <w:sz w:val="20"/>
                <w:szCs w:val="20"/>
              </w:rPr>
              <w:t>Prescribing Instructions:</w:t>
            </w:r>
          </w:p>
          <w:p w14:paraId="53A10283" w14:textId="77777777" w:rsidR="000706E9" w:rsidRPr="006A2544" w:rsidRDefault="000706E9">
            <w:pPr>
              <w:rPr>
                <w:rFonts w:ascii="Arial Narrow" w:hAnsi="Arial Narrow"/>
                <w:sz w:val="20"/>
                <w:szCs w:val="20"/>
              </w:rPr>
            </w:pPr>
            <w:r w:rsidRPr="0CEE6DE9">
              <w:rPr>
                <w:rFonts w:ascii="Arial Narrow" w:hAnsi="Arial Narrow"/>
                <w:sz w:val="20"/>
                <w:szCs w:val="20"/>
              </w:rPr>
              <w:t>If a patient fails to demonstrate a response to treatment with this drug under this restriction they will not be eligible to receive further PBS-subsidised treatment with this drug for this condition.</w:t>
            </w:r>
          </w:p>
        </w:tc>
      </w:tr>
      <w:tr w:rsidR="000706E9" w:rsidRPr="006A2544" w14:paraId="39C6A17E"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E752A1B" w14:textId="118CC3D3" w:rsidR="000706E9" w:rsidRPr="00E96661"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DD3069" w14:textId="77777777" w:rsidR="000706E9" w:rsidRPr="00E96661" w:rsidRDefault="000706E9">
            <w:pPr>
              <w:rPr>
                <w:rFonts w:ascii="Arial Narrow" w:hAnsi="Arial Narrow"/>
                <w:b/>
                <w:bCs/>
                <w:strike/>
                <w:sz w:val="20"/>
                <w:szCs w:val="20"/>
              </w:rPr>
            </w:pPr>
            <w:r w:rsidRPr="00E96661">
              <w:rPr>
                <w:rFonts w:ascii="Arial Narrow" w:hAnsi="Arial Narrow"/>
                <w:b/>
                <w:bCs/>
                <w:strike/>
                <w:sz w:val="20"/>
                <w:szCs w:val="20"/>
              </w:rPr>
              <w:t>Prescribing Instructions:</w:t>
            </w:r>
          </w:p>
          <w:p w14:paraId="63972DD8" w14:textId="77777777" w:rsidR="000706E9" w:rsidRPr="00E96661" w:rsidRDefault="000706E9">
            <w:pPr>
              <w:rPr>
                <w:rFonts w:ascii="Arial Narrow" w:hAnsi="Arial Narrow"/>
                <w:strike/>
                <w:sz w:val="20"/>
                <w:szCs w:val="20"/>
              </w:rPr>
            </w:pPr>
            <w:r w:rsidRPr="0CEE6DE9">
              <w:rPr>
                <w:rFonts w:ascii="Arial Narrow" w:hAnsi="Arial Narrow"/>
                <w:strike/>
                <w:sz w:val="20"/>
                <w:szCs w:val="20"/>
              </w:rPr>
              <w:t>At the time of the authority application, medical practitioners should request sufficient quantity for up to 24 weeks of treatment under this restriction.</w:t>
            </w:r>
          </w:p>
        </w:tc>
      </w:tr>
      <w:tr w:rsidR="000706E9" w:rsidRPr="006A2544" w14:paraId="76DDE78C"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C5E4F49" w14:textId="1629589A" w:rsidR="000706E9" w:rsidRPr="006A2544"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1475F0" w14:textId="77777777" w:rsidR="000706E9" w:rsidRPr="006A2544" w:rsidRDefault="000706E9">
            <w:pPr>
              <w:rPr>
                <w:rFonts w:ascii="Arial Narrow" w:hAnsi="Arial Narrow"/>
                <w:b/>
                <w:bCs/>
                <w:strike/>
                <w:sz w:val="20"/>
                <w:szCs w:val="20"/>
              </w:rPr>
            </w:pPr>
            <w:r w:rsidRPr="006A2544">
              <w:rPr>
                <w:rFonts w:ascii="Arial Narrow" w:hAnsi="Arial Narrow"/>
                <w:b/>
                <w:bCs/>
                <w:strike/>
                <w:sz w:val="20"/>
                <w:szCs w:val="20"/>
              </w:rPr>
              <w:t>Administrative Advice:</w:t>
            </w:r>
          </w:p>
          <w:p w14:paraId="00FD70E7" w14:textId="77777777" w:rsidR="000706E9" w:rsidRPr="006A2544" w:rsidRDefault="000706E9">
            <w:pPr>
              <w:rPr>
                <w:rFonts w:ascii="Arial Narrow" w:hAnsi="Arial Narrow"/>
                <w:strike/>
                <w:sz w:val="20"/>
                <w:szCs w:val="20"/>
              </w:rPr>
            </w:pPr>
            <w:r w:rsidRPr="006A2544">
              <w:rPr>
                <w:rFonts w:ascii="Arial Narrow" w:hAnsi="Arial Narrow"/>
                <w:strike/>
                <w:sz w:val="20"/>
                <w:szCs w:val="20"/>
              </w:rPr>
              <w:t>Any queries concerning the arrangements to prescribe may be directed to Services Australia on 1800 700 270 (hours of operation 8 a.m. to 5 p.m. Monday to Friday).</w:t>
            </w:r>
          </w:p>
          <w:p w14:paraId="15E0F2EF" w14:textId="77777777" w:rsidR="000706E9" w:rsidRPr="006A2544" w:rsidRDefault="000706E9">
            <w:pPr>
              <w:rPr>
                <w:rFonts w:ascii="Arial Narrow" w:hAnsi="Arial Narrow"/>
                <w:strike/>
                <w:sz w:val="20"/>
                <w:szCs w:val="20"/>
              </w:rPr>
            </w:pPr>
            <w:r w:rsidRPr="006A2544">
              <w:rPr>
                <w:rFonts w:ascii="Arial Narrow" w:hAnsi="Arial Narrow"/>
                <w:strike/>
                <w:sz w:val="20"/>
                <w:szCs w:val="20"/>
              </w:rPr>
              <w:t>Prescribing information (including Authority Application forms and other relevant documentation as applicable) is available on the Services Australia website at www.servicesaustralia.gov.au</w:t>
            </w:r>
          </w:p>
          <w:p w14:paraId="71D48A52" w14:textId="77777777" w:rsidR="000706E9" w:rsidRPr="006A2544" w:rsidRDefault="000706E9">
            <w:pPr>
              <w:rPr>
                <w:rFonts w:ascii="Arial Narrow" w:hAnsi="Arial Narrow"/>
                <w:strike/>
                <w:sz w:val="20"/>
                <w:szCs w:val="20"/>
              </w:rPr>
            </w:pPr>
            <w:r w:rsidRPr="0CEE6DE9">
              <w:rPr>
                <w:rFonts w:ascii="Arial Narrow" w:hAnsi="Arial Narrow"/>
                <w:strike/>
                <w:sz w:val="20"/>
                <w:szCs w:val="20"/>
              </w:rPr>
              <w:t>Applications for authority to prescribe should be submitted online using the form upload facility in Health Professional Online Services (HPOS) at www.servicesaustralia.gov.au/hpos</w:t>
            </w:r>
          </w:p>
          <w:p w14:paraId="01CB6CC8" w14:textId="77777777" w:rsidR="000706E9" w:rsidRPr="006A2544" w:rsidRDefault="000706E9">
            <w:pPr>
              <w:rPr>
                <w:rFonts w:ascii="Arial Narrow" w:hAnsi="Arial Narrow"/>
                <w:strike/>
                <w:sz w:val="20"/>
                <w:szCs w:val="20"/>
              </w:rPr>
            </w:pPr>
            <w:r w:rsidRPr="006A2544">
              <w:rPr>
                <w:rFonts w:ascii="Arial Narrow" w:hAnsi="Arial Narrow"/>
                <w:strike/>
                <w:sz w:val="20"/>
                <w:szCs w:val="20"/>
              </w:rPr>
              <w:t>Or mailed to:</w:t>
            </w:r>
          </w:p>
          <w:p w14:paraId="7418EF9F" w14:textId="77777777" w:rsidR="000706E9" w:rsidRPr="006A2544" w:rsidRDefault="000706E9">
            <w:pPr>
              <w:rPr>
                <w:rFonts w:ascii="Arial Narrow" w:hAnsi="Arial Narrow"/>
                <w:strike/>
                <w:sz w:val="20"/>
                <w:szCs w:val="20"/>
              </w:rPr>
            </w:pPr>
            <w:r w:rsidRPr="006A2544">
              <w:rPr>
                <w:rFonts w:ascii="Arial Narrow" w:hAnsi="Arial Narrow"/>
                <w:strike/>
                <w:sz w:val="20"/>
                <w:szCs w:val="20"/>
              </w:rPr>
              <w:t>Services Australia</w:t>
            </w:r>
          </w:p>
          <w:p w14:paraId="7BADA517" w14:textId="77777777" w:rsidR="000706E9" w:rsidRPr="006A2544" w:rsidRDefault="000706E9">
            <w:pPr>
              <w:rPr>
                <w:rFonts w:ascii="Arial Narrow" w:hAnsi="Arial Narrow"/>
                <w:strike/>
                <w:sz w:val="20"/>
                <w:szCs w:val="20"/>
              </w:rPr>
            </w:pPr>
            <w:r w:rsidRPr="006A2544">
              <w:rPr>
                <w:rFonts w:ascii="Arial Narrow" w:hAnsi="Arial Narrow"/>
                <w:strike/>
                <w:sz w:val="20"/>
                <w:szCs w:val="20"/>
              </w:rPr>
              <w:t>Complex Drugs</w:t>
            </w:r>
          </w:p>
          <w:p w14:paraId="4FA35DB6" w14:textId="77777777" w:rsidR="000706E9" w:rsidRPr="006A2544" w:rsidRDefault="000706E9">
            <w:pPr>
              <w:rPr>
                <w:rFonts w:ascii="Arial Narrow" w:hAnsi="Arial Narrow"/>
                <w:strike/>
                <w:sz w:val="20"/>
                <w:szCs w:val="20"/>
              </w:rPr>
            </w:pPr>
            <w:r w:rsidRPr="006A2544">
              <w:rPr>
                <w:rFonts w:ascii="Arial Narrow" w:hAnsi="Arial Narrow"/>
                <w:strike/>
                <w:sz w:val="20"/>
                <w:szCs w:val="20"/>
              </w:rPr>
              <w:t>Reply Paid 9826</w:t>
            </w:r>
          </w:p>
          <w:p w14:paraId="494F00C8" w14:textId="77777777" w:rsidR="000706E9" w:rsidRPr="006A2544" w:rsidRDefault="000706E9">
            <w:pPr>
              <w:rPr>
                <w:rFonts w:ascii="Arial Narrow" w:hAnsi="Arial Narrow"/>
                <w:b/>
                <w:bCs/>
                <w:strike/>
                <w:sz w:val="20"/>
                <w:szCs w:val="20"/>
              </w:rPr>
            </w:pPr>
            <w:r w:rsidRPr="006A2544">
              <w:rPr>
                <w:rFonts w:ascii="Arial Narrow" w:hAnsi="Arial Narrow"/>
                <w:strike/>
                <w:sz w:val="20"/>
                <w:szCs w:val="20"/>
              </w:rPr>
              <w:t>HOBART TAS 7001</w:t>
            </w:r>
          </w:p>
        </w:tc>
      </w:tr>
    </w:tbl>
    <w:p w14:paraId="3A08DF78" w14:textId="77777777" w:rsidR="000706E9" w:rsidRDefault="000706E9" w:rsidP="00365FCC">
      <w:pPr>
        <w:pStyle w:val="TableFigureFooter"/>
        <w:spacing w:after="0"/>
      </w:pPr>
    </w:p>
    <w:p w14:paraId="175111F7" w14:textId="77777777" w:rsidR="000706E9" w:rsidRPr="00B37E6C" w:rsidRDefault="000706E9" w:rsidP="005C6A66">
      <w:pPr>
        <w:pStyle w:val="5-SubsectionSubheading"/>
        <w:rPr>
          <w:spacing w:val="5"/>
          <w:kern w:val="28"/>
        </w:rPr>
      </w:pPr>
      <w:r w:rsidRPr="00B37E6C">
        <w:t xml:space="preserve">Severe active rheumatoid arthritis – </w:t>
      </w:r>
      <w:r>
        <w: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severe active rheumatoid arthritis"/>
        <w:tblDescription w:val="Treatment phase: balance of supply for initial treatment, subcutaneous form&#10;Changes to treatment phase, clicial criteria"/>
      </w:tblPr>
      <w:tblGrid>
        <w:gridCol w:w="1272"/>
        <w:gridCol w:w="2670"/>
        <w:gridCol w:w="811"/>
        <w:gridCol w:w="811"/>
        <w:gridCol w:w="811"/>
        <w:gridCol w:w="811"/>
        <w:gridCol w:w="1830"/>
      </w:tblGrid>
      <w:tr w:rsidR="000706E9" w:rsidRPr="008C7A5C" w14:paraId="240FDB10" w14:textId="77777777" w:rsidTr="000706E9">
        <w:trPr>
          <w:cantSplit/>
          <w:trHeight w:val="20"/>
        </w:trPr>
        <w:tc>
          <w:tcPr>
            <w:tcW w:w="2185" w:type="pct"/>
            <w:gridSpan w:val="2"/>
            <w:vAlign w:val="center"/>
          </w:tcPr>
          <w:p w14:paraId="1C2AE4FE" w14:textId="77777777" w:rsidR="000706E9" w:rsidRPr="008C7A5C" w:rsidRDefault="000706E9">
            <w:pPr>
              <w:keepLines/>
              <w:rPr>
                <w:rFonts w:ascii="Arial Narrow" w:hAnsi="Arial Narrow" w:cs="Arial"/>
                <w:b/>
                <w:bCs/>
                <w:sz w:val="20"/>
                <w:szCs w:val="20"/>
              </w:rPr>
            </w:pPr>
            <w:r w:rsidRPr="008C7A5C">
              <w:rPr>
                <w:rFonts w:ascii="Arial Narrow" w:hAnsi="Arial Narrow" w:cs="Arial"/>
                <w:b/>
                <w:bCs/>
                <w:sz w:val="20"/>
                <w:szCs w:val="20"/>
              </w:rPr>
              <w:t>MEDICINAL PRODUCT</w:t>
            </w:r>
          </w:p>
          <w:p w14:paraId="349F9795" w14:textId="77777777" w:rsidR="000706E9" w:rsidRPr="008C7A5C" w:rsidRDefault="000706E9">
            <w:pPr>
              <w:keepLines/>
              <w:rPr>
                <w:rFonts w:ascii="Arial Narrow" w:hAnsi="Arial Narrow" w:cs="Arial"/>
                <w:b/>
                <w:sz w:val="20"/>
                <w:szCs w:val="20"/>
              </w:rPr>
            </w:pPr>
            <w:r w:rsidRPr="008C7A5C">
              <w:rPr>
                <w:rFonts w:ascii="Arial Narrow" w:hAnsi="Arial Narrow" w:cs="Arial"/>
                <w:b/>
                <w:bCs/>
                <w:sz w:val="20"/>
                <w:szCs w:val="20"/>
              </w:rPr>
              <w:t>medicinal product pack</w:t>
            </w:r>
          </w:p>
        </w:tc>
        <w:tc>
          <w:tcPr>
            <w:tcW w:w="450" w:type="pct"/>
            <w:vAlign w:val="center"/>
          </w:tcPr>
          <w:p w14:paraId="6986FABB" w14:textId="77777777" w:rsidR="000706E9" w:rsidRPr="008C7A5C" w:rsidRDefault="000706E9">
            <w:pPr>
              <w:keepLines/>
              <w:jc w:val="center"/>
              <w:rPr>
                <w:rFonts w:ascii="Arial Narrow" w:hAnsi="Arial Narrow" w:cs="Arial"/>
                <w:b/>
                <w:sz w:val="20"/>
                <w:szCs w:val="20"/>
              </w:rPr>
            </w:pPr>
            <w:r w:rsidRPr="008C7A5C">
              <w:rPr>
                <w:rFonts w:ascii="Arial Narrow" w:hAnsi="Arial Narrow" w:cs="Arial"/>
                <w:b/>
                <w:sz w:val="20"/>
                <w:szCs w:val="20"/>
              </w:rPr>
              <w:t>PBS item code</w:t>
            </w:r>
          </w:p>
        </w:tc>
        <w:tc>
          <w:tcPr>
            <w:tcW w:w="450" w:type="pct"/>
            <w:vAlign w:val="center"/>
          </w:tcPr>
          <w:p w14:paraId="7A4DBC56" w14:textId="77777777" w:rsidR="000706E9" w:rsidRPr="008C7A5C" w:rsidRDefault="000706E9">
            <w:pPr>
              <w:keepLines/>
              <w:jc w:val="center"/>
              <w:rPr>
                <w:rFonts w:ascii="Arial Narrow" w:hAnsi="Arial Narrow" w:cs="Arial"/>
                <w:b/>
                <w:sz w:val="20"/>
                <w:szCs w:val="20"/>
              </w:rPr>
            </w:pPr>
            <w:r w:rsidRPr="008C7A5C">
              <w:rPr>
                <w:rFonts w:ascii="Arial Narrow" w:hAnsi="Arial Narrow" w:cs="Arial"/>
                <w:b/>
                <w:sz w:val="20"/>
                <w:szCs w:val="20"/>
              </w:rPr>
              <w:t>Max. qty packs</w:t>
            </w:r>
          </w:p>
        </w:tc>
        <w:tc>
          <w:tcPr>
            <w:tcW w:w="450" w:type="pct"/>
            <w:vAlign w:val="center"/>
          </w:tcPr>
          <w:p w14:paraId="133F185F" w14:textId="77777777" w:rsidR="000706E9" w:rsidRPr="008C7A5C" w:rsidRDefault="000706E9">
            <w:pPr>
              <w:keepLines/>
              <w:jc w:val="center"/>
              <w:rPr>
                <w:rFonts w:ascii="Arial Narrow" w:hAnsi="Arial Narrow" w:cs="Arial"/>
                <w:b/>
                <w:sz w:val="20"/>
                <w:szCs w:val="20"/>
              </w:rPr>
            </w:pPr>
            <w:r w:rsidRPr="008C7A5C">
              <w:rPr>
                <w:rFonts w:ascii="Arial Narrow" w:hAnsi="Arial Narrow" w:cs="Arial"/>
                <w:b/>
                <w:sz w:val="20"/>
                <w:szCs w:val="20"/>
              </w:rPr>
              <w:t>Max. qty units</w:t>
            </w:r>
          </w:p>
        </w:tc>
        <w:tc>
          <w:tcPr>
            <w:tcW w:w="450" w:type="pct"/>
            <w:vAlign w:val="center"/>
          </w:tcPr>
          <w:p w14:paraId="7696A1FD" w14:textId="77777777" w:rsidR="000706E9" w:rsidRPr="008C7A5C" w:rsidRDefault="000706E9">
            <w:pPr>
              <w:keepLines/>
              <w:jc w:val="center"/>
              <w:rPr>
                <w:rFonts w:ascii="Arial Narrow" w:hAnsi="Arial Narrow" w:cs="Arial"/>
                <w:b/>
                <w:bCs/>
                <w:sz w:val="20"/>
                <w:szCs w:val="20"/>
              </w:rPr>
            </w:pPr>
            <w:r w:rsidRPr="0CEE6DE9">
              <w:rPr>
                <w:rFonts w:ascii="Arial Narrow" w:hAnsi="Arial Narrow" w:cs="Arial"/>
                <w:b/>
                <w:bCs/>
                <w:sz w:val="20"/>
                <w:szCs w:val="20"/>
              </w:rPr>
              <w:t>№.of</w:t>
            </w:r>
          </w:p>
          <w:p w14:paraId="0BD170EE" w14:textId="77777777" w:rsidR="000706E9" w:rsidRPr="008C7A5C" w:rsidRDefault="000706E9">
            <w:pPr>
              <w:keepLines/>
              <w:jc w:val="center"/>
              <w:rPr>
                <w:rFonts w:ascii="Arial Narrow" w:hAnsi="Arial Narrow" w:cs="Arial"/>
                <w:b/>
                <w:bCs/>
                <w:sz w:val="20"/>
                <w:szCs w:val="20"/>
              </w:rPr>
            </w:pPr>
            <w:r w:rsidRPr="0CEE6DE9">
              <w:rPr>
                <w:rFonts w:ascii="Arial Narrow" w:hAnsi="Arial Narrow" w:cs="Arial"/>
                <w:b/>
                <w:bCs/>
                <w:sz w:val="20"/>
                <w:szCs w:val="20"/>
              </w:rPr>
              <w:t>Rpts</w:t>
            </w:r>
          </w:p>
        </w:tc>
        <w:tc>
          <w:tcPr>
            <w:tcW w:w="1016" w:type="pct"/>
            <w:vAlign w:val="center"/>
          </w:tcPr>
          <w:p w14:paraId="7CE62469" w14:textId="77777777" w:rsidR="000706E9" w:rsidRPr="008C7A5C" w:rsidRDefault="000706E9">
            <w:pPr>
              <w:keepLines/>
              <w:rPr>
                <w:rFonts w:ascii="Arial Narrow" w:hAnsi="Arial Narrow" w:cs="Arial"/>
                <w:b/>
                <w:sz w:val="20"/>
                <w:szCs w:val="20"/>
                <w:lang w:val="fr-FR"/>
              </w:rPr>
            </w:pPr>
            <w:r w:rsidRPr="008C7A5C">
              <w:rPr>
                <w:rFonts w:ascii="Arial Narrow" w:hAnsi="Arial Narrow" w:cs="Arial"/>
                <w:b/>
                <w:sz w:val="20"/>
                <w:szCs w:val="20"/>
              </w:rPr>
              <w:t>Available brands</w:t>
            </w:r>
          </w:p>
        </w:tc>
      </w:tr>
      <w:tr w:rsidR="000706E9" w:rsidRPr="008C7A5C" w14:paraId="1BD2BDDD" w14:textId="77777777">
        <w:trPr>
          <w:cantSplit/>
          <w:trHeight w:val="20"/>
        </w:trPr>
        <w:tc>
          <w:tcPr>
            <w:tcW w:w="5000" w:type="pct"/>
            <w:gridSpan w:val="7"/>
            <w:vAlign w:val="center"/>
          </w:tcPr>
          <w:p w14:paraId="0F53C5AA" w14:textId="77777777" w:rsidR="000706E9" w:rsidRPr="008C7A5C" w:rsidRDefault="000706E9">
            <w:pPr>
              <w:keepLines/>
              <w:rPr>
                <w:rFonts w:ascii="Arial Narrow" w:hAnsi="Arial Narrow" w:cs="Arial"/>
                <w:sz w:val="20"/>
                <w:szCs w:val="20"/>
              </w:rPr>
            </w:pPr>
            <w:r w:rsidRPr="008C7A5C">
              <w:rPr>
                <w:rFonts w:ascii="Arial Narrow" w:hAnsi="Arial Narrow" w:cs="Arial"/>
                <w:sz w:val="20"/>
                <w:szCs w:val="20"/>
              </w:rPr>
              <w:t>INFLIXIMAB</w:t>
            </w:r>
          </w:p>
        </w:tc>
      </w:tr>
      <w:tr w:rsidR="000706E9" w:rsidRPr="008C7A5C" w14:paraId="6D9FEBB6" w14:textId="77777777" w:rsidTr="000706E9">
        <w:trPr>
          <w:cantSplit/>
          <w:trHeight w:val="20"/>
        </w:trPr>
        <w:tc>
          <w:tcPr>
            <w:tcW w:w="2185" w:type="pct"/>
            <w:gridSpan w:val="2"/>
            <w:vAlign w:val="center"/>
          </w:tcPr>
          <w:p w14:paraId="7ECA761D" w14:textId="77777777" w:rsidR="000706E9" w:rsidRPr="008C7A5C" w:rsidRDefault="000706E9">
            <w:pPr>
              <w:keepLines/>
              <w:rPr>
                <w:rFonts w:ascii="Arial Narrow" w:hAnsi="Arial Narrow" w:cs="Arial"/>
                <w:sz w:val="20"/>
                <w:szCs w:val="20"/>
              </w:rPr>
            </w:pPr>
            <w:r w:rsidRPr="008C7A5C">
              <w:rPr>
                <w:rFonts w:ascii="Arial Narrow" w:hAnsi="Arial Narrow" w:cs="Arial"/>
                <w:sz w:val="20"/>
                <w:szCs w:val="20"/>
              </w:rPr>
              <w:t>infliximab 120 mg/mL injection, 1 mL pen device</w:t>
            </w:r>
          </w:p>
        </w:tc>
        <w:tc>
          <w:tcPr>
            <w:tcW w:w="450" w:type="pct"/>
            <w:vAlign w:val="center"/>
          </w:tcPr>
          <w:p w14:paraId="38222488" w14:textId="77777777" w:rsidR="000706E9" w:rsidRPr="008C7A5C" w:rsidRDefault="000706E9">
            <w:pPr>
              <w:keepLines/>
              <w:jc w:val="center"/>
              <w:rPr>
                <w:rFonts w:ascii="Arial Narrow" w:hAnsi="Arial Narrow" w:cs="Arial"/>
                <w:sz w:val="20"/>
                <w:szCs w:val="20"/>
              </w:rPr>
            </w:pPr>
            <w:r w:rsidRPr="008C7A5C">
              <w:rPr>
                <w:rFonts w:ascii="Arial Narrow" w:hAnsi="Arial Narrow" w:cs="Arial"/>
                <w:sz w:val="20"/>
                <w:szCs w:val="20"/>
              </w:rPr>
              <w:t>12566J</w:t>
            </w:r>
          </w:p>
        </w:tc>
        <w:tc>
          <w:tcPr>
            <w:tcW w:w="450" w:type="pct"/>
          </w:tcPr>
          <w:p w14:paraId="10E041C3" w14:textId="77777777" w:rsidR="000706E9" w:rsidRPr="008C7A5C" w:rsidRDefault="000706E9">
            <w:pPr>
              <w:keepLines/>
              <w:jc w:val="center"/>
              <w:rPr>
                <w:rFonts w:ascii="Arial Narrow" w:hAnsi="Arial Narrow" w:cs="Arial"/>
                <w:sz w:val="20"/>
                <w:szCs w:val="20"/>
              </w:rPr>
            </w:pPr>
            <w:r w:rsidRPr="008C7A5C">
              <w:rPr>
                <w:rFonts w:ascii="Arial Narrow" w:hAnsi="Arial Narrow" w:cs="Arial"/>
                <w:sz w:val="20"/>
                <w:szCs w:val="20"/>
              </w:rPr>
              <w:t>1</w:t>
            </w:r>
          </w:p>
        </w:tc>
        <w:tc>
          <w:tcPr>
            <w:tcW w:w="450" w:type="pct"/>
          </w:tcPr>
          <w:p w14:paraId="06478CD7" w14:textId="77777777" w:rsidR="000706E9" w:rsidRPr="008C7A5C" w:rsidRDefault="000706E9">
            <w:pPr>
              <w:keepLines/>
              <w:jc w:val="center"/>
              <w:rPr>
                <w:rFonts w:ascii="Arial Narrow" w:hAnsi="Arial Narrow" w:cs="Arial"/>
                <w:sz w:val="20"/>
                <w:szCs w:val="20"/>
              </w:rPr>
            </w:pPr>
            <w:r w:rsidRPr="008C7A5C">
              <w:rPr>
                <w:rFonts w:ascii="Arial Narrow" w:hAnsi="Arial Narrow" w:cs="Arial"/>
                <w:sz w:val="20"/>
                <w:szCs w:val="20"/>
              </w:rPr>
              <w:t>1</w:t>
            </w:r>
          </w:p>
        </w:tc>
        <w:tc>
          <w:tcPr>
            <w:tcW w:w="450" w:type="pct"/>
          </w:tcPr>
          <w:p w14:paraId="01F2D406" w14:textId="77777777" w:rsidR="000706E9" w:rsidRPr="008C7A5C" w:rsidRDefault="000706E9">
            <w:pPr>
              <w:keepLines/>
              <w:jc w:val="center"/>
              <w:rPr>
                <w:rFonts w:ascii="Arial Narrow" w:hAnsi="Arial Narrow" w:cs="Arial"/>
                <w:sz w:val="20"/>
                <w:szCs w:val="20"/>
              </w:rPr>
            </w:pPr>
            <w:r w:rsidRPr="008C7A5C">
              <w:rPr>
                <w:rFonts w:ascii="Arial Narrow" w:hAnsi="Arial Narrow" w:cs="Arial"/>
                <w:sz w:val="20"/>
                <w:szCs w:val="20"/>
              </w:rPr>
              <w:t>0</w:t>
            </w:r>
          </w:p>
        </w:tc>
        <w:tc>
          <w:tcPr>
            <w:tcW w:w="1016" w:type="pct"/>
            <w:vAlign w:val="center"/>
          </w:tcPr>
          <w:p w14:paraId="5BBC9B55" w14:textId="77777777" w:rsidR="000706E9" w:rsidRPr="008C7A5C"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8C7A5C" w14:paraId="5B2089AC" w14:textId="77777777" w:rsidTr="000706E9">
        <w:trPr>
          <w:cantSplit/>
          <w:trHeight w:val="20"/>
        </w:trPr>
        <w:tc>
          <w:tcPr>
            <w:tcW w:w="2185" w:type="pct"/>
            <w:gridSpan w:val="2"/>
            <w:vAlign w:val="center"/>
          </w:tcPr>
          <w:p w14:paraId="2B22A22D" w14:textId="77777777" w:rsidR="000706E9" w:rsidRPr="008C7A5C" w:rsidRDefault="000706E9">
            <w:pPr>
              <w:keepLines/>
              <w:rPr>
                <w:rFonts w:ascii="Arial Narrow" w:hAnsi="Arial Narrow" w:cs="Arial"/>
                <w:sz w:val="20"/>
                <w:szCs w:val="20"/>
              </w:rPr>
            </w:pPr>
            <w:r w:rsidRPr="008C7A5C">
              <w:rPr>
                <w:rFonts w:ascii="Arial Narrow" w:hAnsi="Arial Narrow" w:cs="Arial"/>
                <w:sz w:val="20"/>
                <w:szCs w:val="20"/>
              </w:rPr>
              <w:t>infliximab 120 mg/mL injection, 1 mL syringe</w:t>
            </w:r>
          </w:p>
        </w:tc>
        <w:tc>
          <w:tcPr>
            <w:tcW w:w="450" w:type="pct"/>
            <w:vAlign w:val="center"/>
          </w:tcPr>
          <w:p w14:paraId="6AB451F7" w14:textId="77777777" w:rsidR="000706E9" w:rsidRPr="008C7A5C" w:rsidRDefault="000706E9">
            <w:pPr>
              <w:keepLines/>
              <w:jc w:val="center"/>
              <w:rPr>
                <w:rFonts w:ascii="Arial Narrow" w:hAnsi="Arial Narrow" w:cs="Arial"/>
                <w:sz w:val="20"/>
                <w:szCs w:val="20"/>
              </w:rPr>
            </w:pPr>
            <w:r w:rsidRPr="008C7A5C">
              <w:rPr>
                <w:rFonts w:ascii="Arial Narrow" w:hAnsi="Arial Narrow" w:cs="Arial"/>
                <w:sz w:val="20"/>
                <w:szCs w:val="20"/>
              </w:rPr>
              <w:t>12555T</w:t>
            </w:r>
          </w:p>
        </w:tc>
        <w:tc>
          <w:tcPr>
            <w:tcW w:w="450" w:type="pct"/>
            <w:vAlign w:val="center"/>
          </w:tcPr>
          <w:p w14:paraId="22B964B9" w14:textId="77777777" w:rsidR="000706E9" w:rsidRPr="008C7A5C" w:rsidRDefault="000706E9">
            <w:pPr>
              <w:keepLines/>
              <w:jc w:val="center"/>
              <w:rPr>
                <w:rFonts w:ascii="Arial Narrow" w:hAnsi="Arial Narrow" w:cs="Arial"/>
                <w:sz w:val="20"/>
                <w:szCs w:val="20"/>
              </w:rPr>
            </w:pPr>
            <w:r w:rsidRPr="008C7A5C">
              <w:rPr>
                <w:rFonts w:ascii="Arial Narrow" w:hAnsi="Arial Narrow" w:cs="Arial"/>
                <w:sz w:val="20"/>
                <w:szCs w:val="20"/>
              </w:rPr>
              <w:t>1</w:t>
            </w:r>
          </w:p>
        </w:tc>
        <w:tc>
          <w:tcPr>
            <w:tcW w:w="450" w:type="pct"/>
            <w:vAlign w:val="center"/>
          </w:tcPr>
          <w:p w14:paraId="3D59C794" w14:textId="77777777" w:rsidR="000706E9" w:rsidRPr="008C7A5C" w:rsidRDefault="000706E9">
            <w:pPr>
              <w:keepLines/>
              <w:jc w:val="center"/>
              <w:rPr>
                <w:rFonts w:ascii="Arial Narrow" w:hAnsi="Arial Narrow" w:cs="Arial"/>
                <w:sz w:val="20"/>
                <w:szCs w:val="20"/>
              </w:rPr>
            </w:pPr>
            <w:r w:rsidRPr="008C7A5C">
              <w:rPr>
                <w:rFonts w:ascii="Arial Narrow" w:hAnsi="Arial Narrow" w:cs="Arial"/>
                <w:sz w:val="20"/>
                <w:szCs w:val="20"/>
              </w:rPr>
              <w:t>1</w:t>
            </w:r>
          </w:p>
        </w:tc>
        <w:tc>
          <w:tcPr>
            <w:tcW w:w="450" w:type="pct"/>
            <w:vAlign w:val="center"/>
          </w:tcPr>
          <w:p w14:paraId="384A3F59" w14:textId="77777777" w:rsidR="000706E9" w:rsidRPr="008C7A5C" w:rsidRDefault="000706E9">
            <w:pPr>
              <w:keepLines/>
              <w:jc w:val="center"/>
              <w:rPr>
                <w:rFonts w:ascii="Arial Narrow" w:hAnsi="Arial Narrow" w:cs="Arial"/>
                <w:sz w:val="20"/>
                <w:szCs w:val="20"/>
              </w:rPr>
            </w:pPr>
            <w:r w:rsidRPr="008C7A5C">
              <w:rPr>
                <w:rFonts w:ascii="Arial Narrow" w:hAnsi="Arial Narrow" w:cs="Arial"/>
                <w:sz w:val="20"/>
                <w:szCs w:val="20"/>
              </w:rPr>
              <w:t>0</w:t>
            </w:r>
          </w:p>
        </w:tc>
        <w:tc>
          <w:tcPr>
            <w:tcW w:w="1016" w:type="pct"/>
            <w:vAlign w:val="center"/>
          </w:tcPr>
          <w:p w14:paraId="136D1738" w14:textId="77777777" w:rsidR="000706E9" w:rsidRPr="008C7A5C"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8C7A5C" w14:paraId="7DA5E668"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0A4E6C85" w14:textId="77777777" w:rsidR="000706E9" w:rsidRPr="008C7A5C" w:rsidRDefault="000706E9">
            <w:pPr>
              <w:rPr>
                <w:rFonts w:ascii="Arial Narrow" w:hAnsi="Arial Narrow" w:cs="Arial"/>
                <w:sz w:val="20"/>
                <w:szCs w:val="20"/>
              </w:rPr>
            </w:pPr>
          </w:p>
        </w:tc>
      </w:tr>
      <w:tr w:rsidR="000706E9" w:rsidRPr="008C7A5C" w14:paraId="6CE521C2"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6085178B" w14:textId="233C1EEA" w:rsidR="000706E9" w:rsidRPr="008C7A5C" w:rsidRDefault="000706E9">
            <w:pPr>
              <w:keepLines/>
              <w:rPr>
                <w:rFonts w:ascii="Arial Narrow" w:hAnsi="Arial Narrow" w:cs="Arial"/>
                <w:b/>
                <w:sz w:val="20"/>
                <w:szCs w:val="20"/>
              </w:rPr>
            </w:pPr>
            <w:r w:rsidRPr="008C7A5C">
              <w:rPr>
                <w:rFonts w:ascii="Arial Narrow" w:hAnsi="Arial Narrow"/>
                <w:b/>
                <w:sz w:val="20"/>
                <w:szCs w:val="20"/>
              </w:rPr>
              <w:t xml:space="preserve">Restriction Summary / Treatment of Concept: </w:t>
            </w:r>
          </w:p>
        </w:tc>
      </w:tr>
      <w:tr w:rsidR="000706E9" w:rsidRPr="008C7A5C" w14:paraId="5301BC61" w14:textId="77777777">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2D4D0FC1" w14:textId="0499FE4E" w:rsidR="000706E9" w:rsidRPr="008C7A5C" w:rsidRDefault="000706E9">
            <w:pPr>
              <w:jc w:val="center"/>
              <w:rPr>
                <w:rFonts w:ascii="Arial Narrow" w:hAnsi="Arial Narrow" w:cs="Arial"/>
                <w:b/>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06237C2" w14:textId="77777777" w:rsidR="000706E9" w:rsidRPr="008C7A5C" w:rsidRDefault="000706E9">
            <w:pPr>
              <w:keepLines/>
              <w:rPr>
                <w:rFonts w:ascii="Arial Narrow" w:hAnsi="Arial Narrow" w:cs="Arial"/>
                <w:sz w:val="20"/>
                <w:szCs w:val="20"/>
              </w:rPr>
            </w:pPr>
            <w:r w:rsidRPr="008C7A5C">
              <w:rPr>
                <w:rFonts w:ascii="Arial Narrow" w:hAnsi="Arial Narrow" w:cs="Arial"/>
                <w:b/>
                <w:sz w:val="20"/>
                <w:szCs w:val="20"/>
              </w:rPr>
              <w:t>Category / Program:</w:t>
            </w:r>
            <w:r w:rsidRPr="008C7A5C">
              <w:rPr>
                <w:rFonts w:ascii="Arial Narrow" w:hAnsi="Arial Narrow" w:cs="Arial"/>
                <w:color w:val="FF0000"/>
                <w:sz w:val="20"/>
                <w:szCs w:val="20"/>
              </w:rPr>
              <w:t xml:space="preserve"> </w:t>
            </w:r>
            <w:r w:rsidRPr="008C7A5C">
              <w:rPr>
                <w:rFonts w:ascii="Arial Narrow" w:eastAsia="Calibri" w:hAnsi="Arial Narrow" w:cs="Arial"/>
                <w:sz w:val="20"/>
                <w:szCs w:val="20"/>
              </w:rPr>
              <w:t xml:space="preserve">GENERAL - General Schedule (Code GE) </w:t>
            </w:r>
          </w:p>
        </w:tc>
      </w:tr>
      <w:tr w:rsidR="000706E9" w:rsidRPr="008C7A5C" w14:paraId="06096B2C" w14:textId="77777777">
        <w:tblPrEx>
          <w:tblCellMar>
            <w:top w:w="15" w:type="dxa"/>
            <w:bottom w:w="15" w:type="dxa"/>
          </w:tblCellMar>
          <w:tblLook w:val="04A0" w:firstRow="1" w:lastRow="0" w:firstColumn="1" w:lastColumn="0" w:noHBand="0" w:noVBand="1"/>
        </w:tblPrEx>
        <w:trPr>
          <w:trHeight w:val="20"/>
        </w:trPr>
        <w:tc>
          <w:tcPr>
            <w:tcW w:w="705" w:type="pct"/>
            <w:vMerge/>
          </w:tcPr>
          <w:p w14:paraId="04A4CA35" w14:textId="77777777" w:rsidR="000706E9" w:rsidRPr="008C7A5C" w:rsidRDefault="000706E9">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40EE0382" w14:textId="77777777" w:rsidR="000706E9" w:rsidRPr="008C7A5C" w:rsidRDefault="000706E9">
            <w:pPr>
              <w:keepLines/>
              <w:rPr>
                <w:rFonts w:ascii="Arial Narrow" w:hAnsi="Arial Narrow" w:cs="Arial"/>
                <w:b/>
                <w:sz w:val="20"/>
                <w:szCs w:val="20"/>
              </w:rPr>
            </w:pPr>
            <w:r w:rsidRPr="008C7A5C">
              <w:rPr>
                <w:rFonts w:ascii="Arial Narrow" w:hAnsi="Arial Narrow" w:cs="Arial"/>
                <w:b/>
                <w:sz w:val="20"/>
                <w:szCs w:val="20"/>
              </w:rPr>
              <w:t xml:space="preserve">Prescriber type: </w:t>
            </w:r>
            <w:r w:rsidRPr="008C7A5C">
              <w:rPr>
                <w:rFonts w:ascii="Arial Narrow" w:hAnsi="Arial Narrow" w:cs="Arial"/>
                <w:sz w:val="20"/>
                <w:szCs w:val="20"/>
              </w:rPr>
              <w:fldChar w:fldCharType="begin" w:fldLock="1">
                <w:ffData>
                  <w:name w:val=""/>
                  <w:enabled/>
                  <w:calcOnExit w:val="0"/>
                  <w:checkBox>
                    <w:sizeAuto/>
                    <w:default w:val="1"/>
                  </w:checkBox>
                </w:ffData>
              </w:fldChar>
            </w:r>
            <w:r w:rsidRPr="008C7A5C">
              <w:rPr>
                <w:rFonts w:ascii="Arial Narrow" w:hAnsi="Arial Narrow" w:cs="Arial"/>
                <w:sz w:val="20"/>
                <w:szCs w:val="20"/>
              </w:rPr>
              <w:instrText xml:space="preserve"> FORMCHECKBOX </w:instrText>
            </w:r>
            <w:r w:rsidRPr="008C7A5C">
              <w:rPr>
                <w:rFonts w:ascii="Arial Narrow" w:hAnsi="Arial Narrow" w:cs="Arial"/>
                <w:sz w:val="20"/>
                <w:szCs w:val="20"/>
              </w:rPr>
            </w:r>
            <w:r w:rsidRPr="008C7A5C">
              <w:rPr>
                <w:rFonts w:ascii="Arial Narrow" w:hAnsi="Arial Narrow" w:cs="Arial"/>
                <w:sz w:val="20"/>
                <w:szCs w:val="20"/>
              </w:rPr>
              <w:fldChar w:fldCharType="separate"/>
            </w:r>
            <w:r w:rsidRPr="008C7A5C">
              <w:rPr>
                <w:rFonts w:ascii="Arial Narrow" w:hAnsi="Arial Narrow" w:cs="Arial"/>
                <w:sz w:val="20"/>
                <w:szCs w:val="20"/>
              </w:rPr>
              <w:fldChar w:fldCharType="end"/>
            </w:r>
            <w:r w:rsidRPr="008C7A5C">
              <w:rPr>
                <w:rFonts w:ascii="Arial Narrow" w:hAnsi="Arial Narrow" w:cs="Arial"/>
                <w:sz w:val="20"/>
                <w:szCs w:val="20"/>
              </w:rPr>
              <w:t xml:space="preserve">Medical Practitioners </w:t>
            </w:r>
          </w:p>
        </w:tc>
      </w:tr>
      <w:tr w:rsidR="000706E9" w:rsidRPr="008C7A5C" w14:paraId="2B964726" w14:textId="77777777">
        <w:tblPrEx>
          <w:tblCellMar>
            <w:top w:w="15" w:type="dxa"/>
            <w:bottom w:w="15" w:type="dxa"/>
          </w:tblCellMar>
          <w:tblLook w:val="04A0" w:firstRow="1" w:lastRow="0" w:firstColumn="1" w:lastColumn="0" w:noHBand="0" w:noVBand="1"/>
        </w:tblPrEx>
        <w:trPr>
          <w:trHeight w:val="20"/>
        </w:trPr>
        <w:tc>
          <w:tcPr>
            <w:tcW w:w="705" w:type="pct"/>
            <w:vMerge/>
          </w:tcPr>
          <w:p w14:paraId="32611B67" w14:textId="77777777" w:rsidR="000706E9" w:rsidRPr="008C7A5C" w:rsidRDefault="000706E9">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tcPr>
          <w:p w14:paraId="5264FC88" w14:textId="77777777" w:rsidR="000706E9" w:rsidRPr="008C7A5C" w:rsidRDefault="000706E9">
            <w:pPr>
              <w:keepLines/>
              <w:jc w:val="left"/>
              <w:rPr>
                <w:rFonts w:ascii="Arial Narrow" w:hAnsi="Arial Narrow" w:cs="Arial"/>
                <w:b/>
                <w:sz w:val="20"/>
                <w:szCs w:val="20"/>
              </w:rPr>
            </w:pPr>
            <w:r w:rsidRPr="008C7A5C">
              <w:rPr>
                <w:rFonts w:ascii="Arial Narrow" w:hAnsi="Arial Narrow" w:cs="Arial"/>
                <w:b/>
                <w:sz w:val="20"/>
                <w:szCs w:val="20"/>
              </w:rPr>
              <w:t xml:space="preserve">Restriction type: </w:t>
            </w:r>
          </w:p>
          <w:p w14:paraId="0738DD81" w14:textId="77777777" w:rsidR="000706E9" w:rsidRPr="008C7A5C" w:rsidRDefault="000706E9">
            <w:pPr>
              <w:keepLines/>
              <w:jc w:val="left"/>
              <w:rPr>
                <w:rFonts w:ascii="Arial Narrow" w:eastAsia="Calibri" w:hAnsi="Arial Narrow" w:cs="Arial"/>
                <w:color w:val="FF0000"/>
                <w:sz w:val="20"/>
                <w:szCs w:val="20"/>
              </w:rPr>
            </w:pP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8C7A5C">
              <w:rPr>
                <w:rFonts w:ascii="Arial Narrow" w:eastAsia="Calibri" w:hAnsi="Arial Narrow" w:cs="Arial"/>
                <w:sz w:val="20"/>
                <w:szCs w:val="20"/>
              </w:rPr>
              <w:t xml:space="preserve"> Authority Required (telephone/online PBS Authorities system) </w:t>
            </w:r>
          </w:p>
        </w:tc>
      </w:tr>
      <w:tr w:rsidR="000706E9" w:rsidRPr="008C7A5C" w14:paraId="7DD32EB8" w14:textId="77777777" w:rsidTr="00365FCC">
        <w:tblPrEx>
          <w:tblCellMar>
            <w:top w:w="15" w:type="dxa"/>
            <w:bottom w:w="15" w:type="dxa"/>
          </w:tblCellMar>
        </w:tblPrEx>
        <w:trPr>
          <w:cantSplit/>
          <w:trHeight w:val="20"/>
        </w:trPr>
        <w:tc>
          <w:tcPr>
            <w:tcW w:w="705" w:type="pct"/>
            <w:vAlign w:val="center"/>
          </w:tcPr>
          <w:p w14:paraId="3F3459DE" w14:textId="22BDA05F" w:rsidR="000706E9" w:rsidRPr="008C7A5C" w:rsidRDefault="000706E9">
            <w:pPr>
              <w:keepLines/>
              <w:jc w:val="center"/>
              <w:rPr>
                <w:rFonts w:ascii="Arial Narrow" w:hAnsi="Arial Narrow"/>
                <w:sz w:val="20"/>
                <w:szCs w:val="20"/>
              </w:rPr>
            </w:pPr>
          </w:p>
        </w:tc>
        <w:tc>
          <w:tcPr>
            <w:tcW w:w="4295" w:type="pct"/>
            <w:gridSpan w:val="6"/>
            <w:vAlign w:val="center"/>
            <w:hideMark/>
          </w:tcPr>
          <w:p w14:paraId="5668640D" w14:textId="77777777" w:rsidR="000706E9" w:rsidRPr="008C7A5C" w:rsidRDefault="000706E9">
            <w:pPr>
              <w:keepLines/>
              <w:rPr>
                <w:rFonts w:ascii="Arial Narrow" w:hAnsi="Arial Narrow"/>
                <w:color w:val="333333"/>
                <w:sz w:val="20"/>
                <w:szCs w:val="20"/>
              </w:rPr>
            </w:pPr>
            <w:r w:rsidRPr="008C7A5C">
              <w:rPr>
                <w:rFonts w:ascii="Arial Narrow" w:hAnsi="Arial Narrow"/>
                <w:b/>
                <w:bCs/>
                <w:sz w:val="20"/>
                <w:szCs w:val="20"/>
              </w:rPr>
              <w:t>Indication:</w:t>
            </w:r>
            <w:r w:rsidRPr="008C7A5C">
              <w:rPr>
                <w:rFonts w:ascii="Arial Narrow" w:hAnsi="Arial Narrow"/>
                <w:sz w:val="20"/>
                <w:szCs w:val="20"/>
              </w:rPr>
              <w:t xml:space="preserve"> Severe active rheumatoid arthritis</w:t>
            </w:r>
          </w:p>
        </w:tc>
      </w:tr>
      <w:tr w:rsidR="000706E9" w:rsidRPr="008C7A5C" w14:paraId="42C7749B" w14:textId="77777777" w:rsidTr="00365FCC">
        <w:tblPrEx>
          <w:tblCellMar>
            <w:top w:w="15" w:type="dxa"/>
            <w:bottom w:w="15" w:type="dxa"/>
          </w:tblCellMar>
        </w:tblPrEx>
        <w:trPr>
          <w:cantSplit/>
          <w:trHeight w:val="20"/>
        </w:trPr>
        <w:tc>
          <w:tcPr>
            <w:tcW w:w="705" w:type="pct"/>
            <w:vAlign w:val="center"/>
          </w:tcPr>
          <w:p w14:paraId="29B44D8B" w14:textId="77777777" w:rsidR="000706E9" w:rsidRPr="008C7A5C" w:rsidRDefault="000706E9">
            <w:pPr>
              <w:jc w:val="center"/>
              <w:rPr>
                <w:rFonts w:ascii="Arial Narrow" w:hAnsi="Arial Narrow"/>
                <w:sz w:val="20"/>
                <w:szCs w:val="20"/>
              </w:rPr>
            </w:pPr>
          </w:p>
        </w:tc>
        <w:tc>
          <w:tcPr>
            <w:tcW w:w="4295" w:type="pct"/>
            <w:gridSpan w:val="6"/>
            <w:vAlign w:val="center"/>
            <w:hideMark/>
          </w:tcPr>
          <w:p w14:paraId="050F9B5A" w14:textId="77777777" w:rsidR="000706E9" w:rsidRPr="008C7A5C" w:rsidRDefault="000706E9">
            <w:pPr>
              <w:rPr>
                <w:rFonts w:ascii="Arial Narrow" w:hAnsi="Arial Narrow"/>
                <w:sz w:val="20"/>
                <w:szCs w:val="20"/>
              </w:rPr>
            </w:pPr>
            <w:r w:rsidRPr="008C7A5C">
              <w:rPr>
                <w:rFonts w:ascii="Arial Narrow" w:hAnsi="Arial Narrow"/>
                <w:b/>
                <w:bCs/>
                <w:sz w:val="20"/>
                <w:szCs w:val="20"/>
              </w:rPr>
              <w:t>Treatment Phase:</w:t>
            </w:r>
            <w:r w:rsidRPr="008C7A5C">
              <w:rPr>
                <w:rFonts w:ascii="Arial Narrow" w:hAnsi="Arial Narrow"/>
                <w:sz w:val="20"/>
                <w:szCs w:val="20"/>
              </w:rPr>
              <w:t xml:space="preserve"> </w:t>
            </w:r>
            <w:r>
              <w:rPr>
                <w:rFonts w:ascii="Arial Narrow" w:hAnsi="Arial Narrow"/>
                <w:sz w:val="20"/>
                <w:szCs w:val="20"/>
              </w:rPr>
              <w:t>Balance of supply</w:t>
            </w:r>
            <w:r w:rsidRPr="008C7A5C">
              <w:rPr>
                <w:rFonts w:ascii="Arial Narrow" w:hAnsi="Arial Narrow"/>
                <w:sz w:val="20"/>
                <w:szCs w:val="20"/>
              </w:rPr>
              <w:t xml:space="preserve"> for Initial treatment</w:t>
            </w:r>
            <w:r w:rsidRPr="00BC361F">
              <w:rPr>
                <w:rFonts w:ascii="Arial Narrow" w:hAnsi="Arial Narrow"/>
                <w:strike/>
                <w:sz w:val="20"/>
                <w:szCs w:val="20"/>
              </w:rPr>
              <w:t xml:space="preserve">, </w:t>
            </w:r>
            <w:r w:rsidRPr="008C7A5C">
              <w:rPr>
                <w:rFonts w:ascii="Arial Narrow" w:hAnsi="Arial Narrow"/>
                <w:strike/>
                <w:sz w:val="20"/>
                <w:szCs w:val="20"/>
              </w:rPr>
              <w:t>Continuing treatment</w:t>
            </w:r>
            <w:r w:rsidRPr="008C7A5C">
              <w:rPr>
                <w:rFonts w:ascii="Arial Narrow" w:hAnsi="Arial Narrow"/>
                <w:sz w:val="20"/>
                <w:szCs w:val="20"/>
              </w:rPr>
              <w:t xml:space="preserve"> - subcutaneous form</w:t>
            </w:r>
          </w:p>
        </w:tc>
      </w:tr>
      <w:tr w:rsidR="000706E9" w:rsidRPr="008C7A5C" w14:paraId="0FA8EADF" w14:textId="77777777">
        <w:tblPrEx>
          <w:tblCellMar>
            <w:top w:w="15" w:type="dxa"/>
            <w:bottom w:w="15" w:type="dxa"/>
          </w:tblCellMar>
          <w:tblLook w:val="04A0" w:firstRow="1" w:lastRow="0" w:firstColumn="1" w:lastColumn="0" w:noHBand="0" w:noVBand="1"/>
        </w:tblPrEx>
        <w:trPr>
          <w:cantSplit/>
          <w:trHeight w:val="20"/>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8D13EE3" w14:textId="5FBE3287" w:rsidR="000706E9" w:rsidRPr="008C7A5C" w:rsidRDefault="000706E9">
            <w:pPr>
              <w:jc w:val="center"/>
              <w:rPr>
                <w:rFonts w:ascii="Arial Narrow" w:hAnsi="Arial Narrow"/>
                <w:sz w:val="20"/>
                <w:szCs w:val="20"/>
                <w:highlight w:val="yellow"/>
              </w:rPr>
            </w:pPr>
          </w:p>
        </w:tc>
        <w:tc>
          <w:tcPr>
            <w:tcW w:w="429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668FD7" w14:textId="77777777" w:rsidR="000706E9" w:rsidRPr="008C7A5C" w:rsidRDefault="000706E9">
            <w:pPr>
              <w:rPr>
                <w:rFonts w:ascii="Arial Narrow" w:hAnsi="Arial Narrow"/>
                <w:b/>
                <w:bCs/>
                <w:sz w:val="20"/>
                <w:szCs w:val="20"/>
                <w:highlight w:val="yellow"/>
              </w:rPr>
            </w:pPr>
            <w:r w:rsidRPr="008C7A5C">
              <w:rPr>
                <w:rFonts w:ascii="Arial Narrow" w:hAnsi="Arial Narrow"/>
                <w:b/>
                <w:bCs/>
                <w:sz w:val="20"/>
                <w:szCs w:val="20"/>
              </w:rPr>
              <w:t>Clinical criteria:</w:t>
            </w:r>
          </w:p>
        </w:tc>
      </w:tr>
      <w:tr w:rsidR="000706E9" w:rsidRPr="008C7A5C" w14:paraId="20105DC4" w14:textId="77777777">
        <w:tblPrEx>
          <w:tblCellMar>
            <w:top w:w="15" w:type="dxa"/>
            <w:bottom w:w="15" w:type="dxa"/>
          </w:tblCellMar>
          <w:tblLook w:val="04A0" w:firstRow="1" w:lastRow="0" w:firstColumn="1" w:lastColumn="0" w:noHBand="0" w:noVBand="1"/>
        </w:tblPrEx>
        <w:trPr>
          <w:cantSplit/>
          <w:trHeight w:val="20"/>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E473697" w14:textId="1EA552F7" w:rsidR="000706E9" w:rsidRPr="008C7A5C" w:rsidRDefault="000706E9">
            <w:pPr>
              <w:jc w:val="center"/>
              <w:rPr>
                <w:rFonts w:ascii="Arial Narrow" w:hAnsi="Arial Narrow"/>
                <w:sz w:val="20"/>
                <w:szCs w:val="20"/>
              </w:rPr>
            </w:pPr>
          </w:p>
        </w:tc>
        <w:tc>
          <w:tcPr>
            <w:tcW w:w="429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0626EE" w14:textId="77777777" w:rsidR="000706E9" w:rsidRPr="008C7A5C" w:rsidRDefault="000706E9">
            <w:pPr>
              <w:rPr>
                <w:rFonts w:ascii="Arial Narrow" w:hAnsi="Arial Narrow"/>
                <w:sz w:val="20"/>
                <w:szCs w:val="20"/>
              </w:rPr>
            </w:pPr>
            <w:r w:rsidRPr="008C7A5C">
              <w:rPr>
                <w:rFonts w:ascii="Arial Narrow" w:hAnsi="Arial Narrow"/>
                <w:sz w:val="20"/>
                <w:szCs w:val="20"/>
              </w:rPr>
              <w:t xml:space="preserve">The treatment must provide no more than the balance of up to 22 weeks treatment available under the Initial treatment - subcutaneous form; </w:t>
            </w:r>
            <w:r w:rsidRPr="008C7A5C">
              <w:rPr>
                <w:rFonts w:ascii="Arial Narrow" w:hAnsi="Arial Narrow"/>
                <w:strike/>
                <w:sz w:val="20"/>
                <w:szCs w:val="20"/>
              </w:rPr>
              <w:t>or</w:t>
            </w:r>
          </w:p>
        </w:tc>
      </w:tr>
      <w:tr w:rsidR="000706E9" w:rsidRPr="008C7A5C" w14:paraId="20DDEE21" w14:textId="77777777">
        <w:tblPrEx>
          <w:tblCellMar>
            <w:top w:w="15" w:type="dxa"/>
            <w:bottom w:w="15" w:type="dxa"/>
          </w:tblCellMar>
          <w:tblLook w:val="04A0" w:firstRow="1" w:lastRow="0" w:firstColumn="1" w:lastColumn="0" w:noHBand="0" w:noVBand="1"/>
        </w:tblPrEx>
        <w:trPr>
          <w:cantSplit/>
          <w:trHeight w:val="20"/>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EE9F1DC" w14:textId="476C931D" w:rsidR="000706E9" w:rsidRPr="008C7A5C" w:rsidRDefault="000706E9">
            <w:pPr>
              <w:jc w:val="center"/>
              <w:rPr>
                <w:rFonts w:ascii="Arial Narrow" w:hAnsi="Arial Narrow"/>
                <w:strike/>
                <w:sz w:val="20"/>
                <w:szCs w:val="20"/>
              </w:rPr>
            </w:pPr>
          </w:p>
        </w:tc>
        <w:tc>
          <w:tcPr>
            <w:tcW w:w="429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F04D9A" w14:textId="77777777" w:rsidR="000706E9" w:rsidRPr="008C7A5C" w:rsidRDefault="000706E9">
            <w:pPr>
              <w:rPr>
                <w:rFonts w:ascii="Arial Narrow" w:hAnsi="Arial Narrow"/>
                <w:strike/>
                <w:sz w:val="20"/>
                <w:szCs w:val="20"/>
              </w:rPr>
            </w:pPr>
            <w:r w:rsidRPr="008C7A5C">
              <w:rPr>
                <w:rFonts w:ascii="Arial Narrow" w:hAnsi="Arial Narrow"/>
                <w:strike/>
                <w:sz w:val="20"/>
                <w:szCs w:val="20"/>
              </w:rPr>
              <w:t>The treatment must provide no more than the balance of up to 24 weeks treatment available under the Continuing treatment - subcutaneous form</w:t>
            </w:r>
          </w:p>
        </w:tc>
      </w:tr>
      <w:tr w:rsidR="000706E9" w:rsidRPr="008C7A5C" w14:paraId="5C8DE9D4" w14:textId="77777777">
        <w:tblPrEx>
          <w:tblCellMar>
            <w:top w:w="15" w:type="dxa"/>
            <w:bottom w:w="15" w:type="dxa"/>
          </w:tblCellMar>
          <w:tblLook w:val="04A0" w:firstRow="1" w:lastRow="0" w:firstColumn="1" w:lastColumn="0" w:noHBand="0" w:noVBand="1"/>
        </w:tblPrEx>
        <w:trPr>
          <w:cantSplit/>
          <w:trHeight w:val="20"/>
        </w:trPr>
        <w:tc>
          <w:tcPr>
            <w:tcW w:w="705" w:type="pct"/>
            <w:vAlign w:val="center"/>
          </w:tcPr>
          <w:p w14:paraId="4B5CAEFA" w14:textId="012F2F29" w:rsidR="000706E9" w:rsidRPr="008C7A5C" w:rsidRDefault="000706E9">
            <w:pPr>
              <w:jc w:val="center"/>
              <w:rPr>
                <w:rFonts w:ascii="Arial Narrow" w:hAnsi="Arial Narrow"/>
                <w:sz w:val="20"/>
                <w:szCs w:val="20"/>
              </w:rPr>
            </w:pPr>
          </w:p>
        </w:tc>
        <w:tc>
          <w:tcPr>
            <w:tcW w:w="4295" w:type="pct"/>
            <w:gridSpan w:val="6"/>
            <w:vAlign w:val="center"/>
          </w:tcPr>
          <w:p w14:paraId="3DB17979" w14:textId="77777777" w:rsidR="000706E9" w:rsidRPr="008C7A5C" w:rsidRDefault="000706E9">
            <w:pPr>
              <w:ind w:left="-57"/>
              <w:rPr>
                <w:rFonts w:ascii="Arial Narrow" w:hAnsi="Arial Narrow"/>
                <w:bCs/>
                <w:sz w:val="20"/>
                <w:szCs w:val="20"/>
              </w:rPr>
            </w:pPr>
            <w:r w:rsidRPr="008C7A5C">
              <w:rPr>
                <w:rFonts w:ascii="Arial Narrow" w:hAnsi="Arial Narrow"/>
                <w:b/>
                <w:bCs/>
                <w:sz w:val="20"/>
                <w:szCs w:val="20"/>
              </w:rPr>
              <w:t xml:space="preserve">Administrative Advice: </w:t>
            </w:r>
            <w:r w:rsidRPr="008C7A5C">
              <w:rPr>
                <w:rFonts w:ascii="Arial Narrow" w:hAnsi="Arial Narrow"/>
                <w:bCs/>
                <w:sz w:val="20"/>
                <w:szCs w:val="20"/>
              </w:rPr>
              <w:t xml:space="preserve">Applications for authorisation under this restriction may be made in real time using the Online PBS Authorities system (see </w:t>
            </w:r>
            <w:hyperlink r:id="rId12" w:history="1">
              <w:r w:rsidRPr="008C7A5C">
                <w:rPr>
                  <w:rStyle w:val="Hyperlink"/>
                  <w:rFonts w:ascii="Arial Narrow" w:hAnsi="Arial Narrow"/>
                  <w:bCs/>
                  <w:sz w:val="20"/>
                  <w:szCs w:val="20"/>
                </w:rPr>
                <w:t>www.servicesaustralia.gov.au/HPOS</w:t>
              </w:r>
            </w:hyperlink>
            <w:r w:rsidRPr="008C7A5C">
              <w:rPr>
                <w:rFonts w:ascii="Arial Narrow" w:hAnsi="Arial Narrow"/>
                <w:bCs/>
                <w:sz w:val="20"/>
                <w:szCs w:val="20"/>
              </w:rPr>
              <w:t>) or by telephone by contacting Services Australia on 1800 700 270 (hours of operation 8 a.m. to 5 p.m. Monday to Friday). </w:t>
            </w:r>
          </w:p>
        </w:tc>
      </w:tr>
    </w:tbl>
    <w:p w14:paraId="0B22FA77" w14:textId="77777777" w:rsidR="00716571" w:rsidRDefault="00716571" w:rsidP="00365FCC">
      <w:pPr>
        <w:pStyle w:val="TableFigureFooter"/>
        <w:spacing w:after="0"/>
      </w:pPr>
    </w:p>
    <w:p w14:paraId="5C5D3F0B" w14:textId="77777777" w:rsidR="004D3720" w:rsidRDefault="004D3720">
      <w:pPr>
        <w:jc w:val="left"/>
        <w:rPr>
          <w:rFonts w:asciiTheme="minorHAnsi" w:eastAsiaTheme="majorEastAsia" w:hAnsiTheme="minorHAnsi" w:cstheme="majorBidi"/>
          <w:b/>
          <w:i/>
          <w:spacing w:val="5"/>
          <w:kern w:val="28"/>
          <w:sz w:val="28"/>
          <w:szCs w:val="36"/>
        </w:rPr>
      </w:pPr>
      <w:r>
        <w:br w:type="page"/>
      </w:r>
    </w:p>
    <w:p w14:paraId="08B23CC9" w14:textId="620B08CB" w:rsidR="000706E9" w:rsidRDefault="000706E9" w:rsidP="000706E9">
      <w:pPr>
        <w:pStyle w:val="4-SubsectionHeading"/>
        <w:spacing w:after="0"/>
      </w:pPr>
      <w:r w:rsidRPr="000F1B54">
        <w:lastRenderedPageBreak/>
        <w:t xml:space="preserve">Complex refractory </w:t>
      </w:r>
      <w:r w:rsidR="00512532">
        <w:t>f</w:t>
      </w:r>
      <w:r w:rsidRPr="000F1B54">
        <w:t>istulising Crohn disease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Complex refractory fistulising Crohn disease"/>
        <w:tblDescription w:val="Changes to restriction type, prescribing instructions&#10;Removal of administrative advice"/>
      </w:tblPr>
      <w:tblGrid>
        <w:gridCol w:w="1271"/>
        <w:gridCol w:w="2552"/>
        <w:gridCol w:w="927"/>
        <w:gridCol w:w="812"/>
        <w:gridCol w:w="811"/>
        <w:gridCol w:w="812"/>
        <w:gridCol w:w="1831"/>
      </w:tblGrid>
      <w:tr w:rsidR="000706E9" w:rsidRPr="005E1044" w14:paraId="3ED90FF2" w14:textId="77777777">
        <w:trPr>
          <w:cantSplit/>
          <w:trHeight w:val="20"/>
        </w:trPr>
        <w:tc>
          <w:tcPr>
            <w:tcW w:w="3823" w:type="dxa"/>
            <w:gridSpan w:val="2"/>
            <w:vAlign w:val="center"/>
          </w:tcPr>
          <w:p w14:paraId="38D2AFBB" w14:textId="77777777" w:rsidR="000706E9" w:rsidRPr="005E1044" w:rsidRDefault="000706E9">
            <w:pPr>
              <w:keepLines/>
              <w:rPr>
                <w:rFonts w:ascii="Arial Narrow" w:hAnsi="Arial Narrow" w:cs="Arial"/>
                <w:b/>
                <w:bCs/>
                <w:sz w:val="20"/>
                <w:szCs w:val="20"/>
              </w:rPr>
            </w:pPr>
            <w:r w:rsidRPr="005E1044">
              <w:rPr>
                <w:rFonts w:ascii="Arial Narrow" w:hAnsi="Arial Narrow" w:cs="Arial"/>
                <w:b/>
                <w:bCs/>
                <w:sz w:val="20"/>
                <w:szCs w:val="20"/>
              </w:rPr>
              <w:t>MEDICINAL PRODUCT</w:t>
            </w:r>
          </w:p>
          <w:p w14:paraId="05AC6211" w14:textId="77777777" w:rsidR="000706E9" w:rsidRPr="005E1044" w:rsidRDefault="000706E9">
            <w:pPr>
              <w:keepLines/>
              <w:rPr>
                <w:rFonts w:ascii="Arial Narrow" w:hAnsi="Arial Narrow" w:cs="Arial"/>
                <w:b/>
                <w:sz w:val="20"/>
                <w:szCs w:val="20"/>
              </w:rPr>
            </w:pPr>
            <w:r w:rsidRPr="005E1044">
              <w:rPr>
                <w:rFonts w:ascii="Arial Narrow" w:hAnsi="Arial Narrow" w:cs="Arial"/>
                <w:b/>
                <w:bCs/>
                <w:sz w:val="20"/>
                <w:szCs w:val="20"/>
              </w:rPr>
              <w:t>medicinal product pack</w:t>
            </w:r>
          </w:p>
        </w:tc>
        <w:tc>
          <w:tcPr>
            <w:tcW w:w="927" w:type="dxa"/>
            <w:vAlign w:val="center"/>
          </w:tcPr>
          <w:p w14:paraId="413AE471" w14:textId="77777777" w:rsidR="000706E9" w:rsidRPr="005E1044" w:rsidRDefault="000706E9">
            <w:pPr>
              <w:keepLines/>
              <w:jc w:val="center"/>
              <w:rPr>
                <w:rFonts w:ascii="Arial Narrow" w:hAnsi="Arial Narrow" w:cs="Arial"/>
                <w:b/>
                <w:sz w:val="20"/>
                <w:szCs w:val="20"/>
              </w:rPr>
            </w:pPr>
            <w:r w:rsidRPr="005E1044">
              <w:rPr>
                <w:rFonts w:ascii="Arial Narrow" w:hAnsi="Arial Narrow" w:cs="Arial"/>
                <w:b/>
                <w:sz w:val="20"/>
                <w:szCs w:val="20"/>
              </w:rPr>
              <w:t>PBS item code</w:t>
            </w:r>
          </w:p>
        </w:tc>
        <w:tc>
          <w:tcPr>
            <w:tcW w:w="812" w:type="dxa"/>
            <w:vAlign w:val="center"/>
          </w:tcPr>
          <w:p w14:paraId="0B5A9AB8" w14:textId="77777777" w:rsidR="000706E9" w:rsidRPr="005E1044" w:rsidRDefault="000706E9">
            <w:pPr>
              <w:keepLines/>
              <w:jc w:val="center"/>
              <w:rPr>
                <w:rFonts w:ascii="Arial Narrow" w:hAnsi="Arial Narrow" w:cs="Arial"/>
                <w:b/>
                <w:sz w:val="20"/>
                <w:szCs w:val="20"/>
              </w:rPr>
            </w:pPr>
            <w:r w:rsidRPr="005E1044">
              <w:rPr>
                <w:rFonts w:ascii="Arial Narrow" w:hAnsi="Arial Narrow" w:cs="Arial"/>
                <w:b/>
                <w:sz w:val="20"/>
                <w:szCs w:val="20"/>
              </w:rPr>
              <w:t>Max. qty packs</w:t>
            </w:r>
          </w:p>
        </w:tc>
        <w:tc>
          <w:tcPr>
            <w:tcW w:w="811" w:type="dxa"/>
            <w:vAlign w:val="center"/>
          </w:tcPr>
          <w:p w14:paraId="2DEE4C40" w14:textId="77777777" w:rsidR="000706E9" w:rsidRPr="005E1044" w:rsidRDefault="000706E9">
            <w:pPr>
              <w:keepLines/>
              <w:jc w:val="center"/>
              <w:rPr>
                <w:rFonts w:ascii="Arial Narrow" w:hAnsi="Arial Narrow" w:cs="Arial"/>
                <w:b/>
                <w:sz w:val="20"/>
                <w:szCs w:val="20"/>
              </w:rPr>
            </w:pPr>
            <w:r w:rsidRPr="005E1044">
              <w:rPr>
                <w:rFonts w:ascii="Arial Narrow" w:hAnsi="Arial Narrow" w:cs="Arial"/>
                <w:b/>
                <w:sz w:val="20"/>
                <w:szCs w:val="20"/>
              </w:rPr>
              <w:t>Max. qty units</w:t>
            </w:r>
          </w:p>
        </w:tc>
        <w:tc>
          <w:tcPr>
            <w:tcW w:w="812" w:type="dxa"/>
            <w:vAlign w:val="center"/>
          </w:tcPr>
          <w:p w14:paraId="29F01110" w14:textId="77777777" w:rsidR="000706E9" w:rsidRPr="005E1044" w:rsidRDefault="000706E9">
            <w:pPr>
              <w:keepLines/>
              <w:jc w:val="center"/>
              <w:rPr>
                <w:rFonts w:ascii="Arial Narrow" w:hAnsi="Arial Narrow" w:cs="Arial"/>
                <w:b/>
                <w:bCs/>
                <w:sz w:val="20"/>
                <w:szCs w:val="20"/>
              </w:rPr>
            </w:pPr>
            <w:r w:rsidRPr="0CEE6DE9">
              <w:rPr>
                <w:rFonts w:ascii="Arial Narrow" w:hAnsi="Arial Narrow" w:cs="Arial"/>
                <w:b/>
                <w:bCs/>
                <w:sz w:val="20"/>
                <w:szCs w:val="20"/>
              </w:rPr>
              <w:t>№.of</w:t>
            </w:r>
          </w:p>
          <w:p w14:paraId="79CB562B" w14:textId="77777777" w:rsidR="000706E9" w:rsidRPr="005E1044" w:rsidRDefault="000706E9">
            <w:pPr>
              <w:keepLines/>
              <w:jc w:val="center"/>
              <w:rPr>
                <w:rFonts w:ascii="Arial Narrow" w:hAnsi="Arial Narrow" w:cs="Arial"/>
                <w:b/>
                <w:bCs/>
                <w:sz w:val="20"/>
                <w:szCs w:val="20"/>
              </w:rPr>
            </w:pPr>
            <w:r w:rsidRPr="0CEE6DE9">
              <w:rPr>
                <w:rFonts w:ascii="Arial Narrow" w:hAnsi="Arial Narrow" w:cs="Arial"/>
                <w:b/>
                <w:bCs/>
                <w:sz w:val="20"/>
                <w:szCs w:val="20"/>
              </w:rPr>
              <w:t>Rpts</w:t>
            </w:r>
          </w:p>
        </w:tc>
        <w:tc>
          <w:tcPr>
            <w:tcW w:w="1831" w:type="dxa"/>
            <w:vAlign w:val="center"/>
          </w:tcPr>
          <w:p w14:paraId="08B5BB24" w14:textId="77777777" w:rsidR="000706E9" w:rsidRPr="005E1044" w:rsidRDefault="000706E9">
            <w:pPr>
              <w:keepLines/>
              <w:rPr>
                <w:rFonts w:ascii="Arial Narrow" w:hAnsi="Arial Narrow" w:cs="Arial"/>
                <w:b/>
                <w:sz w:val="20"/>
                <w:szCs w:val="20"/>
                <w:lang w:val="fr-FR"/>
              </w:rPr>
            </w:pPr>
            <w:r w:rsidRPr="005E1044">
              <w:rPr>
                <w:rFonts w:ascii="Arial Narrow" w:hAnsi="Arial Narrow" w:cs="Arial"/>
                <w:b/>
                <w:sz w:val="20"/>
                <w:szCs w:val="20"/>
              </w:rPr>
              <w:t>Available brands</w:t>
            </w:r>
          </w:p>
        </w:tc>
      </w:tr>
      <w:tr w:rsidR="000706E9" w:rsidRPr="005E1044" w14:paraId="108FA520" w14:textId="77777777">
        <w:trPr>
          <w:cantSplit/>
          <w:trHeight w:val="20"/>
        </w:trPr>
        <w:tc>
          <w:tcPr>
            <w:tcW w:w="9016" w:type="dxa"/>
            <w:gridSpan w:val="7"/>
            <w:vAlign w:val="center"/>
          </w:tcPr>
          <w:p w14:paraId="284595C6" w14:textId="77777777" w:rsidR="000706E9" w:rsidRPr="005E1044" w:rsidRDefault="000706E9">
            <w:pPr>
              <w:keepLines/>
              <w:rPr>
                <w:rFonts w:ascii="Arial Narrow" w:hAnsi="Arial Narrow" w:cs="Arial"/>
                <w:sz w:val="20"/>
                <w:szCs w:val="20"/>
              </w:rPr>
            </w:pPr>
            <w:r w:rsidRPr="005E1044">
              <w:rPr>
                <w:rFonts w:ascii="Arial Narrow" w:hAnsi="Arial Narrow" w:cs="Arial"/>
                <w:sz w:val="20"/>
                <w:szCs w:val="20"/>
              </w:rPr>
              <w:t>INFLIXIMAB</w:t>
            </w:r>
          </w:p>
        </w:tc>
      </w:tr>
      <w:tr w:rsidR="000706E9" w:rsidRPr="005E1044" w14:paraId="0CF7A1A1" w14:textId="77777777">
        <w:trPr>
          <w:cantSplit/>
          <w:trHeight w:val="20"/>
        </w:trPr>
        <w:tc>
          <w:tcPr>
            <w:tcW w:w="3823" w:type="dxa"/>
            <w:gridSpan w:val="2"/>
            <w:vAlign w:val="center"/>
          </w:tcPr>
          <w:p w14:paraId="71BE6815" w14:textId="77777777" w:rsidR="000706E9" w:rsidRPr="005E1044" w:rsidRDefault="000706E9">
            <w:pPr>
              <w:keepLines/>
              <w:rPr>
                <w:rFonts w:ascii="Arial Narrow" w:hAnsi="Arial Narrow" w:cs="Arial"/>
                <w:sz w:val="20"/>
                <w:szCs w:val="20"/>
              </w:rPr>
            </w:pPr>
            <w:r w:rsidRPr="005E1044">
              <w:rPr>
                <w:rFonts w:ascii="Arial Narrow" w:hAnsi="Arial Narrow" w:cs="Arial"/>
                <w:sz w:val="20"/>
                <w:szCs w:val="20"/>
              </w:rPr>
              <w:t>infliximab 120 mg/mL injection, 1 mL pen device</w:t>
            </w:r>
          </w:p>
        </w:tc>
        <w:tc>
          <w:tcPr>
            <w:tcW w:w="927" w:type="dxa"/>
            <w:vAlign w:val="center"/>
          </w:tcPr>
          <w:p w14:paraId="30ABD4F5"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13060J</w:t>
            </w:r>
          </w:p>
        </w:tc>
        <w:tc>
          <w:tcPr>
            <w:tcW w:w="812" w:type="dxa"/>
          </w:tcPr>
          <w:p w14:paraId="4B158110"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2</w:t>
            </w:r>
          </w:p>
        </w:tc>
        <w:tc>
          <w:tcPr>
            <w:tcW w:w="811" w:type="dxa"/>
          </w:tcPr>
          <w:p w14:paraId="13051649"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2</w:t>
            </w:r>
          </w:p>
        </w:tc>
        <w:tc>
          <w:tcPr>
            <w:tcW w:w="812" w:type="dxa"/>
          </w:tcPr>
          <w:p w14:paraId="4534AF55"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5</w:t>
            </w:r>
          </w:p>
        </w:tc>
        <w:tc>
          <w:tcPr>
            <w:tcW w:w="1831" w:type="dxa"/>
            <w:vAlign w:val="center"/>
          </w:tcPr>
          <w:p w14:paraId="11372E4B" w14:textId="77777777" w:rsidR="000706E9" w:rsidRPr="005E1044"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5E1044" w14:paraId="640A02CF" w14:textId="77777777">
        <w:trPr>
          <w:cantSplit/>
          <w:trHeight w:val="20"/>
        </w:trPr>
        <w:tc>
          <w:tcPr>
            <w:tcW w:w="3823" w:type="dxa"/>
            <w:gridSpan w:val="2"/>
            <w:vAlign w:val="center"/>
          </w:tcPr>
          <w:p w14:paraId="130061AD" w14:textId="77777777" w:rsidR="000706E9" w:rsidRPr="005E1044" w:rsidRDefault="000706E9">
            <w:pPr>
              <w:keepLines/>
              <w:rPr>
                <w:rFonts w:ascii="Arial Narrow" w:hAnsi="Arial Narrow" w:cs="Arial"/>
                <w:sz w:val="20"/>
                <w:szCs w:val="20"/>
              </w:rPr>
            </w:pPr>
            <w:r w:rsidRPr="005E1044">
              <w:rPr>
                <w:rFonts w:ascii="Arial Narrow" w:hAnsi="Arial Narrow" w:cs="Arial"/>
                <w:sz w:val="20"/>
                <w:szCs w:val="20"/>
              </w:rPr>
              <w:t>infliximab 120 mg/mL injection, 1 mL syringe</w:t>
            </w:r>
          </w:p>
        </w:tc>
        <w:tc>
          <w:tcPr>
            <w:tcW w:w="927" w:type="dxa"/>
            <w:vAlign w:val="center"/>
          </w:tcPr>
          <w:p w14:paraId="10AFE891"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13073C</w:t>
            </w:r>
          </w:p>
        </w:tc>
        <w:tc>
          <w:tcPr>
            <w:tcW w:w="812" w:type="dxa"/>
            <w:vAlign w:val="center"/>
          </w:tcPr>
          <w:p w14:paraId="4779B76D"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2</w:t>
            </w:r>
          </w:p>
        </w:tc>
        <w:tc>
          <w:tcPr>
            <w:tcW w:w="811" w:type="dxa"/>
            <w:vAlign w:val="center"/>
          </w:tcPr>
          <w:p w14:paraId="237EA5A5"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2</w:t>
            </w:r>
          </w:p>
        </w:tc>
        <w:tc>
          <w:tcPr>
            <w:tcW w:w="812" w:type="dxa"/>
            <w:vAlign w:val="center"/>
          </w:tcPr>
          <w:p w14:paraId="4CA564A3" w14:textId="77777777" w:rsidR="000706E9" w:rsidRPr="005E1044" w:rsidRDefault="000706E9">
            <w:pPr>
              <w:keepLines/>
              <w:jc w:val="center"/>
              <w:rPr>
                <w:rFonts w:ascii="Arial Narrow" w:hAnsi="Arial Narrow" w:cs="Arial"/>
                <w:sz w:val="20"/>
                <w:szCs w:val="20"/>
              </w:rPr>
            </w:pPr>
            <w:r w:rsidRPr="005E1044">
              <w:rPr>
                <w:rFonts w:ascii="Arial Narrow" w:hAnsi="Arial Narrow" w:cs="Arial"/>
                <w:sz w:val="20"/>
                <w:szCs w:val="20"/>
              </w:rPr>
              <w:t>5</w:t>
            </w:r>
          </w:p>
        </w:tc>
        <w:tc>
          <w:tcPr>
            <w:tcW w:w="1831" w:type="dxa"/>
            <w:vAlign w:val="center"/>
          </w:tcPr>
          <w:p w14:paraId="001295D0" w14:textId="77777777" w:rsidR="000706E9" w:rsidRPr="005E1044"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5E1044" w14:paraId="6D595250"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F1AAC85" w14:textId="77777777" w:rsidR="000706E9" w:rsidRPr="005E1044" w:rsidRDefault="000706E9">
            <w:pPr>
              <w:rPr>
                <w:rFonts w:ascii="Arial Narrow" w:hAnsi="Arial Narrow" w:cs="Arial"/>
                <w:sz w:val="20"/>
                <w:szCs w:val="20"/>
              </w:rPr>
            </w:pPr>
          </w:p>
        </w:tc>
      </w:tr>
      <w:tr w:rsidR="000706E9" w:rsidRPr="005E1044" w14:paraId="2410C5B1"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6B7CBC3" w14:textId="5D7F00BE" w:rsidR="000706E9" w:rsidRPr="005E1044" w:rsidRDefault="000706E9">
            <w:pPr>
              <w:keepLines/>
              <w:rPr>
                <w:rFonts w:ascii="Arial Narrow" w:hAnsi="Arial Narrow" w:cs="Arial"/>
                <w:b/>
                <w:sz w:val="20"/>
                <w:szCs w:val="20"/>
              </w:rPr>
            </w:pPr>
            <w:r w:rsidRPr="005E1044">
              <w:rPr>
                <w:rFonts w:ascii="Arial Narrow" w:hAnsi="Arial Narrow"/>
                <w:b/>
                <w:sz w:val="20"/>
                <w:szCs w:val="20"/>
              </w:rPr>
              <w:t xml:space="preserve">Restriction Summary / Treatment of Concept: </w:t>
            </w:r>
          </w:p>
        </w:tc>
      </w:tr>
      <w:tr w:rsidR="000706E9" w:rsidRPr="005E1044" w14:paraId="1909238F"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327CE693" w14:textId="47643656" w:rsidR="000706E9" w:rsidRPr="005E1044" w:rsidRDefault="000706E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CA675FB" w14:textId="77777777" w:rsidR="000706E9" w:rsidRPr="005E1044" w:rsidRDefault="000706E9">
            <w:pPr>
              <w:keepLines/>
              <w:rPr>
                <w:rFonts w:ascii="Arial Narrow" w:hAnsi="Arial Narrow" w:cs="Arial"/>
                <w:sz w:val="20"/>
                <w:szCs w:val="20"/>
              </w:rPr>
            </w:pPr>
            <w:r w:rsidRPr="005E1044">
              <w:rPr>
                <w:rFonts w:ascii="Arial Narrow" w:hAnsi="Arial Narrow" w:cs="Arial"/>
                <w:b/>
                <w:sz w:val="20"/>
                <w:szCs w:val="20"/>
              </w:rPr>
              <w:t>Category / Program:</w:t>
            </w:r>
            <w:r w:rsidRPr="005E1044">
              <w:rPr>
                <w:rFonts w:ascii="Arial Narrow" w:hAnsi="Arial Narrow" w:cs="Arial"/>
                <w:color w:val="FF0000"/>
                <w:sz w:val="20"/>
                <w:szCs w:val="20"/>
              </w:rPr>
              <w:t xml:space="preserve"> </w:t>
            </w:r>
            <w:r w:rsidRPr="005E1044">
              <w:rPr>
                <w:rFonts w:ascii="Arial Narrow" w:eastAsia="Calibri" w:hAnsi="Arial Narrow" w:cs="Arial"/>
                <w:sz w:val="20"/>
                <w:szCs w:val="20"/>
              </w:rPr>
              <w:t xml:space="preserve">GENERAL - General Schedule (Code GE) </w:t>
            </w:r>
          </w:p>
        </w:tc>
      </w:tr>
      <w:tr w:rsidR="000706E9" w:rsidRPr="005E1044" w14:paraId="0642C987" w14:textId="77777777">
        <w:tblPrEx>
          <w:tblCellMar>
            <w:top w:w="15" w:type="dxa"/>
            <w:bottom w:w="15" w:type="dxa"/>
          </w:tblCellMar>
          <w:tblLook w:val="04A0" w:firstRow="1" w:lastRow="0" w:firstColumn="1" w:lastColumn="0" w:noHBand="0" w:noVBand="1"/>
        </w:tblPrEx>
        <w:trPr>
          <w:trHeight w:val="20"/>
        </w:trPr>
        <w:tc>
          <w:tcPr>
            <w:tcW w:w="1271" w:type="dxa"/>
            <w:vMerge/>
          </w:tcPr>
          <w:p w14:paraId="0EA5E4B7" w14:textId="77777777" w:rsidR="000706E9" w:rsidRPr="005E1044"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D440A10" w14:textId="77777777" w:rsidR="000706E9" w:rsidRPr="005E1044" w:rsidRDefault="000706E9">
            <w:pPr>
              <w:keepLines/>
              <w:rPr>
                <w:rFonts w:ascii="Arial Narrow" w:hAnsi="Arial Narrow" w:cs="Arial"/>
                <w:b/>
                <w:sz w:val="20"/>
                <w:szCs w:val="20"/>
              </w:rPr>
            </w:pPr>
            <w:r w:rsidRPr="005E1044">
              <w:rPr>
                <w:rFonts w:ascii="Arial Narrow" w:hAnsi="Arial Narrow" w:cs="Arial"/>
                <w:b/>
                <w:sz w:val="20"/>
                <w:szCs w:val="20"/>
              </w:rPr>
              <w:t xml:space="preserve">Prescriber type: </w:t>
            </w:r>
            <w:r w:rsidRPr="005E1044">
              <w:rPr>
                <w:rFonts w:ascii="Arial Narrow" w:hAnsi="Arial Narrow" w:cs="Arial"/>
                <w:sz w:val="20"/>
                <w:szCs w:val="20"/>
              </w:rPr>
              <w:fldChar w:fldCharType="begin" w:fldLock="1">
                <w:ffData>
                  <w:name w:val=""/>
                  <w:enabled/>
                  <w:calcOnExit w:val="0"/>
                  <w:checkBox>
                    <w:sizeAuto/>
                    <w:default w:val="1"/>
                  </w:checkBox>
                </w:ffData>
              </w:fldChar>
            </w:r>
            <w:r w:rsidRPr="005E1044">
              <w:rPr>
                <w:rFonts w:ascii="Arial Narrow" w:hAnsi="Arial Narrow" w:cs="Arial"/>
                <w:sz w:val="20"/>
                <w:szCs w:val="20"/>
              </w:rPr>
              <w:instrText xml:space="preserve"> FORMCHECKBOX </w:instrText>
            </w:r>
            <w:r w:rsidRPr="005E1044">
              <w:rPr>
                <w:rFonts w:ascii="Arial Narrow" w:hAnsi="Arial Narrow" w:cs="Arial"/>
                <w:sz w:val="20"/>
                <w:szCs w:val="20"/>
              </w:rPr>
            </w:r>
            <w:r w:rsidRPr="005E1044">
              <w:rPr>
                <w:rFonts w:ascii="Arial Narrow" w:hAnsi="Arial Narrow" w:cs="Arial"/>
                <w:sz w:val="20"/>
                <w:szCs w:val="20"/>
              </w:rPr>
              <w:fldChar w:fldCharType="separate"/>
            </w:r>
            <w:r w:rsidRPr="005E1044">
              <w:rPr>
                <w:rFonts w:ascii="Arial Narrow" w:hAnsi="Arial Narrow" w:cs="Arial"/>
                <w:sz w:val="20"/>
                <w:szCs w:val="20"/>
              </w:rPr>
              <w:fldChar w:fldCharType="end"/>
            </w:r>
            <w:r w:rsidRPr="005E1044">
              <w:rPr>
                <w:rFonts w:ascii="Arial Narrow" w:hAnsi="Arial Narrow" w:cs="Arial"/>
                <w:sz w:val="20"/>
                <w:szCs w:val="20"/>
              </w:rPr>
              <w:t xml:space="preserve">Medical Practitioners </w:t>
            </w:r>
          </w:p>
        </w:tc>
      </w:tr>
      <w:tr w:rsidR="000706E9" w:rsidRPr="005E1044" w14:paraId="7FC9D438" w14:textId="77777777">
        <w:tblPrEx>
          <w:tblCellMar>
            <w:top w:w="15" w:type="dxa"/>
            <w:bottom w:w="15" w:type="dxa"/>
          </w:tblCellMar>
          <w:tblLook w:val="04A0" w:firstRow="1" w:lastRow="0" w:firstColumn="1" w:lastColumn="0" w:noHBand="0" w:noVBand="1"/>
        </w:tblPrEx>
        <w:trPr>
          <w:trHeight w:val="20"/>
        </w:trPr>
        <w:tc>
          <w:tcPr>
            <w:tcW w:w="1271" w:type="dxa"/>
            <w:vMerge/>
          </w:tcPr>
          <w:p w14:paraId="4B39FEFB" w14:textId="77777777" w:rsidR="000706E9" w:rsidRPr="005E1044"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AF7D334" w14:textId="77777777" w:rsidR="000706E9" w:rsidRPr="005E1044" w:rsidRDefault="000706E9">
            <w:pPr>
              <w:keepLines/>
              <w:rPr>
                <w:rFonts w:ascii="Arial Narrow" w:hAnsi="Arial Narrow" w:cs="Arial"/>
                <w:b/>
                <w:sz w:val="20"/>
                <w:szCs w:val="20"/>
              </w:rPr>
            </w:pPr>
            <w:r w:rsidRPr="005E1044">
              <w:rPr>
                <w:rFonts w:ascii="Arial Narrow" w:hAnsi="Arial Narrow" w:cs="Arial"/>
                <w:b/>
                <w:sz w:val="20"/>
                <w:szCs w:val="20"/>
              </w:rPr>
              <w:t xml:space="preserve">Restriction type: </w:t>
            </w:r>
          </w:p>
          <w:p w14:paraId="606E3A92" w14:textId="77777777" w:rsidR="000706E9" w:rsidRPr="005E1044" w:rsidRDefault="000706E9">
            <w:pPr>
              <w:keepLines/>
              <w:jc w:val="left"/>
              <w:rPr>
                <w:rFonts w:ascii="Arial Narrow" w:eastAsia="Calibri" w:hAnsi="Arial Narrow" w:cs="Arial"/>
                <w:color w:val="FF0000"/>
                <w:sz w:val="20"/>
                <w:szCs w:val="20"/>
              </w:rPr>
            </w:pPr>
            <w:r w:rsidRPr="005E1044">
              <w:rPr>
                <w:rFonts w:ascii="Arial Narrow" w:eastAsia="Calibri" w:hAnsi="Arial Narrow" w:cs="Arial"/>
                <w:sz w:val="20"/>
                <w:szCs w:val="20"/>
              </w:rPr>
              <w:fldChar w:fldCharType="begin" w:fldLock="1">
                <w:ffData>
                  <w:name w:val=""/>
                  <w:enabled/>
                  <w:calcOnExit w:val="0"/>
                  <w:checkBox>
                    <w:sizeAuto/>
                    <w:default w:val="1"/>
                  </w:checkBox>
                </w:ffData>
              </w:fldChar>
            </w:r>
            <w:r w:rsidRPr="005E1044">
              <w:rPr>
                <w:rFonts w:ascii="Arial Narrow" w:eastAsia="Calibri" w:hAnsi="Arial Narrow" w:cs="Arial"/>
                <w:sz w:val="20"/>
                <w:szCs w:val="20"/>
              </w:rPr>
              <w:instrText xml:space="preserve"> FORMCHECKBOX </w:instrText>
            </w:r>
            <w:r w:rsidRPr="005E1044">
              <w:rPr>
                <w:rFonts w:ascii="Arial Narrow" w:eastAsia="Calibri" w:hAnsi="Arial Narrow" w:cs="Arial"/>
                <w:sz w:val="20"/>
                <w:szCs w:val="20"/>
              </w:rPr>
            </w:r>
            <w:r w:rsidRPr="005E1044">
              <w:rPr>
                <w:rFonts w:ascii="Arial Narrow" w:eastAsia="Calibri" w:hAnsi="Arial Narrow" w:cs="Arial"/>
                <w:sz w:val="20"/>
                <w:szCs w:val="20"/>
              </w:rPr>
              <w:fldChar w:fldCharType="separate"/>
            </w:r>
            <w:r w:rsidRPr="005E1044">
              <w:rPr>
                <w:rFonts w:ascii="Arial Narrow" w:eastAsia="Calibri" w:hAnsi="Arial Narrow" w:cs="Arial"/>
                <w:sz w:val="20"/>
                <w:szCs w:val="20"/>
              </w:rPr>
              <w:fldChar w:fldCharType="end"/>
            </w:r>
            <w:r w:rsidRPr="005E1044">
              <w:rPr>
                <w:rFonts w:ascii="Arial Narrow" w:eastAsia="Calibri" w:hAnsi="Arial Narrow" w:cs="Arial"/>
                <w:i/>
                <w:iCs/>
                <w:sz w:val="20"/>
                <w:szCs w:val="20"/>
              </w:rPr>
              <w:t>Authority Required (Streamlined)</w:t>
            </w:r>
            <w:r w:rsidRPr="005E1044">
              <w:rPr>
                <w:rFonts w:ascii="Arial Narrow" w:eastAsia="Calibri" w:hAnsi="Arial Narrow" w:cs="Arial"/>
                <w:sz w:val="20"/>
                <w:szCs w:val="20"/>
              </w:rPr>
              <w:t xml:space="preserve"> </w:t>
            </w:r>
            <w:r w:rsidRPr="005E1044">
              <w:rPr>
                <w:rFonts w:ascii="Arial Narrow" w:eastAsia="Calibri" w:hAnsi="Arial Narrow" w:cs="Arial"/>
                <w:color w:val="FF0000"/>
                <w:sz w:val="20"/>
                <w:szCs w:val="20"/>
              </w:rPr>
              <w:br/>
            </w:r>
            <w:r w:rsidRPr="005E1044">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5E1044">
              <w:rPr>
                <w:rFonts w:ascii="Arial Narrow" w:eastAsia="Calibri" w:hAnsi="Arial Narrow" w:cs="Arial"/>
                <w:strike/>
                <w:sz w:val="20"/>
                <w:szCs w:val="20"/>
              </w:rPr>
              <w:instrText xml:space="preserve"> FORMCHECKBOX </w:instrText>
            </w:r>
            <w:r w:rsidRPr="005E1044">
              <w:rPr>
                <w:rFonts w:ascii="Arial Narrow" w:eastAsia="Calibri" w:hAnsi="Arial Narrow" w:cs="Arial"/>
                <w:strike/>
                <w:sz w:val="20"/>
                <w:szCs w:val="20"/>
              </w:rPr>
            </w:r>
            <w:r w:rsidRPr="005E1044">
              <w:rPr>
                <w:rFonts w:ascii="Arial Narrow" w:eastAsia="Calibri" w:hAnsi="Arial Narrow" w:cs="Arial"/>
                <w:strike/>
                <w:sz w:val="20"/>
                <w:szCs w:val="20"/>
              </w:rPr>
              <w:fldChar w:fldCharType="separate"/>
            </w:r>
            <w:r w:rsidRPr="005E1044">
              <w:rPr>
                <w:rFonts w:ascii="Arial Narrow" w:eastAsia="Calibri" w:hAnsi="Arial Narrow" w:cs="Arial"/>
                <w:strike/>
                <w:sz w:val="20"/>
                <w:szCs w:val="20"/>
              </w:rPr>
              <w:fldChar w:fldCharType="end"/>
            </w:r>
            <w:r w:rsidRPr="005E1044">
              <w:rPr>
                <w:rFonts w:ascii="Arial Narrow" w:eastAsia="Calibri" w:hAnsi="Arial Narrow" w:cs="Arial"/>
                <w:strike/>
                <w:sz w:val="20"/>
                <w:szCs w:val="20"/>
              </w:rPr>
              <w:t xml:space="preserve">Authority Required (in writing only via post/HPOS upload) </w:t>
            </w:r>
          </w:p>
        </w:tc>
      </w:tr>
      <w:tr w:rsidR="000706E9" w:rsidRPr="005E1044" w14:paraId="29D7B7F1" w14:textId="77777777" w:rsidTr="00365FCC">
        <w:tblPrEx>
          <w:tblCellMar>
            <w:top w:w="15" w:type="dxa"/>
            <w:bottom w:w="15" w:type="dxa"/>
          </w:tblCellMar>
        </w:tblPrEx>
        <w:trPr>
          <w:cantSplit/>
          <w:trHeight w:val="20"/>
        </w:trPr>
        <w:tc>
          <w:tcPr>
            <w:tcW w:w="1271" w:type="dxa"/>
            <w:vAlign w:val="center"/>
          </w:tcPr>
          <w:p w14:paraId="7CDF58BC" w14:textId="6A855A7B" w:rsidR="000706E9" w:rsidRPr="005E1044" w:rsidRDefault="000706E9">
            <w:pPr>
              <w:keepLines/>
              <w:jc w:val="center"/>
              <w:rPr>
                <w:rFonts w:ascii="Arial Narrow" w:hAnsi="Arial Narrow"/>
                <w:sz w:val="20"/>
                <w:szCs w:val="20"/>
              </w:rPr>
            </w:pPr>
          </w:p>
        </w:tc>
        <w:tc>
          <w:tcPr>
            <w:tcW w:w="7745" w:type="dxa"/>
            <w:gridSpan w:val="6"/>
            <w:vAlign w:val="center"/>
            <w:hideMark/>
          </w:tcPr>
          <w:p w14:paraId="1F5C0FD2" w14:textId="77777777" w:rsidR="000706E9" w:rsidRPr="005E1044" w:rsidRDefault="000706E9">
            <w:pPr>
              <w:keepLines/>
              <w:rPr>
                <w:rFonts w:ascii="Arial Narrow" w:hAnsi="Arial Narrow"/>
                <w:color w:val="333333"/>
                <w:sz w:val="20"/>
                <w:szCs w:val="20"/>
              </w:rPr>
            </w:pPr>
            <w:r w:rsidRPr="005E1044">
              <w:rPr>
                <w:rFonts w:ascii="Arial Narrow" w:hAnsi="Arial Narrow"/>
                <w:b/>
                <w:bCs/>
                <w:sz w:val="20"/>
                <w:szCs w:val="20"/>
              </w:rPr>
              <w:t>Indication:</w:t>
            </w:r>
            <w:r w:rsidRPr="005E1044">
              <w:rPr>
                <w:rFonts w:ascii="Arial Narrow" w:hAnsi="Arial Narrow"/>
                <w:sz w:val="20"/>
                <w:szCs w:val="20"/>
              </w:rPr>
              <w:t xml:space="preserve"> Complex refractory Fistulising Crohn disease</w:t>
            </w:r>
          </w:p>
        </w:tc>
      </w:tr>
      <w:tr w:rsidR="000706E9" w:rsidRPr="005E1044" w14:paraId="7B21B98E" w14:textId="77777777" w:rsidTr="00365FCC">
        <w:tblPrEx>
          <w:tblCellMar>
            <w:top w:w="15" w:type="dxa"/>
            <w:bottom w:w="15" w:type="dxa"/>
          </w:tblCellMar>
        </w:tblPrEx>
        <w:trPr>
          <w:cantSplit/>
          <w:trHeight w:val="20"/>
        </w:trPr>
        <w:tc>
          <w:tcPr>
            <w:tcW w:w="1271" w:type="dxa"/>
            <w:vAlign w:val="center"/>
          </w:tcPr>
          <w:p w14:paraId="53B86B6C" w14:textId="77777777" w:rsidR="000706E9" w:rsidRPr="005E1044" w:rsidRDefault="000706E9">
            <w:pPr>
              <w:jc w:val="center"/>
              <w:rPr>
                <w:rFonts w:ascii="Arial Narrow" w:hAnsi="Arial Narrow"/>
                <w:sz w:val="20"/>
                <w:szCs w:val="20"/>
              </w:rPr>
            </w:pPr>
          </w:p>
        </w:tc>
        <w:tc>
          <w:tcPr>
            <w:tcW w:w="7745" w:type="dxa"/>
            <w:gridSpan w:val="6"/>
            <w:vAlign w:val="center"/>
            <w:hideMark/>
          </w:tcPr>
          <w:p w14:paraId="64FDE406" w14:textId="77777777" w:rsidR="000706E9" w:rsidRPr="005E1044" w:rsidRDefault="000706E9">
            <w:pPr>
              <w:rPr>
                <w:rFonts w:ascii="Arial Narrow" w:hAnsi="Arial Narrow"/>
                <w:sz w:val="20"/>
                <w:szCs w:val="20"/>
              </w:rPr>
            </w:pPr>
            <w:r w:rsidRPr="005E1044">
              <w:rPr>
                <w:rFonts w:ascii="Arial Narrow" w:hAnsi="Arial Narrow"/>
                <w:b/>
                <w:bCs/>
                <w:sz w:val="20"/>
                <w:szCs w:val="20"/>
              </w:rPr>
              <w:t>Treatment Phase:</w:t>
            </w:r>
            <w:r w:rsidRPr="005E1044">
              <w:rPr>
                <w:rFonts w:ascii="Arial Narrow" w:hAnsi="Arial Narrow"/>
                <w:sz w:val="20"/>
                <w:szCs w:val="20"/>
              </w:rPr>
              <w:t xml:space="preserve"> Continuing treatment with subcutaneous form or switching from intravenous form to subcutaneous form</w:t>
            </w:r>
          </w:p>
        </w:tc>
      </w:tr>
      <w:tr w:rsidR="000706E9" w:rsidRPr="005E1044" w14:paraId="6CAC8C6F"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9F3DD28" w14:textId="44CCBDE8" w:rsidR="000706E9" w:rsidRPr="005E1044"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780F8A" w14:textId="77777777" w:rsidR="000706E9" w:rsidRPr="005E1044" w:rsidRDefault="000706E9">
            <w:pPr>
              <w:rPr>
                <w:rFonts w:ascii="Arial Narrow" w:hAnsi="Arial Narrow"/>
                <w:b/>
                <w:bCs/>
                <w:strike/>
                <w:sz w:val="20"/>
                <w:szCs w:val="20"/>
              </w:rPr>
            </w:pPr>
            <w:r w:rsidRPr="005E1044">
              <w:rPr>
                <w:rFonts w:ascii="Arial Narrow" w:hAnsi="Arial Narrow"/>
                <w:b/>
                <w:bCs/>
                <w:strike/>
                <w:sz w:val="20"/>
                <w:szCs w:val="20"/>
              </w:rPr>
              <w:t>Prescribing Instructions:</w:t>
            </w:r>
          </w:p>
          <w:p w14:paraId="17F8E9F7"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The authority application must be made in writing and must include:</w:t>
            </w:r>
          </w:p>
          <w:p w14:paraId="4334717C"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(1) a completed authority prescription form; and</w:t>
            </w:r>
          </w:p>
          <w:p w14:paraId="4DF28A32" w14:textId="77777777" w:rsidR="000706E9" w:rsidRPr="005E1044" w:rsidRDefault="000706E9">
            <w:pPr>
              <w:rPr>
                <w:rFonts w:ascii="Arial Narrow" w:hAnsi="Arial Narrow"/>
                <w:strike/>
                <w:sz w:val="20"/>
                <w:szCs w:val="20"/>
              </w:rPr>
            </w:pPr>
            <w:r w:rsidRPr="0CEE6DE9">
              <w:rPr>
                <w:rFonts w:ascii="Arial Narrow" w:hAnsi="Arial Narrow"/>
                <w:strike/>
                <w:sz w:val="20"/>
                <w:szCs w:val="20"/>
              </w:rPr>
              <w:t>(2) a completed authority application form relevant to the indication and treatment phase (the latest version is located on the website specified in the Administrative Advice).</w:t>
            </w:r>
          </w:p>
        </w:tc>
      </w:tr>
      <w:tr w:rsidR="000706E9" w:rsidRPr="005E1044" w14:paraId="63B3E0B6"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2946A39" w14:textId="78D83EE4" w:rsidR="000706E9" w:rsidRPr="005E1044"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BBD5C4" w14:textId="77777777" w:rsidR="000706E9" w:rsidRPr="005E1044" w:rsidRDefault="000706E9">
            <w:pPr>
              <w:rPr>
                <w:rFonts w:ascii="Arial Narrow" w:hAnsi="Arial Narrow"/>
                <w:sz w:val="20"/>
                <w:szCs w:val="20"/>
              </w:rPr>
            </w:pPr>
            <w:r w:rsidRPr="005E1044">
              <w:rPr>
                <w:rFonts w:ascii="Arial Narrow" w:hAnsi="Arial Narrow"/>
                <w:b/>
                <w:bCs/>
                <w:sz w:val="20"/>
                <w:szCs w:val="20"/>
              </w:rPr>
              <w:t>Prescribing Instructions</w:t>
            </w:r>
            <w:r w:rsidRPr="005E1044">
              <w:rPr>
                <w:rFonts w:ascii="Arial Narrow" w:hAnsi="Arial Narrow"/>
                <w:sz w:val="20"/>
                <w:szCs w:val="20"/>
              </w:rPr>
              <w:t>:</w:t>
            </w:r>
          </w:p>
          <w:p w14:paraId="7B04777F" w14:textId="77777777" w:rsidR="000706E9" w:rsidRPr="005E1044" w:rsidRDefault="000706E9">
            <w:pPr>
              <w:rPr>
                <w:rFonts w:ascii="Arial Narrow" w:hAnsi="Arial Narrow"/>
                <w:sz w:val="20"/>
                <w:szCs w:val="20"/>
              </w:rPr>
            </w:pPr>
            <w:r w:rsidRPr="005E1044">
              <w:rPr>
                <w:rFonts w:ascii="Arial Narrow" w:hAnsi="Arial Narrow"/>
                <w:sz w:val="20"/>
                <w:szCs w:val="20"/>
              </w:rPr>
              <w:t>An adequate response is defined as:</w:t>
            </w:r>
          </w:p>
          <w:p w14:paraId="75694549" w14:textId="77777777" w:rsidR="000706E9" w:rsidRPr="005E1044" w:rsidRDefault="000706E9">
            <w:pPr>
              <w:rPr>
                <w:rFonts w:ascii="Arial Narrow" w:hAnsi="Arial Narrow"/>
                <w:sz w:val="20"/>
                <w:szCs w:val="20"/>
              </w:rPr>
            </w:pPr>
            <w:r w:rsidRPr="005E1044">
              <w:rPr>
                <w:rFonts w:ascii="Arial Narrow" w:hAnsi="Arial Narrow"/>
                <w:sz w:val="20"/>
                <w:szCs w:val="20"/>
              </w:rPr>
              <w:t>(a) a decrease from baseline in the number of open draining fistulae of greater than or equal to 50%; and/or</w:t>
            </w:r>
          </w:p>
          <w:p w14:paraId="629405EB" w14:textId="77777777" w:rsidR="000706E9" w:rsidRPr="005E1044" w:rsidRDefault="000706E9">
            <w:pPr>
              <w:rPr>
                <w:rFonts w:ascii="Arial Narrow" w:hAnsi="Arial Narrow"/>
                <w:sz w:val="20"/>
                <w:szCs w:val="20"/>
              </w:rPr>
            </w:pPr>
            <w:r w:rsidRPr="0CEE6DE9">
              <w:rPr>
                <w:rFonts w:ascii="Arial Narrow" w:hAnsi="Arial Narrow"/>
                <w:sz w:val="20"/>
                <w:szCs w:val="20"/>
              </w:rPr>
              <w:t>(b) a marked reduction in drainage of all fistula(e) from baseline, together with less pain and induration as reported by the patient.</w:t>
            </w:r>
          </w:p>
        </w:tc>
      </w:tr>
      <w:tr w:rsidR="000706E9" w:rsidRPr="005E1044" w14:paraId="5362E367"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6C085E1" w14:textId="1AF1A5CB" w:rsidR="000706E9" w:rsidRPr="005E1044"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DCC176"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Prescribing Instructions:</w:t>
            </w:r>
          </w:p>
          <w:p w14:paraId="09F6929A"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The most recent fistula assessment must be no more than 1 month old at the time of application.</w:t>
            </w:r>
          </w:p>
        </w:tc>
      </w:tr>
      <w:tr w:rsidR="000706E9" w:rsidRPr="005E1044" w14:paraId="308DA46E"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3BACEDF" w14:textId="4372250D" w:rsidR="000706E9" w:rsidRPr="00B647BC"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9EFC6F" w14:textId="77777777" w:rsidR="000706E9" w:rsidRPr="00B647BC" w:rsidRDefault="000706E9">
            <w:pPr>
              <w:rPr>
                <w:rFonts w:ascii="Arial Narrow" w:hAnsi="Arial Narrow"/>
                <w:b/>
                <w:bCs/>
                <w:i/>
                <w:iCs/>
                <w:sz w:val="20"/>
                <w:szCs w:val="20"/>
              </w:rPr>
            </w:pPr>
            <w:r w:rsidRPr="00B647BC">
              <w:rPr>
                <w:rFonts w:ascii="Arial Narrow" w:hAnsi="Arial Narrow"/>
                <w:b/>
                <w:bCs/>
                <w:i/>
                <w:iCs/>
                <w:sz w:val="20"/>
                <w:szCs w:val="20"/>
              </w:rPr>
              <w:t>Prescribing Instructions:</w:t>
            </w:r>
          </w:p>
          <w:p w14:paraId="6E46E35F" w14:textId="77777777" w:rsidR="000706E9" w:rsidRPr="00B647BC" w:rsidRDefault="000706E9">
            <w:pPr>
              <w:rPr>
                <w:rFonts w:ascii="Arial Narrow" w:hAnsi="Arial Narrow"/>
                <w:i/>
                <w:iCs/>
                <w:sz w:val="20"/>
                <w:szCs w:val="20"/>
              </w:rPr>
            </w:pPr>
            <w:r w:rsidRPr="00B647BC">
              <w:rPr>
                <w:rFonts w:ascii="Arial Narrow" w:hAnsi="Arial Narrow"/>
                <w:i/>
                <w:iCs/>
                <w:sz w:val="20"/>
                <w:szCs w:val="20"/>
              </w:rPr>
              <w:t>The measurement of response to the prior course of therapy must be documented in the patient's medical notes.</w:t>
            </w:r>
          </w:p>
        </w:tc>
      </w:tr>
      <w:tr w:rsidR="000706E9" w:rsidRPr="005E1044" w14:paraId="78BB9840"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4E9EB26" w14:textId="0D04486E" w:rsidR="000706E9" w:rsidRPr="00B647BC" w:rsidRDefault="000706E9">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EEECD1" w14:textId="77777777" w:rsidR="000706E9" w:rsidRPr="00B647BC" w:rsidRDefault="000706E9">
            <w:pPr>
              <w:rPr>
                <w:rFonts w:ascii="Arial Narrow" w:hAnsi="Arial Narrow"/>
                <w:b/>
                <w:bCs/>
                <w:i/>
                <w:iCs/>
                <w:sz w:val="20"/>
                <w:szCs w:val="20"/>
              </w:rPr>
            </w:pPr>
            <w:r w:rsidRPr="00B647BC">
              <w:rPr>
                <w:rFonts w:ascii="Arial Narrow" w:hAnsi="Arial Narrow"/>
                <w:b/>
                <w:bCs/>
                <w:i/>
                <w:iCs/>
                <w:sz w:val="20"/>
                <w:szCs w:val="20"/>
              </w:rPr>
              <w:t>Prescribing Instructions:</w:t>
            </w:r>
          </w:p>
          <w:p w14:paraId="54FFE9DD" w14:textId="77777777" w:rsidR="000706E9" w:rsidRPr="00B647BC" w:rsidRDefault="000706E9">
            <w:pPr>
              <w:rPr>
                <w:rFonts w:ascii="Arial Narrow" w:hAnsi="Arial Narrow"/>
                <w:i/>
                <w:iCs/>
                <w:sz w:val="20"/>
                <w:szCs w:val="20"/>
              </w:rPr>
            </w:pPr>
            <w:r w:rsidRPr="0CEE6DE9">
              <w:rPr>
                <w:rFonts w:ascii="Arial Narrow" w:hAnsi="Arial Narrow"/>
                <w:i/>
                <w:iCs/>
                <w:sz w:val="20"/>
                <w:szCs w:val="20"/>
              </w:rP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r>
      <w:tr w:rsidR="000706E9" w:rsidRPr="005E1044" w14:paraId="3C7213FC"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F22A82D" w14:textId="30AF3D82" w:rsidR="000706E9" w:rsidRPr="005E1044"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9ACFEA" w14:textId="77777777" w:rsidR="000706E9" w:rsidRPr="005E1044" w:rsidRDefault="000706E9">
            <w:pPr>
              <w:rPr>
                <w:rFonts w:ascii="Arial Narrow" w:hAnsi="Arial Narrow"/>
                <w:b/>
                <w:bCs/>
                <w:strike/>
                <w:sz w:val="20"/>
                <w:szCs w:val="20"/>
              </w:rPr>
            </w:pPr>
            <w:r w:rsidRPr="005E1044">
              <w:rPr>
                <w:rFonts w:ascii="Arial Narrow" w:hAnsi="Arial Narrow"/>
                <w:b/>
                <w:bCs/>
                <w:strike/>
                <w:sz w:val="20"/>
                <w:szCs w:val="20"/>
              </w:rPr>
              <w:t>Administrative Advice:</w:t>
            </w:r>
          </w:p>
          <w:p w14:paraId="212730BB"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Any queries concerning the arrangements to prescribe may be directed to Services Australia on 1800 700 270 (hours of operation 8 a.m. to 5 p.m. Monday to Friday).</w:t>
            </w:r>
          </w:p>
          <w:p w14:paraId="77853EFC"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Prescribing information (including Authority Application forms and other relevant documentation as applicable) is available on the Services Australia website at www.servicesaustralia.gov.au</w:t>
            </w:r>
          </w:p>
          <w:p w14:paraId="4DCE4D92" w14:textId="77777777" w:rsidR="000706E9" w:rsidRPr="005E1044" w:rsidRDefault="000706E9">
            <w:pPr>
              <w:rPr>
                <w:rFonts w:ascii="Arial Narrow" w:hAnsi="Arial Narrow"/>
                <w:strike/>
                <w:sz w:val="20"/>
                <w:szCs w:val="20"/>
              </w:rPr>
            </w:pPr>
            <w:r w:rsidRPr="0CEE6DE9">
              <w:rPr>
                <w:rFonts w:ascii="Arial Narrow" w:hAnsi="Arial Narrow"/>
                <w:strike/>
                <w:sz w:val="20"/>
                <w:szCs w:val="20"/>
              </w:rPr>
              <w:t>Applications for authority to prescribe should be submitted online using the form upload facility in Health Professional Online Services (HPOS) at www.servicesaustralia.gov.au/hpos</w:t>
            </w:r>
          </w:p>
          <w:p w14:paraId="7E82B5F9"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Or mailed to:</w:t>
            </w:r>
          </w:p>
          <w:p w14:paraId="778C0CC9"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Services Australia</w:t>
            </w:r>
          </w:p>
          <w:p w14:paraId="52D37A9F"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Complex Drugs</w:t>
            </w:r>
          </w:p>
          <w:p w14:paraId="16140C7E"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Reply Paid 9826</w:t>
            </w:r>
          </w:p>
          <w:p w14:paraId="1A2FF260" w14:textId="77777777" w:rsidR="000706E9" w:rsidRPr="005E1044" w:rsidRDefault="000706E9">
            <w:pPr>
              <w:rPr>
                <w:rFonts w:ascii="Arial Narrow" w:hAnsi="Arial Narrow"/>
                <w:strike/>
                <w:sz w:val="20"/>
                <w:szCs w:val="20"/>
              </w:rPr>
            </w:pPr>
            <w:r w:rsidRPr="005E1044">
              <w:rPr>
                <w:rFonts w:ascii="Arial Narrow" w:hAnsi="Arial Narrow"/>
                <w:strike/>
                <w:sz w:val="20"/>
                <w:szCs w:val="20"/>
              </w:rPr>
              <w:t>HOBART TAS 7001</w:t>
            </w:r>
          </w:p>
        </w:tc>
      </w:tr>
    </w:tbl>
    <w:p w14:paraId="1C22F9AA" w14:textId="77777777" w:rsidR="00E03BE9" w:rsidRDefault="00E03BE9" w:rsidP="00365FCC">
      <w:pPr>
        <w:pStyle w:val="TableFigureFooter"/>
        <w:spacing w:after="0"/>
      </w:pPr>
    </w:p>
    <w:p w14:paraId="0311BB2A" w14:textId="4B83D8DA" w:rsidR="000706E9" w:rsidRPr="00FE0A18" w:rsidRDefault="000706E9" w:rsidP="000706E9">
      <w:pPr>
        <w:pStyle w:val="4-SubsectionHeading"/>
        <w:spacing w:after="0"/>
      </w:pPr>
      <w:r w:rsidRPr="00FE0A18">
        <w:lastRenderedPageBreak/>
        <w:t>Moderate to severe ulcerative colitis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Moderate to severe ulcerative colitis"/>
        <w:tblDescription w:val="Treatment phase: continuing treatment with subcutaneous form or switching from intravenous form to subcutaenous form&#10;Changes to restriction type, prescribing instructions&#10;removal of administrative advice"/>
      </w:tblPr>
      <w:tblGrid>
        <w:gridCol w:w="1271"/>
        <w:gridCol w:w="2668"/>
        <w:gridCol w:w="811"/>
        <w:gridCol w:w="812"/>
        <w:gridCol w:w="811"/>
        <w:gridCol w:w="812"/>
        <w:gridCol w:w="1831"/>
      </w:tblGrid>
      <w:tr w:rsidR="000706E9" w:rsidRPr="007118D3" w14:paraId="4E439136" w14:textId="77777777">
        <w:trPr>
          <w:cantSplit/>
          <w:trHeight w:val="20"/>
        </w:trPr>
        <w:tc>
          <w:tcPr>
            <w:tcW w:w="3939" w:type="dxa"/>
            <w:gridSpan w:val="2"/>
            <w:vAlign w:val="center"/>
          </w:tcPr>
          <w:p w14:paraId="5A45FC6B" w14:textId="77777777" w:rsidR="000706E9" w:rsidRPr="007118D3" w:rsidRDefault="000706E9">
            <w:pPr>
              <w:keepLines/>
              <w:rPr>
                <w:rFonts w:ascii="Arial Narrow" w:hAnsi="Arial Narrow" w:cs="Arial"/>
                <w:b/>
                <w:bCs/>
                <w:sz w:val="20"/>
                <w:szCs w:val="20"/>
              </w:rPr>
            </w:pPr>
            <w:r w:rsidRPr="007118D3">
              <w:rPr>
                <w:rFonts w:ascii="Arial Narrow" w:hAnsi="Arial Narrow" w:cs="Arial"/>
                <w:b/>
                <w:bCs/>
                <w:sz w:val="20"/>
                <w:szCs w:val="20"/>
              </w:rPr>
              <w:t>MEDICINAL PRODUCT</w:t>
            </w:r>
          </w:p>
          <w:p w14:paraId="49F17D9F" w14:textId="77777777" w:rsidR="000706E9" w:rsidRPr="007118D3" w:rsidRDefault="000706E9">
            <w:pPr>
              <w:keepLines/>
              <w:rPr>
                <w:rFonts w:ascii="Arial Narrow" w:hAnsi="Arial Narrow" w:cs="Arial"/>
                <w:b/>
                <w:sz w:val="20"/>
                <w:szCs w:val="20"/>
              </w:rPr>
            </w:pPr>
            <w:r w:rsidRPr="007118D3">
              <w:rPr>
                <w:rFonts w:ascii="Arial Narrow" w:hAnsi="Arial Narrow" w:cs="Arial"/>
                <w:b/>
                <w:bCs/>
                <w:sz w:val="20"/>
                <w:szCs w:val="20"/>
              </w:rPr>
              <w:t>medicinal product pack</w:t>
            </w:r>
          </w:p>
        </w:tc>
        <w:tc>
          <w:tcPr>
            <w:tcW w:w="811" w:type="dxa"/>
            <w:vAlign w:val="center"/>
          </w:tcPr>
          <w:p w14:paraId="506D2B0E" w14:textId="77777777" w:rsidR="000706E9" w:rsidRPr="007118D3" w:rsidRDefault="000706E9">
            <w:pPr>
              <w:keepLines/>
              <w:jc w:val="center"/>
              <w:rPr>
                <w:rFonts w:ascii="Arial Narrow" w:hAnsi="Arial Narrow" w:cs="Arial"/>
                <w:b/>
                <w:sz w:val="20"/>
                <w:szCs w:val="20"/>
              </w:rPr>
            </w:pPr>
            <w:r w:rsidRPr="007118D3">
              <w:rPr>
                <w:rFonts w:ascii="Arial Narrow" w:hAnsi="Arial Narrow" w:cs="Arial"/>
                <w:b/>
                <w:sz w:val="20"/>
                <w:szCs w:val="20"/>
              </w:rPr>
              <w:t>PBS item code</w:t>
            </w:r>
          </w:p>
        </w:tc>
        <w:tc>
          <w:tcPr>
            <w:tcW w:w="812" w:type="dxa"/>
            <w:vAlign w:val="center"/>
          </w:tcPr>
          <w:p w14:paraId="0719A051" w14:textId="77777777" w:rsidR="000706E9" w:rsidRPr="007118D3" w:rsidRDefault="000706E9">
            <w:pPr>
              <w:keepLines/>
              <w:jc w:val="center"/>
              <w:rPr>
                <w:rFonts w:ascii="Arial Narrow" w:hAnsi="Arial Narrow" w:cs="Arial"/>
                <w:b/>
                <w:sz w:val="20"/>
                <w:szCs w:val="20"/>
              </w:rPr>
            </w:pPr>
            <w:r w:rsidRPr="007118D3">
              <w:rPr>
                <w:rFonts w:ascii="Arial Narrow" w:hAnsi="Arial Narrow" w:cs="Arial"/>
                <w:b/>
                <w:sz w:val="20"/>
                <w:szCs w:val="20"/>
              </w:rPr>
              <w:t>Max. qty packs</w:t>
            </w:r>
          </w:p>
        </w:tc>
        <w:tc>
          <w:tcPr>
            <w:tcW w:w="811" w:type="dxa"/>
            <w:vAlign w:val="center"/>
          </w:tcPr>
          <w:p w14:paraId="7D27E9EF" w14:textId="77777777" w:rsidR="000706E9" w:rsidRPr="007118D3" w:rsidRDefault="000706E9">
            <w:pPr>
              <w:keepLines/>
              <w:jc w:val="center"/>
              <w:rPr>
                <w:rFonts w:ascii="Arial Narrow" w:hAnsi="Arial Narrow" w:cs="Arial"/>
                <w:b/>
                <w:sz w:val="20"/>
                <w:szCs w:val="20"/>
              </w:rPr>
            </w:pPr>
            <w:r w:rsidRPr="007118D3">
              <w:rPr>
                <w:rFonts w:ascii="Arial Narrow" w:hAnsi="Arial Narrow" w:cs="Arial"/>
                <w:b/>
                <w:sz w:val="20"/>
                <w:szCs w:val="20"/>
              </w:rPr>
              <w:t>Max. qty units</w:t>
            </w:r>
          </w:p>
        </w:tc>
        <w:tc>
          <w:tcPr>
            <w:tcW w:w="812" w:type="dxa"/>
            <w:vAlign w:val="center"/>
          </w:tcPr>
          <w:p w14:paraId="7F4683F6" w14:textId="77777777" w:rsidR="000706E9" w:rsidRPr="007118D3" w:rsidRDefault="000706E9">
            <w:pPr>
              <w:keepLines/>
              <w:jc w:val="center"/>
              <w:rPr>
                <w:rFonts w:ascii="Arial Narrow" w:hAnsi="Arial Narrow" w:cs="Arial"/>
                <w:b/>
                <w:bCs/>
                <w:sz w:val="20"/>
                <w:szCs w:val="20"/>
              </w:rPr>
            </w:pPr>
            <w:r w:rsidRPr="0CEE6DE9">
              <w:rPr>
                <w:rFonts w:ascii="Arial Narrow" w:hAnsi="Arial Narrow" w:cs="Arial"/>
                <w:b/>
                <w:bCs/>
                <w:sz w:val="20"/>
                <w:szCs w:val="20"/>
              </w:rPr>
              <w:t>№.of</w:t>
            </w:r>
          </w:p>
          <w:p w14:paraId="4F41643C" w14:textId="77777777" w:rsidR="000706E9" w:rsidRPr="007118D3" w:rsidRDefault="000706E9">
            <w:pPr>
              <w:keepLines/>
              <w:jc w:val="center"/>
              <w:rPr>
                <w:rFonts w:ascii="Arial Narrow" w:hAnsi="Arial Narrow" w:cs="Arial"/>
                <w:b/>
                <w:bCs/>
                <w:sz w:val="20"/>
                <w:szCs w:val="20"/>
              </w:rPr>
            </w:pPr>
            <w:r w:rsidRPr="0CEE6DE9">
              <w:rPr>
                <w:rFonts w:ascii="Arial Narrow" w:hAnsi="Arial Narrow" w:cs="Arial"/>
                <w:b/>
                <w:bCs/>
                <w:sz w:val="20"/>
                <w:szCs w:val="20"/>
              </w:rPr>
              <w:t>Rpts</w:t>
            </w:r>
          </w:p>
        </w:tc>
        <w:tc>
          <w:tcPr>
            <w:tcW w:w="1831" w:type="dxa"/>
            <w:vAlign w:val="center"/>
          </w:tcPr>
          <w:p w14:paraId="1AAF32FB" w14:textId="77777777" w:rsidR="000706E9" w:rsidRPr="007118D3" w:rsidRDefault="000706E9">
            <w:pPr>
              <w:keepLines/>
              <w:rPr>
                <w:rFonts w:ascii="Arial Narrow" w:hAnsi="Arial Narrow" w:cs="Arial"/>
                <w:b/>
                <w:sz w:val="20"/>
                <w:szCs w:val="20"/>
                <w:lang w:val="fr-FR"/>
              </w:rPr>
            </w:pPr>
            <w:r w:rsidRPr="007118D3">
              <w:rPr>
                <w:rFonts w:ascii="Arial Narrow" w:hAnsi="Arial Narrow" w:cs="Arial"/>
                <w:b/>
                <w:sz w:val="20"/>
                <w:szCs w:val="20"/>
              </w:rPr>
              <w:t>Available brands</w:t>
            </w:r>
          </w:p>
        </w:tc>
      </w:tr>
      <w:tr w:rsidR="000706E9" w:rsidRPr="007118D3" w14:paraId="144021A8" w14:textId="77777777">
        <w:trPr>
          <w:cantSplit/>
          <w:trHeight w:val="20"/>
        </w:trPr>
        <w:tc>
          <w:tcPr>
            <w:tcW w:w="9016" w:type="dxa"/>
            <w:gridSpan w:val="7"/>
            <w:vAlign w:val="center"/>
          </w:tcPr>
          <w:p w14:paraId="1126B024" w14:textId="77777777" w:rsidR="000706E9" w:rsidRPr="007118D3" w:rsidRDefault="000706E9">
            <w:pPr>
              <w:keepLines/>
              <w:rPr>
                <w:rFonts w:ascii="Arial Narrow" w:hAnsi="Arial Narrow" w:cs="Arial"/>
                <w:sz w:val="20"/>
                <w:szCs w:val="20"/>
              </w:rPr>
            </w:pPr>
            <w:r w:rsidRPr="007118D3">
              <w:rPr>
                <w:rFonts w:ascii="Arial Narrow" w:hAnsi="Arial Narrow" w:cs="Arial"/>
                <w:sz w:val="20"/>
                <w:szCs w:val="20"/>
              </w:rPr>
              <w:t>INFLIXIMAB</w:t>
            </w:r>
          </w:p>
        </w:tc>
      </w:tr>
      <w:tr w:rsidR="000706E9" w:rsidRPr="007118D3" w14:paraId="07A44C80" w14:textId="77777777">
        <w:trPr>
          <w:cantSplit/>
          <w:trHeight w:val="20"/>
        </w:trPr>
        <w:tc>
          <w:tcPr>
            <w:tcW w:w="3939" w:type="dxa"/>
            <w:gridSpan w:val="2"/>
            <w:vAlign w:val="center"/>
          </w:tcPr>
          <w:p w14:paraId="7B57F5EE" w14:textId="77777777" w:rsidR="000706E9" w:rsidRPr="007118D3" w:rsidRDefault="000706E9">
            <w:pPr>
              <w:keepLines/>
              <w:rPr>
                <w:rFonts w:ascii="Arial Narrow" w:hAnsi="Arial Narrow" w:cs="Arial"/>
                <w:sz w:val="20"/>
                <w:szCs w:val="20"/>
              </w:rPr>
            </w:pPr>
            <w:r w:rsidRPr="007118D3">
              <w:rPr>
                <w:rFonts w:ascii="Arial Narrow" w:hAnsi="Arial Narrow" w:cs="Arial"/>
                <w:sz w:val="20"/>
                <w:szCs w:val="20"/>
              </w:rPr>
              <w:t>infliximab 120 mg/mL injection, 1 mL pen device</w:t>
            </w:r>
          </w:p>
        </w:tc>
        <w:tc>
          <w:tcPr>
            <w:tcW w:w="811" w:type="dxa"/>
            <w:vAlign w:val="center"/>
          </w:tcPr>
          <w:p w14:paraId="7882ABBC"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12587L</w:t>
            </w:r>
          </w:p>
        </w:tc>
        <w:tc>
          <w:tcPr>
            <w:tcW w:w="812" w:type="dxa"/>
          </w:tcPr>
          <w:p w14:paraId="48034A4D"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2</w:t>
            </w:r>
          </w:p>
        </w:tc>
        <w:tc>
          <w:tcPr>
            <w:tcW w:w="811" w:type="dxa"/>
          </w:tcPr>
          <w:p w14:paraId="41464151"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2</w:t>
            </w:r>
          </w:p>
        </w:tc>
        <w:tc>
          <w:tcPr>
            <w:tcW w:w="812" w:type="dxa"/>
          </w:tcPr>
          <w:p w14:paraId="3F4495FF"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5</w:t>
            </w:r>
          </w:p>
        </w:tc>
        <w:tc>
          <w:tcPr>
            <w:tcW w:w="1831" w:type="dxa"/>
            <w:vAlign w:val="center"/>
          </w:tcPr>
          <w:p w14:paraId="453B1BBF" w14:textId="77777777" w:rsidR="000706E9" w:rsidRPr="007118D3"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7118D3" w14:paraId="4A3180C8" w14:textId="77777777">
        <w:trPr>
          <w:cantSplit/>
          <w:trHeight w:val="20"/>
        </w:trPr>
        <w:tc>
          <w:tcPr>
            <w:tcW w:w="3939" w:type="dxa"/>
            <w:gridSpan w:val="2"/>
            <w:vAlign w:val="center"/>
          </w:tcPr>
          <w:p w14:paraId="4517835F" w14:textId="77777777" w:rsidR="000706E9" w:rsidRPr="007118D3" w:rsidRDefault="000706E9">
            <w:pPr>
              <w:keepLines/>
              <w:rPr>
                <w:rFonts w:ascii="Arial Narrow" w:hAnsi="Arial Narrow" w:cs="Arial"/>
                <w:sz w:val="20"/>
                <w:szCs w:val="20"/>
              </w:rPr>
            </w:pPr>
            <w:r w:rsidRPr="007118D3">
              <w:rPr>
                <w:rFonts w:ascii="Arial Narrow" w:hAnsi="Arial Narrow" w:cs="Arial"/>
                <w:sz w:val="20"/>
                <w:szCs w:val="20"/>
              </w:rPr>
              <w:t>infliximab 120 mg/mL injection, 1 mL syringe</w:t>
            </w:r>
          </w:p>
        </w:tc>
        <w:tc>
          <w:tcPr>
            <w:tcW w:w="811" w:type="dxa"/>
            <w:vAlign w:val="center"/>
          </w:tcPr>
          <w:p w14:paraId="3217A82F"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12552P</w:t>
            </w:r>
          </w:p>
        </w:tc>
        <w:tc>
          <w:tcPr>
            <w:tcW w:w="812" w:type="dxa"/>
            <w:vAlign w:val="center"/>
          </w:tcPr>
          <w:p w14:paraId="509BD04A"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2</w:t>
            </w:r>
          </w:p>
        </w:tc>
        <w:tc>
          <w:tcPr>
            <w:tcW w:w="811" w:type="dxa"/>
            <w:vAlign w:val="center"/>
          </w:tcPr>
          <w:p w14:paraId="04929016"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2</w:t>
            </w:r>
          </w:p>
        </w:tc>
        <w:tc>
          <w:tcPr>
            <w:tcW w:w="812" w:type="dxa"/>
            <w:vAlign w:val="center"/>
          </w:tcPr>
          <w:p w14:paraId="05AE505F"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5</w:t>
            </w:r>
          </w:p>
        </w:tc>
        <w:tc>
          <w:tcPr>
            <w:tcW w:w="1831" w:type="dxa"/>
            <w:vAlign w:val="center"/>
          </w:tcPr>
          <w:p w14:paraId="0B4DFEB8" w14:textId="77777777" w:rsidR="000706E9" w:rsidRPr="007118D3"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7118D3" w14:paraId="20269019"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8264B60" w14:textId="77777777" w:rsidR="000706E9" w:rsidRPr="007118D3" w:rsidRDefault="000706E9">
            <w:pPr>
              <w:rPr>
                <w:rFonts w:ascii="Arial Narrow" w:hAnsi="Arial Narrow" w:cs="Arial"/>
                <w:sz w:val="20"/>
                <w:szCs w:val="20"/>
              </w:rPr>
            </w:pPr>
          </w:p>
        </w:tc>
      </w:tr>
      <w:tr w:rsidR="000706E9" w:rsidRPr="007118D3" w14:paraId="08BB4CD2"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272C9FB" w14:textId="42A88DB1" w:rsidR="000706E9" w:rsidRPr="007118D3" w:rsidRDefault="000706E9">
            <w:pPr>
              <w:keepLines/>
              <w:rPr>
                <w:rFonts w:ascii="Arial Narrow" w:hAnsi="Arial Narrow" w:cs="Arial"/>
                <w:b/>
                <w:sz w:val="20"/>
                <w:szCs w:val="20"/>
              </w:rPr>
            </w:pPr>
            <w:r w:rsidRPr="007118D3">
              <w:rPr>
                <w:rFonts w:ascii="Arial Narrow" w:hAnsi="Arial Narrow"/>
                <w:b/>
                <w:sz w:val="20"/>
                <w:szCs w:val="20"/>
              </w:rPr>
              <w:t>Restriction Summary / Treatment of Concept:</w:t>
            </w:r>
            <w:r w:rsidRPr="007118D3">
              <w:rPr>
                <w:rFonts w:ascii="Arial Narrow" w:hAnsi="Arial Narrow"/>
                <w:sz w:val="20"/>
                <w:szCs w:val="20"/>
              </w:rPr>
              <w:t xml:space="preserve"> </w:t>
            </w:r>
          </w:p>
        </w:tc>
      </w:tr>
      <w:tr w:rsidR="000706E9" w:rsidRPr="007118D3" w14:paraId="6152144C"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147ED555" w14:textId="491B76BE" w:rsidR="000706E9" w:rsidRPr="007118D3" w:rsidRDefault="000706E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0CADB75" w14:textId="77777777" w:rsidR="000706E9" w:rsidRPr="007118D3" w:rsidRDefault="000706E9">
            <w:pPr>
              <w:keepLines/>
              <w:rPr>
                <w:rFonts w:ascii="Arial Narrow" w:hAnsi="Arial Narrow" w:cs="Arial"/>
                <w:sz w:val="20"/>
                <w:szCs w:val="20"/>
              </w:rPr>
            </w:pPr>
            <w:r w:rsidRPr="007118D3">
              <w:rPr>
                <w:rFonts w:ascii="Arial Narrow" w:hAnsi="Arial Narrow" w:cs="Arial"/>
                <w:b/>
                <w:sz w:val="20"/>
                <w:szCs w:val="20"/>
              </w:rPr>
              <w:t>Category / Program:</w:t>
            </w:r>
            <w:r w:rsidRPr="007118D3">
              <w:rPr>
                <w:rFonts w:ascii="Arial Narrow" w:hAnsi="Arial Narrow" w:cs="Arial"/>
                <w:color w:val="FF0000"/>
                <w:sz w:val="20"/>
                <w:szCs w:val="20"/>
              </w:rPr>
              <w:t xml:space="preserve"> </w:t>
            </w:r>
            <w:r w:rsidRPr="007118D3">
              <w:rPr>
                <w:rFonts w:ascii="Arial Narrow" w:eastAsia="Calibri" w:hAnsi="Arial Narrow" w:cs="Arial"/>
                <w:sz w:val="20"/>
                <w:szCs w:val="20"/>
              </w:rPr>
              <w:t xml:space="preserve">GENERAL - General Schedule (Code GE) </w:t>
            </w:r>
          </w:p>
        </w:tc>
      </w:tr>
      <w:tr w:rsidR="000706E9" w:rsidRPr="007118D3" w14:paraId="5848A3F7" w14:textId="77777777">
        <w:tblPrEx>
          <w:tblCellMar>
            <w:top w:w="15" w:type="dxa"/>
            <w:bottom w:w="15" w:type="dxa"/>
          </w:tblCellMar>
          <w:tblLook w:val="04A0" w:firstRow="1" w:lastRow="0" w:firstColumn="1" w:lastColumn="0" w:noHBand="0" w:noVBand="1"/>
        </w:tblPrEx>
        <w:trPr>
          <w:trHeight w:val="20"/>
        </w:trPr>
        <w:tc>
          <w:tcPr>
            <w:tcW w:w="1271" w:type="dxa"/>
            <w:vMerge/>
          </w:tcPr>
          <w:p w14:paraId="24E18246" w14:textId="77777777" w:rsidR="000706E9" w:rsidRPr="007118D3"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A4F8906" w14:textId="77777777" w:rsidR="000706E9" w:rsidRPr="007118D3" w:rsidRDefault="000706E9">
            <w:pPr>
              <w:keepLines/>
              <w:rPr>
                <w:rFonts w:ascii="Arial Narrow" w:hAnsi="Arial Narrow" w:cs="Arial"/>
                <w:b/>
                <w:sz w:val="20"/>
                <w:szCs w:val="20"/>
              </w:rPr>
            </w:pPr>
            <w:r w:rsidRPr="007118D3">
              <w:rPr>
                <w:rFonts w:ascii="Arial Narrow" w:hAnsi="Arial Narrow" w:cs="Arial"/>
                <w:b/>
                <w:sz w:val="20"/>
                <w:szCs w:val="20"/>
              </w:rPr>
              <w:t xml:space="preserve">Prescriber type: </w:t>
            </w:r>
            <w:r w:rsidRPr="007118D3">
              <w:rPr>
                <w:rFonts w:ascii="Arial Narrow" w:hAnsi="Arial Narrow" w:cs="Arial"/>
                <w:sz w:val="20"/>
                <w:szCs w:val="20"/>
              </w:rPr>
              <w:fldChar w:fldCharType="begin" w:fldLock="1">
                <w:ffData>
                  <w:name w:val=""/>
                  <w:enabled/>
                  <w:calcOnExit w:val="0"/>
                  <w:checkBox>
                    <w:sizeAuto/>
                    <w:default w:val="1"/>
                  </w:checkBox>
                </w:ffData>
              </w:fldChar>
            </w:r>
            <w:r w:rsidRPr="007118D3">
              <w:rPr>
                <w:rFonts w:ascii="Arial Narrow" w:hAnsi="Arial Narrow" w:cs="Arial"/>
                <w:sz w:val="20"/>
                <w:szCs w:val="20"/>
              </w:rPr>
              <w:instrText xml:space="preserve"> FORMCHECKBOX </w:instrText>
            </w:r>
            <w:r w:rsidRPr="007118D3">
              <w:rPr>
                <w:rFonts w:ascii="Arial Narrow" w:hAnsi="Arial Narrow" w:cs="Arial"/>
                <w:sz w:val="20"/>
                <w:szCs w:val="20"/>
              </w:rPr>
            </w:r>
            <w:r w:rsidRPr="007118D3">
              <w:rPr>
                <w:rFonts w:ascii="Arial Narrow" w:hAnsi="Arial Narrow" w:cs="Arial"/>
                <w:sz w:val="20"/>
                <w:szCs w:val="20"/>
              </w:rPr>
              <w:fldChar w:fldCharType="separate"/>
            </w:r>
            <w:r w:rsidRPr="007118D3">
              <w:rPr>
                <w:rFonts w:ascii="Arial Narrow" w:hAnsi="Arial Narrow" w:cs="Arial"/>
                <w:sz w:val="20"/>
                <w:szCs w:val="20"/>
              </w:rPr>
              <w:fldChar w:fldCharType="end"/>
            </w:r>
            <w:r w:rsidRPr="007118D3">
              <w:rPr>
                <w:rFonts w:ascii="Arial Narrow" w:hAnsi="Arial Narrow" w:cs="Arial"/>
                <w:sz w:val="20"/>
                <w:szCs w:val="20"/>
              </w:rPr>
              <w:t xml:space="preserve">Medical Practitioners </w:t>
            </w:r>
          </w:p>
        </w:tc>
      </w:tr>
      <w:tr w:rsidR="000706E9" w:rsidRPr="007118D3" w14:paraId="2DAF1DFE" w14:textId="77777777">
        <w:tblPrEx>
          <w:tblCellMar>
            <w:top w:w="15" w:type="dxa"/>
            <w:bottom w:w="15" w:type="dxa"/>
          </w:tblCellMar>
          <w:tblLook w:val="04A0" w:firstRow="1" w:lastRow="0" w:firstColumn="1" w:lastColumn="0" w:noHBand="0" w:noVBand="1"/>
        </w:tblPrEx>
        <w:trPr>
          <w:trHeight w:val="20"/>
        </w:trPr>
        <w:tc>
          <w:tcPr>
            <w:tcW w:w="1271" w:type="dxa"/>
            <w:vMerge/>
          </w:tcPr>
          <w:p w14:paraId="75C70D13" w14:textId="77777777" w:rsidR="000706E9" w:rsidRPr="007118D3"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04D83A4" w14:textId="77777777" w:rsidR="000706E9" w:rsidRPr="007118D3" w:rsidRDefault="000706E9">
            <w:pPr>
              <w:keepLines/>
              <w:rPr>
                <w:rFonts w:ascii="Arial Narrow" w:hAnsi="Arial Narrow" w:cs="Arial"/>
                <w:b/>
                <w:sz w:val="20"/>
                <w:szCs w:val="20"/>
              </w:rPr>
            </w:pPr>
            <w:r w:rsidRPr="007118D3">
              <w:rPr>
                <w:rFonts w:ascii="Arial Narrow" w:hAnsi="Arial Narrow" w:cs="Arial"/>
                <w:b/>
                <w:sz w:val="20"/>
                <w:szCs w:val="20"/>
              </w:rPr>
              <w:t xml:space="preserve">Restriction type: </w:t>
            </w:r>
          </w:p>
          <w:p w14:paraId="68C02097" w14:textId="77777777" w:rsidR="000706E9" w:rsidRPr="007118D3" w:rsidRDefault="000706E9">
            <w:pPr>
              <w:keepLines/>
              <w:jc w:val="left"/>
              <w:rPr>
                <w:rFonts w:ascii="Arial Narrow" w:eastAsia="Calibri" w:hAnsi="Arial Narrow" w:cs="Arial"/>
                <w:color w:val="FF0000"/>
                <w:sz w:val="20"/>
                <w:szCs w:val="20"/>
              </w:rPr>
            </w:pPr>
            <w:r w:rsidRPr="007118D3">
              <w:rPr>
                <w:rFonts w:ascii="Arial Narrow" w:eastAsia="Calibri" w:hAnsi="Arial Narrow" w:cs="Arial"/>
                <w:sz w:val="20"/>
                <w:szCs w:val="20"/>
              </w:rPr>
              <w:fldChar w:fldCharType="begin" w:fldLock="1">
                <w:ffData>
                  <w:name w:val=""/>
                  <w:enabled/>
                  <w:calcOnExit w:val="0"/>
                  <w:checkBox>
                    <w:sizeAuto/>
                    <w:default w:val="1"/>
                  </w:checkBox>
                </w:ffData>
              </w:fldChar>
            </w:r>
            <w:r w:rsidRPr="007118D3">
              <w:rPr>
                <w:rFonts w:ascii="Arial Narrow" w:eastAsia="Calibri" w:hAnsi="Arial Narrow" w:cs="Arial"/>
                <w:sz w:val="20"/>
                <w:szCs w:val="20"/>
              </w:rPr>
              <w:instrText xml:space="preserve"> FORMCHECKBOX </w:instrText>
            </w:r>
            <w:r w:rsidRPr="007118D3">
              <w:rPr>
                <w:rFonts w:ascii="Arial Narrow" w:eastAsia="Calibri" w:hAnsi="Arial Narrow" w:cs="Arial"/>
                <w:sz w:val="20"/>
                <w:szCs w:val="20"/>
              </w:rPr>
            </w:r>
            <w:r w:rsidRPr="007118D3">
              <w:rPr>
                <w:rFonts w:ascii="Arial Narrow" w:eastAsia="Calibri" w:hAnsi="Arial Narrow" w:cs="Arial"/>
                <w:sz w:val="20"/>
                <w:szCs w:val="20"/>
              </w:rPr>
              <w:fldChar w:fldCharType="separate"/>
            </w:r>
            <w:r w:rsidRPr="007118D3">
              <w:rPr>
                <w:rFonts w:ascii="Arial Narrow" w:eastAsia="Calibri" w:hAnsi="Arial Narrow" w:cs="Arial"/>
                <w:sz w:val="20"/>
                <w:szCs w:val="20"/>
              </w:rPr>
              <w:fldChar w:fldCharType="end"/>
            </w:r>
            <w:r w:rsidRPr="007118D3">
              <w:rPr>
                <w:rFonts w:ascii="Arial Narrow" w:eastAsia="Calibri" w:hAnsi="Arial Narrow" w:cs="Arial"/>
                <w:i/>
                <w:iCs/>
                <w:sz w:val="20"/>
                <w:szCs w:val="20"/>
              </w:rPr>
              <w:t xml:space="preserve">Authority Required (Streamlined) </w:t>
            </w:r>
            <w:r w:rsidRPr="007118D3">
              <w:rPr>
                <w:rFonts w:ascii="Arial Narrow" w:eastAsia="Calibri" w:hAnsi="Arial Narrow" w:cs="Arial"/>
                <w:i/>
                <w:iCs/>
                <w:color w:val="FF0000"/>
                <w:sz w:val="20"/>
                <w:szCs w:val="20"/>
              </w:rPr>
              <w:br/>
            </w:r>
            <w:r w:rsidRPr="007118D3">
              <w:rPr>
                <w:rFonts w:ascii="Arial Narrow" w:eastAsia="Calibri" w:hAnsi="Arial Narrow" w:cs="Arial"/>
                <w:strike/>
                <w:sz w:val="20"/>
                <w:szCs w:val="20"/>
              </w:rPr>
              <w:fldChar w:fldCharType="begin" w:fldLock="1">
                <w:ffData>
                  <w:name w:val="Check3"/>
                  <w:enabled/>
                  <w:calcOnExit w:val="0"/>
                  <w:checkBox>
                    <w:sizeAuto/>
                    <w:default w:val="0"/>
                  </w:checkBox>
                </w:ffData>
              </w:fldChar>
            </w:r>
            <w:r w:rsidRPr="007118D3">
              <w:rPr>
                <w:rFonts w:ascii="Arial Narrow" w:eastAsia="Calibri" w:hAnsi="Arial Narrow" w:cs="Arial"/>
                <w:strike/>
                <w:sz w:val="20"/>
                <w:szCs w:val="20"/>
              </w:rPr>
              <w:instrText xml:space="preserve"> FORMCHECKBOX </w:instrText>
            </w:r>
            <w:r w:rsidRPr="007118D3">
              <w:rPr>
                <w:rFonts w:ascii="Arial Narrow" w:eastAsia="Calibri" w:hAnsi="Arial Narrow" w:cs="Arial"/>
                <w:strike/>
                <w:sz w:val="20"/>
                <w:szCs w:val="20"/>
              </w:rPr>
            </w:r>
            <w:r w:rsidRPr="007118D3">
              <w:rPr>
                <w:rFonts w:ascii="Arial Narrow" w:eastAsia="Calibri" w:hAnsi="Arial Narrow" w:cs="Arial"/>
                <w:strike/>
                <w:sz w:val="20"/>
                <w:szCs w:val="20"/>
              </w:rPr>
              <w:fldChar w:fldCharType="separate"/>
            </w:r>
            <w:r w:rsidRPr="007118D3">
              <w:rPr>
                <w:rFonts w:ascii="Arial Narrow" w:eastAsia="Calibri" w:hAnsi="Arial Narrow" w:cs="Arial"/>
                <w:strike/>
                <w:sz w:val="20"/>
                <w:szCs w:val="20"/>
              </w:rPr>
              <w:fldChar w:fldCharType="end"/>
            </w:r>
            <w:r w:rsidRPr="007118D3">
              <w:rPr>
                <w:rFonts w:ascii="Arial Narrow" w:eastAsia="Calibri" w:hAnsi="Arial Narrow" w:cs="Arial"/>
                <w:strike/>
                <w:sz w:val="20"/>
                <w:szCs w:val="20"/>
              </w:rPr>
              <w:t xml:space="preserve">Authority Required (telephone/online PBS Authorities system) </w:t>
            </w:r>
          </w:p>
        </w:tc>
      </w:tr>
      <w:tr w:rsidR="000706E9" w:rsidRPr="007118D3" w14:paraId="714799FF" w14:textId="77777777" w:rsidTr="00365FCC">
        <w:tblPrEx>
          <w:tblCellMar>
            <w:top w:w="15" w:type="dxa"/>
            <w:bottom w:w="15" w:type="dxa"/>
          </w:tblCellMar>
        </w:tblPrEx>
        <w:trPr>
          <w:cantSplit/>
          <w:trHeight w:val="20"/>
        </w:trPr>
        <w:tc>
          <w:tcPr>
            <w:tcW w:w="1271" w:type="dxa"/>
            <w:vAlign w:val="center"/>
          </w:tcPr>
          <w:p w14:paraId="321E6AA6" w14:textId="3DA7356F" w:rsidR="000706E9" w:rsidRPr="007118D3" w:rsidRDefault="000706E9">
            <w:pPr>
              <w:keepLines/>
              <w:jc w:val="center"/>
              <w:rPr>
                <w:rFonts w:ascii="Arial Narrow" w:hAnsi="Arial Narrow"/>
                <w:sz w:val="20"/>
                <w:szCs w:val="20"/>
              </w:rPr>
            </w:pPr>
          </w:p>
        </w:tc>
        <w:tc>
          <w:tcPr>
            <w:tcW w:w="7745" w:type="dxa"/>
            <w:gridSpan w:val="6"/>
            <w:vAlign w:val="center"/>
            <w:hideMark/>
          </w:tcPr>
          <w:p w14:paraId="53EE1FD2" w14:textId="77777777" w:rsidR="000706E9" w:rsidRPr="007118D3" w:rsidRDefault="000706E9">
            <w:pPr>
              <w:keepLines/>
              <w:rPr>
                <w:rFonts w:ascii="Arial Narrow" w:hAnsi="Arial Narrow"/>
                <w:color w:val="333333"/>
                <w:sz w:val="20"/>
                <w:szCs w:val="20"/>
              </w:rPr>
            </w:pPr>
            <w:r w:rsidRPr="007118D3">
              <w:rPr>
                <w:rFonts w:ascii="Arial Narrow" w:hAnsi="Arial Narrow"/>
                <w:b/>
                <w:bCs/>
                <w:sz w:val="20"/>
                <w:szCs w:val="20"/>
              </w:rPr>
              <w:t>Indication:</w:t>
            </w:r>
            <w:r w:rsidRPr="007118D3">
              <w:rPr>
                <w:rFonts w:ascii="Arial Narrow" w:hAnsi="Arial Narrow"/>
                <w:sz w:val="20"/>
                <w:szCs w:val="20"/>
              </w:rPr>
              <w:t xml:space="preserve"> Moderate to severe ulcerative colitis</w:t>
            </w:r>
          </w:p>
        </w:tc>
      </w:tr>
      <w:tr w:rsidR="000706E9" w:rsidRPr="007118D3" w14:paraId="45AB2A4C" w14:textId="77777777" w:rsidTr="00365FCC">
        <w:tblPrEx>
          <w:tblCellMar>
            <w:top w:w="15" w:type="dxa"/>
            <w:bottom w:w="15" w:type="dxa"/>
          </w:tblCellMar>
        </w:tblPrEx>
        <w:trPr>
          <w:cantSplit/>
          <w:trHeight w:val="20"/>
        </w:trPr>
        <w:tc>
          <w:tcPr>
            <w:tcW w:w="1271" w:type="dxa"/>
            <w:vAlign w:val="center"/>
          </w:tcPr>
          <w:p w14:paraId="62EBBC41" w14:textId="77777777" w:rsidR="000706E9" w:rsidRPr="007118D3" w:rsidRDefault="000706E9">
            <w:pPr>
              <w:jc w:val="center"/>
              <w:rPr>
                <w:rFonts w:ascii="Arial Narrow" w:hAnsi="Arial Narrow"/>
                <w:sz w:val="20"/>
                <w:szCs w:val="20"/>
              </w:rPr>
            </w:pPr>
          </w:p>
        </w:tc>
        <w:tc>
          <w:tcPr>
            <w:tcW w:w="7745" w:type="dxa"/>
            <w:gridSpan w:val="6"/>
            <w:vAlign w:val="center"/>
            <w:hideMark/>
          </w:tcPr>
          <w:p w14:paraId="08A1E3C1" w14:textId="77777777" w:rsidR="000706E9" w:rsidRPr="007118D3" w:rsidRDefault="000706E9">
            <w:pPr>
              <w:rPr>
                <w:rFonts w:ascii="Arial Narrow" w:hAnsi="Arial Narrow"/>
                <w:sz w:val="20"/>
                <w:szCs w:val="20"/>
              </w:rPr>
            </w:pPr>
            <w:r w:rsidRPr="007118D3">
              <w:rPr>
                <w:rFonts w:ascii="Arial Narrow" w:hAnsi="Arial Narrow"/>
                <w:b/>
                <w:bCs/>
                <w:sz w:val="20"/>
                <w:szCs w:val="20"/>
              </w:rPr>
              <w:t>Treatment Phase:</w:t>
            </w:r>
            <w:r w:rsidRPr="007118D3">
              <w:rPr>
                <w:rFonts w:ascii="Arial Narrow" w:hAnsi="Arial Narrow"/>
                <w:sz w:val="20"/>
                <w:szCs w:val="20"/>
              </w:rPr>
              <w:t xml:space="preserve"> Continuing treatment with subcutaneous form or switching from intravenous form to subcutaneous form</w:t>
            </w:r>
          </w:p>
        </w:tc>
      </w:tr>
      <w:tr w:rsidR="000706E9" w:rsidRPr="007118D3" w14:paraId="6CB5C318"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2826E84" w14:textId="52B9B811" w:rsidR="000706E9" w:rsidRPr="007118D3"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D68DAD" w14:textId="77777777" w:rsidR="000706E9" w:rsidRPr="007118D3" w:rsidRDefault="000706E9">
            <w:pPr>
              <w:rPr>
                <w:rFonts w:ascii="Arial Narrow" w:hAnsi="Arial Narrow"/>
                <w:b/>
                <w:bCs/>
                <w:sz w:val="20"/>
                <w:szCs w:val="20"/>
              </w:rPr>
            </w:pPr>
            <w:r w:rsidRPr="007118D3">
              <w:rPr>
                <w:rFonts w:ascii="Arial Narrow" w:hAnsi="Arial Narrow"/>
                <w:b/>
                <w:bCs/>
                <w:sz w:val="20"/>
                <w:szCs w:val="20"/>
              </w:rPr>
              <w:t>Prescribing Instructions:</w:t>
            </w:r>
          </w:p>
          <w:p w14:paraId="720609E0" w14:textId="77777777" w:rsidR="000706E9" w:rsidRPr="007118D3" w:rsidRDefault="000706E9">
            <w:pPr>
              <w:rPr>
                <w:rFonts w:ascii="Arial Narrow" w:hAnsi="Arial Narrow"/>
                <w:sz w:val="20"/>
                <w:szCs w:val="20"/>
              </w:rPr>
            </w:pPr>
            <w:r w:rsidRPr="0CEE6DE9">
              <w:rPr>
                <w:rFonts w:ascii="Arial Narrow" w:hAnsi="Arial Narrow"/>
                <w:sz w:val="20"/>
                <w:szCs w:val="20"/>
              </w:rPr>
              <w:t>Patients who have failed to maintain a partial Mayo clinic score less than or equal to 2, with no subscore greater than 1 with continuing treatment with this drug, will not be eligible to receive further PBS-subsidised treatment with this drug.</w:t>
            </w:r>
          </w:p>
        </w:tc>
      </w:tr>
      <w:tr w:rsidR="000706E9" w:rsidRPr="007118D3" w14:paraId="3CD607D5"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40A5F24" w14:textId="39D74EB9" w:rsidR="000706E9" w:rsidRPr="007118D3"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F09F73" w14:textId="77777777" w:rsidR="000706E9" w:rsidRPr="007118D3" w:rsidRDefault="000706E9">
            <w:pPr>
              <w:rPr>
                <w:rFonts w:ascii="Arial Narrow" w:hAnsi="Arial Narrow"/>
                <w:b/>
                <w:bCs/>
                <w:sz w:val="20"/>
                <w:szCs w:val="20"/>
              </w:rPr>
            </w:pPr>
            <w:r w:rsidRPr="007118D3">
              <w:rPr>
                <w:rFonts w:ascii="Arial Narrow" w:hAnsi="Arial Narrow"/>
                <w:b/>
                <w:bCs/>
                <w:sz w:val="20"/>
                <w:szCs w:val="20"/>
              </w:rPr>
              <w:t>Prescribing Instructions:</w:t>
            </w:r>
          </w:p>
          <w:p w14:paraId="6621E188" w14:textId="77777777" w:rsidR="000706E9" w:rsidRPr="007118D3" w:rsidRDefault="000706E9">
            <w:pPr>
              <w:rPr>
                <w:rFonts w:ascii="Arial Narrow" w:hAnsi="Arial Narrow"/>
                <w:sz w:val="20"/>
                <w:szCs w:val="20"/>
              </w:rPr>
            </w:pPr>
            <w:r w:rsidRPr="007118D3">
              <w:rPr>
                <w:rFonts w:ascii="Arial Narrow" w:hAnsi="Arial Narrow"/>
                <w:sz w:val="20"/>
                <w:szCs w:val="20"/>
              </w:rPr>
              <w:t>Patients are eligible to receive continuing treatment with this drug in courses of up to 24 weeks providing they continue to sustain a response.</w:t>
            </w:r>
          </w:p>
        </w:tc>
      </w:tr>
      <w:tr w:rsidR="000706E9" w:rsidRPr="007118D3" w14:paraId="53F72FC1"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9F73FA8" w14:textId="13F3F44A" w:rsidR="000706E9" w:rsidRPr="007118D3"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520299" w14:textId="77777777" w:rsidR="000706E9" w:rsidRPr="007118D3" w:rsidRDefault="000706E9">
            <w:pPr>
              <w:rPr>
                <w:rFonts w:ascii="Arial Narrow" w:hAnsi="Arial Narrow"/>
                <w:b/>
                <w:bCs/>
                <w:strike/>
                <w:sz w:val="20"/>
                <w:szCs w:val="20"/>
              </w:rPr>
            </w:pPr>
            <w:r w:rsidRPr="007118D3">
              <w:rPr>
                <w:rFonts w:ascii="Arial Narrow" w:hAnsi="Arial Narrow"/>
                <w:b/>
                <w:bCs/>
                <w:strike/>
                <w:sz w:val="20"/>
                <w:szCs w:val="20"/>
              </w:rPr>
              <w:t>Prescribing Instructions:</w:t>
            </w:r>
          </w:p>
          <w:p w14:paraId="6E3A7714" w14:textId="77777777" w:rsidR="000706E9" w:rsidRPr="007118D3" w:rsidRDefault="000706E9">
            <w:pPr>
              <w:rPr>
                <w:rFonts w:ascii="Arial Narrow" w:hAnsi="Arial Narrow"/>
                <w:b/>
                <w:bCs/>
                <w:strike/>
                <w:sz w:val="20"/>
                <w:szCs w:val="20"/>
              </w:rPr>
            </w:pPr>
            <w:r w:rsidRPr="0CEE6DE9">
              <w:rPr>
                <w:rFonts w:ascii="Arial Narrow" w:hAnsi="Arial Narrow"/>
                <w:strike/>
                <w:sz w:val="20"/>
                <w:szCs w:val="20"/>
              </w:rPr>
              <w:t>At the time of the authority application, medical practitioners should request sufficient quantity for up to 24 weeks of treatment under this restriction</w:t>
            </w:r>
            <w:r w:rsidRPr="0CEE6DE9">
              <w:rPr>
                <w:rFonts w:ascii="Arial Narrow" w:hAnsi="Arial Narrow"/>
                <w:b/>
                <w:bCs/>
                <w:strike/>
                <w:sz w:val="20"/>
                <w:szCs w:val="20"/>
              </w:rPr>
              <w:t>.</w:t>
            </w:r>
          </w:p>
        </w:tc>
      </w:tr>
      <w:tr w:rsidR="000706E9" w:rsidRPr="007118D3" w14:paraId="3CD904E7"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CEFD1C2" w14:textId="10EF6FA3" w:rsidR="000706E9" w:rsidRPr="007118D3"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4EE6BB" w14:textId="77777777" w:rsidR="000706E9" w:rsidRPr="007118D3" w:rsidRDefault="000706E9">
            <w:pPr>
              <w:rPr>
                <w:rFonts w:ascii="Arial Narrow" w:hAnsi="Arial Narrow"/>
                <w:b/>
                <w:bCs/>
                <w:strike/>
                <w:sz w:val="20"/>
                <w:szCs w:val="20"/>
              </w:rPr>
            </w:pPr>
            <w:r w:rsidRPr="007118D3">
              <w:rPr>
                <w:rFonts w:ascii="Arial Narrow" w:hAnsi="Arial Narrow"/>
                <w:b/>
                <w:bCs/>
                <w:strike/>
                <w:sz w:val="20"/>
                <w:szCs w:val="20"/>
              </w:rPr>
              <w:t>Prescribing Instructions:</w:t>
            </w:r>
          </w:p>
          <w:p w14:paraId="18F652F3" w14:textId="77777777" w:rsidR="000706E9" w:rsidRPr="007118D3" w:rsidRDefault="000706E9">
            <w:pPr>
              <w:rPr>
                <w:rFonts w:ascii="Arial Narrow" w:hAnsi="Arial Narrow"/>
                <w:strike/>
                <w:sz w:val="20"/>
                <w:szCs w:val="20"/>
              </w:rPr>
            </w:pPr>
            <w:r w:rsidRPr="0CEE6DE9">
              <w:rPr>
                <w:rFonts w:ascii="Arial Narrow" w:hAnsi="Arial Narrow"/>
                <w:strike/>
                <w:sz w:val="20"/>
                <w:szCs w:val="20"/>
              </w:rP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p>
        </w:tc>
      </w:tr>
      <w:tr w:rsidR="000706E9" w:rsidRPr="007118D3" w14:paraId="15B52C9F"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C9DD67A" w14:textId="4C9A6EE5" w:rsidR="000706E9" w:rsidRPr="007118D3"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39E7E0" w14:textId="77777777" w:rsidR="000706E9" w:rsidRPr="007118D3" w:rsidRDefault="000706E9">
            <w:pPr>
              <w:rPr>
                <w:rFonts w:ascii="Arial Narrow" w:hAnsi="Arial Narrow"/>
                <w:b/>
                <w:bCs/>
                <w:sz w:val="20"/>
                <w:szCs w:val="20"/>
              </w:rPr>
            </w:pPr>
            <w:r w:rsidRPr="007118D3">
              <w:rPr>
                <w:rFonts w:ascii="Arial Narrow" w:hAnsi="Arial Narrow"/>
                <w:b/>
                <w:bCs/>
                <w:sz w:val="20"/>
                <w:szCs w:val="20"/>
              </w:rPr>
              <w:t>Prescribing Instructions:</w:t>
            </w:r>
          </w:p>
          <w:p w14:paraId="0E816966" w14:textId="77777777" w:rsidR="000706E9" w:rsidRPr="007118D3" w:rsidRDefault="000706E9">
            <w:pPr>
              <w:rPr>
                <w:rFonts w:ascii="Arial Narrow" w:hAnsi="Arial Narrow"/>
                <w:sz w:val="20"/>
                <w:szCs w:val="20"/>
              </w:rPr>
            </w:pPr>
            <w:r w:rsidRPr="0CEE6DE9">
              <w:rPr>
                <w:rFonts w:ascii="Arial Narrow" w:hAnsi="Arial Narrow"/>
                <w:sz w:val="20"/>
                <w:szCs w:val="20"/>
              </w:rPr>
              <w:t>The patient remains eligible to receive continuing treatment with the same biological medicine in courses of up to 24 weeks providing they continue to sustain an adequate response. It is recommended that a patient be reviewed within 4 weeks prior to completing their current course of treatment.</w:t>
            </w:r>
          </w:p>
        </w:tc>
      </w:tr>
      <w:tr w:rsidR="000706E9" w:rsidRPr="007118D3" w14:paraId="43AEE957"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27D9CF0" w14:textId="5B9D2740" w:rsidR="000706E9" w:rsidRPr="007118D3"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FA807A" w14:textId="77777777" w:rsidR="000706E9" w:rsidRPr="007118D3" w:rsidRDefault="000706E9">
            <w:pPr>
              <w:rPr>
                <w:rFonts w:ascii="Arial Narrow" w:hAnsi="Arial Narrow"/>
                <w:b/>
                <w:bCs/>
                <w:strike/>
                <w:sz w:val="20"/>
                <w:szCs w:val="20"/>
              </w:rPr>
            </w:pPr>
            <w:r w:rsidRPr="007118D3">
              <w:rPr>
                <w:rFonts w:ascii="Arial Narrow" w:hAnsi="Arial Narrow"/>
                <w:b/>
                <w:bCs/>
                <w:strike/>
                <w:sz w:val="20"/>
                <w:szCs w:val="20"/>
              </w:rPr>
              <w:t>Prescribing Instructions:</w:t>
            </w:r>
          </w:p>
          <w:p w14:paraId="301F8144" w14:textId="77777777" w:rsidR="000706E9" w:rsidRPr="007118D3" w:rsidRDefault="000706E9">
            <w:pPr>
              <w:rPr>
                <w:rFonts w:ascii="Arial Narrow" w:hAnsi="Arial Narrow"/>
                <w:strike/>
                <w:sz w:val="20"/>
                <w:szCs w:val="20"/>
              </w:rPr>
            </w:pPr>
            <w:r w:rsidRPr="0CEE6DE9">
              <w:rPr>
                <w:rFonts w:ascii="Arial Narrow" w:hAnsi="Arial Narrow"/>
                <w:strike/>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0706E9" w:rsidRPr="007118D3" w14:paraId="1F3C7509"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83A8E11" w14:textId="36F796D8" w:rsidR="000706E9" w:rsidRPr="007118D3"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68E562" w14:textId="77777777" w:rsidR="000706E9" w:rsidRPr="007118D3" w:rsidRDefault="000706E9">
            <w:pPr>
              <w:rPr>
                <w:rFonts w:ascii="Arial Narrow" w:hAnsi="Arial Narrow"/>
                <w:b/>
                <w:bCs/>
                <w:sz w:val="20"/>
                <w:szCs w:val="20"/>
              </w:rPr>
            </w:pPr>
            <w:r w:rsidRPr="007118D3">
              <w:rPr>
                <w:rFonts w:ascii="Arial Narrow" w:hAnsi="Arial Narrow"/>
                <w:b/>
                <w:bCs/>
                <w:sz w:val="20"/>
                <w:szCs w:val="20"/>
              </w:rPr>
              <w:t>Prescribing Instructions:</w:t>
            </w:r>
          </w:p>
          <w:p w14:paraId="7834DE2E" w14:textId="77777777" w:rsidR="000706E9" w:rsidRPr="007118D3" w:rsidRDefault="000706E9">
            <w:pPr>
              <w:rPr>
                <w:rFonts w:ascii="Arial Narrow" w:hAnsi="Arial Narrow"/>
                <w:sz w:val="20"/>
                <w:szCs w:val="20"/>
              </w:rPr>
            </w:pPr>
            <w:r w:rsidRPr="0CEE6DE9">
              <w:rPr>
                <w:rFonts w:ascii="Arial Narrow" w:hAnsi="Arial Narrow"/>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0706E9" w:rsidRPr="007118D3" w14:paraId="32C24603"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D62AA84" w14:textId="5362B914" w:rsidR="000706E9" w:rsidRPr="007118D3"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347865" w14:textId="77777777" w:rsidR="000706E9" w:rsidRPr="007118D3" w:rsidRDefault="000706E9">
            <w:pPr>
              <w:rPr>
                <w:rFonts w:ascii="Arial Narrow" w:hAnsi="Arial Narrow"/>
                <w:b/>
                <w:bCs/>
                <w:sz w:val="20"/>
                <w:szCs w:val="20"/>
              </w:rPr>
            </w:pPr>
            <w:r w:rsidRPr="007118D3">
              <w:rPr>
                <w:rFonts w:ascii="Arial Narrow" w:hAnsi="Arial Narrow"/>
                <w:b/>
                <w:bCs/>
                <w:sz w:val="20"/>
                <w:szCs w:val="20"/>
              </w:rPr>
              <w:t>Prescribing Instructions:</w:t>
            </w:r>
          </w:p>
          <w:p w14:paraId="60FBB100" w14:textId="77777777" w:rsidR="000706E9" w:rsidRPr="007118D3" w:rsidRDefault="000706E9">
            <w:pPr>
              <w:rPr>
                <w:rFonts w:ascii="Arial Narrow" w:hAnsi="Arial Narrow"/>
                <w:sz w:val="20"/>
                <w:szCs w:val="20"/>
              </w:rPr>
            </w:pPr>
            <w:r w:rsidRPr="007118D3">
              <w:rPr>
                <w:rFonts w:ascii="Arial Narrow" w:hAnsi="Arial Narrow"/>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0706E9" w:rsidRPr="007118D3" w14:paraId="63C5A35D"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5874A26" w14:textId="32E261E2" w:rsidR="000706E9" w:rsidRPr="007118D3"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347EBA" w14:textId="77777777" w:rsidR="000706E9" w:rsidRPr="007118D3" w:rsidRDefault="000706E9">
            <w:pPr>
              <w:rPr>
                <w:rFonts w:ascii="Arial Narrow" w:hAnsi="Arial Narrow"/>
                <w:b/>
                <w:bCs/>
                <w:strike/>
                <w:sz w:val="20"/>
                <w:szCs w:val="20"/>
              </w:rPr>
            </w:pPr>
            <w:r w:rsidRPr="007118D3">
              <w:rPr>
                <w:rFonts w:ascii="Arial Narrow" w:hAnsi="Arial Narrow"/>
                <w:b/>
                <w:bCs/>
                <w:strike/>
                <w:sz w:val="20"/>
                <w:szCs w:val="20"/>
              </w:rPr>
              <w:t>Administrative Advice:</w:t>
            </w:r>
          </w:p>
          <w:p w14:paraId="12EE8734" w14:textId="77777777" w:rsidR="000706E9" w:rsidRPr="007118D3" w:rsidRDefault="000706E9">
            <w:pPr>
              <w:rPr>
                <w:rFonts w:ascii="Arial Narrow" w:hAnsi="Arial Narrow"/>
                <w:strike/>
                <w:sz w:val="20"/>
                <w:szCs w:val="20"/>
              </w:rPr>
            </w:pPr>
            <w:r w:rsidRPr="007118D3">
              <w:rPr>
                <w:rFonts w:ascii="Arial Narrow" w:hAnsi="Arial Narrow"/>
                <w:strike/>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4EEB55BD" w14:textId="77777777" w:rsidR="000706E9" w:rsidRDefault="000706E9" w:rsidP="00365FCC">
      <w:pPr>
        <w:pStyle w:val="TableFigureFooter"/>
        <w:spacing w:after="0"/>
      </w:pPr>
    </w:p>
    <w:p w14:paraId="354510CC" w14:textId="77777777" w:rsidR="000706E9" w:rsidRPr="00B37E6C" w:rsidRDefault="000706E9" w:rsidP="005C6A66">
      <w:pPr>
        <w:pStyle w:val="5-SubsectionSubheading"/>
      </w:pPr>
      <w:r w:rsidRPr="00B37E6C">
        <w:t xml:space="preserve">Moderate to severe ulcerative colitis – </w:t>
      </w:r>
      <w:r>
        <w:t>balance of supply</w:t>
      </w:r>
      <w:r w:rsidRPr="00B37E6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moderate to severe ulcerative colitis"/>
        <w:tblDescription w:val="Treatment phase: balance of supply for initial treatment - subcutaneous form&#10;Changes to clinical criteria and treatment phase"/>
      </w:tblPr>
      <w:tblGrid>
        <w:gridCol w:w="1271"/>
        <w:gridCol w:w="2668"/>
        <w:gridCol w:w="811"/>
        <w:gridCol w:w="812"/>
        <w:gridCol w:w="811"/>
        <w:gridCol w:w="812"/>
        <w:gridCol w:w="1831"/>
      </w:tblGrid>
      <w:tr w:rsidR="000706E9" w:rsidRPr="001428E9" w14:paraId="192C29CD" w14:textId="77777777">
        <w:trPr>
          <w:cantSplit/>
          <w:trHeight w:val="20"/>
        </w:trPr>
        <w:tc>
          <w:tcPr>
            <w:tcW w:w="3939" w:type="dxa"/>
            <w:gridSpan w:val="2"/>
            <w:vAlign w:val="center"/>
          </w:tcPr>
          <w:p w14:paraId="35A2337C" w14:textId="77777777" w:rsidR="000706E9" w:rsidRPr="007118D3" w:rsidRDefault="000706E9">
            <w:pPr>
              <w:keepLines/>
              <w:rPr>
                <w:rFonts w:ascii="Arial Narrow" w:hAnsi="Arial Narrow" w:cs="Arial"/>
                <w:b/>
                <w:bCs/>
                <w:sz w:val="20"/>
                <w:szCs w:val="20"/>
              </w:rPr>
            </w:pPr>
            <w:r w:rsidRPr="007118D3">
              <w:rPr>
                <w:rFonts w:ascii="Arial Narrow" w:hAnsi="Arial Narrow" w:cs="Arial"/>
                <w:b/>
                <w:bCs/>
                <w:sz w:val="20"/>
                <w:szCs w:val="20"/>
              </w:rPr>
              <w:t>MEDICINAL PRODUCT</w:t>
            </w:r>
          </w:p>
          <w:p w14:paraId="2A9DD991" w14:textId="77777777" w:rsidR="000706E9" w:rsidRPr="007118D3" w:rsidRDefault="000706E9">
            <w:pPr>
              <w:keepLines/>
              <w:rPr>
                <w:rFonts w:ascii="Arial Narrow" w:hAnsi="Arial Narrow" w:cs="Arial"/>
                <w:b/>
                <w:sz w:val="20"/>
                <w:szCs w:val="20"/>
              </w:rPr>
            </w:pPr>
            <w:r w:rsidRPr="007118D3">
              <w:rPr>
                <w:rFonts w:ascii="Arial Narrow" w:hAnsi="Arial Narrow" w:cs="Arial"/>
                <w:b/>
                <w:bCs/>
                <w:sz w:val="20"/>
                <w:szCs w:val="20"/>
              </w:rPr>
              <w:t>medicinal product pack</w:t>
            </w:r>
          </w:p>
        </w:tc>
        <w:tc>
          <w:tcPr>
            <w:tcW w:w="811" w:type="dxa"/>
            <w:vAlign w:val="center"/>
          </w:tcPr>
          <w:p w14:paraId="04B04807" w14:textId="77777777" w:rsidR="000706E9" w:rsidRPr="007118D3" w:rsidRDefault="000706E9">
            <w:pPr>
              <w:keepLines/>
              <w:jc w:val="center"/>
              <w:rPr>
                <w:rFonts w:ascii="Arial Narrow" w:hAnsi="Arial Narrow" w:cs="Arial"/>
                <w:b/>
                <w:sz w:val="20"/>
                <w:szCs w:val="20"/>
              </w:rPr>
            </w:pPr>
            <w:r w:rsidRPr="007118D3">
              <w:rPr>
                <w:rFonts w:ascii="Arial Narrow" w:hAnsi="Arial Narrow" w:cs="Arial"/>
                <w:b/>
                <w:sz w:val="20"/>
                <w:szCs w:val="20"/>
              </w:rPr>
              <w:t>PBS item code</w:t>
            </w:r>
          </w:p>
        </w:tc>
        <w:tc>
          <w:tcPr>
            <w:tcW w:w="812" w:type="dxa"/>
            <w:vAlign w:val="center"/>
          </w:tcPr>
          <w:p w14:paraId="79C7D86E" w14:textId="77777777" w:rsidR="000706E9" w:rsidRPr="007118D3" w:rsidRDefault="000706E9">
            <w:pPr>
              <w:keepLines/>
              <w:jc w:val="center"/>
              <w:rPr>
                <w:rFonts w:ascii="Arial Narrow" w:hAnsi="Arial Narrow" w:cs="Arial"/>
                <w:b/>
                <w:sz w:val="20"/>
                <w:szCs w:val="20"/>
              </w:rPr>
            </w:pPr>
            <w:r w:rsidRPr="007118D3">
              <w:rPr>
                <w:rFonts w:ascii="Arial Narrow" w:hAnsi="Arial Narrow" w:cs="Arial"/>
                <w:b/>
                <w:sz w:val="20"/>
                <w:szCs w:val="20"/>
              </w:rPr>
              <w:t>Max. qty packs</w:t>
            </w:r>
          </w:p>
        </w:tc>
        <w:tc>
          <w:tcPr>
            <w:tcW w:w="811" w:type="dxa"/>
            <w:vAlign w:val="center"/>
          </w:tcPr>
          <w:p w14:paraId="02C6F464" w14:textId="77777777" w:rsidR="000706E9" w:rsidRPr="007118D3" w:rsidRDefault="000706E9">
            <w:pPr>
              <w:keepLines/>
              <w:jc w:val="center"/>
              <w:rPr>
                <w:rFonts w:ascii="Arial Narrow" w:hAnsi="Arial Narrow" w:cs="Arial"/>
                <w:b/>
                <w:sz w:val="20"/>
                <w:szCs w:val="20"/>
              </w:rPr>
            </w:pPr>
            <w:r w:rsidRPr="007118D3">
              <w:rPr>
                <w:rFonts w:ascii="Arial Narrow" w:hAnsi="Arial Narrow" w:cs="Arial"/>
                <w:b/>
                <w:sz w:val="20"/>
                <w:szCs w:val="20"/>
              </w:rPr>
              <w:t>Max. qty units</w:t>
            </w:r>
          </w:p>
        </w:tc>
        <w:tc>
          <w:tcPr>
            <w:tcW w:w="812" w:type="dxa"/>
            <w:vAlign w:val="center"/>
          </w:tcPr>
          <w:p w14:paraId="259A60B2" w14:textId="77777777" w:rsidR="000706E9" w:rsidRPr="007118D3" w:rsidRDefault="000706E9">
            <w:pPr>
              <w:keepLines/>
              <w:jc w:val="center"/>
              <w:rPr>
                <w:rFonts w:ascii="Arial Narrow" w:hAnsi="Arial Narrow" w:cs="Arial"/>
                <w:b/>
                <w:bCs/>
                <w:sz w:val="20"/>
                <w:szCs w:val="20"/>
              </w:rPr>
            </w:pPr>
            <w:r w:rsidRPr="0CEE6DE9">
              <w:rPr>
                <w:rFonts w:ascii="Arial Narrow" w:hAnsi="Arial Narrow" w:cs="Arial"/>
                <w:b/>
                <w:bCs/>
                <w:sz w:val="20"/>
                <w:szCs w:val="20"/>
              </w:rPr>
              <w:t>№.of</w:t>
            </w:r>
          </w:p>
          <w:p w14:paraId="2E7C4144" w14:textId="77777777" w:rsidR="000706E9" w:rsidRPr="007118D3" w:rsidRDefault="000706E9">
            <w:pPr>
              <w:keepLines/>
              <w:jc w:val="center"/>
              <w:rPr>
                <w:rFonts w:ascii="Arial Narrow" w:hAnsi="Arial Narrow" w:cs="Arial"/>
                <w:b/>
                <w:bCs/>
                <w:sz w:val="20"/>
                <w:szCs w:val="20"/>
              </w:rPr>
            </w:pPr>
            <w:r w:rsidRPr="0CEE6DE9">
              <w:rPr>
                <w:rFonts w:ascii="Arial Narrow" w:hAnsi="Arial Narrow" w:cs="Arial"/>
                <w:b/>
                <w:bCs/>
                <w:sz w:val="20"/>
                <w:szCs w:val="20"/>
              </w:rPr>
              <w:t>Rpts</w:t>
            </w:r>
          </w:p>
        </w:tc>
        <w:tc>
          <w:tcPr>
            <w:tcW w:w="1831" w:type="dxa"/>
            <w:vAlign w:val="center"/>
          </w:tcPr>
          <w:p w14:paraId="6FE0ABCF" w14:textId="77777777" w:rsidR="000706E9" w:rsidRPr="007118D3" w:rsidRDefault="000706E9">
            <w:pPr>
              <w:keepLines/>
              <w:rPr>
                <w:rFonts w:ascii="Arial Narrow" w:hAnsi="Arial Narrow" w:cs="Arial"/>
                <w:b/>
                <w:sz w:val="20"/>
                <w:szCs w:val="20"/>
                <w:lang w:val="fr-FR"/>
              </w:rPr>
            </w:pPr>
            <w:r w:rsidRPr="007118D3">
              <w:rPr>
                <w:rFonts w:ascii="Arial Narrow" w:hAnsi="Arial Narrow" w:cs="Arial"/>
                <w:b/>
                <w:sz w:val="20"/>
                <w:szCs w:val="20"/>
              </w:rPr>
              <w:t>Available brands</w:t>
            </w:r>
          </w:p>
        </w:tc>
      </w:tr>
      <w:tr w:rsidR="000706E9" w:rsidRPr="001428E9" w14:paraId="6006D4BE" w14:textId="77777777">
        <w:trPr>
          <w:cantSplit/>
          <w:trHeight w:val="20"/>
        </w:trPr>
        <w:tc>
          <w:tcPr>
            <w:tcW w:w="9016" w:type="dxa"/>
            <w:gridSpan w:val="7"/>
            <w:vAlign w:val="center"/>
          </w:tcPr>
          <w:p w14:paraId="4E4C4BDA" w14:textId="77777777" w:rsidR="000706E9" w:rsidRPr="007118D3" w:rsidRDefault="000706E9">
            <w:pPr>
              <w:keepLines/>
              <w:rPr>
                <w:rFonts w:ascii="Arial Narrow" w:hAnsi="Arial Narrow" w:cs="Arial"/>
                <w:sz w:val="20"/>
                <w:szCs w:val="20"/>
              </w:rPr>
            </w:pPr>
            <w:r w:rsidRPr="007118D3">
              <w:rPr>
                <w:rFonts w:ascii="Arial Narrow" w:hAnsi="Arial Narrow" w:cs="Arial"/>
                <w:sz w:val="20"/>
                <w:szCs w:val="20"/>
              </w:rPr>
              <w:t>INFLIXIMAB</w:t>
            </w:r>
          </w:p>
        </w:tc>
      </w:tr>
      <w:tr w:rsidR="000706E9" w:rsidRPr="001428E9" w14:paraId="21C09A06" w14:textId="77777777">
        <w:trPr>
          <w:cantSplit/>
          <w:trHeight w:val="20"/>
        </w:trPr>
        <w:tc>
          <w:tcPr>
            <w:tcW w:w="3939" w:type="dxa"/>
            <w:gridSpan w:val="2"/>
            <w:vAlign w:val="center"/>
          </w:tcPr>
          <w:p w14:paraId="011C621B" w14:textId="77777777" w:rsidR="000706E9" w:rsidRPr="007118D3" w:rsidRDefault="000706E9">
            <w:pPr>
              <w:keepLines/>
              <w:rPr>
                <w:rFonts w:ascii="Arial Narrow" w:hAnsi="Arial Narrow" w:cs="Arial"/>
                <w:sz w:val="20"/>
                <w:szCs w:val="20"/>
              </w:rPr>
            </w:pPr>
            <w:r w:rsidRPr="007118D3">
              <w:rPr>
                <w:rFonts w:ascii="Arial Narrow" w:hAnsi="Arial Narrow" w:cs="Arial"/>
                <w:sz w:val="20"/>
                <w:szCs w:val="20"/>
              </w:rPr>
              <w:t>infliximab 120 mg/mL injection, 1 mL pen device</w:t>
            </w:r>
          </w:p>
        </w:tc>
        <w:tc>
          <w:tcPr>
            <w:tcW w:w="811" w:type="dxa"/>
            <w:vAlign w:val="center"/>
          </w:tcPr>
          <w:p w14:paraId="38EC5A8F"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12584H</w:t>
            </w:r>
          </w:p>
        </w:tc>
        <w:tc>
          <w:tcPr>
            <w:tcW w:w="812" w:type="dxa"/>
          </w:tcPr>
          <w:p w14:paraId="5E5AF4FE"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2</w:t>
            </w:r>
          </w:p>
        </w:tc>
        <w:tc>
          <w:tcPr>
            <w:tcW w:w="811" w:type="dxa"/>
          </w:tcPr>
          <w:p w14:paraId="62759FCB"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2</w:t>
            </w:r>
          </w:p>
        </w:tc>
        <w:tc>
          <w:tcPr>
            <w:tcW w:w="812" w:type="dxa"/>
          </w:tcPr>
          <w:p w14:paraId="558021AF"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0</w:t>
            </w:r>
          </w:p>
        </w:tc>
        <w:tc>
          <w:tcPr>
            <w:tcW w:w="1831" w:type="dxa"/>
            <w:vAlign w:val="center"/>
          </w:tcPr>
          <w:p w14:paraId="2F9928D7" w14:textId="77777777" w:rsidR="000706E9" w:rsidRPr="007118D3"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1428E9" w14:paraId="218FD7EC" w14:textId="77777777">
        <w:trPr>
          <w:cantSplit/>
          <w:trHeight w:val="20"/>
        </w:trPr>
        <w:tc>
          <w:tcPr>
            <w:tcW w:w="3939" w:type="dxa"/>
            <w:gridSpan w:val="2"/>
            <w:vAlign w:val="center"/>
          </w:tcPr>
          <w:p w14:paraId="74E18A74" w14:textId="77777777" w:rsidR="000706E9" w:rsidRPr="007118D3" w:rsidRDefault="000706E9">
            <w:pPr>
              <w:keepLines/>
              <w:rPr>
                <w:rFonts w:ascii="Arial Narrow" w:hAnsi="Arial Narrow" w:cs="Arial"/>
                <w:sz w:val="20"/>
                <w:szCs w:val="20"/>
              </w:rPr>
            </w:pPr>
            <w:r w:rsidRPr="007118D3">
              <w:rPr>
                <w:rFonts w:ascii="Arial Narrow" w:hAnsi="Arial Narrow" w:cs="Arial"/>
                <w:sz w:val="20"/>
                <w:szCs w:val="20"/>
              </w:rPr>
              <w:t>infliximab 120 mg/mL injection, 1 mL syringe</w:t>
            </w:r>
          </w:p>
        </w:tc>
        <w:tc>
          <w:tcPr>
            <w:tcW w:w="811" w:type="dxa"/>
            <w:vAlign w:val="center"/>
          </w:tcPr>
          <w:p w14:paraId="0B897FC7"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12550M</w:t>
            </w:r>
          </w:p>
        </w:tc>
        <w:tc>
          <w:tcPr>
            <w:tcW w:w="812" w:type="dxa"/>
            <w:vAlign w:val="center"/>
          </w:tcPr>
          <w:p w14:paraId="34F79DAE"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2</w:t>
            </w:r>
          </w:p>
        </w:tc>
        <w:tc>
          <w:tcPr>
            <w:tcW w:w="811" w:type="dxa"/>
            <w:vAlign w:val="center"/>
          </w:tcPr>
          <w:p w14:paraId="1A68F262"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2</w:t>
            </w:r>
          </w:p>
        </w:tc>
        <w:tc>
          <w:tcPr>
            <w:tcW w:w="812" w:type="dxa"/>
            <w:vAlign w:val="center"/>
          </w:tcPr>
          <w:p w14:paraId="472748BB" w14:textId="77777777" w:rsidR="000706E9" w:rsidRPr="007118D3" w:rsidRDefault="000706E9">
            <w:pPr>
              <w:keepLines/>
              <w:jc w:val="center"/>
              <w:rPr>
                <w:rFonts w:ascii="Arial Narrow" w:hAnsi="Arial Narrow" w:cs="Arial"/>
                <w:sz w:val="20"/>
                <w:szCs w:val="20"/>
              </w:rPr>
            </w:pPr>
            <w:r w:rsidRPr="007118D3">
              <w:rPr>
                <w:rFonts w:ascii="Arial Narrow" w:hAnsi="Arial Narrow" w:cs="Arial"/>
                <w:sz w:val="20"/>
                <w:szCs w:val="20"/>
              </w:rPr>
              <w:t>0</w:t>
            </w:r>
          </w:p>
        </w:tc>
        <w:tc>
          <w:tcPr>
            <w:tcW w:w="1831" w:type="dxa"/>
            <w:vAlign w:val="center"/>
          </w:tcPr>
          <w:p w14:paraId="491E1170" w14:textId="77777777" w:rsidR="000706E9" w:rsidRPr="007118D3" w:rsidRDefault="000706E9">
            <w:pPr>
              <w:keepLines/>
              <w:rPr>
                <w:rFonts w:ascii="Arial Narrow" w:hAnsi="Arial Narrow" w:cs="Arial"/>
                <w:sz w:val="20"/>
                <w:szCs w:val="20"/>
              </w:rPr>
            </w:pPr>
            <w:r w:rsidRPr="0CEE6DE9">
              <w:rPr>
                <w:rFonts w:ascii="Arial Narrow" w:hAnsi="Arial Narrow" w:cs="Arial"/>
                <w:sz w:val="20"/>
                <w:szCs w:val="20"/>
              </w:rPr>
              <w:t>Remsima SC</w:t>
            </w:r>
          </w:p>
        </w:tc>
      </w:tr>
      <w:tr w:rsidR="000706E9" w:rsidRPr="001428E9" w14:paraId="137C7CA1"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65B313B" w14:textId="77777777" w:rsidR="000706E9" w:rsidRPr="007118D3" w:rsidRDefault="000706E9">
            <w:pPr>
              <w:rPr>
                <w:rFonts w:ascii="Arial Narrow" w:hAnsi="Arial Narrow" w:cs="Arial"/>
                <w:sz w:val="20"/>
                <w:szCs w:val="20"/>
              </w:rPr>
            </w:pPr>
          </w:p>
        </w:tc>
      </w:tr>
      <w:tr w:rsidR="000706E9" w:rsidRPr="001428E9" w14:paraId="25FA463E"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9C5D7F3" w14:textId="4D929500" w:rsidR="000706E9" w:rsidRPr="007118D3" w:rsidRDefault="000706E9">
            <w:pPr>
              <w:keepLines/>
              <w:rPr>
                <w:rFonts w:ascii="Arial Narrow" w:hAnsi="Arial Narrow" w:cs="Arial"/>
                <w:b/>
                <w:bCs/>
                <w:sz w:val="20"/>
                <w:szCs w:val="20"/>
              </w:rPr>
            </w:pPr>
            <w:r w:rsidRPr="007118D3">
              <w:rPr>
                <w:rFonts w:ascii="Arial Narrow" w:hAnsi="Arial Narrow"/>
                <w:b/>
                <w:bCs/>
                <w:sz w:val="20"/>
                <w:szCs w:val="20"/>
              </w:rPr>
              <w:t xml:space="preserve">Restriction Summary / Treatment of Concept: </w:t>
            </w:r>
          </w:p>
        </w:tc>
      </w:tr>
      <w:tr w:rsidR="000706E9" w:rsidRPr="001428E9" w14:paraId="352283DE"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D657E83" w14:textId="204E70FD" w:rsidR="000706E9" w:rsidRPr="007118D3" w:rsidRDefault="000706E9">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9B30DBB" w14:textId="77777777" w:rsidR="000706E9" w:rsidRPr="007118D3" w:rsidRDefault="000706E9">
            <w:pPr>
              <w:keepLines/>
              <w:rPr>
                <w:rFonts w:ascii="Arial Narrow" w:hAnsi="Arial Narrow" w:cs="Arial"/>
                <w:sz w:val="20"/>
                <w:szCs w:val="20"/>
              </w:rPr>
            </w:pPr>
            <w:r w:rsidRPr="007118D3">
              <w:rPr>
                <w:rFonts w:ascii="Arial Narrow" w:hAnsi="Arial Narrow" w:cs="Arial"/>
                <w:b/>
                <w:sz w:val="20"/>
                <w:szCs w:val="20"/>
              </w:rPr>
              <w:t>Category / Program:</w:t>
            </w:r>
            <w:r w:rsidRPr="007118D3">
              <w:rPr>
                <w:rFonts w:ascii="Arial Narrow" w:hAnsi="Arial Narrow" w:cs="Arial"/>
                <w:color w:val="FF0000"/>
                <w:sz w:val="20"/>
                <w:szCs w:val="20"/>
              </w:rPr>
              <w:t xml:space="preserve"> </w:t>
            </w:r>
            <w:r w:rsidRPr="007118D3">
              <w:rPr>
                <w:rFonts w:ascii="Arial Narrow" w:eastAsia="Calibri" w:hAnsi="Arial Narrow" w:cs="Arial"/>
                <w:sz w:val="20"/>
                <w:szCs w:val="20"/>
              </w:rPr>
              <w:t xml:space="preserve">GENERAL - General Schedule (Code GE) </w:t>
            </w:r>
          </w:p>
        </w:tc>
      </w:tr>
      <w:tr w:rsidR="000706E9" w:rsidRPr="001428E9" w14:paraId="023B7EE6" w14:textId="77777777">
        <w:tblPrEx>
          <w:tblCellMar>
            <w:top w:w="15" w:type="dxa"/>
            <w:bottom w:w="15" w:type="dxa"/>
          </w:tblCellMar>
          <w:tblLook w:val="04A0" w:firstRow="1" w:lastRow="0" w:firstColumn="1" w:lastColumn="0" w:noHBand="0" w:noVBand="1"/>
        </w:tblPrEx>
        <w:trPr>
          <w:trHeight w:val="20"/>
        </w:trPr>
        <w:tc>
          <w:tcPr>
            <w:tcW w:w="1271" w:type="dxa"/>
            <w:vMerge/>
          </w:tcPr>
          <w:p w14:paraId="0829B9B0" w14:textId="77777777" w:rsidR="000706E9" w:rsidRPr="007118D3"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C546D7" w14:textId="77777777" w:rsidR="000706E9" w:rsidRPr="007118D3" w:rsidRDefault="000706E9">
            <w:pPr>
              <w:keepLines/>
              <w:rPr>
                <w:rFonts w:ascii="Arial Narrow" w:hAnsi="Arial Narrow" w:cs="Arial"/>
                <w:b/>
                <w:sz w:val="20"/>
                <w:szCs w:val="20"/>
              </w:rPr>
            </w:pPr>
            <w:r w:rsidRPr="007118D3">
              <w:rPr>
                <w:rFonts w:ascii="Arial Narrow" w:hAnsi="Arial Narrow" w:cs="Arial"/>
                <w:b/>
                <w:sz w:val="20"/>
                <w:szCs w:val="20"/>
              </w:rPr>
              <w:t xml:space="preserve">Prescriber type: </w:t>
            </w:r>
            <w:r w:rsidRPr="007118D3">
              <w:rPr>
                <w:rFonts w:ascii="Arial Narrow" w:hAnsi="Arial Narrow" w:cs="Arial"/>
                <w:sz w:val="20"/>
                <w:szCs w:val="20"/>
              </w:rPr>
              <w:fldChar w:fldCharType="begin" w:fldLock="1">
                <w:ffData>
                  <w:name w:val=""/>
                  <w:enabled/>
                  <w:calcOnExit w:val="0"/>
                  <w:checkBox>
                    <w:sizeAuto/>
                    <w:default w:val="1"/>
                  </w:checkBox>
                </w:ffData>
              </w:fldChar>
            </w:r>
            <w:r w:rsidRPr="007118D3">
              <w:rPr>
                <w:rFonts w:ascii="Arial Narrow" w:hAnsi="Arial Narrow" w:cs="Arial"/>
                <w:sz w:val="20"/>
                <w:szCs w:val="20"/>
              </w:rPr>
              <w:instrText xml:space="preserve"> FORMCHECKBOX </w:instrText>
            </w:r>
            <w:r w:rsidRPr="007118D3">
              <w:rPr>
                <w:rFonts w:ascii="Arial Narrow" w:hAnsi="Arial Narrow" w:cs="Arial"/>
                <w:sz w:val="20"/>
                <w:szCs w:val="20"/>
              </w:rPr>
            </w:r>
            <w:r w:rsidRPr="007118D3">
              <w:rPr>
                <w:rFonts w:ascii="Arial Narrow" w:hAnsi="Arial Narrow" w:cs="Arial"/>
                <w:sz w:val="20"/>
                <w:szCs w:val="20"/>
              </w:rPr>
              <w:fldChar w:fldCharType="separate"/>
            </w:r>
            <w:r w:rsidRPr="007118D3">
              <w:rPr>
                <w:rFonts w:ascii="Arial Narrow" w:hAnsi="Arial Narrow" w:cs="Arial"/>
                <w:sz w:val="20"/>
                <w:szCs w:val="20"/>
              </w:rPr>
              <w:fldChar w:fldCharType="end"/>
            </w:r>
            <w:r w:rsidRPr="007118D3">
              <w:rPr>
                <w:rFonts w:ascii="Arial Narrow" w:hAnsi="Arial Narrow" w:cs="Arial"/>
                <w:sz w:val="20"/>
                <w:szCs w:val="20"/>
              </w:rPr>
              <w:t xml:space="preserve">Medical Practitioners </w:t>
            </w:r>
          </w:p>
        </w:tc>
      </w:tr>
      <w:tr w:rsidR="000706E9" w:rsidRPr="00D56F94" w14:paraId="3148D266" w14:textId="77777777">
        <w:tblPrEx>
          <w:tblCellMar>
            <w:top w:w="15" w:type="dxa"/>
            <w:bottom w:w="15" w:type="dxa"/>
          </w:tblCellMar>
          <w:tblLook w:val="04A0" w:firstRow="1" w:lastRow="0" w:firstColumn="1" w:lastColumn="0" w:noHBand="0" w:noVBand="1"/>
        </w:tblPrEx>
        <w:trPr>
          <w:trHeight w:val="20"/>
        </w:trPr>
        <w:tc>
          <w:tcPr>
            <w:tcW w:w="1271" w:type="dxa"/>
            <w:vMerge/>
          </w:tcPr>
          <w:p w14:paraId="3F7FFA66" w14:textId="77777777" w:rsidR="000706E9" w:rsidRPr="007118D3" w:rsidRDefault="000706E9">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BB5E16B" w14:textId="77777777" w:rsidR="000706E9" w:rsidRPr="007118D3" w:rsidRDefault="000706E9">
            <w:pPr>
              <w:keepLines/>
              <w:rPr>
                <w:rFonts w:ascii="Arial Narrow" w:hAnsi="Arial Narrow" w:cs="Arial"/>
                <w:b/>
                <w:sz w:val="20"/>
                <w:szCs w:val="20"/>
              </w:rPr>
            </w:pPr>
            <w:r w:rsidRPr="007118D3">
              <w:rPr>
                <w:rFonts w:ascii="Arial Narrow" w:hAnsi="Arial Narrow" w:cs="Arial"/>
                <w:b/>
                <w:sz w:val="20"/>
                <w:szCs w:val="20"/>
              </w:rPr>
              <w:t xml:space="preserve">Restriction type: </w:t>
            </w:r>
          </w:p>
          <w:p w14:paraId="7B957F7D" w14:textId="77777777" w:rsidR="000706E9" w:rsidRPr="007118D3" w:rsidRDefault="000706E9">
            <w:pPr>
              <w:keepLines/>
              <w:rPr>
                <w:rFonts w:ascii="Arial Narrow" w:eastAsia="Calibri" w:hAnsi="Arial Narrow" w:cs="Arial"/>
                <w:strike/>
                <w:color w:val="FF0000"/>
                <w:sz w:val="20"/>
                <w:szCs w:val="20"/>
              </w:rPr>
            </w:pPr>
            <w:r w:rsidRPr="007118D3">
              <w:rPr>
                <w:rFonts w:ascii="Arial Narrow" w:eastAsia="Calibri" w:hAnsi="Arial Narrow" w:cs="Arial"/>
                <w:sz w:val="20"/>
                <w:szCs w:val="20"/>
              </w:rPr>
              <w:fldChar w:fldCharType="begin" w:fldLock="1">
                <w:ffData>
                  <w:name w:val=""/>
                  <w:enabled/>
                  <w:calcOnExit w:val="0"/>
                  <w:checkBox>
                    <w:sizeAuto/>
                    <w:default w:val="1"/>
                  </w:checkBox>
                </w:ffData>
              </w:fldChar>
            </w:r>
            <w:r w:rsidRPr="007118D3">
              <w:rPr>
                <w:rFonts w:ascii="Arial Narrow" w:eastAsia="Calibri" w:hAnsi="Arial Narrow" w:cs="Arial"/>
                <w:sz w:val="20"/>
                <w:szCs w:val="20"/>
              </w:rPr>
              <w:instrText xml:space="preserve"> FORMCHECKBOX </w:instrText>
            </w:r>
            <w:r w:rsidRPr="007118D3">
              <w:rPr>
                <w:rFonts w:ascii="Arial Narrow" w:eastAsia="Calibri" w:hAnsi="Arial Narrow" w:cs="Arial"/>
                <w:sz w:val="20"/>
                <w:szCs w:val="20"/>
              </w:rPr>
            </w:r>
            <w:r w:rsidRPr="007118D3">
              <w:rPr>
                <w:rFonts w:ascii="Arial Narrow" w:eastAsia="Calibri" w:hAnsi="Arial Narrow" w:cs="Arial"/>
                <w:sz w:val="20"/>
                <w:szCs w:val="20"/>
              </w:rPr>
              <w:fldChar w:fldCharType="separate"/>
            </w:r>
            <w:r w:rsidRPr="007118D3">
              <w:rPr>
                <w:rFonts w:ascii="Arial Narrow" w:eastAsia="Calibri" w:hAnsi="Arial Narrow" w:cs="Arial"/>
                <w:sz w:val="20"/>
                <w:szCs w:val="20"/>
              </w:rPr>
              <w:fldChar w:fldCharType="end"/>
            </w:r>
            <w:r w:rsidRPr="007118D3">
              <w:rPr>
                <w:rFonts w:ascii="Arial Narrow" w:eastAsia="Calibri" w:hAnsi="Arial Narrow" w:cs="Arial"/>
                <w:sz w:val="20"/>
                <w:szCs w:val="20"/>
              </w:rPr>
              <w:t xml:space="preserve"> Authority Required (telephone/online PBS Authorities system)</w:t>
            </w:r>
            <w:r w:rsidRPr="007118D3">
              <w:rPr>
                <w:rFonts w:ascii="Arial Narrow" w:eastAsia="Calibri" w:hAnsi="Arial Narrow" w:cs="Arial"/>
                <w:strike/>
                <w:sz w:val="20"/>
                <w:szCs w:val="20"/>
              </w:rPr>
              <w:t xml:space="preserve"> </w:t>
            </w:r>
          </w:p>
        </w:tc>
      </w:tr>
      <w:tr w:rsidR="000706E9" w:rsidRPr="001428E9" w14:paraId="78542B9D" w14:textId="77777777" w:rsidTr="00365FCC">
        <w:tblPrEx>
          <w:tblCellMar>
            <w:top w:w="15" w:type="dxa"/>
            <w:bottom w:w="15" w:type="dxa"/>
          </w:tblCellMar>
        </w:tblPrEx>
        <w:trPr>
          <w:cantSplit/>
          <w:trHeight w:val="20"/>
        </w:trPr>
        <w:tc>
          <w:tcPr>
            <w:tcW w:w="1271" w:type="dxa"/>
            <w:vAlign w:val="center"/>
          </w:tcPr>
          <w:p w14:paraId="51BC73C9" w14:textId="7C51649C" w:rsidR="000706E9" w:rsidRPr="007118D3" w:rsidRDefault="000706E9">
            <w:pPr>
              <w:keepLines/>
              <w:jc w:val="center"/>
              <w:rPr>
                <w:rFonts w:ascii="Arial Narrow" w:hAnsi="Arial Narrow"/>
                <w:sz w:val="20"/>
                <w:szCs w:val="20"/>
              </w:rPr>
            </w:pPr>
          </w:p>
        </w:tc>
        <w:tc>
          <w:tcPr>
            <w:tcW w:w="7745" w:type="dxa"/>
            <w:gridSpan w:val="6"/>
            <w:vAlign w:val="center"/>
            <w:hideMark/>
          </w:tcPr>
          <w:p w14:paraId="45B2D2F7" w14:textId="77777777" w:rsidR="000706E9" w:rsidRPr="007118D3" w:rsidRDefault="000706E9">
            <w:pPr>
              <w:keepLines/>
              <w:rPr>
                <w:rFonts w:ascii="Arial Narrow" w:hAnsi="Arial Narrow"/>
                <w:color w:val="333333"/>
                <w:sz w:val="20"/>
                <w:szCs w:val="20"/>
              </w:rPr>
            </w:pPr>
            <w:r w:rsidRPr="007118D3">
              <w:rPr>
                <w:rFonts w:ascii="Arial Narrow" w:hAnsi="Arial Narrow"/>
                <w:b/>
                <w:bCs/>
                <w:sz w:val="20"/>
                <w:szCs w:val="20"/>
              </w:rPr>
              <w:t>Indication:</w:t>
            </w:r>
            <w:r w:rsidRPr="007118D3">
              <w:rPr>
                <w:rFonts w:ascii="Arial Narrow" w:hAnsi="Arial Narrow"/>
                <w:sz w:val="20"/>
                <w:szCs w:val="20"/>
              </w:rPr>
              <w:t xml:space="preserve"> Moderate to severe ulcerative colitis</w:t>
            </w:r>
          </w:p>
        </w:tc>
      </w:tr>
      <w:tr w:rsidR="000706E9" w:rsidRPr="001428E9" w14:paraId="162AFC67" w14:textId="77777777" w:rsidTr="00365FCC">
        <w:tblPrEx>
          <w:tblCellMar>
            <w:top w:w="15" w:type="dxa"/>
            <w:bottom w:w="15" w:type="dxa"/>
          </w:tblCellMar>
        </w:tblPrEx>
        <w:trPr>
          <w:cantSplit/>
          <w:trHeight w:val="20"/>
        </w:trPr>
        <w:tc>
          <w:tcPr>
            <w:tcW w:w="1271" w:type="dxa"/>
            <w:vAlign w:val="center"/>
          </w:tcPr>
          <w:p w14:paraId="501A16BA" w14:textId="77777777" w:rsidR="000706E9" w:rsidRPr="007118D3" w:rsidRDefault="000706E9">
            <w:pPr>
              <w:jc w:val="center"/>
              <w:rPr>
                <w:rFonts w:ascii="Arial Narrow" w:hAnsi="Arial Narrow"/>
                <w:sz w:val="20"/>
                <w:szCs w:val="20"/>
              </w:rPr>
            </w:pPr>
          </w:p>
        </w:tc>
        <w:tc>
          <w:tcPr>
            <w:tcW w:w="7745" w:type="dxa"/>
            <w:gridSpan w:val="6"/>
            <w:vAlign w:val="center"/>
            <w:hideMark/>
          </w:tcPr>
          <w:p w14:paraId="13E6BE9B" w14:textId="77777777" w:rsidR="000706E9" w:rsidRPr="007118D3" w:rsidRDefault="000706E9">
            <w:pPr>
              <w:rPr>
                <w:rFonts w:ascii="Arial Narrow" w:hAnsi="Arial Narrow"/>
                <w:sz w:val="20"/>
                <w:szCs w:val="20"/>
              </w:rPr>
            </w:pPr>
            <w:r w:rsidRPr="007118D3">
              <w:rPr>
                <w:rFonts w:ascii="Arial Narrow" w:hAnsi="Arial Narrow"/>
                <w:b/>
                <w:bCs/>
                <w:sz w:val="20"/>
                <w:szCs w:val="20"/>
              </w:rPr>
              <w:t>Treatment Phase:</w:t>
            </w:r>
            <w:r w:rsidRPr="007118D3">
              <w:rPr>
                <w:rFonts w:ascii="Arial Narrow" w:hAnsi="Arial Narrow"/>
                <w:sz w:val="20"/>
                <w:szCs w:val="20"/>
              </w:rPr>
              <w:t xml:space="preserve"> </w:t>
            </w:r>
            <w:r>
              <w:rPr>
                <w:rFonts w:ascii="Arial Narrow" w:hAnsi="Arial Narrow"/>
                <w:sz w:val="20"/>
                <w:szCs w:val="20"/>
              </w:rPr>
              <w:t>Balance of supply</w:t>
            </w:r>
            <w:r w:rsidRPr="007118D3">
              <w:rPr>
                <w:rFonts w:ascii="Arial Narrow" w:hAnsi="Arial Narrow"/>
                <w:sz w:val="20"/>
                <w:szCs w:val="20"/>
              </w:rPr>
              <w:t xml:space="preserve"> for Initial treatment</w:t>
            </w:r>
            <w:r w:rsidRPr="007118D3">
              <w:rPr>
                <w:rFonts w:ascii="Arial Narrow" w:hAnsi="Arial Narrow"/>
                <w:strike/>
                <w:sz w:val="20"/>
                <w:szCs w:val="20"/>
              </w:rPr>
              <w:t>, Continuing treatment</w:t>
            </w:r>
            <w:r w:rsidRPr="007118D3">
              <w:rPr>
                <w:rFonts w:ascii="Arial Narrow" w:hAnsi="Arial Narrow"/>
                <w:sz w:val="20"/>
                <w:szCs w:val="20"/>
              </w:rPr>
              <w:t xml:space="preserve"> - subcutaneous form</w:t>
            </w:r>
          </w:p>
        </w:tc>
      </w:tr>
      <w:tr w:rsidR="000706E9" w:rsidRPr="006A2544" w14:paraId="296C0DD9"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A21C8D3" w14:textId="598DB88B" w:rsidR="000706E9" w:rsidRPr="007118D3" w:rsidRDefault="000706E9">
            <w:pPr>
              <w:jc w:val="center"/>
              <w:rPr>
                <w:rFonts w:ascii="Arial Narrow" w:hAnsi="Arial Narrow"/>
                <w:sz w:val="20"/>
                <w:szCs w:val="20"/>
                <w:highlight w:val="yellow"/>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21EC1E" w14:textId="77777777" w:rsidR="000706E9" w:rsidRPr="007118D3" w:rsidRDefault="000706E9">
            <w:pPr>
              <w:rPr>
                <w:rFonts w:ascii="Arial Narrow" w:hAnsi="Arial Narrow"/>
                <w:b/>
                <w:bCs/>
                <w:sz w:val="20"/>
                <w:szCs w:val="20"/>
                <w:highlight w:val="yellow"/>
              </w:rPr>
            </w:pPr>
            <w:r w:rsidRPr="007118D3">
              <w:rPr>
                <w:rFonts w:ascii="Arial Narrow" w:hAnsi="Arial Narrow"/>
                <w:b/>
                <w:bCs/>
                <w:sz w:val="20"/>
                <w:szCs w:val="20"/>
              </w:rPr>
              <w:t>Clinical criteria:</w:t>
            </w:r>
          </w:p>
        </w:tc>
      </w:tr>
      <w:tr w:rsidR="000706E9" w:rsidRPr="006A2544" w14:paraId="59D778A3"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15BF43B" w14:textId="2CEDA0B6" w:rsidR="000706E9" w:rsidRPr="007118D3"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B55054" w14:textId="77777777" w:rsidR="000706E9" w:rsidRPr="007118D3" w:rsidRDefault="000706E9">
            <w:pPr>
              <w:rPr>
                <w:rFonts w:ascii="Arial Narrow" w:hAnsi="Arial Narrow"/>
                <w:sz w:val="20"/>
                <w:szCs w:val="20"/>
              </w:rPr>
            </w:pPr>
            <w:r w:rsidRPr="0CEE6DE9">
              <w:rPr>
                <w:rFonts w:ascii="Arial Narrow" w:hAnsi="Arial Narrow"/>
                <w:sz w:val="20"/>
                <w:szCs w:val="20"/>
              </w:rPr>
              <w:t>Patient must have received insufficient therapy with this drug under the Initial treatment with subcutaneous form to complete 14 to 16 weeks initial treatment (intravenous and subcutaneous inclusive)</w:t>
            </w:r>
            <w:r w:rsidRPr="0CEE6DE9">
              <w:rPr>
                <w:rFonts w:ascii="Arial Narrow" w:hAnsi="Arial Narrow"/>
                <w:strike/>
                <w:sz w:val="20"/>
                <w:szCs w:val="20"/>
              </w:rPr>
              <w:t>; or</w:t>
            </w:r>
          </w:p>
        </w:tc>
      </w:tr>
      <w:tr w:rsidR="000706E9" w:rsidRPr="006A2544" w14:paraId="2EF6907E"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A3BE20D" w14:textId="333B3564" w:rsidR="000706E9" w:rsidRPr="007118D3"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5BE896" w14:textId="77777777" w:rsidR="000706E9" w:rsidRPr="007118D3" w:rsidRDefault="000706E9">
            <w:pPr>
              <w:rPr>
                <w:rFonts w:ascii="Arial Narrow" w:hAnsi="Arial Narrow"/>
                <w:strike/>
                <w:sz w:val="20"/>
                <w:szCs w:val="20"/>
              </w:rPr>
            </w:pPr>
            <w:r w:rsidRPr="007118D3">
              <w:rPr>
                <w:rFonts w:ascii="Arial Narrow" w:hAnsi="Arial Narrow"/>
                <w:strike/>
                <w:sz w:val="20"/>
                <w:szCs w:val="20"/>
              </w:rPr>
              <w:t>Patient must have received insufficient therapy with this drug for this condition under the continuing treatment with subcutaneous form restriction to complete 24 weeks treatment</w:t>
            </w:r>
          </w:p>
        </w:tc>
      </w:tr>
      <w:tr w:rsidR="000706E9" w:rsidRPr="006A2544" w14:paraId="38163139"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4120EFC" w14:textId="77777777" w:rsidR="000706E9" w:rsidRPr="007118D3"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D5B1E4" w14:textId="77777777" w:rsidR="000706E9" w:rsidRPr="007118D3" w:rsidRDefault="000706E9">
            <w:pPr>
              <w:rPr>
                <w:rFonts w:ascii="Arial Narrow" w:hAnsi="Arial Narrow"/>
                <w:sz w:val="20"/>
                <w:szCs w:val="20"/>
              </w:rPr>
            </w:pPr>
            <w:r w:rsidRPr="007118D3">
              <w:rPr>
                <w:rFonts w:ascii="Arial Narrow" w:hAnsi="Arial Narrow"/>
                <w:sz w:val="20"/>
                <w:szCs w:val="20"/>
              </w:rPr>
              <w:t>AND</w:t>
            </w:r>
          </w:p>
        </w:tc>
      </w:tr>
      <w:tr w:rsidR="000706E9" w:rsidRPr="009D1C4B" w14:paraId="1E47C425"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66B36CA" w14:textId="017C1DEA" w:rsidR="000706E9" w:rsidRPr="007118D3"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21D07B" w14:textId="77777777" w:rsidR="000706E9" w:rsidRPr="007118D3" w:rsidRDefault="000706E9">
            <w:pPr>
              <w:rPr>
                <w:rFonts w:ascii="Arial Narrow" w:hAnsi="Arial Narrow"/>
                <w:b/>
                <w:bCs/>
                <w:sz w:val="20"/>
                <w:szCs w:val="20"/>
              </w:rPr>
            </w:pPr>
            <w:r w:rsidRPr="007118D3">
              <w:rPr>
                <w:rFonts w:ascii="Arial Narrow" w:hAnsi="Arial Narrow"/>
                <w:b/>
                <w:bCs/>
                <w:sz w:val="20"/>
                <w:szCs w:val="20"/>
              </w:rPr>
              <w:t>Clinical criteria:</w:t>
            </w:r>
          </w:p>
        </w:tc>
      </w:tr>
      <w:tr w:rsidR="000706E9" w:rsidRPr="009D1C4B" w14:paraId="4C19EF10"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3C8187" w14:textId="119452A8" w:rsidR="000706E9" w:rsidRPr="007118D3" w:rsidRDefault="000706E9">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41F9D4" w14:textId="77777777" w:rsidR="000706E9" w:rsidRPr="007118D3" w:rsidRDefault="000706E9">
            <w:pPr>
              <w:rPr>
                <w:rFonts w:ascii="Arial Narrow" w:hAnsi="Arial Narrow"/>
                <w:sz w:val="20"/>
                <w:szCs w:val="20"/>
              </w:rPr>
            </w:pPr>
            <w:r w:rsidRPr="007118D3">
              <w:rPr>
                <w:rFonts w:ascii="Arial Narrow" w:hAnsi="Arial Narrow"/>
                <w:sz w:val="20"/>
                <w:szCs w:val="20"/>
              </w:rPr>
              <w:t>The treatment must provide no more than the balance of doses up to 14 to 16 weeks therapy available under Initial treatment - subcutaneous form</w:t>
            </w:r>
            <w:r w:rsidRPr="007118D3">
              <w:rPr>
                <w:rFonts w:ascii="Arial Narrow" w:hAnsi="Arial Narrow"/>
                <w:strike/>
                <w:sz w:val="20"/>
                <w:szCs w:val="20"/>
              </w:rPr>
              <w:t>; or</w:t>
            </w:r>
          </w:p>
        </w:tc>
      </w:tr>
      <w:tr w:rsidR="000706E9" w:rsidRPr="009D1C4B" w14:paraId="0055E353" w14:textId="77777777">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9F529BB" w14:textId="0233B6CD" w:rsidR="000706E9" w:rsidRPr="007118D3" w:rsidRDefault="000706E9">
            <w:pPr>
              <w:jc w:val="center"/>
              <w:rPr>
                <w:rFonts w:ascii="Arial Narrow" w:hAnsi="Arial Narrow"/>
                <w:strike/>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4EBA81" w14:textId="77777777" w:rsidR="000706E9" w:rsidRPr="007118D3" w:rsidRDefault="000706E9">
            <w:pPr>
              <w:rPr>
                <w:rFonts w:ascii="Arial Narrow" w:hAnsi="Arial Narrow"/>
                <w:strike/>
                <w:sz w:val="20"/>
                <w:szCs w:val="20"/>
              </w:rPr>
            </w:pPr>
            <w:r w:rsidRPr="007118D3">
              <w:rPr>
                <w:rFonts w:ascii="Arial Narrow" w:hAnsi="Arial Narrow"/>
                <w:strike/>
                <w:sz w:val="20"/>
                <w:szCs w:val="20"/>
              </w:rPr>
              <w:t>The treatment must provide no more than the balance of up to 24 weeks treatment available under the Continuing treatment - subcutaneous form</w:t>
            </w:r>
          </w:p>
        </w:tc>
      </w:tr>
      <w:tr w:rsidR="000706E9" w:rsidRPr="001428E9" w14:paraId="3317F180"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35CFB790" w14:textId="741B58C4" w:rsidR="000706E9" w:rsidRPr="007118D3" w:rsidRDefault="000706E9">
            <w:pPr>
              <w:jc w:val="center"/>
              <w:rPr>
                <w:rFonts w:ascii="Arial Narrow" w:hAnsi="Arial Narrow"/>
                <w:sz w:val="20"/>
                <w:szCs w:val="20"/>
              </w:rPr>
            </w:pPr>
          </w:p>
        </w:tc>
        <w:tc>
          <w:tcPr>
            <w:tcW w:w="7745" w:type="dxa"/>
            <w:gridSpan w:val="6"/>
            <w:vAlign w:val="center"/>
          </w:tcPr>
          <w:p w14:paraId="7CC1D511" w14:textId="77777777" w:rsidR="000706E9" w:rsidRPr="007118D3" w:rsidRDefault="000706E9">
            <w:pPr>
              <w:ind w:left="-57"/>
              <w:rPr>
                <w:rFonts w:ascii="Arial Narrow" w:hAnsi="Arial Narrow"/>
                <w:bCs/>
                <w:sz w:val="20"/>
                <w:szCs w:val="20"/>
              </w:rPr>
            </w:pPr>
            <w:r w:rsidRPr="007118D3">
              <w:rPr>
                <w:rFonts w:ascii="Arial Narrow" w:hAnsi="Arial Narrow"/>
                <w:b/>
                <w:bCs/>
                <w:sz w:val="20"/>
                <w:szCs w:val="20"/>
              </w:rPr>
              <w:t xml:space="preserve">Administrative Advice: </w:t>
            </w:r>
            <w:r w:rsidRPr="007118D3">
              <w:rPr>
                <w:rFonts w:ascii="Arial Narrow" w:hAnsi="Arial Narrow"/>
                <w:bCs/>
                <w:sz w:val="20"/>
                <w:szCs w:val="20"/>
              </w:rPr>
              <w:t xml:space="preserve">Applications for authorisation under this restriction may be made in real time using the Online PBS Authorities system (see </w:t>
            </w:r>
            <w:hyperlink r:id="rId13" w:history="1">
              <w:r w:rsidRPr="007118D3">
                <w:rPr>
                  <w:rStyle w:val="Hyperlink"/>
                  <w:rFonts w:ascii="Arial Narrow" w:hAnsi="Arial Narrow"/>
                  <w:bCs/>
                  <w:sz w:val="20"/>
                  <w:szCs w:val="20"/>
                </w:rPr>
                <w:t>www.servicesaustralia.gov.au/HPOS</w:t>
              </w:r>
            </w:hyperlink>
            <w:r w:rsidRPr="007118D3">
              <w:rPr>
                <w:rFonts w:ascii="Arial Narrow" w:hAnsi="Arial Narrow"/>
                <w:bCs/>
                <w:sz w:val="20"/>
                <w:szCs w:val="20"/>
              </w:rPr>
              <w:t>) or by telephone by contacting Services Australia on 1800 700 270 (hours of operation 8 a.m. to 5 p.m. Monday to Friday). </w:t>
            </w:r>
          </w:p>
        </w:tc>
      </w:tr>
    </w:tbl>
    <w:p w14:paraId="2A25109A" w14:textId="1F40CE71" w:rsidR="007F57C5" w:rsidRPr="00E95368" w:rsidRDefault="001056B7" w:rsidP="00E95368">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361B74D1" w14:textId="77777777" w:rsidR="00627E44" w:rsidRPr="00365FCC" w:rsidRDefault="00627E44" w:rsidP="00365FCC">
      <w:pPr>
        <w:pStyle w:val="2-SectionHeading"/>
      </w:pPr>
      <w:r w:rsidRPr="00627E44">
        <w:t>Context for Decision</w:t>
      </w:r>
    </w:p>
    <w:p w14:paraId="565D55C2" w14:textId="77777777" w:rsidR="00627E44" w:rsidRPr="00061CBE" w:rsidRDefault="00627E44" w:rsidP="00365FCC">
      <w:pPr>
        <w:spacing w:before="120"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5AFD987" w14:textId="05D9C908" w:rsidR="00627E44" w:rsidRPr="00627E44" w:rsidRDefault="00627E44" w:rsidP="00365FCC">
      <w:pPr>
        <w:pStyle w:val="2-SectionHeading"/>
      </w:pPr>
      <w:r w:rsidRPr="00627E44">
        <w:lastRenderedPageBreak/>
        <w:t>Sponsor’s Comment</w:t>
      </w:r>
    </w:p>
    <w:p w14:paraId="718F1603" w14:textId="2FAD9C3C" w:rsidR="00EF62EB" w:rsidRPr="00EF62EB" w:rsidRDefault="00627E44" w:rsidP="00365FCC">
      <w:pPr>
        <w:pStyle w:val="3-BodyText"/>
        <w:numPr>
          <w:ilvl w:val="0"/>
          <w:numId w:val="0"/>
        </w:numPr>
        <w:ind w:firstLine="720"/>
      </w:pPr>
      <w:r w:rsidRPr="00061CBE">
        <w:rPr>
          <w:bCs/>
        </w:rPr>
        <w:t>The sponsor had no comment</w:t>
      </w:r>
      <w:r>
        <w:rPr>
          <w:bCs/>
        </w:rPr>
        <w:t>.</w:t>
      </w:r>
    </w:p>
    <w:sectPr w:rsidR="00EF62EB" w:rsidRPr="00EF62EB" w:rsidSect="00606A7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A8E3" w14:textId="77777777" w:rsidR="000879D5" w:rsidRDefault="000879D5">
      <w:r>
        <w:separator/>
      </w:r>
    </w:p>
    <w:p w14:paraId="35EAF644" w14:textId="77777777" w:rsidR="000879D5" w:rsidRDefault="000879D5"/>
  </w:endnote>
  <w:endnote w:type="continuationSeparator" w:id="0">
    <w:p w14:paraId="321310D4" w14:textId="77777777" w:rsidR="000879D5" w:rsidRDefault="000879D5">
      <w:r>
        <w:continuationSeparator/>
      </w:r>
    </w:p>
    <w:p w14:paraId="20796651" w14:textId="77777777" w:rsidR="000879D5" w:rsidRDefault="000879D5"/>
  </w:endnote>
  <w:endnote w:type="continuationNotice" w:id="1">
    <w:p w14:paraId="5D0E1E49" w14:textId="77777777" w:rsidR="000879D5" w:rsidRDefault="00087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8349" w14:textId="77777777" w:rsidR="00D52E23" w:rsidRDefault="00D52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388F" w14:textId="77777777" w:rsidR="000879D5" w:rsidRDefault="000879D5">
      <w:r>
        <w:separator/>
      </w:r>
    </w:p>
    <w:p w14:paraId="571A869C" w14:textId="77777777" w:rsidR="000879D5" w:rsidRDefault="000879D5"/>
  </w:footnote>
  <w:footnote w:type="continuationSeparator" w:id="0">
    <w:p w14:paraId="4EFF2936" w14:textId="77777777" w:rsidR="000879D5" w:rsidRDefault="000879D5">
      <w:r>
        <w:continuationSeparator/>
      </w:r>
    </w:p>
    <w:p w14:paraId="2DDCE66B" w14:textId="77777777" w:rsidR="000879D5" w:rsidRDefault="000879D5"/>
  </w:footnote>
  <w:footnote w:type="continuationNotice" w:id="1">
    <w:p w14:paraId="6D6E6A72" w14:textId="77777777" w:rsidR="000879D5" w:rsidRDefault="000879D5"/>
  </w:footnote>
  <w:footnote w:id="2">
    <w:p w14:paraId="5BB9C08C" w14:textId="77777777" w:rsidR="00DE0CAF" w:rsidRDefault="00DE0CAF" w:rsidP="00DE0CAF">
      <w:pPr>
        <w:pStyle w:val="FootnoteText"/>
        <w:jc w:val="left"/>
      </w:pPr>
      <w:r>
        <w:rPr>
          <w:rStyle w:val="FootnoteReference"/>
        </w:rPr>
        <w:footnoteRef/>
      </w:r>
      <w:r>
        <w:t xml:space="preserve"> </w:t>
      </w:r>
      <w:r w:rsidRPr="008C7637">
        <w:t>Inquiry into National Health Amendment (Pharmaceutical Benefits Scheme) Bill 2007</w:t>
      </w:r>
      <w:r>
        <w:t xml:space="preserve">, </w:t>
      </w:r>
      <w:r w:rsidRPr="008C7637">
        <w:t>Senate Community Affairs Committee</w:t>
      </w:r>
      <w:r>
        <w:t xml:space="preserve"> (SCAC) at </w:t>
      </w:r>
      <w:hyperlink r:id="rId1" w:history="1">
        <w:r w:rsidRPr="008C7637">
          <w:rPr>
            <w:rStyle w:val="Hyperlink"/>
          </w:rPr>
          <w:t>https://www.aph.gov.au/~/media/wopapub/senate/committee/clac_ctte/completed_inquiries/2004_07/nat_hth_pbs_07/submissions/sub04_pdf.ashx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49CED7C6" w:rsidR="00C56D78" w:rsidRPr="00C56D78" w:rsidRDefault="00145B06" w:rsidP="000421CE">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0421CE">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AF2E85">
      <w:rPr>
        <w:rFonts w:asciiTheme="minorHAnsi" w:eastAsiaTheme="minorEastAsia" w:hAnsiTheme="minorHAnsi" w:cstheme="minorHAnsi"/>
        <w:i/>
        <w:color w:val="808080"/>
      </w:rPr>
      <w:t>March</w:t>
    </w:r>
    <w:r w:rsidR="00C56D78">
      <w:rPr>
        <w:rFonts w:asciiTheme="minorHAnsi" w:eastAsiaTheme="minorEastAsia" w:hAnsiTheme="minorHAnsi" w:cstheme="minorHAnsi"/>
        <w:i/>
        <w:color w:val="808080"/>
      </w:rPr>
      <w:t xml:space="preserve"> 202</w:t>
    </w:r>
    <w:r w:rsidR="00125B3F">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5A0F" w14:textId="77777777" w:rsidR="00D52E23" w:rsidRDefault="00D52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2" w15:restartNumberingAfterBreak="0">
    <w:nsid w:val="03FB74B4"/>
    <w:multiLevelType w:val="multilevel"/>
    <w:tmpl w:val="DB3C2736"/>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CC35CE"/>
    <w:multiLevelType w:val="hybridMultilevel"/>
    <w:tmpl w:val="DC089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9652A1"/>
    <w:multiLevelType w:val="hybridMultilevel"/>
    <w:tmpl w:val="84E81BB8"/>
    <w:lvl w:ilvl="0" w:tplc="A524C4F4">
      <w:start w:val="1"/>
      <w:numFmt w:val="bullet"/>
      <w:lvlText w:val=""/>
      <w:lvlJc w:val="left"/>
      <w:pPr>
        <w:ind w:left="1480" w:hanging="360"/>
      </w:pPr>
      <w:rPr>
        <w:rFonts w:ascii="Symbol" w:hAnsi="Symbol"/>
      </w:rPr>
    </w:lvl>
    <w:lvl w:ilvl="1" w:tplc="77C08C98">
      <w:start w:val="1"/>
      <w:numFmt w:val="bullet"/>
      <w:lvlText w:val=""/>
      <w:lvlJc w:val="left"/>
      <w:pPr>
        <w:ind w:left="1480" w:hanging="360"/>
      </w:pPr>
      <w:rPr>
        <w:rFonts w:ascii="Symbol" w:hAnsi="Symbol"/>
      </w:rPr>
    </w:lvl>
    <w:lvl w:ilvl="2" w:tplc="3BBE4294">
      <w:start w:val="1"/>
      <w:numFmt w:val="bullet"/>
      <w:lvlText w:val=""/>
      <w:lvlJc w:val="left"/>
      <w:pPr>
        <w:ind w:left="1480" w:hanging="360"/>
      </w:pPr>
      <w:rPr>
        <w:rFonts w:ascii="Symbol" w:hAnsi="Symbol"/>
      </w:rPr>
    </w:lvl>
    <w:lvl w:ilvl="3" w:tplc="93DABD9C">
      <w:start w:val="1"/>
      <w:numFmt w:val="bullet"/>
      <w:lvlText w:val=""/>
      <w:lvlJc w:val="left"/>
      <w:pPr>
        <w:ind w:left="1480" w:hanging="360"/>
      </w:pPr>
      <w:rPr>
        <w:rFonts w:ascii="Symbol" w:hAnsi="Symbol"/>
      </w:rPr>
    </w:lvl>
    <w:lvl w:ilvl="4" w:tplc="93DC0BFA">
      <w:start w:val="1"/>
      <w:numFmt w:val="bullet"/>
      <w:lvlText w:val=""/>
      <w:lvlJc w:val="left"/>
      <w:pPr>
        <w:ind w:left="1480" w:hanging="360"/>
      </w:pPr>
      <w:rPr>
        <w:rFonts w:ascii="Symbol" w:hAnsi="Symbol"/>
      </w:rPr>
    </w:lvl>
    <w:lvl w:ilvl="5" w:tplc="D60E9624">
      <w:start w:val="1"/>
      <w:numFmt w:val="bullet"/>
      <w:lvlText w:val=""/>
      <w:lvlJc w:val="left"/>
      <w:pPr>
        <w:ind w:left="1480" w:hanging="360"/>
      </w:pPr>
      <w:rPr>
        <w:rFonts w:ascii="Symbol" w:hAnsi="Symbol"/>
      </w:rPr>
    </w:lvl>
    <w:lvl w:ilvl="6" w:tplc="8B6C41EE">
      <w:start w:val="1"/>
      <w:numFmt w:val="bullet"/>
      <w:lvlText w:val=""/>
      <w:lvlJc w:val="left"/>
      <w:pPr>
        <w:ind w:left="1480" w:hanging="360"/>
      </w:pPr>
      <w:rPr>
        <w:rFonts w:ascii="Symbol" w:hAnsi="Symbol"/>
      </w:rPr>
    </w:lvl>
    <w:lvl w:ilvl="7" w:tplc="92E037DA">
      <w:start w:val="1"/>
      <w:numFmt w:val="bullet"/>
      <w:lvlText w:val=""/>
      <w:lvlJc w:val="left"/>
      <w:pPr>
        <w:ind w:left="1480" w:hanging="360"/>
      </w:pPr>
      <w:rPr>
        <w:rFonts w:ascii="Symbol" w:hAnsi="Symbol"/>
      </w:rPr>
    </w:lvl>
    <w:lvl w:ilvl="8" w:tplc="061491CC">
      <w:start w:val="1"/>
      <w:numFmt w:val="bullet"/>
      <w:lvlText w:val=""/>
      <w:lvlJc w:val="left"/>
      <w:pPr>
        <w:ind w:left="1480" w:hanging="360"/>
      </w:pPr>
      <w:rPr>
        <w:rFonts w:ascii="Symbol" w:hAnsi="Symbol"/>
      </w:rPr>
    </w:lvl>
  </w:abstractNum>
  <w:abstractNum w:abstractNumId="5"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733A22"/>
    <w:multiLevelType w:val="hybridMultilevel"/>
    <w:tmpl w:val="E6921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E602AF"/>
    <w:multiLevelType w:val="hybridMultilevel"/>
    <w:tmpl w:val="D682E4D6"/>
    <w:lvl w:ilvl="0" w:tplc="9AF656A2">
      <w:start w:val="1"/>
      <w:numFmt w:val="upperLetter"/>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FFD6CBD"/>
    <w:multiLevelType w:val="multilevel"/>
    <w:tmpl w:val="CD46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21C23"/>
    <w:multiLevelType w:val="multilevel"/>
    <w:tmpl w:val="D788FA40"/>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8C653C"/>
    <w:multiLevelType w:val="multilevel"/>
    <w:tmpl w:val="0B72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46AD7"/>
    <w:multiLevelType w:val="hybridMultilevel"/>
    <w:tmpl w:val="54EC37F4"/>
    <w:lvl w:ilvl="0" w:tplc="ECF4E84E">
      <w:start w:val="1"/>
      <w:numFmt w:val="upperLetter"/>
      <w:lvlText w:val="%1."/>
      <w:lvlJc w:val="left"/>
      <w:pPr>
        <w:ind w:left="360" w:hanging="360"/>
      </w:pPr>
      <w:rPr>
        <w:rFonts w:ascii="Calibri" w:eastAsia="Times New Roman" w:hAnsi="Calibri" w:cs="Times New Roman"/>
        <w:i w:val="0"/>
        <w:iCs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0C94198"/>
    <w:multiLevelType w:val="hybridMultilevel"/>
    <w:tmpl w:val="18BE8826"/>
    <w:lvl w:ilvl="0" w:tplc="A838098C">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132101F"/>
    <w:multiLevelType w:val="hybridMultilevel"/>
    <w:tmpl w:val="199CFDC2"/>
    <w:lvl w:ilvl="0" w:tplc="0C090001">
      <w:start w:val="1"/>
      <w:numFmt w:val="bullet"/>
      <w:lvlText w:val=""/>
      <w:lvlJc w:val="left"/>
      <w:pPr>
        <w:ind w:left="1440" w:hanging="360"/>
      </w:pPr>
      <w:rPr>
        <w:rFonts w:ascii="Symbol" w:hAnsi="Symbol" w:hint="default"/>
        <w:i w:val="0"/>
        <w:i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260597E"/>
    <w:multiLevelType w:val="hybridMultilevel"/>
    <w:tmpl w:val="A9EEBF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3A9071C"/>
    <w:multiLevelType w:val="hybridMultilevel"/>
    <w:tmpl w:val="0C1E3A4C"/>
    <w:lvl w:ilvl="0" w:tplc="0C090001">
      <w:start w:val="1"/>
      <w:numFmt w:val="bullet"/>
      <w:lvlText w:val=""/>
      <w:lvlJc w:val="left"/>
      <w:pPr>
        <w:ind w:left="1440" w:hanging="360"/>
      </w:pPr>
      <w:rPr>
        <w:rFonts w:ascii="Symbol" w:hAnsi="Symbol" w:hint="default"/>
        <w:i w:val="0"/>
        <w:i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6244933"/>
    <w:multiLevelType w:val="hybridMultilevel"/>
    <w:tmpl w:val="CD303316"/>
    <w:lvl w:ilvl="0" w:tplc="607A9A4E">
      <w:start w:val="1"/>
      <w:numFmt w:val="upperLetter"/>
      <w:lvlText w:val="%1."/>
      <w:lvlJc w:val="left"/>
      <w:pPr>
        <w:ind w:left="720"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8BC53F1"/>
    <w:multiLevelType w:val="hybridMultilevel"/>
    <w:tmpl w:val="CBCAA16C"/>
    <w:lvl w:ilvl="0" w:tplc="0C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BC410D3"/>
    <w:multiLevelType w:val="hybridMultilevel"/>
    <w:tmpl w:val="56C087BE"/>
    <w:lvl w:ilvl="0" w:tplc="EC726BD2">
      <w:start w:val="1"/>
      <w:numFmt w:val="bullet"/>
      <w:lvlText w:val=""/>
      <w:lvlJc w:val="left"/>
      <w:pPr>
        <w:ind w:left="1480" w:hanging="360"/>
      </w:pPr>
      <w:rPr>
        <w:rFonts w:ascii="Symbol" w:hAnsi="Symbol"/>
      </w:rPr>
    </w:lvl>
    <w:lvl w:ilvl="1" w:tplc="CE42314A">
      <w:start w:val="1"/>
      <w:numFmt w:val="bullet"/>
      <w:lvlText w:val=""/>
      <w:lvlJc w:val="left"/>
      <w:pPr>
        <w:ind w:left="1480" w:hanging="360"/>
      </w:pPr>
      <w:rPr>
        <w:rFonts w:ascii="Symbol" w:hAnsi="Symbol"/>
      </w:rPr>
    </w:lvl>
    <w:lvl w:ilvl="2" w:tplc="3D0683EE">
      <w:start w:val="1"/>
      <w:numFmt w:val="bullet"/>
      <w:lvlText w:val=""/>
      <w:lvlJc w:val="left"/>
      <w:pPr>
        <w:ind w:left="1480" w:hanging="360"/>
      </w:pPr>
      <w:rPr>
        <w:rFonts w:ascii="Symbol" w:hAnsi="Symbol"/>
      </w:rPr>
    </w:lvl>
    <w:lvl w:ilvl="3" w:tplc="CD0E3FB8">
      <w:start w:val="1"/>
      <w:numFmt w:val="bullet"/>
      <w:lvlText w:val=""/>
      <w:lvlJc w:val="left"/>
      <w:pPr>
        <w:ind w:left="1480" w:hanging="360"/>
      </w:pPr>
      <w:rPr>
        <w:rFonts w:ascii="Symbol" w:hAnsi="Symbol"/>
      </w:rPr>
    </w:lvl>
    <w:lvl w:ilvl="4" w:tplc="00E22EF6">
      <w:start w:val="1"/>
      <w:numFmt w:val="bullet"/>
      <w:lvlText w:val=""/>
      <w:lvlJc w:val="left"/>
      <w:pPr>
        <w:ind w:left="1480" w:hanging="360"/>
      </w:pPr>
      <w:rPr>
        <w:rFonts w:ascii="Symbol" w:hAnsi="Symbol"/>
      </w:rPr>
    </w:lvl>
    <w:lvl w:ilvl="5" w:tplc="EF0AF0F6">
      <w:start w:val="1"/>
      <w:numFmt w:val="bullet"/>
      <w:lvlText w:val=""/>
      <w:lvlJc w:val="left"/>
      <w:pPr>
        <w:ind w:left="1480" w:hanging="360"/>
      </w:pPr>
      <w:rPr>
        <w:rFonts w:ascii="Symbol" w:hAnsi="Symbol"/>
      </w:rPr>
    </w:lvl>
    <w:lvl w:ilvl="6" w:tplc="A37C5960">
      <w:start w:val="1"/>
      <w:numFmt w:val="bullet"/>
      <w:lvlText w:val=""/>
      <w:lvlJc w:val="left"/>
      <w:pPr>
        <w:ind w:left="1480" w:hanging="360"/>
      </w:pPr>
      <w:rPr>
        <w:rFonts w:ascii="Symbol" w:hAnsi="Symbol"/>
      </w:rPr>
    </w:lvl>
    <w:lvl w:ilvl="7" w:tplc="21424E6E">
      <w:start w:val="1"/>
      <w:numFmt w:val="bullet"/>
      <w:lvlText w:val=""/>
      <w:lvlJc w:val="left"/>
      <w:pPr>
        <w:ind w:left="1480" w:hanging="360"/>
      </w:pPr>
      <w:rPr>
        <w:rFonts w:ascii="Symbol" w:hAnsi="Symbol"/>
      </w:rPr>
    </w:lvl>
    <w:lvl w:ilvl="8" w:tplc="32FA0E34">
      <w:start w:val="1"/>
      <w:numFmt w:val="bullet"/>
      <w:lvlText w:val=""/>
      <w:lvlJc w:val="left"/>
      <w:pPr>
        <w:ind w:left="1480" w:hanging="360"/>
      </w:pPr>
      <w:rPr>
        <w:rFonts w:ascii="Symbol" w:hAnsi="Symbol"/>
      </w:rPr>
    </w:lvl>
  </w:abstractNum>
  <w:abstractNum w:abstractNumId="1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0" w15:restartNumberingAfterBreak="0">
    <w:nsid w:val="486A4A63"/>
    <w:multiLevelType w:val="hybridMultilevel"/>
    <w:tmpl w:val="B8B0EFB8"/>
    <w:lvl w:ilvl="0" w:tplc="0C090001">
      <w:start w:val="1"/>
      <w:numFmt w:val="bullet"/>
      <w:lvlText w:val=""/>
      <w:lvlJc w:val="left"/>
      <w:pPr>
        <w:ind w:left="589" w:hanging="360"/>
      </w:pPr>
      <w:rPr>
        <w:rFonts w:ascii="Symbol" w:hAnsi="Symbol" w:hint="default"/>
      </w:rPr>
    </w:lvl>
    <w:lvl w:ilvl="1" w:tplc="442A8F9A">
      <w:start w:val="1"/>
      <w:numFmt w:val="lowerLetter"/>
      <w:lvlText w:val="%2."/>
      <w:lvlJc w:val="left"/>
      <w:pPr>
        <w:ind w:left="1309" w:hanging="360"/>
      </w:pPr>
    </w:lvl>
    <w:lvl w:ilvl="2" w:tplc="AE6252A8">
      <w:start w:val="1"/>
      <w:numFmt w:val="lowerRoman"/>
      <w:lvlText w:val="%3."/>
      <w:lvlJc w:val="right"/>
      <w:pPr>
        <w:ind w:left="2029" w:hanging="180"/>
      </w:pPr>
    </w:lvl>
    <w:lvl w:ilvl="3" w:tplc="0C090001">
      <w:start w:val="1"/>
      <w:numFmt w:val="bullet"/>
      <w:lvlText w:val=""/>
      <w:lvlJc w:val="left"/>
      <w:pPr>
        <w:ind w:left="2749" w:hanging="360"/>
      </w:pPr>
      <w:rPr>
        <w:rFonts w:ascii="Symbol" w:hAnsi="Symbol" w:hint="default"/>
      </w:rPr>
    </w:lvl>
    <w:lvl w:ilvl="4" w:tplc="6AA6B8AE">
      <w:start w:val="1"/>
      <w:numFmt w:val="lowerLetter"/>
      <w:lvlText w:val="%5."/>
      <w:lvlJc w:val="left"/>
      <w:pPr>
        <w:ind w:left="3469" w:hanging="360"/>
      </w:pPr>
    </w:lvl>
    <w:lvl w:ilvl="5" w:tplc="5FE8C990">
      <w:start w:val="1"/>
      <w:numFmt w:val="lowerRoman"/>
      <w:lvlText w:val="%6."/>
      <w:lvlJc w:val="right"/>
      <w:pPr>
        <w:ind w:left="4189" w:hanging="180"/>
      </w:pPr>
    </w:lvl>
    <w:lvl w:ilvl="6" w:tplc="2D5CA0F4">
      <w:start w:val="1"/>
      <w:numFmt w:val="decimal"/>
      <w:lvlText w:val="%7."/>
      <w:lvlJc w:val="left"/>
      <w:pPr>
        <w:ind w:left="4909" w:hanging="360"/>
      </w:pPr>
    </w:lvl>
    <w:lvl w:ilvl="7" w:tplc="17D46400">
      <w:start w:val="1"/>
      <w:numFmt w:val="lowerLetter"/>
      <w:lvlText w:val="%8."/>
      <w:lvlJc w:val="left"/>
      <w:pPr>
        <w:ind w:left="5629" w:hanging="360"/>
      </w:pPr>
    </w:lvl>
    <w:lvl w:ilvl="8" w:tplc="F3580F02">
      <w:start w:val="1"/>
      <w:numFmt w:val="lowerRoman"/>
      <w:lvlText w:val="%9."/>
      <w:lvlJc w:val="right"/>
      <w:pPr>
        <w:ind w:left="6349" w:hanging="180"/>
      </w:pPr>
    </w:lvl>
  </w:abstractNum>
  <w:abstractNum w:abstractNumId="21" w15:restartNumberingAfterBreak="0">
    <w:nsid w:val="4A013E46"/>
    <w:multiLevelType w:val="multilevel"/>
    <w:tmpl w:val="98E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A622FD"/>
    <w:multiLevelType w:val="hybridMultilevel"/>
    <w:tmpl w:val="3ACC1D46"/>
    <w:lvl w:ilvl="0" w:tplc="D8CCAE7C">
      <w:numFmt w:val="bullet"/>
      <w:lvlText w:val="-"/>
      <w:lvlJc w:val="left"/>
      <w:pPr>
        <w:ind w:left="360" w:hanging="360"/>
      </w:pPr>
      <w:rPr>
        <w:rFonts w:ascii="Calibri" w:eastAsiaTheme="minorHAnsi" w:hAnsi="Calibri" w:cs="Calibri" w:hint="default"/>
        <w:b w:val="0"/>
        <w:sz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667F5A"/>
    <w:multiLevelType w:val="hybridMultilevel"/>
    <w:tmpl w:val="4D681C1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810DEE"/>
    <w:multiLevelType w:val="hybridMultilevel"/>
    <w:tmpl w:val="1DC46AD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5AE4268"/>
    <w:multiLevelType w:val="hybridMultilevel"/>
    <w:tmpl w:val="95F084C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0AA1899"/>
    <w:multiLevelType w:val="hybridMultilevel"/>
    <w:tmpl w:val="E99C8B60"/>
    <w:lvl w:ilvl="0" w:tplc="DB4EC788">
      <w:start w:val="1"/>
      <w:numFmt w:val="bullet"/>
      <w:pStyle w:val="KMC16-BulletLis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E10DF6A">
      <w:numFmt w:val="bullet"/>
      <w:lvlText w:val="•"/>
      <w:lvlJc w:val="left"/>
      <w:pPr>
        <w:ind w:left="2250" w:hanging="45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593502"/>
    <w:multiLevelType w:val="hybridMultilevel"/>
    <w:tmpl w:val="9DAECAB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4E32B36"/>
    <w:multiLevelType w:val="hybridMultilevel"/>
    <w:tmpl w:val="BFB6343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D331A0B"/>
    <w:multiLevelType w:val="hybridMultilevel"/>
    <w:tmpl w:val="8D36EEC8"/>
    <w:lvl w:ilvl="0" w:tplc="9E70ADDC">
      <w:start w:val="1"/>
      <w:numFmt w:val="bullet"/>
      <w:lvlText w:val=""/>
      <w:lvlJc w:val="left"/>
      <w:pPr>
        <w:ind w:left="1480" w:hanging="360"/>
      </w:pPr>
      <w:rPr>
        <w:rFonts w:ascii="Symbol" w:hAnsi="Symbol"/>
      </w:rPr>
    </w:lvl>
    <w:lvl w:ilvl="1" w:tplc="3280D4EA">
      <w:start w:val="1"/>
      <w:numFmt w:val="bullet"/>
      <w:lvlText w:val=""/>
      <w:lvlJc w:val="left"/>
      <w:pPr>
        <w:ind w:left="2240" w:hanging="360"/>
      </w:pPr>
      <w:rPr>
        <w:rFonts w:ascii="Symbol" w:hAnsi="Symbol"/>
      </w:rPr>
    </w:lvl>
    <w:lvl w:ilvl="2" w:tplc="5A7A603E">
      <w:start w:val="1"/>
      <w:numFmt w:val="bullet"/>
      <w:lvlText w:val=""/>
      <w:lvlJc w:val="left"/>
      <w:pPr>
        <w:ind w:left="1480" w:hanging="360"/>
      </w:pPr>
      <w:rPr>
        <w:rFonts w:ascii="Symbol" w:hAnsi="Symbol"/>
      </w:rPr>
    </w:lvl>
    <w:lvl w:ilvl="3" w:tplc="A60ED576">
      <w:start w:val="1"/>
      <w:numFmt w:val="bullet"/>
      <w:lvlText w:val=""/>
      <w:lvlJc w:val="left"/>
      <w:pPr>
        <w:ind w:left="1480" w:hanging="360"/>
      </w:pPr>
      <w:rPr>
        <w:rFonts w:ascii="Symbol" w:hAnsi="Symbol"/>
      </w:rPr>
    </w:lvl>
    <w:lvl w:ilvl="4" w:tplc="BCFED2E4">
      <w:start w:val="1"/>
      <w:numFmt w:val="bullet"/>
      <w:lvlText w:val=""/>
      <w:lvlJc w:val="left"/>
      <w:pPr>
        <w:ind w:left="1480" w:hanging="360"/>
      </w:pPr>
      <w:rPr>
        <w:rFonts w:ascii="Symbol" w:hAnsi="Symbol"/>
      </w:rPr>
    </w:lvl>
    <w:lvl w:ilvl="5" w:tplc="1DD60B0A">
      <w:start w:val="1"/>
      <w:numFmt w:val="bullet"/>
      <w:lvlText w:val=""/>
      <w:lvlJc w:val="left"/>
      <w:pPr>
        <w:ind w:left="1480" w:hanging="360"/>
      </w:pPr>
      <w:rPr>
        <w:rFonts w:ascii="Symbol" w:hAnsi="Symbol"/>
      </w:rPr>
    </w:lvl>
    <w:lvl w:ilvl="6" w:tplc="00A64D54">
      <w:start w:val="1"/>
      <w:numFmt w:val="bullet"/>
      <w:lvlText w:val=""/>
      <w:lvlJc w:val="left"/>
      <w:pPr>
        <w:ind w:left="1480" w:hanging="360"/>
      </w:pPr>
      <w:rPr>
        <w:rFonts w:ascii="Symbol" w:hAnsi="Symbol"/>
      </w:rPr>
    </w:lvl>
    <w:lvl w:ilvl="7" w:tplc="25F693B0">
      <w:start w:val="1"/>
      <w:numFmt w:val="bullet"/>
      <w:lvlText w:val=""/>
      <w:lvlJc w:val="left"/>
      <w:pPr>
        <w:ind w:left="1480" w:hanging="360"/>
      </w:pPr>
      <w:rPr>
        <w:rFonts w:ascii="Symbol" w:hAnsi="Symbol"/>
      </w:rPr>
    </w:lvl>
    <w:lvl w:ilvl="8" w:tplc="6E60E164">
      <w:start w:val="1"/>
      <w:numFmt w:val="bullet"/>
      <w:lvlText w:val=""/>
      <w:lvlJc w:val="left"/>
      <w:pPr>
        <w:ind w:left="1480" w:hanging="360"/>
      </w:pPr>
      <w:rPr>
        <w:rFonts w:ascii="Symbol" w:hAnsi="Symbol"/>
      </w:rPr>
    </w:lvl>
  </w:abstractNum>
  <w:abstractNum w:abstractNumId="34" w15:restartNumberingAfterBreak="0">
    <w:nsid w:val="6F7A68F3"/>
    <w:multiLevelType w:val="hybridMultilevel"/>
    <w:tmpl w:val="07048000"/>
    <w:lvl w:ilvl="0" w:tplc="13586F30">
      <w:start w:val="1"/>
      <w:numFmt w:val="decimal"/>
      <w:lvlText w:val="%1."/>
      <w:lvlJc w:val="left"/>
      <w:pPr>
        <w:ind w:left="1020" w:hanging="360"/>
      </w:pPr>
    </w:lvl>
    <w:lvl w:ilvl="1" w:tplc="FB126D26">
      <w:start w:val="1"/>
      <w:numFmt w:val="decimal"/>
      <w:lvlText w:val="%2."/>
      <w:lvlJc w:val="left"/>
      <w:pPr>
        <w:ind w:left="1020" w:hanging="360"/>
      </w:pPr>
    </w:lvl>
    <w:lvl w:ilvl="2" w:tplc="A4CEEEE8">
      <w:start w:val="1"/>
      <w:numFmt w:val="decimal"/>
      <w:lvlText w:val="%3."/>
      <w:lvlJc w:val="left"/>
      <w:pPr>
        <w:ind w:left="1020" w:hanging="360"/>
      </w:pPr>
    </w:lvl>
    <w:lvl w:ilvl="3" w:tplc="C406B73E">
      <w:start w:val="1"/>
      <w:numFmt w:val="decimal"/>
      <w:lvlText w:val="%4."/>
      <w:lvlJc w:val="left"/>
      <w:pPr>
        <w:ind w:left="1020" w:hanging="360"/>
      </w:pPr>
    </w:lvl>
    <w:lvl w:ilvl="4" w:tplc="71D80628">
      <w:start w:val="1"/>
      <w:numFmt w:val="decimal"/>
      <w:lvlText w:val="%5."/>
      <w:lvlJc w:val="left"/>
      <w:pPr>
        <w:ind w:left="1020" w:hanging="360"/>
      </w:pPr>
    </w:lvl>
    <w:lvl w:ilvl="5" w:tplc="863AC4EA">
      <w:start w:val="1"/>
      <w:numFmt w:val="decimal"/>
      <w:lvlText w:val="%6."/>
      <w:lvlJc w:val="left"/>
      <w:pPr>
        <w:ind w:left="1020" w:hanging="360"/>
      </w:pPr>
    </w:lvl>
    <w:lvl w:ilvl="6" w:tplc="F06AA8FE">
      <w:start w:val="1"/>
      <w:numFmt w:val="decimal"/>
      <w:lvlText w:val="%7."/>
      <w:lvlJc w:val="left"/>
      <w:pPr>
        <w:ind w:left="1020" w:hanging="360"/>
      </w:pPr>
    </w:lvl>
    <w:lvl w:ilvl="7" w:tplc="CB0867AE">
      <w:start w:val="1"/>
      <w:numFmt w:val="decimal"/>
      <w:lvlText w:val="%8."/>
      <w:lvlJc w:val="left"/>
      <w:pPr>
        <w:ind w:left="1020" w:hanging="360"/>
      </w:pPr>
    </w:lvl>
    <w:lvl w:ilvl="8" w:tplc="E9F29F16">
      <w:start w:val="1"/>
      <w:numFmt w:val="decimal"/>
      <w:lvlText w:val="%9."/>
      <w:lvlJc w:val="left"/>
      <w:pPr>
        <w:ind w:left="1020" w:hanging="360"/>
      </w:pPr>
    </w:lvl>
  </w:abstractNum>
  <w:abstractNum w:abstractNumId="35"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7634691A"/>
    <w:multiLevelType w:val="hybridMultilevel"/>
    <w:tmpl w:val="9856B216"/>
    <w:lvl w:ilvl="0" w:tplc="953EEE24">
      <w:start w:val="1"/>
      <w:numFmt w:val="upperLetter"/>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84D033C"/>
    <w:multiLevelType w:val="multilevel"/>
    <w:tmpl w:val="35963DA6"/>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BE1466C"/>
    <w:multiLevelType w:val="hybridMultilevel"/>
    <w:tmpl w:val="DCFEB3BE"/>
    <w:lvl w:ilvl="0" w:tplc="09B828DE">
      <w:start w:val="1"/>
      <w:numFmt w:val="bullet"/>
      <w:lvlText w:val=""/>
      <w:lvlJc w:val="left"/>
      <w:pPr>
        <w:ind w:left="1480" w:hanging="360"/>
      </w:pPr>
      <w:rPr>
        <w:rFonts w:ascii="Symbol" w:hAnsi="Symbol"/>
      </w:rPr>
    </w:lvl>
    <w:lvl w:ilvl="1" w:tplc="1E2A818A">
      <w:start w:val="1"/>
      <w:numFmt w:val="bullet"/>
      <w:lvlText w:val=""/>
      <w:lvlJc w:val="left"/>
      <w:pPr>
        <w:ind w:left="1480" w:hanging="360"/>
      </w:pPr>
      <w:rPr>
        <w:rFonts w:ascii="Symbol" w:hAnsi="Symbol"/>
      </w:rPr>
    </w:lvl>
    <w:lvl w:ilvl="2" w:tplc="FB4065A2">
      <w:start w:val="1"/>
      <w:numFmt w:val="bullet"/>
      <w:lvlText w:val=""/>
      <w:lvlJc w:val="left"/>
      <w:pPr>
        <w:ind w:left="1480" w:hanging="360"/>
      </w:pPr>
      <w:rPr>
        <w:rFonts w:ascii="Symbol" w:hAnsi="Symbol"/>
      </w:rPr>
    </w:lvl>
    <w:lvl w:ilvl="3" w:tplc="7AEAE560">
      <w:start w:val="1"/>
      <w:numFmt w:val="bullet"/>
      <w:lvlText w:val=""/>
      <w:lvlJc w:val="left"/>
      <w:pPr>
        <w:ind w:left="1480" w:hanging="360"/>
      </w:pPr>
      <w:rPr>
        <w:rFonts w:ascii="Symbol" w:hAnsi="Symbol"/>
      </w:rPr>
    </w:lvl>
    <w:lvl w:ilvl="4" w:tplc="460CAC56">
      <w:start w:val="1"/>
      <w:numFmt w:val="bullet"/>
      <w:lvlText w:val=""/>
      <w:lvlJc w:val="left"/>
      <w:pPr>
        <w:ind w:left="1480" w:hanging="360"/>
      </w:pPr>
      <w:rPr>
        <w:rFonts w:ascii="Symbol" w:hAnsi="Symbol"/>
      </w:rPr>
    </w:lvl>
    <w:lvl w:ilvl="5" w:tplc="E0DE583C">
      <w:start w:val="1"/>
      <w:numFmt w:val="bullet"/>
      <w:lvlText w:val=""/>
      <w:lvlJc w:val="left"/>
      <w:pPr>
        <w:ind w:left="1480" w:hanging="360"/>
      </w:pPr>
      <w:rPr>
        <w:rFonts w:ascii="Symbol" w:hAnsi="Symbol"/>
      </w:rPr>
    </w:lvl>
    <w:lvl w:ilvl="6" w:tplc="762E1F94">
      <w:start w:val="1"/>
      <w:numFmt w:val="bullet"/>
      <w:lvlText w:val=""/>
      <w:lvlJc w:val="left"/>
      <w:pPr>
        <w:ind w:left="1480" w:hanging="360"/>
      </w:pPr>
      <w:rPr>
        <w:rFonts w:ascii="Symbol" w:hAnsi="Symbol"/>
      </w:rPr>
    </w:lvl>
    <w:lvl w:ilvl="7" w:tplc="F1D62E08">
      <w:start w:val="1"/>
      <w:numFmt w:val="bullet"/>
      <w:lvlText w:val=""/>
      <w:lvlJc w:val="left"/>
      <w:pPr>
        <w:ind w:left="1480" w:hanging="360"/>
      </w:pPr>
      <w:rPr>
        <w:rFonts w:ascii="Symbol" w:hAnsi="Symbol"/>
      </w:rPr>
    </w:lvl>
    <w:lvl w:ilvl="8" w:tplc="552020B4">
      <w:start w:val="1"/>
      <w:numFmt w:val="bullet"/>
      <w:lvlText w:val=""/>
      <w:lvlJc w:val="left"/>
      <w:pPr>
        <w:ind w:left="1480" w:hanging="360"/>
      </w:pPr>
      <w:rPr>
        <w:rFonts w:ascii="Symbol" w:hAnsi="Symbol"/>
      </w:rPr>
    </w:lvl>
  </w:abstractNum>
  <w:abstractNum w:abstractNumId="41" w15:restartNumberingAfterBreak="0">
    <w:nsid w:val="7C051FAC"/>
    <w:multiLevelType w:val="hybridMultilevel"/>
    <w:tmpl w:val="3CC269BA"/>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2" w15:restartNumberingAfterBreak="0">
    <w:nsid w:val="7FCD2E98"/>
    <w:multiLevelType w:val="hybridMultilevel"/>
    <w:tmpl w:val="897834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6"/>
  </w:num>
  <w:num w:numId="2" w16cid:durableId="957570559">
    <w:abstractNumId w:val="38"/>
  </w:num>
  <w:num w:numId="3" w16cid:durableId="1159004663">
    <w:abstractNumId w:val="27"/>
  </w:num>
  <w:num w:numId="4" w16cid:durableId="418600173">
    <w:abstractNumId w:val="39"/>
  </w:num>
  <w:num w:numId="5" w16cid:durableId="34236669">
    <w:abstractNumId w:val="35"/>
  </w:num>
  <w:num w:numId="6" w16cid:durableId="1279799443">
    <w:abstractNumId w:val="22"/>
  </w:num>
  <w:num w:numId="7" w16cid:durableId="495537779">
    <w:abstractNumId w:val="19"/>
  </w:num>
  <w:num w:numId="8" w16cid:durableId="1468400811">
    <w:abstractNumId w:val="0"/>
  </w:num>
  <w:num w:numId="9" w16cid:durableId="1915313393">
    <w:abstractNumId w:val="32"/>
  </w:num>
  <w:num w:numId="10" w16cid:durableId="1751541441">
    <w:abstractNumId w:val="1"/>
  </w:num>
  <w:num w:numId="11" w16cid:durableId="939459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2348298">
    <w:abstractNumId w:val="20"/>
  </w:num>
  <w:num w:numId="13" w16cid:durableId="670838392">
    <w:abstractNumId w:val="36"/>
  </w:num>
  <w:num w:numId="14" w16cid:durableId="1103570019">
    <w:abstractNumId w:val="11"/>
  </w:num>
  <w:num w:numId="15" w16cid:durableId="2041346921">
    <w:abstractNumId w:val="38"/>
  </w:num>
  <w:num w:numId="16" w16cid:durableId="998076298">
    <w:abstractNumId w:val="23"/>
  </w:num>
  <w:num w:numId="17" w16cid:durableId="856309863">
    <w:abstractNumId w:val="28"/>
  </w:num>
  <w:num w:numId="18" w16cid:durableId="83192583">
    <w:abstractNumId w:val="8"/>
  </w:num>
  <w:num w:numId="19" w16cid:durableId="642731440">
    <w:abstractNumId w:val="10"/>
  </w:num>
  <w:num w:numId="20" w16cid:durableId="1859200795">
    <w:abstractNumId w:val="42"/>
  </w:num>
  <w:num w:numId="21" w16cid:durableId="1093552706">
    <w:abstractNumId w:val="41"/>
  </w:num>
  <w:num w:numId="22" w16cid:durableId="1147436918">
    <w:abstractNumId w:val="14"/>
  </w:num>
  <w:num w:numId="23" w16cid:durableId="722872004">
    <w:abstractNumId w:val="38"/>
  </w:num>
  <w:num w:numId="24" w16cid:durableId="1841651190">
    <w:abstractNumId w:val="5"/>
  </w:num>
  <w:num w:numId="25" w16cid:durableId="438262989">
    <w:abstractNumId w:val="38"/>
  </w:num>
  <w:num w:numId="26" w16cid:durableId="1676573469">
    <w:abstractNumId w:val="24"/>
  </w:num>
  <w:num w:numId="27" w16cid:durableId="463620774">
    <w:abstractNumId w:val="11"/>
  </w:num>
  <w:num w:numId="28" w16cid:durableId="2115981875">
    <w:abstractNumId w:val="38"/>
  </w:num>
  <w:num w:numId="29" w16cid:durableId="1158107553">
    <w:abstractNumId w:val="38"/>
  </w:num>
  <w:num w:numId="30" w16cid:durableId="1238520088">
    <w:abstractNumId w:val="34"/>
  </w:num>
  <w:num w:numId="31" w16cid:durableId="75170432">
    <w:abstractNumId w:val="40"/>
  </w:num>
  <w:num w:numId="32" w16cid:durableId="1913350775">
    <w:abstractNumId w:val="4"/>
  </w:num>
  <w:num w:numId="33" w16cid:durableId="741173392">
    <w:abstractNumId w:val="18"/>
  </w:num>
  <w:num w:numId="34" w16cid:durableId="903375901">
    <w:abstractNumId w:val="33"/>
  </w:num>
  <w:num w:numId="35" w16cid:durableId="1625234017">
    <w:abstractNumId w:val="7"/>
  </w:num>
  <w:num w:numId="36" w16cid:durableId="365448029">
    <w:abstractNumId w:val="37"/>
  </w:num>
  <w:num w:numId="37" w16cid:durableId="27033320">
    <w:abstractNumId w:val="26"/>
  </w:num>
  <w:num w:numId="38" w16cid:durableId="1463770597">
    <w:abstractNumId w:val="25"/>
  </w:num>
  <w:num w:numId="39" w16cid:durableId="2135367840">
    <w:abstractNumId w:val="17"/>
  </w:num>
  <w:num w:numId="40" w16cid:durableId="2019769179">
    <w:abstractNumId w:val="30"/>
  </w:num>
  <w:num w:numId="41" w16cid:durableId="808595010">
    <w:abstractNumId w:val="29"/>
  </w:num>
  <w:num w:numId="42" w16cid:durableId="1164201849">
    <w:abstractNumId w:val="6"/>
  </w:num>
  <w:num w:numId="43" w16cid:durableId="604926593">
    <w:abstractNumId w:val="3"/>
  </w:num>
  <w:num w:numId="44" w16cid:durableId="1780682695">
    <w:abstractNumId w:val="15"/>
  </w:num>
  <w:num w:numId="45" w16cid:durableId="494297848">
    <w:abstractNumId w:val="13"/>
  </w:num>
  <w:num w:numId="46" w16cid:durableId="276256606">
    <w:abstractNumId w:val="9"/>
  </w:num>
  <w:num w:numId="47" w16cid:durableId="1905019661">
    <w:abstractNumId w:val="2"/>
  </w:num>
  <w:num w:numId="48" w16cid:durableId="1258293933">
    <w:abstractNumId w:val="12"/>
  </w:num>
  <w:num w:numId="49" w16cid:durableId="110546319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ECC"/>
    <w:rsid w:val="00001663"/>
    <w:rsid w:val="000025AD"/>
    <w:rsid w:val="0000335D"/>
    <w:rsid w:val="00003DCB"/>
    <w:rsid w:val="00003EC5"/>
    <w:rsid w:val="00006782"/>
    <w:rsid w:val="00007901"/>
    <w:rsid w:val="0001179A"/>
    <w:rsid w:val="00011A59"/>
    <w:rsid w:val="00014D69"/>
    <w:rsid w:val="00015D86"/>
    <w:rsid w:val="00016352"/>
    <w:rsid w:val="000163C6"/>
    <w:rsid w:val="0001684A"/>
    <w:rsid w:val="00016A41"/>
    <w:rsid w:val="00017DDC"/>
    <w:rsid w:val="00017E71"/>
    <w:rsid w:val="000201A0"/>
    <w:rsid w:val="000203F6"/>
    <w:rsid w:val="00020F89"/>
    <w:rsid w:val="000214D1"/>
    <w:rsid w:val="00021AD1"/>
    <w:rsid w:val="00021F20"/>
    <w:rsid w:val="00022412"/>
    <w:rsid w:val="0002294E"/>
    <w:rsid w:val="000240A7"/>
    <w:rsid w:val="0002464A"/>
    <w:rsid w:val="00024FE9"/>
    <w:rsid w:val="00025A04"/>
    <w:rsid w:val="00025E29"/>
    <w:rsid w:val="00025E80"/>
    <w:rsid w:val="0002693D"/>
    <w:rsid w:val="0002781C"/>
    <w:rsid w:val="00027A58"/>
    <w:rsid w:val="00027D8A"/>
    <w:rsid w:val="0003050E"/>
    <w:rsid w:val="0003106B"/>
    <w:rsid w:val="0003108E"/>
    <w:rsid w:val="0003130B"/>
    <w:rsid w:val="00032812"/>
    <w:rsid w:val="000335B9"/>
    <w:rsid w:val="0003477F"/>
    <w:rsid w:val="000347A6"/>
    <w:rsid w:val="00034905"/>
    <w:rsid w:val="00034980"/>
    <w:rsid w:val="000353A4"/>
    <w:rsid w:val="000360B1"/>
    <w:rsid w:val="000362A5"/>
    <w:rsid w:val="00036DC6"/>
    <w:rsid w:val="000375CC"/>
    <w:rsid w:val="00037906"/>
    <w:rsid w:val="00040530"/>
    <w:rsid w:val="00040655"/>
    <w:rsid w:val="00040A30"/>
    <w:rsid w:val="00040CA3"/>
    <w:rsid w:val="000414C9"/>
    <w:rsid w:val="00041AAD"/>
    <w:rsid w:val="00041E94"/>
    <w:rsid w:val="00041F4E"/>
    <w:rsid w:val="000421A1"/>
    <w:rsid w:val="000421CE"/>
    <w:rsid w:val="0004240E"/>
    <w:rsid w:val="000425A2"/>
    <w:rsid w:val="000426F4"/>
    <w:rsid w:val="00043096"/>
    <w:rsid w:val="00043CBF"/>
    <w:rsid w:val="000449A4"/>
    <w:rsid w:val="00044AA0"/>
    <w:rsid w:val="00044E52"/>
    <w:rsid w:val="00044EC4"/>
    <w:rsid w:val="000452D2"/>
    <w:rsid w:val="00045E26"/>
    <w:rsid w:val="000464E6"/>
    <w:rsid w:val="00046903"/>
    <w:rsid w:val="00046AFE"/>
    <w:rsid w:val="00047247"/>
    <w:rsid w:val="00050B24"/>
    <w:rsid w:val="000514B5"/>
    <w:rsid w:val="000514EC"/>
    <w:rsid w:val="00051508"/>
    <w:rsid w:val="000521ED"/>
    <w:rsid w:val="00052425"/>
    <w:rsid w:val="0005322E"/>
    <w:rsid w:val="000541CE"/>
    <w:rsid w:val="000546CF"/>
    <w:rsid w:val="00054DD6"/>
    <w:rsid w:val="00054E2B"/>
    <w:rsid w:val="0005504A"/>
    <w:rsid w:val="00055556"/>
    <w:rsid w:val="00055A8E"/>
    <w:rsid w:val="000569E6"/>
    <w:rsid w:val="00057CA0"/>
    <w:rsid w:val="0005CB18"/>
    <w:rsid w:val="00060E64"/>
    <w:rsid w:val="00061D2C"/>
    <w:rsid w:val="000621AB"/>
    <w:rsid w:val="00062C03"/>
    <w:rsid w:val="00062E88"/>
    <w:rsid w:val="00062F0A"/>
    <w:rsid w:val="0006339E"/>
    <w:rsid w:val="00063DCC"/>
    <w:rsid w:val="00064D7A"/>
    <w:rsid w:val="00064E2C"/>
    <w:rsid w:val="00065995"/>
    <w:rsid w:val="00066193"/>
    <w:rsid w:val="00066755"/>
    <w:rsid w:val="0007065A"/>
    <w:rsid w:val="000706E9"/>
    <w:rsid w:val="00071023"/>
    <w:rsid w:val="00071A5B"/>
    <w:rsid w:val="00072730"/>
    <w:rsid w:val="000731EA"/>
    <w:rsid w:val="0007337F"/>
    <w:rsid w:val="000736A9"/>
    <w:rsid w:val="00073947"/>
    <w:rsid w:val="00074320"/>
    <w:rsid w:val="00074518"/>
    <w:rsid w:val="000757C9"/>
    <w:rsid w:val="000763D5"/>
    <w:rsid w:val="0007667F"/>
    <w:rsid w:val="00076C38"/>
    <w:rsid w:val="00076ED1"/>
    <w:rsid w:val="00077143"/>
    <w:rsid w:val="00077DF7"/>
    <w:rsid w:val="0008050C"/>
    <w:rsid w:val="0008138F"/>
    <w:rsid w:val="00082169"/>
    <w:rsid w:val="000834BE"/>
    <w:rsid w:val="00083927"/>
    <w:rsid w:val="000839E9"/>
    <w:rsid w:val="00083F01"/>
    <w:rsid w:val="000840AA"/>
    <w:rsid w:val="000840AE"/>
    <w:rsid w:val="000849A1"/>
    <w:rsid w:val="00084E38"/>
    <w:rsid w:val="000860CF"/>
    <w:rsid w:val="00086914"/>
    <w:rsid w:val="000879D5"/>
    <w:rsid w:val="00087A3C"/>
    <w:rsid w:val="00087C4C"/>
    <w:rsid w:val="00087E15"/>
    <w:rsid w:val="0009044B"/>
    <w:rsid w:val="00090E23"/>
    <w:rsid w:val="000912BC"/>
    <w:rsid w:val="000918CB"/>
    <w:rsid w:val="00091B06"/>
    <w:rsid w:val="0009201E"/>
    <w:rsid w:val="0009302C"/>
    <w:rsid w:val="00094E10"/>
    <w:rsid w:val="000951C4"/>
    <w:rsid w:val="0009574E"/>
    <w:rsid w:val="00095ADA"/>
    <w:rsid w:val="00095C6A"/>
    <w:rsid w:val="00095F3A"/>
    <w:rsid w:val="000969AD"/>
    <w:rsid w:val="00097185"/>
    <w:rsid w:val="000975FB"/>
    <w:rsid w:val="00097625"/>
    <w:rsid w:val="000A02F8"/>
    <w:rsid w:val="000A0DE4"/>
    <w:rsid w:val="000A13FD"/>
    <w:rsid w:val="000A1F4E"/>
    <w:rsid w:val="000A3384"/>
    <w:rsid w:val="000A3AA2"/>
    <w:rsid w:val="000A42EF"/>
    <w:rsid w:val="000A44B2"/>
    <w:rsid w:val="000A4CC1"/>
    <w:rsid w:val="000A5299"/>
    <w:rsid w:val="000A52F6"/>
    <w:rsid w:val="000A58B8"/>
    <w:rsid w:val="000A58D5"/>
    <w:rsid w:val="000A78B8"/>
    <w:rsid w:val="000B06BB"/>
    <w:rsid w:val="000B1563"/>
    <w:rsid w:val="000B1AB1"/>
    <w:rsid w:val="000B2195"/>
    <w:rsid w:val="000B2FD5"/>
    <w:rsid w:val="000B44C3"/>
    <w:rsid w:val="000B4D69"/>
    <w:rsid w:val="000B4EE9"/>
    <w:rsid w:val="000B558D"/>
    <w:rsid w:val="000B5A89"/>
    <w:rsid w:val="000B603B"/>
    <w:rsid w:val="000B65F6"/>
    <w:rsid w:val="000B7767"/>
    <w:rsid w:val="000C140A"/>
    <w:rsid w:val="000C1AFF"/>
    <w:rsid w:val="000C2C68"/>
    <w:rsid w:val="000C2E8E"/>
    <w:rsid w:val="000C317F"/>
    <w:rsid w:val="000C3C20"/>
    <w:rsid w:val="000C4970"/>
    <w:rsid w:val="000C4E9F"/>
    <w:rsid w:val="000C51E0"/>
    <w:rsid w:val="000C5740"/>
    <w:rsid w:val="000C5F95"/>
    <w:rsid w:val="000C6996"/>
    <w:rsid w:val="000C6BCE"/>
    <w:rsid w:val="000C704F"/>
    <w:rsid w:val="000C7C46"/>
    <w:rsid w:val="000D05C8"/>
    <w:rsid w:val="000D09E9"/>
    <w:rsid w:val="000D113F"/>
    <w:rsid w:val="000D14DC"/>
    <w:rsid w:val="000D181E"/>
    <w:rsid w:val="000D1C2C"/>
    <w:rsid w:val="000D23BA"/>
    <w:rsid w:val="000D2CCD"/>
    <w:rsid w:val="000D3933"/>
    <w:rsid w:val="000D4F18"/>
    <w:rsid w:val="000D5654"/>
    <w:rsid w:val="000D5B29"/>
    <w:rsid w:val="000D5CA0"/>
    <w:rsid w:val="000D619C"/>
    <w:rsid w:val="000D6878"/>
    <w:rsid w:val="000D6EC5"/>
    <w:rsid w:val="000DE3C0"/>
    <w:rsid w:val="000E0A0B"/>
    <w:rsid w:val="000E0FEA"/>
    <w:rsid w:val="000E1434"/>
    <w:rsid w:val="000E19B7"/>
    <w:rsid w:val="000E20FC"/>
    <w:rsid w:val="000E2EBC"/>
    <w:rsid w:val="000E2FE9"/>
    <w:rsid w:val="000E3168"/>
    <w:rsid w:val="000E3C1D"/>
    <w:rsid w:val="000E3DFB"/>
    <w:rsid w:val="000E3EF3"/>
    <w:rsid w:val="000E5DC4"/>
    <w:rsid w:val="000E5EA1"/>
    <w:rsid w:val="000E6177"/>
    <w:rsid w:val="000E628C"/>
    <w:rsid w:val="000E64F2"/>
    <w:rsid w:val="000E681E"/>
    <w:rsid w:val="000E696B"/>
    <w:rsid w:val="000E7555"/>
    <w:rsid w:val="000E7ABB"/>
    <w:rsid w:val="000E7BB5"/>
    <w:rsid w:val="000E7E52"/>
    <w:rsid w:val="000E7E90"/>
    <w:rsid w:val="000EE1C7"/>
    <w:rsid w:val="000F0003"/>
    <w:rsid w:val="000F1B54"/>
    <w:rsid w:val="000F21EE"/>
    <w:rsid w:val="000F2DC0"/>
    <w:rsid w:val="000F3384"/>
    <w:rsid w:val="000F3438"/>
    <w:rsid w:val="000F46EF"/>
    <w:rsid w:val="000F4E6A"/>
    <w:rsid w:val="000F5B24"/>
    <w:rsid w:val="000F6310"/>
    <w:rsid w:val="000F6ABB"/>
    <w:rsid w:val="000F7354"/>
    <w:rsid w:val="000F7689"/>
    <w:rsid w:val="000F7C27"/>
    <w:rsid w:val="000F7EF6"/>
    <w:rsid w:val="00101ABE"/>
    <w:rsid w:val="00102202"/>
    <w:rsid w:val="00102700"/>
    <w:rsid w:val="00102A78"/>
    <w:rsid w:val="00103118"/>
    <w:rsid w:val="00103883"/>
    <w:rsid w:val="00103F1B"/>
    <w:rsid w:val="00104227"/>
    <w:rsid w:val="0010536D"/>
    <w:rsid w:val="001053D5"/>
    <w:rsid w:val="001056B7"/>
    <w:rsid w:val="0010685A"/>
    <w:rsid w:val="00106C8C"/>
    <w:rsid w:val="00106FC6"/>
    <w:rsid w:val="00107409"/>
    <w:rsid w:val="00107A2A"/>
    <w:rsid w:val="00107D72"/>
    <w:rsid w:val="00107E7E"/>
    <w:rsid w:val="001107BF"/>
    <w:rsid w:val="00111EE8"/>
    <w:rsid w:val="00112388"/>
    <w:rsid w:val="001124A2"/>
    <w:rsid w:val="00112D9C"/>
    <w:rsid w:val="001130A5"/>
    <w:rsid w:val="00113649"/>
    <w:rsid w:val="00113D5C"/>
    <w:rsid w:val="00114439"/>
    <w:rsid w:val="0011466E"/>
    <w:rsid w:val="00114B0A"/>
    <w:rsid w:val="00115661"/>
    <w:rsid w:val="00116B03"/>
    <w:rsid w:val="00116E47"/>
    <w:rsid w:val="00117CAB"/>
    <w:rsid w:val="00120057"/>
    <w:rsid w:val="00120AA6"/>
    <w:rsid w:val="001218F3"/>
    <w:rsid w:val="00122EA7"/>
    <w:rsid w:val="00122FF1"/>
    <w:rsid w:val="001233E7"/>
    <w:rsid w:val="001239DB"/>
    <w:rsid w:val="0012417C"/>
    <w:rsid w:val="00124BF2"/>
    <w:rsid w:val="001253B7"/>
    <w:rsid w:val="00125837"/>
    <w:rsid w:val="0012597F"/>
    <w:rsid w:val="00125B3F"/>
    <w:rsid w:val="00126654"/>
    <w:rsid w:val="00126B19"/>
    <w:rsid w:val="00126B9A"/>
    <w:rsid w:val="00126D3A"/>
    <w:rsid w:val="0012749D"/>
    <w:rsid w:val="00127A23"/>
    <w:rsid w:val="001304D8"/>
    <w:rsid w:val="001306A5"/>
    <w:rsid w:val="00130918"/>
    <w:rsid w:val="00130DA5"/>
    <w:rsid w:val="001311AE"/>
    <w:rsid w:val="001327A3"/>
    <w:rsid w:val="00133891"/>
    <w:rsid w:val="0013402A"/>
    <w:rsid w:val="00134994"/>
    <w:rsid w:val="00134D31"/>
    <w:rsid w:val="00135869"/>
    <w:rsid w:val="00135D18"/>
    <w:rsid w:val="00135EF5"/>
    <w:rsid w:val="001366C2"/>
    <w:rsid w:val="00136C17"/>
    <w:rsid w:val="00137FC3"/>
    <w:rsid w:val="00140905"/>
    <w:rsid w:val="00140B74"/>
    <w:rsid w:val="00140CFC"/>
    <w:rsid w:val="00140D94"/>
    <w:rsid w:val="00140E9A"/>
    <w:rsid w:val="00141FE2"/>
    <w:rsid w:val="00142395"/>
    <w:rsid w:val="0014250D"/>
    <w:rsid w:val="00142714"/>
    <w:rsid w:val="00143703"/>
    <w:rsid w:val="00144D09"/>
    <w:rsid w:val="00144E06"/>
    <w:rsid w:val="001452ED"/>
    <w:rsid w:val="00145B06"/>
    <w:rsid w:val="0014617D"/>
    <w:rsid w:val="001469D6"/>
    <w:rsid w:val="00147B04"/>
    <w:rsid w:val="00147D84"/>
    <w:rsid w:val="00150C75"/>
    <w:rsid w:val="00150E15"/>
    <w:rsid w:val="00151AE9"/>
    <w:rsid w:val="00151CBD"/>
    <w:rsid w:val="00152CCA"/>
    <w:rsid w:val="00153009"/>
    <w:rsid w:val="001533C3"/>
    <w:rsid w:val="00153839"/>
    <w:rsid w:val="001544EA"/>
    <w:rsid w:val="00154665"/>
    <w:rsid w:val="001549C1"/>
    <w:rsid w:val="00156C8D"/>
    <w:rsid w:val="001575A6"/>
    <w:rsid w:val="00160F4D"/>
    <w:rsid w:val="00161E81"/>
    <w:rsid w:val="00161F06"/>
    <w:rsid w:val="00162BDD"/>
    <w:rsid w:val="00162D4E"/>
    <w:rsid w:val="00162E44"/>
    <w:rsid w:val="00163151"/>
    <w:rsid w:val="00163329"/>
    <w:rsid w:val="001636DC"/>
    <w:rsid w:val="00163DB2"/>
    <w:rsid w:val="0016410F"/>
    <w:rsid w:val="00164623"/>
    <w:rsid w:val="001648E8"/>
    <w:rsid w:val="00164C35"/>
    <w:rsid w:val="00164F7E"/>
    <w:rsid w:val="001652DE"/>
    <w:rsid w:val="001653EC"/>
    <w:rsid w:val="00165A42"/>
    <w:rsid w:val="00165B64"/>
    <w:rsid w:val="001661F3"/>
    <w:rsid w:val="001666B0"/>
    <w:rsid w:val="00166A0E"/>
    <w:rsid w:val="00167C39"/>
    <w:rsid w:val="00167C6E"/>
    <w:rsid w:val="00170C4D"/>
    <w:rsid w:val="00171494"/>
    <w:rsid w:val="00171845"/>
    <w:rsid w:val="00171FCB"/>
    <w:rsid w:val="001731B8"/>
    <w:rsid w:val="001732C8"/>
    <w:rsid w:val="001736EA"/>
    <w:rsid w:val="00173713"/>
    <w:rsid w:val="001749D3"/>
    <w:rsid w:val="00174EB8"/>
    <w:rsid w:val="0017500E"/>
    <w:rsid w:val="001756CB"/>
    <w:rsid w:val="00175CE3"/>
    <w:rsid w:val="00176170"/>
    <w:rsid w:val="00176B9D"/>
    <w:rsid w:val="00180241"/>
    <w:rsid w:val="00180455"/>
    <w:rsid w:val="00180713"/>
    <w:rsid w:val="00180720"/>
    <w:rsid w:val="00180B82"/>
    <w:rsid w:val="00180DBE"/>
    <w:rsid w:val="001811D2"/>
    <w:rsid w:val="001830CE"/>
    <w:rsid w:val="001836E3"/>
    <w:rsid w:val="00184659"/>
    <w:rsid w:val="00185265"/>
    <w:rsid w:val="00185959"/>
    <w:rsid w:val="001860E5"/>
    <w:rsid w:val="0018643B"/>
    <w:rsid w:val="00187F56"/>
    <w:rsid w:val="00190E03"/>
    <w:rsid w:val="001939C6"/>
    <w:rsid w:val="00193E3B"/>
    <w:rsid w:val="00193F06"/>
    <w:rsid w:val="0019501C"/>
    <w:rsid w:val="00195175"/>
    <w:rsid w:val="00196307"/>
    <w:rsid w:val="001964B8"/>
    <w:rsid w:val="0019659E"/>
    <w:rsid w:val="0019799D"/>
    <w:rsid w:val="00197C70"/>
    <w:rsid w:val="00197DC6"/>
    <w:rsid w:val="00197F03"/>
    <w:rsid w:val="001A0D10"/>
    <w:rsid w:val="001A10AF"/>
    <w:rsid w:val="001A1B69"/>
    <w:rsid w:val="001A1DB4"/>
    <w:rsid w:val="001A33EA"/>
    <w:rsid w:val="001A3615"/>
    <w:rsid w:val="001A38E7"/>
    <w:rsid w:val="001A4413"/>
    <w:rsid w:val="001A4658"/>
    <w:rsid w:val="001A48ED"/>
    <w:rsid w:val="001A4C4F"/>
    <w:rsid w:val="001A5944"/>
    <w:rsid w:val="001A5A2B"/>
    <w:rsid w:val="001A68D1"/>
    <w:rsid w:val="001A6BC6"/>
    <w:rsid w:val="001A6C7A"/>
    <w:rsid w:val="001A706A"/>
    <w:rsid w:val="001A76FB"/>
    <w:rsid w:val="001A7791"/>
    <w:rsid w:val="001B017F"/>
    <w:rsid w:val="001B0B79"/>
    <w:rsid w:val="001B1237"/>
    <w:rsid w:val="001B1713"/>
    <w:rsid w:val="001B19EA"/>
    <w:rsid w:val="001B2BBC"/>
    <w:rsid w:val="001B2BCD"/>
    <w:rsid w:val="001B308A"/>
    <w:rsid w:val="001B37AC"/>
    <w:rsid w:val="001B37E5"/>
    <w:rsid w:val="001B3A40"/>
    <w:rsid w:val="001B3B9E"/>
    <w:rsid w:val="001B3FFE"/>
    <w:rsid w:val="001B44F1"/>
    <w:rsid w:val="001B5129"/>
    <w:rsid w:val="001B5714"/>
    <w:rsid w:val="001B5969"/>
    <w:rsid w:val="001B725C"/>
    <w:rsid w:val="001B72F0"/>
    <w:rsid w:val="001B75E0"/>
    <w:rsid w:val="001B77BC"/>
    <w:rsid w:val="001B7BD7"/>
    <w:rsid w:val="001B7E28"/>
    <w:rsid w:val="001C0A40"/>
    <w:rsid w:val="001C0B4C"/>
    <w:rsid w:val="001C0EC4"/>
    <w:rsid w:val="001C1195"/>
    <w:rsid w:val="001C12AE"/>
    <w:rsid w:val="001C1798"/>
    <w:rsid w:val="001C1DB7"/>
    <w:rsid w:val="001C1E84"/>
    <w:rsid w:val="001C20E1"/>
    <w:rsid w:val="001C2139"/>
    <w:rsid w:val="001C267D"/>
    <w:rsid w:val="001C2A0F"/>
    <w:rsid w:val="001C2E42"/>
    <w:rsid w:val="001C3156"/>
    <w:rsid w:val="001C3486"/>
    <w:rsid w:val="001C4251"/>
    <w:rsid w:val="001C47BB"/>
    <w:rsid w:val="001C4AB9"/>
    <w:rsid w:val="001C646D"/>
    <w:rsid w:val="001C65BE"/>
    <w:rsid w:val="001C66CB"/>
    <w:rsid w:val="001C78A1"/>
    <w:rsid w:val="001D02F9"/>
    <w:rsid w:val="001D0FF2"/>
    <w:rsid w:val="001D139C"/>
    <w:rsid w:val="001D1522"/>
    <w:rsid w:val="001D1F5F"/>
    <w:rsid w:val="001D2226"/>
    <w:rsid w:val="001D364A"/>
    <w:rsid w:val="001D3C02"/>
    <w:rsid w:val="001D427C"/>
    <w:rsid w:val="001D45AA"/>
    <w:rsid w:val="001D595B"/>
    <w:rsid w:val="001D6ED8"/>
    <w:rsid w:val="001D742C"/>
    <w:rsid w:val="001E0548"/>
    <w:rsid w:val="001E06D2"/>
    <w:rsid w:val="001E17C4"/>
    <w:rsid w:val="001E1A36"/>
    <w:rsid w:val="001E1AC4"/>
    <w:rsid w:val="001E1D95"/>
    <w:rsid w:val="001E1F05"/>
    <w:rsid w:val="001E21B7"/>
    <w:rsid w:val="001E280E"/>
    <w:rsid w:val="001E288B"/>
    <w:rsid w:val="001E28CC"/>
    <w:rsid w:val="001E2A47"/>
    <w:rsid w:val="001E2D65"/>
    <w:rsid w:val="001E4E2E"/>
    <w:rsid w:val="001E5013"/>
    <w:rsid w:val="001E5045"/>
    <w:rsid w:val="001E6CBF"/>
    <w:rsid w:val="001E6F3E"/>
    <w:rsid w:val="001E7E26"/>
    <w:rsid w:val="001F005B"/>
    <w:rsid w:val="001F0266"/>
    <w:rsid w:val="001F0414"/>
    <w:rsid w:val="001F0AFE"/>
    <w:rsid w:val="001F1850"/>
    <w:rsid w:val="001F1FBF"/>
    <w:rsid w:val="001F1FEC"/>
    <w:rsid w:val="001F2099"/>
    <w:rsid w:val="001F22F2"/>
    <w:rsid w:val="001F2311"/>
    <w:rsid w:val="001F2A44"/>
    <w:rsid w:val="001F2B80"/>
    <w:rsid w:val="001F2C2F"/>
    <w:rsid w:val="001F2F1C"/>
    <w:rsid w:val="001F3189"/>
    <w:rsid w:val="001F4BBD"/>
    <w:rsid w:val="001F5B17"/>
    <w:rsid w:val="001F605A"/>
    <w:rsid w:val="00200BB5"/>
    <w:rsid w:val="00200BEA"/>
    <w:rsid w:val="00200D6A"/>
    <w:rsid w:val="002012AD"/>
    <w:rsid w:val="00201FB8"/>
    <w:rsid w:val="002029F4"/>
    <w:rsid w:val="0020376B"/>
    <w:rsid w:val="00203FAC"/>
    <w:rsid w:val="00205C1A"/>
    <w:rsid w:val="0020778C"/>
    <w:rsid w:val="00207D32"/>
    <w:rsid w:val="00210800"/>
    <w:rsid w:val="002128C7"/>
    <w:rsid w:val="00212A32"/>
    <w:rsid w:val="002133FB"/>
    <w:rsid w:val="00213CFB"/>
    <w:rsid w:val="002140EA"/>
    <w:rsid w:val="00214B02"/>
    <w:rsid w:val="0021553C"/>
    <w:rsid w:val="0021557B"/>
    <w:rsid w:val="00215753"/>
    <w:rsid w:val="00215798"/>
    <w:rsid w:val="00215B63"/>
    <w:rsid w:val="002163BC"/>
    <w:rsid w:val="00216B87"/>
    <w:rsid w:val="00216DEA"/>
    <w:rsid w:val="00216EC0"/>
    <w:rsid w:val="002172CE"/>
    <w:rsid w:val="002174FD"/>
    <w:rsid w:val="0021763A"/>
    <w:rsid w:val="002178D5"/>
    <w:rsid w:val="00217BE1"/>
    <w:rsid w:val="0022019B"/>
    <w:rsid w:val="002206D5"/>
    <w:rsid w:val="00221361"/>
    <w:rsid w:val="002214B9"/>
    <w:rsid w:val="00221897"/>
    <w:rsid w:val="00222680"/>
    <w:rsid w:val="00223370"/>
    <w:rsid w:val="002236B3"/>
    <w:rsid w:val="00223D27"/>
    <w:rsid w:val="00224D1E"/>
    <w:rsid w:val="00226611"/>
    <w:rsid w:val="002268AF"/>
    <w:rsid w:val="00226CB6"/>
    <w:rsid w:val="00226FF0"/>
    <w:rsid w:val="00227BC5"/>
    <w:rsid w:val="00230567"/>
    <w:rsid w:val="002306EE"/>
    <w:rsid w:val="00230F63"/>
    <w:rsid w:val="00231694"/>
    <w:rsid w:val="002316A8"/>
    <w:rsid w:val="00231AAE"/>
    <w:rsid w:val="00231ADB"/>
    <w:rsid w:val="00231C31"/>
    <w:rsid w:val="002321A7"/>
    <w:rsid w:val="0023403A"/>
    <w:rsid w:val="002341E1"/>
    <w:rsid w:val="00234252"/>
    <w:rsid w:val="0023466E"/>
    <w:rsid w:val="0023473B"/>
    <w:rsid w:val="002354B7"/>
    <w:rsid w:val="002354E5"/>
    <w:rsid w:val="002358FC"/>
    <w:rsid w:val="00236995"/>
    <w:rsid w:val="00237AC6"/>
    <w:rsid w:val="00237D29"/>
    <w:rsid w:val="002401AC"/>
    <w:rsid w:val="002403AE"/>
    <w:rsid w:val="002408AE"/>
    <w:rsid w:val="00240D76"/>
    <w:rsid w:val="0024147C"/>
    <w:rsid w:val="00242B60"/>
    <w:rsid w:val="00242B64"/>
    <w:rsid w:val="00242BFD"/>
    <w:rsid w:val="00242C3C"/>
    <w:rsid w:val="00244139"/>
    <w:rsid w:val="002441E6"/>
    <w:rsid w:val="00244490"/>
    <w:rsid w:val="002445E0"/>
    <w:rsid w:val="00244BEC"/>
    <w:rsid w:val="00245444"/>
    <w:rsid w:val="00245B9C"/>
    <w:rsid w:val="0024614E"/>
    <w:rsid w:val="00247530"/>
    <w:rsid w:val="00247E1E"/>
    <w:rsid w:val="00250874"/>
    <w:rsid w:val="00250F05"/>
    <w:rsid w:val="00251B85"/>
    <w:rsid w:val="00252587"/>
    <w:rsid w:val="00252D84"/>
    <w:rsid w:val="00252E43"/>
    <w:rsid w:val="00253499"/>
    <w:rsid w:val="00254C52"/>
    <w:rsid w:val="00254FCB"/>
    <w:rsid w:val="002551A4"/>
    <w:rsid w:val="002552EB"/>
    <w:rsid w:val="002562D3"/>
    <w:rsid w:val="00257664"/>
    <w:rsid w:val="00257D6F"/>
    <w:rsid w:val="00257E4D"/>
    <w:rsid w:val="00260165"/>
    <w:rsid w:val="002605D4"/>
    <w:rsid w:val="0026158C"/>
    <w:rsid w:val="002620DC"/>
    <w:rsid w:val="00262211"/>
    <w:rsid w:val="002633A9"/>
    <w:rsid w:val="00265151"/>
    <w:rsid w:val="00265BEC"/>
    <w:rsid w:val="00265C2C"/>
    <w:rsid w:val="00266509"/>
    <w:rsid w:val="0026705C"/>
    <w:rsid w:val="00267098"/>
    <w:rsid w:val="0026760D"/>
    <w:rsid w:val="00267949"/>
    <w:rsid w:val="00270355"/>
    <w:rsid w:val="00270622"/>
    <w:rsid w:val="00271944"/>
    <w:rsid w:val="00271BA1"/>
    <w:rsid w:val="00271E29"/>
    <w:rsid w:val="00272BEA"/>
    <w:rsid w:val="00272DE5"/>
    <w:rsid w:val="00273AC5"/>
    <w:rsid w:val="00274929"/>
    <w:rsid w:val="00274A8E"/>
    <w:rsid w:val="00274FE5"/>
    <w:rsid w:val="0027512E"/>
    <w:rsid w:val="002762FA"/>
    <w:rsid w:val="002767AF"/>
    <w:rsid w:val="0027687E"/>
    <w:rsid w:val="002768C1"/>
    <w:rsid w:val="0027694D"/>
    <w:rsid w:val="00276BE3"/>
    <w:rsid w:val="00277371"/>
    <w:rsid w:val="00277505"/>
    <w:rsid w:val="00277873"/>
    <w:rsid w:val="00277C96"/>
    <w:rsid w:val="002801AF"/>
    <w:rsid w:val="00280ACD"/>
    <w:rsid w:val="00281071"/>
    <w:rsid w:val="0028158C"/>
    <w:rsid w:val="00281B5D"/>
    <w:rsid w:val="002823B6"/>
    <w:rsid w:val="0028452C"/>
    <w:rsid w:val="002873DE"/>
    <w:rsid w:val="002878E3"/>
    <w:rsid w:val="00290619"/>
    <w:rsid w:val="002907D9"/>
    <w:rsid w:val="00290C03"/>
    <w:rsid w:val="00290D15"/>
    <w:rsid w:val="00292392"/>
    <w:rsid w:val="00292D1C"/>
    <w:rsid w:val="00292E3B"/>
    <w:rsid w:val="0029312A"/>
    <w:rsid w:val="002933A8"/>
    <w:rsid w:val="00293B4F"/>
    <w:rsid w:val="00293B81"/>
    <w:rsid w:val="00294274"/>
    <w:rsid w:val="0029458F"/>
    <w:rsid w:val="00295760"/>
    <w:rsid w:val="0029587F"/>
    <w:rsid w:val="00295D04"/>
    <w:rsid w:val="002960F3"/>
    <w:rsid w:val="002968B2"/>
    <w:rsid w:val="00297A63"/>
    <w:rsid w:val="00297BD4"/>
    <w:rsid w:val="002A018F"/>
    <w:rsid w:val="002A0E04"/>
    <w:rsid w:val="002A104C"/>
    <w:rsid w:val="002A1EF7"/>
    <w:rsid w:val="002A2A52"/>
    <w:rsid w:val="002A2B7B"/>
    <w:rsid w:val="002A2B85"/>
    <w:rsid w:val="002A2C79"/>
    <w:rsid w:val="002A3059"/>
    <w:rsid w:val="002A3723"/>
    <w:rsid w:val="002A37EE"/>
    <w:rsid w:val="002A4278"/>
    <w:rsid w:val="002A494D"/>
    <w:rsid w:val="002A495D"/>
    <w:rsid w:val="002A4960"/>
    <w:rsid w:val="002A49D2"/>
    <w:rsid w:val="002A6022"/>
    <w:rsid w:val="002A6273"/>
    <w:rsid w:val="002A636A"/>
    <w:rsid w:val="002A6497"/>
    <w:rsid w:val="002A6A42"/>
    <w:rsid w:val="002A7049"/>
    <w:rsid w:val="002A7461"/>
    <w:rsid w:val="002A755F"/>
    <w:rsid w:val="002A7925"/>
    <w:rsid w:val="002A7C9E"/>
    <w:rsid w:val="002A7E8D"/>
    <w:rsid w:val="002B0AE0"/>
    <w:rsid w:val="002B0B2B"/>
    <w:rsid w:val="002B1443"/>
    <w:rsid w:val="002B1AE6"/>
    <w:rsid w:val="002B1D51"/>
    <w:rsid w:val="002B2DE8"/>
    <w:rsid w:val="002B30F8"/>
    <w:rsid w:val="002B3353"/>
    <w:rsid w:val="002B388A"/>
    <w:rsid w:val="002B3BFE"/>
    <w:rsid w:val="002B3C1A"/>
    <w:rsid w:val="002B44BB"/>
    <w:rsid w:val="002B4C2A"/>
    <w:rsid w:val="002B5596"/>
    <w:rsid w:val="002B5C30"/>
    <w:rsid w:val="002B6016"/>
    <w:rsid w:val="002B6E60"/>
    <w:rsid w:val="002B74E6"/>
    <w:rsid w:val="002B74EB"/>
    <w:rsid w:val="002B77D7"/>
    <w:rsid w:val="002C0277"/>
    <w:rsid w:val="002C0763"/>
    <w:rsid w:val="002C137E"/>
    <w:rsid w:val="002C212F"/>
    <w:rsid w:val="002C2DC1"/>
    <w:rsid w:val="002C2F35"/>
    <w:rsid w:val="002C5850"/>
    <w:rsid w:val="002C668E"/>
    <w:rsid w:val="002C68BC"/>
    <w:rsid w:val="002C6AA9"/>
    <w:rsid w:val="002C7485"/>
    <w:rsid w:val="002C796E"/>
    <w:rsid w:val="002D0777"/>
    <w:rsid w:val="002D12B1"/>
    <w:rsid w:val="002D2641"/>
    <w:rsid w:val="002D283A"/>
    <w:rsid w:val="002D348B"/>
    <w:rsid w:val="002D4248"/>
    <w:rsid w:val="002D4543"/>
    <w:rsid w:val="002D6874"/>
    <w:rsid w:val="002D6EF0"/>
    <w:rsid w:val="002D715F"/>
    <w:rsid w:val="002D7276"/>
    <w:rsid w:val="002E022A"/>
    <w:rsid w:val="002E2A93"/>
    <w:rsid w:val="002E3153"/>
    <w:rsid w:val="002E3FD4"/>
    <w:rsid w:val="002E40FE"/>
    <w:rsid w:val="002E434A"/>
    <w:rsid w:val="002E4359"/>
    <w:rsid w:val="002E493B"/>
    <w:rsid w:val="002E4985"/>
    <w:rsid w:val="002E4A02"/>
    <w:rsid w:val="002E5292"/>
    <w:rsid w:val="002E5578"/>
    <w:rsid w:val="002E5EC8"/>
    <w:rsid w:val="002E6682"/>
    <w:rsid w:val="002E6A13"/>
    <w:rsid w:val="002E6A53"/>
    <w:rsid w:val="002E72CA"/>
    <w:rsid w:val="002E730C"/>
    <w:rsid w:val="002E75DD"/>
    <w:rsid w:val="002E7B19"/>
    <w:rsid w:val="002F054F"/>
    <w:rsid w:val="002F0F5E"/>
    <w:rsid w:val="002F1D07"/>
    <w:rsid w:val="002F2321"/>
    <w:rsid w:val="002F2DFE"/>
    <w:rsid w:val="002F5C5B"/>
    <w:rsid w:val="002F600D"/>
    <w:rsid w:val="002F6B63"/>
    <w:rsid w:val="002F6F0F"/>
    <w:rsid w:val="002F7E47"/>
    <w:rsid w:val="00300AD6"/>
    <w:rsid w:val="00300B1B"/>
    <w:rsid w:val="003019D0"/>
    <w:rsid w:val="003019DE"/>
    <w:rsid w:val="003025E4"/>
    <w:rsid w:val="003028CF"/>
    <w:rsid w:val="00302BF6"/>
    <w:rsid w:val="00302D60"/>
    <w:rsid w:val="0030311E"/>
    <w:rsid w:val="0030377E"/>
    <w:rsid w:val="003038A0"/>
    <w:rsid w:val="00303CFE"/>
    <w:rsid w:val="0030470A"/>
    <w:rsid w:val="00304A5F"/>
    <w:rsid w:val="00304FCA"/>
    <w:rsid w:val="00305D28"/>
    <w:rsid w:val="003064AF"/>
    <w:rsid w:val="00307DC6"/>
    <w:rsid w:val="00307FEB"/>
    <w:rsid w:val="00310A7F"/>
    <w:rsid w:val="00310A8B"/>
    <w:rsid w:val="00310B68"/>
    <w:rsid w:val="00310F6F"/>
    <w:rsid w:val="00311036"/>
    <w:rsid w:val="003114D5"/>
    <w:rsid w:val="0031173C"/>
    <w:rsid w:val="00311D58"/>
    <w:rsid w:val="00312840"/>
    <w:rsid w:val="003131B5"/>
    <w:rsid w:val="003134B4"/>
    <w:rsid w:val="00313B61"/>
    <w:rsid w:val="00314BC0"/>
    <w:rsid w:val="0031523E"/>
    <w:rsid w:val="0031552C"/>
    <w:rsid w:val="003157C5"/>
    <w:rsid w:val="003160D2"/>
    <w:rsid w:val="00316165"/>
    <w:rsid w:val="00316325"/>
    <w:rsid w:val="003173FC"/>
    <w:rsid w:val="00317C6C"/>
    <w:rsid w:val="00320B80"/>
    <w:rsid w:val="00320CD3"/>
    <w:rsid w:val="003215FF"/>
    <w:rsid w:val="00322667"/>
    <w:rsid w:val="00323AF9"/>
    <w:rsid w:val="00324BA6"/>
    <w:rsid w:val="0032607C"/>
    <w:rsid w:val="0032608B"/>
    <w:rsid w:val="00326505"/>
    <w:rsid w:val="003265A6"/>
    <w:rsid w:val="00326E79"/>
    <w:rsid w:val="00326ECB"/>
    <w:rsid w:val="0032748A"/>
    <w:rsid w:val="003301B1"/>
    <w:rsid w:val="00331189"/>
    <w:rsid w:val="00331235"/>
    <w:rsid w:val="00331579"/>
    <w:rsid w:val="0033263D"/>
    <w:rsid w:val="00332881"/>
    <w:rsid w:val="00332BE6"/>
    <w:rsid w:val="0033470F"/>
    <w:rsid w:val="00334A2F"/>
    <w:rsid w:val="00334E69"/>
    <w:rsid w:val="00334ECD"/>
    <w:rsid w:val="0033518A"/>
    <w:rsid w:val="00335535"/>
    <w:rsid w:val="00336589"/>
    <w:rsid w:val="003367EF"/>
    <w:rsid w:val="00336948"/>
    <w:rsid w:val="00336B48"/>
    <w:rsid w:val="00337056"/>
    <w:rsid w:val="00341AE4"/>
    <w:rsid w:val="003425CA"/>
    <w:rsid w:val="00343FB7"/>
    <w:rsid w:val="003442AA"/>
    <w:rsid w:val="00344DBE"/>
    <w:rsid w:val="00345AC7"/>
    <w:rsid w:val="0034643E"/>
    <w:rsid w:val="003469AF"/>
    <w:rsid w:val="00346D85"/>
    <w:rsid w:val="003476EE"/>
    <w:rsid w:val="00350E34"/>
    <w:rsid w:val="003516ED"/>
    <w:rsid w:val="00353436"/>
    <w:rsid w:val="003541DD"/>
    <w:rsid w:val="0035456A"/>
    <w:rsid w:val="003560F1"/>
    <w:rsid w:val="00356CB1"/>
    <w:rsid w:val="00356E5B"/>
    <w:rsid w:val="00357873"/>
    <w:rsid w:val="00360887"/>
    <w:rsid w:val="003610AF"/>
    <w:rsid w:val="003616DD"/>
    <w:rsid w:val="00361C07"/>
    <w:rsid w:val="0036249F"/>
    <w:rsid w:val="00362662"/>
    <w:rsid w:val="00362724"/>
    <w:rsid w:val="0036355F"/>
    <w:rsid w:val="00363633"/>
    <w:rsid w:val="0036429E"/>
    <w:rsid w:val="003647AA"/>
    <w:rsid w:val="00365C82"/>
    <w:rsid w:val="00365EE4"/>
    <w:rsid w:val="00365FCC"/>
    <w:rsid w:val="003668C7"/>
    <w:rsid w:val="0036718C"/>
    <w:rsid w:val="003677B6"/>
    <w:rsid w:val="00367843"/>
    <w:rsid w:val="0037093D"/>
    <w:rsid w:val="00371246"/>
    <w:rsid w:val="00371331"/>
    <w:rsid w:val="003717B0"/>
    <w:rsid w:val="00371EC8"/>
    <w:rsid w:val="00372C3A"/>
    <w:rsid w:val="003736C9"/>
    <w:rsid w:val="00373E9E"/>
    <w:rsid w:val="00374F60"/>
    <w:rsid w:val="00375985"/>
    <w:rsid w:val="00376A04"/>
    <w:rsid w:val="00376A7C"/>
    <w:rsid w:val="00376C0D"/>
    <w:rsid w:val="00380893"/>
    <w:rsid w:val="00380995"/>
    <w:rsid w:val="00380ED5"/>
    <w:rsid w:val="003821EC"/>
    <w:rsid w:val="0038275D"/>
    <w:rsid w:val="003827E1"/>
    <w:rsid w:val="00382E54"/>
    <w:rsid w:val="00383B77"/>
    <w:rsid w:val="00384988"/>
    <w:rsid w:val="00384EC5"/>
    <w:rsid w:val="00385CB9"/>
    <w:rsid w:val="00385D18"/>
    <w:rsid w:val="003864FF"/>
    <w:rsid w:val="003872CF"/>
    <w:rsid w:val="003874CB"/>
    <w:rsid w:val="00387D83"/>
    <w:rsid w:val="00387FB0"/>
    <w:rsid w:val="003911BE"/>
    <w:rsid w:val="0039316A"/>
    <w:rsid w:val="0039350D"/>
    <w:rsid w:val="003941C2"/>
    <w:rsid w:val="0039459C"/>
    <w:rsid w:val="003949B0"/>
    <w:rsid w:val="00396B9B"/>
    <w:rsid w:val="00396E08"/>
    <w:rsid w:val="003970DD"/>
    <w:rsid w:val="0039782C"/>
    <w:rsid w:val="0039785A"/>
    <w:rsid w:val="00397F98"/>
    <w:rsid w:val="003A107E"/>
    <w:rsid w:val="003A13A6"/>
    <w:rsid w:val="003A13E4"/>
    <w:rsid w:val="003A1F60"/>
    <w:rsid w:val="003A2165"/>
    <w:rsid w:val="003A2C1A"/>
    <w:rsid w:val="003A3AF3"/>
    <w:rsid w:val="003A3FD4"/>
    <w:rsid w:val="003A46FD"/>
    <w:rsid w:val="003A586A"/>
    <w:rsid w:val="003A59F2"/>
    <w:rsid w:val="003A5B4A"/>
    <w:rsid w:val="003A5D95"/>
    <w:rsid w:val="003A5F0A"/>
    <w:rsid w:val="003A6510"/>
    <w:rsid w:val="003A74E2"/>
    <w:rsid w:val="003B02BA"/>
    <w:rsid w:val="003B0D3A"/>
    <w:rsid w:val="003B0D83"/>
    <w:rsid w:val="003B10D8"/>
    <w:rsid w:val="003B1507"/>
    <w:rsid w:val="003B216E"/>
    <w:rsid w:val="003B2302"/>
    <w:rsid w:val="003B23C5"/>
    <w:rsid w:val="003B2519"/>
    <w:rsid w:val="003B253C"/>
    <w:rsid w:val="003B2A75"/>
    <w:rsid w:val="003B3401"/>
    <w:rsid w:val="003B49B2"/>
    <w:rsid w:val="003B57C1"/>
    <w:rsid w:val="003B6124"/>
    <w:rsid w:val="003B739B"/>
    <w:rsid w:val="003B7603"/>
    <w:rsid w:val="003B7960"/>
    <w:rsid w:val="003B7DC0"/>
    <w:rsid w:val="003B7E45"/>
    <w:rsid w:val="003C0182"/>
    <w:rsid w:val="003C0908"/>
    <w:rsid w:val="003C093A"/>
    <w:rsid w:val="003C1ECF"/>
    <w:rsid w:val="003C202A"/>
    <w:rsid w:val="003C2FB5"/>
    <w:rsid w:val="003C397C"/>
    <w:rsid w:val="003C3EC7"/>
    <w:rsid w:val="003C4669"/>
    <w:rsid w:val="003C4D33"/>
    <w:rsid w:val="003C574F"/>
    <w:rsid w:val="003C57FD"/>
    <w:rsid w:val="003C5D72"/>
    <w:rsid w:val="003C6B22"/>
    <w:rsid w:val="003D11F1"/>
    <w:rsid w:val="003D24C5"/>
    <w:rsid w:val="003D4594"/>
    <w:rsid w:val="003D4AC4"/>
    <w:rsid w:val="003D4B26"/>
    <w:rsid w:val="003D5433"/>
    <w:rsid w:val="003D5CBE"/>
    <w:rsid w:val="003D63B7"/>
    <w:rsid w:val="003D6C95"/>
    <w:rsid w:val="003D74C5"/>
    <w:rsid w:val="003D7DA6"/>
    <w:rsid w:val="003E137C"/>
    <w:rsid w:val="003E14FF"/>
    <w:rsid w:val="003E1BAB"/>
    <w:rsid w:val="003E23EC"/>
    <w:rsid w:val="003E2F65"/>
    <w:rsid w:val="003E319D"/>
    <w:rsid w:val="003E338E"/>
    <w:rsid w:val="003E3520"/>
    <w:rsid w:val="003E400C"/>
    <w:rsid w:val="003E42D4"/>
    <w:rsid w:val="003E4374"/>
    <w:rsid w:val="003E468B"/>
    <w:rsid w:val="003E62BD"/>
    <w:rsid w:val="003E658D"/>
    <w:rsid w:val="003E678C"/>
    <w:rsid w:val="003E6B32"/>
    <w:rsid w:val="003E761B"/>
    <w:rsid w:val="003F044F"/>
    <w:rsid w:val="003F0C3A"/>
    <w:rsid w:val="003F13DD"/>
    <w:rsid w:val="003F14A5"/>
    <w:rsid w:val="003F15F0"/>
    <w:rsid w:val="003F1CED"/>
    <w:rsid w:val="003F253E"/>
    <w:rsid w:val="003F2AD9"/>
    <w:rsid w:val="003F2EF7"/>
    <w:rsid w:val="003F3228"/>
    <w:rsid w:val="003F34AC"/>
    <w:rsid w:val="003F3FDC"/>
    <w:rsid w:val="003F4558"/>
    <w:rsid w:val="003F5C8C"/>
    <w:rsid w:val="003F63CE"/>
    <w:rsid w:val="003F775A"/>
    <w:rsid w:val="003F7866"/>
    <w:rsid w:val="003F7CF1"/>
    <w:rsid w:val="00400042"/>
    <w:rsid w:val="00400632"/>
    <w:rsid w:val="00400764"/>
    <w:rsid w:val="00400A76"/>
    <w:rsid w:val="00400E55"/>
    <w:rsid w:val="00401151"/>
    <w:rsid w:val="0040128E"/>
    <w:rsid w:val="00401640"/>
    <w:rsid w:val="0040216B"/>
    <w:rsid w:val="004032A7"/>
    <w:rsid w:val="00403640"/>
    <w:rsid w:val="004037D5"/>
    <w:rsid w:val="004040ED"/>
    <w:rsid w:val="004047C2"/>
    <w:rsid w:val="00404852"/>
    <w:rsid w:val="0040486F"/>
    <w:rsid w:val="00404CCA"/>
    <w:rsid w:val="00405299"/>
    <w:rsid w:val="0040590E"/>
    <w:rsid w:val="004066C0"/>
    <w:rsid w:val="00407408"/>
    <w:rsid w:val="004077E6"/>
    <w:rsid w:val="00407B8C"/>
    <w:rsid w:val="00407CC8"/>
    <w:rsid w:val="00407D1F"/>
    <w:rsid w:val="0041004F"/>
    <w:rsid w:val="004106AD"/>
    <w:rsid w:val="004111A1"/>
    <w:rsid w:val="004115C1"/>
    <w:rsid w:val="004116A1"/>
    <w:rsid w:val="00411BF7"/>
    <w:rsid w:val="00411CDD"/>
    <w:rsid w:val="00411D3A"/>
    <w:rsid w:val="00412B1F"/>
    <w:rsid w:val="00412CED"/>
    <w:rsid w:val="00413F36"/>
    <w:rsid w:val="0041451F"/>
    <w:rsid w:val="00414F0C"/>
    <w:rsid w:val="00414F1A"/>
    <w:rsid w:val="004159D4"/>
    <w:rsid w:val="00416B1C"/>
    <w:rsid w:val="0041704D"/>
    <w:rsid w:val="00417703"/>
    <w:rsid w:val="00417EBC"/>
    <w:rsid w:val="00420400"/>
    <w:rsid w:val="004204B4"/>
    <w:rsid w:val="00420832"/>
    <w:rsid w:val="00420BCE"/>
    <w:rsid w:val="004219AE"/>
    <w:rsid w:val="00423E78"/>
    <w:rsid w:val="004252EC"/>
    <w:rsid w:val="00426EAE"/>
    <w:rsid w:val="00426F66"/>
    <w:rsid w:val="00427FBE"/>
    <w:rsid w:val="004304CA"/>
    <w:rsid w:val="00430517"/>
    <w:rsid w:val="00430906"/>
    <w:rsid w:val="00430D39"/>
    <w:rsid w:val="00431189"/>
    <w:rsid w:val="00431B37"/>
    <w:rsid w:val="00432939"/>
    <w:rsid w:val="00432B4C"/>
    <w:rsid w:val="00432C5F"/>
    <w:rsid w:val="00432EBF"/>
    <w:rsid w:val="004358FB"/>
    <w:rsid w:val="00435B9A"/>
    <w:rsid w:val="00437445"/>
    <w:rsid w:val="0043750E"/>
    <w:rsid w:val="00437CCE"/>
    <w:rsid w:val="00437D11"/>
    <w:rsid w:val="00442909"/>
    <w:rsid w:val="00442C91"/>
    <w:rsid w:val="00442FDD"/>
    <w:rsid w:val="004449B3"/>
    <w:rsid w:val="00444E9D"/>
    <w:rsid w:val="00446120"/>
    <w:rsid w:val="004465BD"/>
    <w:rsid w:val="00446938"/>
    <w:rsid w:val="00446C08"/>
    <w:rsid w:val="0045061B"/>
    <w:rsid w:val="004513F7"/>
    <w:rsid w:val="00451858"/>
    <w:rsid w:val="0045275E"/>
    <w:rsid w:val="004528FA"/>
    <w:rsid w:val="00452A6C"/>
    <w:rsid w:val="00456D90"/>
    <w:rsid w:val="00460B71"/>
    <w:rsid w:val="00461A44"/>
    <w:rsid w:val="00461B4A"/>
    <w:rsid w:val="00462D26"/>
    <w:rsid w:val="0046368B"/>
    <w:rsid w:val="0046385A"/>
    <w:rsid w:val="00463D61"/>
    <w:rsid w:val="00464039"/>
    <w:rsid w:val="00464D38"/>
    <w:rsid w:val="00465260"/>
    <w:rsid w:val="004658BD"/>
    <w:rsid w:val="00466ADA"/>
    <w:rsid w:val="0046737B"/>
    <w:rsid w:val="004702BB"/>
    <w:rsid w:val="00470A28"/>
    <w:rsid w:val="00470ED7"/>
    <w:rsid w:val="0047211D"/>
    <w:rsid w:val="004728BA"/>
    <w:rsid w:val="0047494B"/>
    <w:rsid w:val="00476245"/>
    <w:rsid w:val="00476F4A"/>
    <w:rsid w:val="004773C4"/>
    <w:rsid w:val="00477A9B"/>
    <w:rsid w:val="00477D2E"/>
    <w:rsid w:val="004804BD"/>
    <w:rsid w:val="00480CFA"/>
    <w:rsid w:val="00482AE4"/>
    <w:rsid w:val="00482F5A"/>
    <w:rsid w:val="00482F80"/>
    <w:rsid w:val="00483035"/>
    <w:rsid w:val="0048344F"/>
    <w:rsid w:val="0048365D"/>
    <w:rsid w:val="004843C9"/>
    <w:rsid w:val="00484E6D"/>
    <w:rsid w:val="00485940"/>
    <w:rsid w:val="00485AB8"/>
    <w:rsid w:val="00486580"/>
    <w:rsid w:val="00486AB5"/>
    <w:rsid w:val="00486C95"/>
    <w:rsid w:val="004877C2"/>
    <w:rsid w:val="004904B9"/>
    <w:rsid w:val="00491D38"/>
    <w:rsid w:val="00491EDC"/>
    <w:rsid w:val="0049211D"/>
    <w:rsid w:val="004928E1"/>
    <w:rsid w:val="00492D8D"/>
    <w:rsid w:val="004937BF"/>
    <w:rsid w:val="004938FF"/>
    <w:rsid w:val="004939AF"/>
    <w:rsid w:val="004962AB"/>
    <w:rsid w:val="0049642F"/>
    <w:rsid w:val="00496662"/>
    <w:rsid w:val="00496BA8"/>
    <w:rsid w:val="004A00BB"/>
    <w:rsid w:val="004A13FF"/>
    <w:rsid w:val="004A1431"/>
    <w:rsid w:val="004A16D7"/>
    <w:rsid w:val="004A1816"/>
    <w:rsid w:val="004A2484"/>
    <w:rsid w:val="004A2626"/>
    <w:rsid w:val="004A2781"/>
    <w:rsid w:val="004A2AB7"/>
    <w:rsid w:val="004A2D3E"/>
    <w:rsid w:val="004A378E"/>
    <w:rsid w:val="004A47A8"/>
    <w:rsid w:val="004A55BE"/>
    <w:rsid w:val="004A5A85"/>
    <w:rsid w:val="004A5C37"/>
    <w:rsid w:val="004A71D1"/>
    <w:rsid w:val="004A7BAF"/>
    <w:rsid w:val="004A7C5B"/>
    <w:rsid w:val="004A7D74"/>
    <w:rsid w:val="004B1845"/>
    <w:rsid w:val="004B217D"/>
    <w:rsid w:val="004B2348"/>
    <w:rsid w:val="004B269F"/>
    <w:rsid w:val="004B2AA4"/>
    <w:rsid w:val="004B2E01"/>
    <w:rsid w:val="004B2E98"/>
    <w:rsid w:val="004B2F1A"/>
    <w:rsid w:val="004B3732"/>
    <w:rsid w:val="004B3D91"/>
    <w:rsid w:val="004B410C"/>
    <w:rsid w:val="004B4986"/>
    <w:rsid w:val="004B5640"/>
    <w:rsid w:val="004B6033"/>
    <w:rsid w:val="004B6084"/>
    <w:rsid w:val="004BCF29"/>
    <w:rsid w:val="004C0206"/>
    <w:rsid w:val="004C03D0"/>
    <w:rsid w:val="004C1889"/>
    <w:rsid w:val="004C1BD7"/>
    <w:rsid w:val="004C1BF2"/>
    <w:rsid w:val="004C202D"/>
    <w:rsid w:val="004C239C"/>
    <w:rsid w:val="004C2727"/>
    <w:rsid w:val="004C2F58"/>
    <w:rsid w:val="004C31FE"/>
    <w:rsid w:val="004C3F3F"/>
    <w:rsid w:val="004C476C"/>
    <w:rsid w:val="004C524C"/>
    <w:rsid w:val="004C53B2"/>
    <w:rsid w:val="004C5EDD"/>
    <w:rsid w:val="004C5FFA"/>
    <w:rsid w:val="004C6482"/>
    <w:rsid w:val="004C691D"/>
    <w:rsid w:val="004C6C07"/>
    <w:rsid w:val="004C7DFB"/>
    <w:rsid w:val="004C7E15"/>
    <w:rsid w:val="004C7EC6"/>
    <w:rsid w:val="004C7FAD"/>
    <w:rsid w:val="004D0329"/>
    <w:rsid w:val="004D076C"/>
    <w:rsid w:val="004D20BB"/>
    <w:rsid w:val="004D2AF1"/>
    <w:rsid w:val="004D2CD1"/>
    <w:rsid w:val="004D365C"/>
    <w:rsid w:val="004D3720"/>
    <w:rsid w:val="004D3B7A"/>
    <w:rsid w:val="004D4FF6"/>
    <w:rsid w:val="004D5ADD"/>
    <w:rsid w:val="004D6531"/>
    <w:rsid w:val="004D7793"/>
    <w:rsid w:val="004E0B32"/>
    <w:rsid w:val="004E0CC3"/>
    <w:rsid w:val="004E1004"/>
    <w:rsid w:val="004E2AAC"/>
    <w:rsid w:val="004E32FD"/>
    <w:rsid w:val="004E400A"/>
    <w:rsid w:val="004E494E"/>
    <w:rsid w:val="004E4ACC"/>
    <w:rsid w:val="004E52C0"/>
    <w:rsid w:val="004E52F9"/>
    <w:rsid w:val="004E692D"/>
    <w:rsid w:val="004E69F7"/>
    <w:rsid w:val="004E7230"/>
    <w:rsid w:val="004E7D87"/>
    <w:rsid w:val="004F2038"/>
    <w:rsid w:val="004F2553"/>
    <w:rsid w:val="004F306A"/>
    <w:rsid w:val="004F38F6"/>
    <w:rsid w:val="004F3EFA"/>
    <w:rsid w:val="004F4DE6"/>
    <w:rsid w:val="004F647B"/>
    <w:rsid w:val="004F6D36"/>
    <w:rsid w:val="005000C1"/>
    <w:rsid w:val="00501554"/>
    <w:rsid w:val="00502AFE"/>
    <w:rsid w:val="00502E64"/>
    <w:rsid w:val="00503272"/>
    <w:rsid w:val="00503AD7"/>
    <w:rsid w:val="00503B9F"/>
    <w:rsid w:val="00503E89"/>
    <w:rsid w:val="00504E0C"/>
    <w:rsid w:val="00504E13"/>
    <w:rsid w:val="0050501D"/>
    <w:rsid w:val="0050514A"/>
    <w:rsid w:val="00505ACA"/>
    <w:rsid w:val="00506C86"/>
    <w:rsid w:val="0050709E"/>
    <w:rsid w:val="00510688"/>
    <w:rsid w:val="005109D4"/>
    <w:rsid w:val="005118A4"/>
    <w:rsid w:val="00511C6F"/>
    <w:rsid w:val="00511F50"/>
    <w:rsid w:val="0051230A"/>
    <w:rsid w:val="00512532"/>
    <w:rsid w:val="00513F1A"/>
    <w:rsid w:val="005143C9"/>
    <w:rsid w:val="00514753"/>
    <w:rsid w:val="00514CD7"/>
    <w:rsid w:val="00516537"/>
    <w:rsid w:val="005167EC"/>
    <w:rsid w:val="00516A93"/>
    <w:rsid w:val="00516C23"/>
    <w:rsid w:val="00516F3F"/>
    <w:rsid w:val="0051700B"/>
    <w:rsid w:val="005170DA"/>
    <w:rsid w:val="0051716F"/>
    <w:rsid w:val="005174D3"/>
    <w:rsid w:val="00517E83"/>
    <w:rsid w:val="00520B08"/>
    <w:rsid w:val="00520D6A"/>
    <w:rsid w:val="00521405"/>
    <w:rsid w:val="00521D93"/>
    <w:rsid w:val="00522145"/>
    <w:rsid w:val="00522DB6"/>
    <w:rsid w:val="00523632"/>
    <w:rsid w:val="00523B71"/>
    <w:rsid w:val="00523FF8"/>
    <w:rsid w:val="005247EA"/>
    <w:rsid w:val="0052604B"/>
    <w:rsid w:val="005260B4"/>
    <w:rsid w:val="005264A7"/>
    <w:rsid w:val="00527365"/>
    <w:rsid w:val="005277DD"/>
    <w:rsid w:val="0052792D"/>
    <w:rsid w:val="00527E43"/>
    <w:rsid w:val="005317A7"/>
    <w:rsid w:val="005319B2"/>
    <w:rsid w:val="00531D89"/>
    <w:rsid w:val="00532402"/>
    <w:rsid w:val="00532C74"/>
    <w:rsid w:val="00532F57"/>
    <w:rsid w:val="0053319E"/>
    <w:rsid w:val="00533239"/>
    <w:rsid w:val="00533950"/>
    <w:rsid w:val="00534E2E"/>
    <w:rsid w:val="00535026"/>
    <w:rsid w:val="00535133"/>
    <w:rsid w:val="00535466"/>
    <w:rsid w:val="00535EFE"/>
    <w:rsid w:val="00536932"/>
    <w:rsid w:val="00536AFC"/>
    <w:rsid w:val="0054064C"/>
    <w:rsid w:val="00541450"/>
    <w:rsid w:val="0054183D"/>
    <w:rsid w:val="00541841"/>
    <w:rsid w:val="00542A96"/>
    <w:rsid w:val="00542BBA"/>
    <w:rsid w:val="00544552"/>
    <w:rsid w:val="0054476F"/>
    <w:rsid w:val="00544AC1"/>
    <w:rsid w:val="00545130"/>
    <w:rsid w:val="00546B36"/>
    <w:rsid w:val="00546DF0"/>
    <w:rsid w:val="005512DC"/>
    <w:rsid w:val="00551567"/>
    <w:rsid w:val="005520C1"/>
    <w:rsid w:val="0055286A"/>
    <w:rsid w:val="00553B1E"/>
    <w:rsid w:val="005542D7"/>
    <w:rsid w:val="00554577"/>
    <w:rsid w:val="00554F2E"/>
    <w:rsid w:val="005551C7"/>
    <w:rsid w:val="00555745"/>
    <w:rsid w:val="005564C3"/>
    <w:rsid w:val="0055695D"/>
    <w:rsid w:val="00556D93"/>
    <w:rsid w:val="00556EB9"/>
    <w:rsid w:val="005578D6"/>
    <w:rsid w:val="00557D4F"/>
    <w:rsid w:val="0056037F"/>
    <w:rsid w:val="00560AE8"/>
    <w:rsid w:val="0056122E"/>
    <w:rsid w:val="00561628"/>
    <w:rsid w:val="00561958"/>
    <w:rsid w:val="005626FC"/>
    <w:rsid w:val="005629D7"/>
    <w:rsid w:val="00562D01"/>
    <w:rsid w:val="00563352"/>
    <w:rsid w:val="00564617"/>
    <w:rsid w:val="0056484E"/>
    <w:rsid w:val="00564DFE"/>
    <w:rsid w:val="005656F0"/>
    <w:rsid w:val="00565999"/>
    <w:rsid w:val="00566130"/>
    <w:rsid w:val="00566E85"/>
    <w:rsid w:val="0056718B"/>
    <w:rsid w:val="00567AE3"/>
    <w:rsid w:val="00567D8A"/>
    <w:rsid w:val="00570231"/>
    <w:rsid w:val="00570508"/>
    <w:rsid w:val="00570F13"/>
    <w:rsid w:val="005714B7"/>
    <w:rsid w:val="00571D65"/>
    <w:rsid w:val="00572410"/>
    <w:rsid w:val="00573092"/>
    <w:rsid w:val="00574868"/>
    <w:rsid w:val="00574D30"/>
    <w:rsid w:val="005750E9"/>
    <w:rsid w:val="00575757"/>
    <w:rsid w:val="00576170"/>
    <w:rsid w:val="005764CD"/>
    <w:rsid w:val="00576D0B"/>
    <w:rsid w:val="00576F9F"/>
    <w:rsid w:val="0057703E"/>
    <w:rsid w:val="00577C4D"/>
    <w:rsid w:val="005804C2"/>
    <w:rsid w:val="00580532"/>
    <w:rsid w:val="005808F6"/>
    <w:rsid w:val="00580CCC"/>
    <w:rsid w:val="005818FC"/>
    <w:rsid w:val="00581932"/>
    <w:rsid w:val="005819E4"/>
    <w:rsid w:val="00583002"/>
    <w:rsid w:val="00585050"/>
    <w:rsid w:val="0058535A"/>
    <w:rsid w:val="005856E2"/>
    <w:rsid w:val="00586260"/>
    <w:rsid w:val="00586BE9"/>
    <w:rsid w:val="00586F5C"/>
    <w:rsid w:val="00586FCC"/>
    <w:rsid w:val="00587398"/>
    <w:rsid w:val="00587A44"/>
    <w:rsid w:val="005903BB"/>
    <w:rsid w:val="0059063E"/>
    <w:rsid w:val="00591271"/>
    <w:rsid w:val="00591564"/>
    <w:rsid w:val="00592157"/>
    <w:rsid w:val="005922E5"/>
    <w:rsid w:val="00593893"/>
    <w:rsid w:val="00593BD3"/>
    <w:rsid w:val="005943DF"/>
    <w:rsid w:val="005949E9"/>
    <w:rsid w:val="00595457"/>
    <w:rsid w:val="00595B7B"/>
    <w:rsid w:val="00595F39"/>
    <w:rsid w:val="0059628B"/>
    <w:rsid w:val="005963BB"/>
    <w:rsid w:val="0059645C"/>
    <w:rsid w:val="005965ED"/>
    <w:rsid w:val="00596D12"/>
    <w:rsid w:val="00596D37"/>
    <w:rsid w:val="00597E49"/>
    <w:rsid w:val="005A00E3"/>
    <w:rsid w:val="005A0AB3"/>
    <w:rsid w:val="005A15D2"/>
    <w:rsid w:val="005A16A3"/>
    <w:rsid w:val="005A1C82"/>
    <w:rsid w:val="005A2704"/>
    <w:rsid w:val="005A2F56"/>
    <w:rsid w:val="005A2F92"/>
    <w:rsid w:val="005A3173"/>
    <w:rsid w:val="005A3223"/>
    <w:rsid w:val="005A3DA3"/>
    <w:rsid w:val="005A406E"/>
    <w:rsid w:val="005A49DA"/>
    <w:rsid w:val="005A4E61"/>
    <w:rsid w:val="005A52C4"/>
    <w:rsid w:val="005A57DF"/>
    <w:rsid w:val="005A5A50"/>
    <w:rsid w:val="005A63A1"/>
    <w:rsid w:val="005A6FB9"/>
    <w:rsid w:val="005A7626"/>
    <w:rsid w:val="005B0486"/>
    <w:rsid w:val="005B1032"/>
    <w:rsid w:val="005B1473"/>
    <w:rsid w:val="005B1845"/>
    <w:rsid w:val="005B1AAC"/>
    <w:rsid w:val="005B2F12"/>
    <w:rsid w:val="005B36FA"/>
    <w:rsid w:val="005B4EBA"/>
    <w:rsid w:val="005B6501"/>
    <w:rsid w:val="005B74AF"/>
    <w:rsid w:val="005B77F3"/>
    <w:rsid w:val="005C0223"/>
    <w:rsid w:val="005C0858"/>
    <w:rsid w:val="005C170B"/>
    <w:rsid w:val="005C2268"/>
    <w:rsid w:val="005C33F5"/>
    <w:rsid w:val="005C3C70"/>
    <w:rsid w:val="005C3CB9"/>
    <w:rsid w:val="005C4B2B"/>
    <w:rsid w:val="005C4C61"/>
    <w:rsid w:val="005C4DB7"/>
    <w:rsid w:val="005C4F73"/>
    <w:rsid w:val="005C57D4"/>
    <w:rsid w:val="005C5F38"/>
    <w:rsid w:val="005C6892"/>
    <w:rsid w:val="005C6A66"/>
    <w:rsid w:val="005C7DA4"/>
    <w:rsid w:val="005D01FA"/>
    <w:rsid w:val="005D03AB"/>
    <w:rsid w:val="005D05B2"/>
    <w:rsid w:val="005D12D6"/>
    <w:rsid w:val="005D3ACC"/>
    <w:rsid w:val="005D3EC2"/>
    <w:rsid w:val="005D401D"/>
    <w:rsid w:val="005D4446"/>
    <w:rsid w:val="005D462A"/>
    <w:rsid w:val="005D4BD4"/>
    <w:rsid w:val="005D5017"/>
    <w:rsid w:val="005D5708"/>
    <w:rsid w:val="005D63FA"/>
    <w:rsid w:val="005D643D"/>
    <w:rsid w:val="005D73C7"/>
    <w:rsid w:val="005D73E5"/>
    <w:rsid w:val="005D74DB"/>
    <w:rsid w:val="005D7BBB"/>
    <w:rsid w:val="005E0050"/>
    <w:rsid w:val="005E04FC"/>
    <w:rsid w:val="005E0C2D"/>
    <w:rsid w:val="005E0D82"/>
    <w:rsid w:val="005E0F59"/>
    <w:rsid w:val="005E1044"/>
    <w:rsid w:val="005E1333"/>
    <w:rsid w:val="005E1CEF"/>
    <w:rsid w:val="005E3136"/>
    <w:rsid w:val="005E3734"/>
    <w:rsid w:val="005E3CDA"/>
    <w:rsid w:val="005E507D"/>
    <w:rsid w:val="005E5910"/>
    <w:rsid w:val="005E7FA3"/>
    <w:rsid w:val="005F0946"/>
    <w:rsid w:val="005F0AD0"/>
    <w:rsid w:val="005F0C3F"/>
    <w:rsid w:val="005F18B7"/>
    <w:rsid w:val="005F1A06"/>
    <w:rsid w:val="005F1BFD"/>
    <w:rsid w:val="005F2B68"/>
    <w:rsid w:val="005F33E8"/>
    <w:rsid w:val="005F376A"/>
    <w:rsid w:val="005F3BC8"/>
    <w:rsid w:val="005F3C36"/>
    <w:rsid w:val="005F3E81"/>
    <w:rsid w:val="005F4E97"/>
    <w:rsid w:val="005F5723"/>
    <w:rsid w:val="005F5CC4"/>
    <w:rsid w:val="005F7DD2"/>
    <w:rsid w:val="00600A18"/>
    <w:rsid w:val="00600A4F"/>
    <w:rsid w:val="00601217"/>
    <w:rsid w:val="0060196B"/>
    <w:rsid w:val="00601A91"/>
    <w:rsid w:val="00601C8D"/>
    <w:rsid w:val="00602063"/>
    <w:rsid w:val="006023A7"/>
    <w:rsid w:val="00602A44"/>
    <w:rsid w:val="00602BA3"/>
    <w:rsid w:val="00603951"/>
    <w:rsid w:val="00605B63"/>
    <w:rsid w:val="00605F9A"/>
    <w:rsid w:val="00606442"/>
    <w:rsid w:val="006065C4"/>
    <w:rsid w:val="00606A7B"/>
    <w:rsid w:val="00606EED"/>
    <w:rsid w:val="00607DDB"/>
    <w:rsid w:val="00611ABA"/>
    <w:rsid w:val="0061266A"/>
    <w:rsid w:val="00612A95"/>
    <w:rsid w:val="00612E34"/>
    <w:rsid w:val="00613110"/>
    <w:rsid w:val="00613C4E"/>
    <w:rsid w:val="00614159"/>
    <w:rsid w:val="006158A3"/>
    <w:rsid w:val="00615B77"/>
    <w:rsid w:val="00616C5F"/>
    <w:rsid w:val="00616DAC"/>
    <w:rsid w:val="00617725"/>
    <w:rsid w:val="00617C00"/>
    <w:rsid w:val="006216A3"/>
    <w:rsid w:val="00621E73"/>
    <w:rsid w:val="00622090"/>
    <w:rsid w:val="00623010"/>
    <w:rsid w:val="0062316F"/>
    <w:rsid w:val="00623259"/>
    <w:rsid w:val="006242B5"/>
    <w:rsid w:val="00624574"/>
    <w:rsid w:val="006246EA"/>
    <w:rsid w:val="00625237"/>
    <w:rsid w:val="006256B9"/>
    <w:rsid w:val="00625C45"/>
    <w:rsid w:val="00625E72"/>
    <w:rsid w:val="006263BF"/>
    <w:rsid w:val="00626509"/>
    <w:rsid w:val="00626847"/>
    <w:rsid w:val="00626AA8"/>
    <w:rsid w:val="0062748A"/>
    <w:rsid w:val="00627E44"/>
    <w:rsid w:val="006302B4"/>
    <w:rsid w:val="00630546"/>
    <w:rsid w:val="00630A2C"/>
    <w:rsid w:val="006319F1"/>
    <w:rsid w:val="00632180"/>
    <w:rsid w:val="00632C4C"/>
    <w:rsid w:val="00633082"/>
    <w:rsid w:val="006332FA"/>
    <w:rsid w:val="00633572"/>
    <w:rsid w:val="00633AC0"/>
    <w:rsid w:val="00633ADF"/>
    <w:rsid w:val="00634867"/>
    <w:rsid w:val="00634A75"/>
    <w:rsid w:val="00635C1E"/>
    <w:rsid w:val="0063682E"/>
    <w:rsid w:val="00636D93"/>
    <w:rsid w:val="006377E5"/>
    <w:rsid w:val="006379E3"/>
    <w:rsid w:val="00637C67"/>
    <w:rsid w:val="00640088"/>
    <w:rsid w:val="00640C19"/>
    <w:rsid w:val="00640D16"/>
    <w:rsid w:val="006417D8"/>
    <w:rsid w:val="00641A0F"/>
    <w:rsid w:val="00642475"/>
    <w:rsid w:val="00642672"/>
    <w:rsid w:val="00642DA8"/>
    <w:rsid w:val="006435DE"/>
    <w:rsid w:val="006436CD"/>
    <w:rsid w:val="0064592A"/>
    <w:rsid w:val="00645DEA"/>
    <w:rsid w:val="00646366"/>
    <w:rsid w:val="0064689D"/>
    <w:rsid w:val="00650931"/>
    <w:rsid w:val="00650976"/>
    <w:rsid w:val="00650B91"/>
    <w:rsid w:val="00650F2D"/>
    <w:rsid w:val="00650FA4"/>
    <w:rsid w:val="00651169"/>
    <w:rsid w:val="006528FA"/>
    <w:rsid w:val="00652A87"/>
    <w:rsid w:val="00653A2E"/>
    <w:rsid w:val="00653D69"/>
    <w:rsid w:val="006552E6"/>
    <w:rsid w:val="00655794"/>
    <w:rsid w:val="006557A8"/>
    <w:rsid w:val="00656CDB"/>
    <w:rsid w:val="00656F2F"/>
    <w:rsid w:val="00657C63"/>
    <w:rsid w:val="0066011A"/>
    <w:rsid w:val="00660F92"/>
    <w:rsid w:val="00661858"/>
    <w:rsid w:val="00661CBC"/>
    <w:rsid w:val="00661CF8"/>
    <w:rsid w:val="00661FCE"/>
    <w:rsid w:val="00662845"/>
    <w:rsid w:val="00662B85"/>
    <w:rsid w:val="00662F33"/>
    <w:rsid w:val="00663EE9"/>
    <w:rsid w:val="006644B8"/>
    <w:rsid w:val="00664987"/>
    <w:rsid w:val="00664EB5"/>
    <w:rsid w:val="006652F2"/>
    <w:rsid w:val="00666E9E"/>
    <w:rsid w:val="006670B3"/>
    <w:rsid w:val="006670BE"/>
    <w:rsid w:val="006672D3"/>
    <w:rsid w:val="00670641"/>
    <w:rsid w:val="00670A76"/>
    <w:rsid w:val="006711AA"/>
    <w:rsid w:val="00672B57"/>
    <w:rsid w:val="00673C16"/>
    <w:rsid w:val="00673CE4"/>
    <w:rsid w:val="00673F1F"/>
    <w:rsid w:val="00675622"/>
    <w:rsid w:val="006759CF"/>
    <w:rsid w:val="00675D0D"/>
    <w:rsid w:val="00675DEB"/>
    <w:rsid w:val="00676B21"/>
    <w:rsid w:val="00676E1D"/>
    <w:rsid w:val="0067747D"/>
    <w:rsid w:val="006779F4"/>
    <w:rsid w:val="006818D5"/>
    <w:rsid w:val="00681CA4"/>
    <w:rsid w:val="00682B15"/>
    <w:rsid w:val="00682DC0"/>
    <w:rsid w:val="00683543"/>
    <w:rsid w:val="00683EB6"/>
    <w:rsid w:val="00684891"/>
    <w:rsid w:val="00685EE2"/>
    <w:rsid w:val="00686559"/>
    <w:rsid w:val="006869C6"/>
    <w:rsid w:val="0069039D"/>
    <w:rsid w:val="006906DB"/>
    <w:rsid w:val="0069185C"/>
    <w:rsid w:val="00691900"/>
    <w:rsid w:val="00691A2C"/>
    <w:rsid w:val="00691E6C"/>
    <w:rsid w:val="00693425"/>
    <w:rsid w:val="0069342D"/>
    <w:rsid w:val="00693DFB"/>
    <w:rsid w:val="0069457C"/>
    <w:rsid w:val="00694FD5"/>
    <w:rsid w:val="0069501D"/>
    <w:rsid w:val="00696129"/>
    <w:rsid w:val="00696567"/>
    <w:rsid w:val="006976F0"/>
    <w:rsid w:val="00697752"/>
    <w:rsid w:val="00697B02"/>
    <w:rsid w:val="00697CF2"/>
    <w:rsid w:val="006A12A5"/>
    <w:rsid w:val="006A134C"/>
    <w:rsid w:val="006A147D"/>
    <w:rsid w:val="006A1B39"/>
    <w:rsid w:val="006A2515"/>
    <w:rsid w:val="006A2544"/>
    <w:rsid w:val="006A2810"/>
    <w:rsid w:val="006A2AEE"/>
    <w:rsid w:val="006A317D"/>
    <w:rsid w:val="006A40B5"/>
    <w:rsid w:val="006A4524"/>
    <w:rsid w:val="006A4888"/>
    <w:rsid w:val="006A4EE3"/>
    <w:rsid w:val="006A572D"/>
    <w:rsid w:val="006A5E20"/>
    <w:rsid w:val="006A6AFB"/>
    <w:rsid w:val="006A6B5E"/>
    <w:rsid w:val="006B057D"/>
    <w:rsid w:val="006B0D94"/>
    <w:rsid w:val="006B1154"/>
    <w:rsid w:val="006B1276"/>
    <w:rsid w:val="006B16B6"/>
    <w:rsid w:val="006B36F7"/>
    <w:rsid w:val="006B3853"/>
    <w:rsid w:val="006B3DED"/>
    <w:rsid w:val="006B469D"/>
    <w:rsid w:val="006B485D"/>
    <w:rsid w:val="006B5C4E"/>
    <w:rsid w:val="006B6109"/>
    <w:rsid w:val="006B61F7"/>
    <w:rsid w:val="006B6E2A"/>
    <w:rsid w:val="006B7346"/>
    <w:rsid w:val="006B7553"/>
    <w:rsid w:val="006B7DDA"/>
    <w:rsid w:val="006C08F9"/>
    <w:rsid w:val="006C0C45"/>
    <w:rsid w:val="006C0F08"/>
    <w:rsid w:val="006C27B8"/>
    <w:rsid w:val="006C2806"/>
    <w:rsid w:val="006C334C"/>
    <w:rsid w:val="006C3C68"/>
    <w:rsid w:val="006C3D3E"/>
    <w:rsid w:val="006C55A8"/>
    <w:rsid w:val="006C5EC6"/>
    <w:rsid w:val="006C5F92"/>
    <w:rsid w:val="006C6917"/>
    <w:rsid w:val="006C6C10"/>
    <w:rsid w:val="006C6CFF"/>
    <w:rsid w:val="006C708E"/>
    <w:rsid w:val="006C70AE"/>
    <w:rsid w:val="006D0F91"/>
    <w:rsid w:val="006D14E7"/>
    <w:rsid w:val="006D233C"/>
    <w:rsid w:val="006D401B"/>
    <w:rsid w:val="006D4356"/>
    <w:rsid w:val="006D4444"/>
    <w:rsid w:val="006D4B7B"/>
    <w:rsid w:val="006D62F1"/>
    <w:rsid w:val="006D6493"/>
    <w:rsid w:val="006D68D3"/>
    <w:rsid w:val="006D694F"/>
    <w:rsid w:val="006D6EC7"/>
    <w:rsid w:val="006D7248"/>
    <w:rsid w:val="006D7B05"/>
    <w:rsid w:val="006D7E45"/>
    <w:rsid w:val="006E1143"/>
    <w:rsid w:val="006E1BCD"/>
    <w:rsid w:val="006E2732"/>
    <w:rsid w:val="006E531B"/>
    <w:rsid w:val="006E59CD"/>
    <w:rsid w:val="006E60E9"/>
    <w:rsid w:val="006E60EC"/>
    <w:rsid w:val="006E677E"/>
    <w:rsid w:val="006E6789"/>
    <w:rsid w:val="006E7215"/>
    <w:rsid w:val="006E7EA8"/>
    <w:rsid w:val="006F00ED"/>
    <w:rsid w:val="006F026F"/>
    <w:rsid w:val="006F0A71"/>
    <w:rsid w:val="006F1C6B"/>
    <w:rsid w:val="006F251B"/>
    <w:rsid w:val="006F2AAA"/>
    <w:rsid w:val="006F2ECE"/>
    <w:rsid w:val="006F2FC3"/>
    <w:rsid w:val="006F3399"/>
    <w:rsid w:val="006F3E0F"/>
    <w:rsid w:val="006F40C2"/>
    <w:rsid w:val="006F4868"/>
    <w:rsid w:val="006F4E16"/>
    <w:rsid w:val="006F5125"/>
    <w:rsid w:val="006F531B"/>
    <w:rsid w:val="006F54D1"/>
    <w:rsid w:val="006F5630"/>
    <w:rsid w:val="006F67D1"/>
    <w:rsid w:val="006F6D41"/>
    <w:rsid w:val="006F733D"/>
    <w:rsid w:val="006F78D5"/>
    <w:rsid w:val="00700765"/>
    <w:rsid w:val="00702959"/>
    <w:rsid w:val="00702B6F"/>
    <w:rsid w:val="007030B4"/>
    <w:rsid w:val="007031FF"/>
    <w:rsid w:val="00703B86"/>
    <w:rsid w:val="00704069"/>
    <w:rsid w:val="0070519A"/>
    <w:rsid w:val="0070528A"/>
    <w:rsid w:val="00706386"/>
    <w:rsid w:val="00706907"/>
    <w:rsid w:val="007069C9"/>
    <w:rsid w:val="00706A2F"/>
    <w:rsid w:val="0070718E"/>
    <w:rsid w:val="00707E52"/>
    <w:rsid w:val="00710259"/>
    <w:rsid w:val="0071031F"/>
    <w:rsid w:val="00710737"/>
    <w:rsid w:val="007107DF"/>
    <w:rsid w:val="0071094F"/>
    <w:rsid w:val="00710C89"/>
    <w:rsid w:val="0071146D"/>
    <w:rsid w:val="007118D3"/>
    <w:rsid w:val="00711ADC"/>
    <w:rsid w:val="0071340B"/>
    <w:rsid w:val="00713C50"/>
    <w:rsid w:val="00713ED4"/>
    <w:rsid w:val="0071436D"/>
    <w:rsid w:val="0071508D"/>
    <w:rsid w:val="007153D5"/>
    <w:rsid w:val="00715BBB"/>
    <w:rsid w:val="00716571"/>
    <w:rsid w:val="00716F4F"/>
    <w:rsid w:val="007174BB"/>
    <w:rsid w:val="00717CC9"/>
    <w:rsid w:val="0072025D"/>
    <w:rsid w:val="00720C7B"/>
    <w:rsid w:val="00721589"/>
    <w:rsid w:val="007215B5"/>
    <w:rsid w:val="00721C14"/>
    <w:rsid w:val="00721D54"/>
    <w:rsid w:val="00721FF7"/>
    <w:rsid w:val="00722073"/>
    <w:rsid w:val="00722D76"/>
    <w:rsid w:val="00723100"/>
    <w:rsid w:val="00723328"/>
    <w:rsid w:val="007237DE"/>
    <w:rsid w:val="00724745"/>
    <w:rsid w:val="00724C16"/>
    <w:rsid w:val="0072502E"/>
    <w:rsid w:val="0072512E"/>
    <w:rsid w:val="00725945"/>
    <w:rsid w:val="007279AC"/>
    <w:rsid w:val="00727C2B"/>
    <w:rsid w:val="0073137C"/>
    <w:rsid w:val="007315B6"/>
    <w:rsid w:val="007320E6"/>
    <w:rsid w:val="007338F3"/>
    <w:rsid w:val="00733906"/>
    <w:rsid w:val="007340B9"/>
    <w:rsid w:val="007345A8"/>
    <w:rsid w:val="00734B95"/>
    <w:rsid w:val="007353D3"/>
    <w:rsid w:val="007357AA"/>
    <w:rsid w:val="00735A65"/>
    <w:rsid w:val="00736621"/>
    <w:rsid w:val="0073662B"/>
    <w:rsid w:val="0073662F"/>
    <w:rsid w:val="0073736F"/>
    <w:rsid w:val="00740168"/>
    <w:rsid w:val="00740AD9"/>
    <w:rsid w:val="00740D37"/>
    <w:rsid w:val="0074156B"/>
    <w:rsid w:val="00741619"/>
    <w:rsid w:val="00741AC9"/>
    <w:rsid w:val="0074254C"/>
    <w:rsid w:val="00742885"/>
    <w:rsid w:val="00742BA4"/>
    <w:rsid w:val="00742F55"/>
    <w:rsid w:val="00742F9F"/>
    <w:rsid w:val="00743131"/>
    <w:rsid w:val="00743611"/>
    <w:rsid w:val="00743D35"/>
    <w:rsid w:val="007446F7"/>
    <w:rsid w:val="007447E1"/>
    <w:rsid w:val="007450F5"/>
    <w:rsid w:val="007455A3"/>
    <w:rsid w:val="00745629"/>
    <w:rsid w:val="00747092"/>
    <w:rsid w:val="007477FF"/>
    <w:rsid w:val="00747F5B"/>
    <w:rsid w:val="00747FAD"/>
    <w:rsid w:val="007525F0"/>
    <w:rsid w:val="007526E6"/>
    <w:rsid w:val="00752F8A"/>
    <w:rsid w:val="0075348F"/>
    <w:rsid w:val="00754409"/>
    <w:rsid w:val="00754C18"/>
    <w:rsid w:val="00754DF9"/>
    <w:rsid w:val="007555E8"/>
    <w:rsid w:val="00755CC5"/>
    <w:rsid w:val="00755D15"/>
    <w:rsid w:val="0075611C"/>
    <w:rsid w:val="00756DE4"/>
    <w:rsid w:val="00757014"/>
    <w:rsid w:val="007573F5"/>
    <w:rsid w:val="0076216D"/>
    <w:rsid w:val="007622FA"/>
    <w:rsid w:val="00762862"/>
    <w:rsid w:val="00762906"/>
    <w:rsid w:val="0076326B"/>
    <w:rsid w:val="0076420C"/>
    <w:rsid w:val="00764546"/>
    <w:rsid w:val="00764A82"/>
    <w:rsid w:val="00764B5A"/>
    <w:rsid w:val="00765ED8"/>
    <w:rsid w:val="00766DA9"/>
    <w:rsid w:val="00767006"/>
    <w:rsid w:val="007718DD"/>
    <w:rsid w:val="007719AE"/>
    <w:rsid w:val="00771D07"/>
    <w:rsid w:val="0077254E"/>
    <w:rsid w:val="00772649"/>
    <w:rsid w:val="007726F6"/>
    <w:rsid w:val="00772F5D"/>
    <w:rsid w:val="00773BE3"/>
    <w:rsid w:val="007743DD"/>
    <w:rsid w:val="00774E2C"/>
    <w:rsid w:val="0077503C"/>
    <w:rsid w:val="0077518D"/>
    <w:rsid w:val="007753C2"/>
    <w:rsid w:val="00776068"/>
    <w:rsid w:val="00777186"/>
    <w:rsid w:val="00777A7F"/>
    <w:rsid w:val="00777ED4"/>
    <w:rsid w:val="00780A29"/>
    <w:rsid w:val="00780C5C"/>
    <w:rsid w:val="007821C4"/>
    <w:rsid w:val="007825A8"/>
    <w:rsid w:val="007826F6"/>
    <w:rsid w:val="0078274A"/>
    <w:rsid w:val="00782ABC"/>
    <w:rsid w:val="007838B8"/>
    <w:rsid w:val="00783D61"/>
    <w:rsid w:val="007841D7"/>
    <w:rsid w:val="00784965"/>
    <w:rsid w:val="00784B27"/>
    <w:rsid w:val="00785779"/>
    <w:rsid w:val="00786AC2"/>
    <w:rsid w:val="00787536"/>
    <w:rsid w:val="00787D6D"/>
    <w:rsid w:val="00787DB7"/>
    <w:rsid w:val="00787FD8"/>
    <w:rsid w:val="007908C1"/>
    <w:rsid w:val="007915BA"/>
    <w:rsid w:val="00791844"/>
    <w:rsid w:val="00791A37"/>
    <w:rsid w:val="0079248F"/>
    <w:rsid w:val="0079250E"/>
    <w:rsid w:val="00792821"/>
    <w:rsid w:val="00793CE9"/>
    <w:rsid w:val="00794D74"/>
    <w:rsid w:val="0079545A"/>
    <w:rsid w:val="00795924"/>
    <w:rsid w:val="00796667"/>
    <w:rsid w:val="007967A0"/>
    <w:rsid w:val="00797068"/>
    <w:rsid w:val="007979BD"/>
    <w:rsid w:val="007A127F"/>
    <w:rsid w:val="007A167A"/>
    <w:rsid w:val="007A3688"/>
    <w:rsid w:val="007A36E3"/>
    <w:rsid w:val="007A3BE6"/>
    <w:rsid w:val="007A3BF0"/>
    <w:rsid w:val="007A3D8E"/>
    <w:rsid w:val="007A414F"/>
    <w:rsid w:val="007A4A52"/>
    <w:rsid w:val="007A5C88"/>
    <w:rsid w:val="007A6A2F"/>
    <w:rsid w:val="007A7512"/>
    <w:rsid w:val="007A7C7B"/>
    <w:rsid w:val="007A7D8E"/>
    <w:rsid w:val="007B024E"/>
    <w:rsid w:val="007B23D0"/>
    <w:rsid w:val="007B24AF"/>
    <w:rsid w:val="007B2C9E"/>
    <w:rsid w:val="007B2CB4"/>
    <w:rsid w:val="007B34A1"/>
    <w:rsid w:val="007B3BAF"/>
    <w:rsid w:val="007B3DDC"/>
    <w:rsid w:val="007B5202"/>
    <w:rsid w:val="007B5EA5"/>
    <w:rsid w:val="007B72A6"/>
    <w:rsid w:val="007B7BEA"/>
    <w:rsid w:val="007C003B"/>
    <w:rsid w:val="007C025C"/>
    <w:rsid w:val="007C06D2"/>
    <w:rsid w:val="007C08E0"/>
    <w:rsid w:val="007C0991"/>
    <w:rsid w:val="007C0F57"/>
    <w:rsid w:val="007C18A8"/>
    <w:rsid w:val="007C2CAC"/>
    <w:rsid w:val="007C2F4B"/>
    <w:rsid w:val="007C3186"/>
    <w:rsid w:val="007C3F21"/>
    <w:rsid w:val="007C40B6"/>
    <w:rsid w:val="007C4D64"/>
    <w:rsid w:val="007C5975"/>
    <w:rsid w:val="007C6785"/>
    <w:rsid w:val="007C6C76"/>
    <w:rsid w:val="007C724E"/>
    <w:rsid w:val="007C729F"/>
    <w:rsid w:val="007C72AD"/>
    <w:rsid w:val="007D1070"/>
    <w:rsid w:val="007D1A6F"/>
    <w:rsid w:val="007D378C"/>
    <w:rsid w:val="007D37DD"/>
    <w:rsid w:val="007D4922"/>
    <w:rsid w:val="007D503D"/>
    <w:rsid w:val="007D59E7"/>
    <w:rsid w:val="007D5CCA"/>
    <w:rsid w:val="007D5F2A"/>
    <w:rsid w:val="007D6FFE"/>
    <w:rsid w:val="007D7860"/>
    <w:rsid w:val="007E07AC"/>
    <w:rsid w:val="007E0810"/>
    <w:rsid w:val="007E0EAD"/>
    <w:rsid w:val="007E1014"/>
    <w:rsid w:val="007E12F8"/>
    <w:rsid w:val="007E14EB"/>
    <w:rsid w:val="007E1673"/>
    <w:rsid w:val="007E1D28"/>
    <w:rsid w:val="007E2AB7"/>
    <w:rsid w:val="007E3629"/>
    <w:rsid w:val="007E4564"/>
    <w:rsid w:val="007E490F"/>
    <w:rsid w:val="007E58CF"/>
    <w:rsid w:val="007E6533"/>
    <w:rsid w:val="007E6579"/>
    <w:rsid w:val="007E6886"/>
    <w:rsid w:val="007E6C1A"/>
    <w:rsid w:val="007F0021"/>
    <w:rsid w:val="007F05AA"/>
    <w:rsid w:val="007F1007"/>
    <w:rsid w:val="007F2017"/>
    <w:rsid w:val="007F235F"/>
    <w:rsid w:val="007F2641"/>
    <w:rsid w:val="007F2E3C"/>
    <w:rsid w:val="007F3AFB"/>
    <w:rsid w:val="007F426B"/>
    <w:rsid w:val="007F4972"/>
    <w:rsid w:val="007F57C5"/>
    <w:rsid w:val="007F6A64"/>
    <w:rsid w:val="007F7765"/>
    <w:rsid w:val="007F7C36"/>
    <w:rsid w:val="007F7F45"/>
    <w:rsid w:val="0080000F"/>
    <w:rsid w:val="0080001F"/>
    <w:rsid w:val="0080033B"/>
    <w:rsid w:val="00800762"/>
    <w:rsid w:val="00801958"/>
    <w:rsid w:val="00802105"/>
    <w:rsid w:val="00802D3B"/>
    <w:rsid w:val="00804241"/>
    <w:rsid w:val="008048F1"/>
    <w:rsid w:val="008055AF"/>
    <w:rsid w:val="008057CD"/>
    <w:rsid w:val="008065BC"/>
    <w:rsid w:val="008066B8"/>
    <w:rsid w:val="00806796"/>
    <w:rsid w:val="00806D95"/>
    <w:rsid w:val="00807DBC"/>
    <w:rsid w:val="00810167"/>
    <w:rsid w:val="00810198"/>
    <w:rsid w:val="008104D0"/>
    <w:rsid w:val="00810769"/>
    <w:rsid w:val="00810AEB"/>
    <w:rsid w:val="00811CC0"/>
    <w:rsid w:val="0081218E"/>
    <w:rsid w:val="00812C06"/>
    <w:rsid w:val="00812F7C"/>
    <w:rsid w:val="00814276"/>
    <w:rsid w:val="008151D6"/>
    <w:rsid w:val="008156D0"/>
    <w:rsid w:val="00815BFF"/>
    <w:rsid w:val="008162B9"/>
    <w:rsid w:val="00816322"/>
    <w:rsid w:val="008166F6"/>
    <w:rsid w:val="00816918"/>
    <w:rsid w:val="00820803"/>
    <w:rsid w:val="00820CF1"/>
    <w:rsid w:val="0082150A"/>
    <w:rsid w:val="00821527"/>
    <w:rsid w:val="00821A44"/>
    <w:rsid w:val="00821C73"/>
    <w:rsid w:val="00822162"/>
    <w:rsid w:val="008225CE"/>
    <w:rsid w:val="00822696"/>
    <w:rsid w:val="00823E9E"/>
    <w:rsid w:val="00824971"/>
    <w:rsid w:val="00824F03"/>
    <w:rsid w:val="008259EC"/>
    <w:rsid w:val="00825A6C"/>
    <w:rsid w:val="0082617E"/>
    <w:rsid w:val="008268BB"/>
    <w:rsid w:val="00826F6D"/>
    <w:rsid w:val="00827097"/>
    <w:rsid w:val="008304B2"/>
    <w:rsid w:val="008306F3"/>
    <w:rsid w:val="00830E40"/>
    <w:rsid w:val="00831B88"/>
    <w:rsid w:val="00831EF3"/>
    <w:rsid w:val="00832D9A"/>
    <w:rsid w:val="00834077"/>
    <w:rsid w:val="00834CEE"/>
    <w:rsid w:val="00834FF1"/>
    <w:rsid w:val="00835677"/>
    <w:rsid w:val="008356A3"/>
    <w:rsid w:val="00835C62"/>
    <w:rsid w:val="008368A1"/>
    <w:rsid w:val="00836AB4"/>
    <w:rsid w:val="00837B7F"/>
    <w:rsid w:val="00840EF7"/>
    <w:rsid w:val="00841193"/>
    <w:rsid w:val="00842348"/>
    <w:rsid w:val="00842F21"/>
    <w:rsid w:val="00843387"/>
    <w:rsid w:val="008438B6"/>
    <w:rsid w:val="00843A26"/>
    <w:rsid w:val="00843A60"/>
    <w:rsid w:val="00843C1E"/>
    <w:rsid w:val="00844C0A"/>
    <w:rsid w:val="0084508A"/>
    <w:rsid w:val="00846056"/>
    <w:rsid w:val="00846611"/>
    <w:rsid w:val="0084681F"/>
    <w:rsid w:val="00847D08"/>
    <w:rsid w:val="00847EC0"/>
    <w:rsid w:val="00850C60"/>
    <w:rsid w:val="00850D5E"/>
    <w:rsid w:val="0085160F"/>
    <w:rsid w:val="00852113"/>
    <w:rsid w:val="008525A3"/>
    <w:rsid w:val="008529A5"/>
    <w:rsid w:val="00852AE3"/>
    <w:rsid w:val="00854506"/>
    <w:rsid w:val="0085551B"/>
    <w:rsid w:val="00855FD6"/>
    <w:rsid w:val="008561B0"/>
    <w:rsid w:val="008561F4"/>
    <w:rsid w:val="00856DDD"/>
    <w:rsid w:val="00860233"/>
    <w:rsid w:val="00861D47"/>
    <w:rsid w:val="00862B7E"/>
    <w:rsid w:val="00862BC7"/>
    <w:rsid w:val="00863E68"/>
    <w:rsid w:val="008647B5"/>
    <w:rsid w:val="0086480D"/>
    <w:rsid w:val="00864A11"/>
    <w:rsid w:val="00864A43"/>
    <w:rsid w:val="00867622"/>
    <w:rsid w:val="00867ADE"/>
    <w:rsid w:val="00867D64"/>
    <w:rsid w:val="00867D85"/>
    <w:rsid w:val="0087068A"/>
    <w:rsid w:val="008715B5"/>
    <w:rsid w:val="0087248A"/>
    <w:rsid w:val="00872B33"/>
    <w:rsid w:val="00872DCE"/>
    <w:rsid w:val="00872E8F"/>
    <w:rsid w:val="00873BFA"/>
    <w:rsid w:val="00873E0B"/>
    <w:rsid w:val="00874448"/>
    <w:rsid w:val="008749B1"/>
    <w:rsid w:val="00874B13"/>
    <w:rsid w:val="00875DCB"/>
    <w:rsid w:val="0087672D"/>
    <w:rsid w:val="00876814"/>
    <w:rsid w:val="00876FBF"/>
    <w:rsid w:val="0087740D"/>
    <w:rsid w:val="0087755A"/>
    <w:rsid w:val="00877586"/>
    <w:rsid w:val="00877FFB"/>
    <w:rsid w:val="008803A5"/>
    <w:rsid w:val="008803E8"/>
    <w:rsid w:val="008812DC"/>
    <w:rsid w:val="00881A8E"/>
    <w:rsid w:val="00882085"/>
    <w:rsid w:val="0088277F"/>
    <w:rsid w:val="008830E0"/>
    <w:rsid w:val="00883188"/>
    <w:rsid w:val="008836E2"/>
    <w:rsid w:val="008849F9"/>
    <w:rsid w:val="00884A0C"/>
    <w:rsid w:val="00884ABF"/>
    <w:rsid w:val="00885B2C"/>
    <w:rsid w:val="0088621D"/>
    <w:rsid w:val="00886893"/>
    <w:rsid w:val="00886ACA"/>
    <w:rsid w:val="00886B01"/>
    <w:rsid w:val="00886EFE"/>
    <w:rsid w:val="0088745F"/>
    <w:rsid w:val="008875C8"/>
    <w:rsid w:val="0089031E"/>
    <w:rsid w:val="008908F9"/>
    <w:rsid w:val="00890CBC"/>
    <w:rsid w:val="00890ED3"/>
    <w:rsid w:val="0089109A"/>
    <w:rsid w:val="00891B05"/>
    <w:rsid w:val="00891B36"/>
    <w:rsid w:val="0089277D"/>
    <w:rsid w:val="00892A46"/>
    <w:rsid w:val="00893D5C"/>
    <w:rsid w:val="0089460B"/>
    <w:rsid w:val="008958E4"/>
    <w:rsid w:val="00896995"/>
    <w:rsid w:val="00896E2E"/>
    <w:rsid w:val="00897D58"/>
    <w:rsid w:val="00897F22"/>
    <w:rsid w:val="008A02A8"/>
    <w:rsid w:val="008A0B39"/>
    <w:rsid w:val="008A1776"/>
    <w:rsid w:val="008A17A3"/>
    <w:rsid w:val="008A1956"/>
    <w:rsid w:val="008A1E85"/>
    <w:rsid w:val="008A2419"/>
    <w:rsid w:val="008A28EC"/>
    <w:rsid w:val="008A2989"/>
    <w:rsid w:val="008A2E98"/>
    <w:rsid w:val="008A37C3"/>
    <w:rsid w:val="008A4937"/>
    <w:rsid w:val="008A49B6"/>
    <w:rsid w:val="008A4E52"/>
    <w:rsid w:val="008A5046"/>
    <w:rsid w:val="008A50F1"/>
    <w:rsid w:val="008A557F"/>
    <w:rsid w:val="008A59D9"/>
    <w:rsid w:val="008A643E"/>
    <w:rsid w:val="008A6819"/>
    <w:rsid w:val="008B007A"/>
    <w:rsid w:val="008B077C"/>
    <w:rsid w:val="008B0C61"/>
    <w:rsid w:val="008B1105"/>
    <w:rsid w:val="008B16AF"/>
    <w:rsid w:val="008B1BF3"/>
    <w:rsid w:val="008B278A"/>
    <w:rsid w:val="008B2EC0"/>
    <w:rsid w:val="008B6DCF"/>
    <w:rsid w:val="008C12E1"/>
    <w:rsid w:val="008C34E3"/>
    <w:rsid w:val="008C4D49"/>
    <w:rsid w:val="008C58D7"/>
    <w:rsid w:val="008C5D5D"/>
    <w:rsid w:val="008C6C29"/>
    <w:rsid w:val="008C7637"/>
    <w:rsid w:val="008C7A5C"/>
    <w:rsid w:val="008D00E0"/>
    <w:rsid w:val="008D0531"/>
    <w:rsid w:val="008D0945"/>
    <w:rsid w:val="008D1409"/>
    <w:rsid w:val="008D15CC"/>
    <w:rsid w:val="008D1729"/>
    <w:rsid w:val="008D18F6"/>
    <w:rsid w:val="008D1B5C"/>
    <w:rsid w:val="008D39C1"/>
    <w:rsid w:val="008D3C82"/>
    <w:rsid w:val="008D447E"/>
    <w:rsid w:val="008D49E4"/>
    <w:rsid w:val="008D4C72"/>
    <w:rsid w:val="008D4F5F"/>
    <w:rsid w:val="008D6ACF"/>
    <w:rsid w:val="008D6E8A"/>
    <w:rsid w:val="008D6FEF"/>
    <w:rsid w:val="008D7A41"/>
    <w:rsid w:val="008E016B"/>
    <w:rsid w:val="008E039B"/>
    <w:rsid w:val="008E06BE"/>
    <w:rsid w:val="008E0704"/>
    <w:rsid w:val="008E1330"/>
    <w:rsid w:val="008E2C72"/>
    <w:rsid w:val="008E3680"/>
    <w:rsid w:val="008E4F87"/>
    <w:rsid w:val="008E5870"/>
    <w:rsid w:val="008E6A3E"/>
    <w:rsid w:val="008E77E4"/>
    <w:rsid w:val="008F0213"/>
    <w:rsid w:val="008F0280"/>
    <w:rsid w:val="008F07ED"/>
    <w:rsid w:val="008F0FD5"/>
    <w:rsid w:val="008F112E"/>
    <w:rsid w:val="008F11F8"/>
    <w:rsid w:val="008F1434"/>
    <w:rsid w:val="008F1AF2"/>
    <w:rsid w:val="008F211D"/>
    <w:rsid w:val="008F277D"/>
    <w:rsid w:val="008F2BB9"/>
    <w:rsid w:val="008F2D89"/>
    <w:rsid w:val="008F307B"/>
    <w:rsid w:val="008F3392"/>
    <w:rsid w:val="008F3D6A"/>
    <w:rsid w:val="008F3E2B"/>
    <w:rsid w:val="008F54C3"/>
    <w:rsid w:val="008F6029"/>
    <w:rsid w:val="008F6110"/>
    <w:rsid w:val="008F6E69"/>
    <w:rsid w:val="008F7355"/>
    <w:rsid w:val="008F7F2C"/>
    <w:rsid w:val="00900080"/>
    <w:rsid w:val="00901228"/>
    <w:rsid w:val="009012E5"/>
    <w:rsid w:val="00901BDC"/>
    <w:rsid w:val="009023DC"/>
    <w:rsid w:val="009027C5"/>
    <w:rsid w:val="00904413"/>
    <w:rsid w:val="00904EC5"/>
    <w:rsid w:val="009067B7"/>
    <w:rsid w:val="00906E7A"/>
    <w:rsid w:val="00906E7F"/>
    <w:rsid w:val="00906FCF"/>
    <w:rsid w:val="00907522"/>
    <w:rsid w:val="0090775A"/>
    <w:rsid w:val="00907D1F"/>
    <w:rsid w:val="00907DFD"/>
    <w:rsid w:val="0091203E"/>
    <w:rsid w:val="009120E8"/>
    <w:rsid w:val="00913066"/>
    <w:rsid w:val="00913225"/>
    <w:rsid w:val="00913A35"/>
    <w:rsid w:val="00913C99"/>
    <w:rsid w:val="00915165"/>
    <w:rsid w:val="00915351"/>
    <w:rsid w:val="009154BA"/>
    <w:rsid w:val="00915509"/>
    <w:rsid w:val="0091597D"/>
    <w:rsid w:val="00915A8D"/>
    <w:rsid w:val="009160B2"/>
    <w:rsid w:val="0091693F"/>
    <w:rsid w:val="00917D69"/>
    <w:rsid w:val="00920B6D"/>
    <w:rsid w:val="0092150C"/>
    <w:rsid w:val="009215CE"/>
    <w:rsid w:val="0092500F"/>
    <w:rsid w:val="00926560"/>
    <w:rsid w:val="00926B15"/>
    <w:rsid w:val="00926C4A"/>
    <w:rsid w:val="00930291"/>
    <w:rsid w:val="00930600"/>
    <w:rsid w:val="00930937"/>
    <w:rsid w:val="00931B4A"/>
    <w:rsid w:val="009324A6"/>
    <w:rsid w:val="0093260F"/>
    <w:rsid w:val="00933B7D"/>
    <w:rsid w:val="00933E6C"/>
    <w:rsid w:val="0093408C"/>
    <w:rsid w:val="00934CFC"/>
    <w:rsid w:val="00935A6E"/>
    <w:rsid w:val="00937958"/>
    <w:rsid w:val="00940361"/>
    <w:rsid w:val="00940458"/>
    <w:rsid w:val="00940635"/>
    <w:rsid w:val="009406E5"/>
    <w:rsid w:val="00940C81"/>
    <w:rsid w:val="0094117E"/>
    <w:rsid w:val="009415B3"/>
    <w:rsid w:val="00941602"/>
    <w:rsid w:val="00941B6A"/>
    <w:rsid w:val="00942160"/>
    <w:rsid w:val="009426C2"/>
    <w:rsid w:val="00944373"/>
    <w:rsid w:val="009447B1"/>
    <w:rsid w:val="009448AE"/>
    <w:rsid w:val="00944D6B"/>
    <w:rsid w:val="009454E6"/>
    <w:rsid w:val="009465E1"/>
    <w:rsid w:val="00946786"/>
    <w:rsid w:val="00946921"/>
    <w:rsid w:val="00946F6F"/>
    <w:rsid w:val="00946FF7"/>
    <w:rsid w:val="00947343"/>
    <w:rsid w:val="00947A92"/>
    <w:rsid w:val="00947E22"/>
    <w:rsid w:val="0095146F"/>
    <w:rsid w:val="009517CB"/>
    <w:rsid w:val="00951F2D"/>
    <w:rsid w:val="00951FC1"/>
    <w:rsid w:val="00952839"/>
    <w:rsid w:val="0095295F"/>
    <w:rsid w:val="0095308C"/>
    <w:rsid w:val="0095344C"/>
    <w:rsid w:val="009534C7"/>
    <w:rsid w:val="00953E15"/>
    <w:rsid w:val="009555DF"/>
    <w:rsid w:val="009558D6"/>
    <w:rsid w:val="00957162"/>
    <w:rsid w:val="00957705"/>
    <w:rsid w:val="009577B3"/>
    <w:rsid w:val="00957944"/>
    <w:rsid w:val="009602C5"/>
    <w:rsid w:val="00960984"/>
    <w:rsid w:val="009609B1"/>
    <w:rsid w:val="00960C37"/>
    <w:rsid w:val="0096103A"/>
    <w:rsid w:val="00962198"/>
    <w:rsid w:val="00962223"/>
    <w:rsid w:val="009622B2"/>
    <w:rsid w:val="0096252B"/>
    <w:rsid w:val="0096283E"/>
    <w:rsid w:val="00962865"/>
    <w:rsid w:val="009636DD"/>
    <w:rsid w:val="009644D9"/>
    <w:rsid w:val="00964A9F"/>
    <w:rsid w:val="00964D6D"/>
    <w:rsid w:val="00965ECE"/>
    <w:rsid w:val="009666E0"/>
    <w:rsid w:val="00966A27"/>
    <w:rsid w:val="00966D0D"/>
    <w:rsid w:val="00967732"/>
    <w:rsid w:val="0096783C"/>
    <w:rsid w:val="00970023"/>
    <w:rsid w:val="00970305"/>
    <w:rsid w:val="0097138A"/>
    <w:rsid w:val="009722B3"/>
    <w:rsid w:val="00973182"/>
    <w:rsid w:val="00973335"/>
    <w:rsid w:val="00973E24"/>
    <w:rsid w:val="00974C21"/>
    <w:rsid w:val="00974D5F"/>
    <w:rsid w:val="00974D75"/>
    <w:rsid w:val="00975102"/>
    <w:rsid w:val="009752B3"/>
    <w:rsid w:val="009755F0"/>
    <w:rsid w:val="00975948"/>
    <w:rsid w:val="009763DA"/>
    <w:rsid w:val="00976639"/>
    <w:rsid w:val="00976A1C"/>
    <w:rsid w:val="009772FD"/>
    <w:rsid w:val="00977BF3"/>
    <w:rsid w:val="009803E4"/>
    <w:rsid w:val="00980827"/>
    <w:rsid w:val="00980B0E"/>
    <w:rsid w:val="00980CFB"/>
    <w:rsid w:val="00980E08"/>
    <w:rsid w:val="00981A25"/>
    <w:rsid w:val="00981DC9"/>
    <w:rsid w:val="009823CC"/>
    <w:rsid w:val="00982974"/>
    <w:rsid w:val="00982B39"/>
    <w:rsid w:val="009836A3"/>
    <w:rsid w:val="00983F28"/>
    <w:rsid w:val="00984C58"/>
    <w:rsid w:val="009855A8"/>
    <w:rsid w:val="00985CBE"/>
    <w:rsid w:val="00985D1A"/>
    <w:rsid w:val="009874D5"/>
    <w:rsid w:val="00987FE8"/>
    <w:rsid w:val="00990CF8"/>
    <w:rsid w:val="00991028"/>
    <w:rsid w:val="009913F4"/>
    <w:rsid w:val="00991782"/>
    <w:rsid w:val="00991E57"/>
    <w:rsid w:val="00991F97"/>
    <w:rsid w:val="00992B58"/>
    <w:rsid w:val="009937F7"/>
    <w:rsid w:val="009940D9"/>
    <w:rsid w:val="0099465B"/>
    <w:rsid w:val="009951A1"/>
    <w:rsid w:val="00995B5F"/>
    <w:rsid w:val="00996D27"/>
    <w:rsid w:val="00997A44"/>
    <w:rsid w:val="00997E38"/>
    <w:rsid w:val="009A0B9A"/>
    <w:rsid w:val="009A0CDD"/>
    <w:rsid w:val="009A184B"/>
    <w:rsid w:val="009A1A25"/>
    <w:rsid w:val="009A221F"/>
    <w:rsid w:val="009A3152"/>
    <w:rsid w:val="009A3168"/>
    <w:rsid w:val="009A3DDA"/>
    <w:rsid w:val="009A4621"/>
    <w:rsid w:val="009A4BDF"/>
    <w:rsid w:val="009A4E0F"/>
    <w:rsid w:val="009A5A58"/>
    <w:rsid w:val="009A5D04"/>
    <w:rsid w:val="009A61CA"/>
    <w:rsid w:val="009A68C5"/>
    <w:rsid w:val="009A7967"/>
    <w:rsid w:val="009B0062"/>
    <w:rsid w:val="009B0C64"/>
    <w:rsid w:val="009B0F67"/>
    <w:rsid w:val="009B13F8"/>
    <w:rsid w:val="009B208A"/>
    <w:rsid w:val="009B2570"/>
    <w:rsid w:val="009B2756"/>
    <w:rsid w:val="009B2B4A"/>
    <w:rsid w:val="009B2CD2"/>
    <w:rsid w:val="009B2D38"/>
    <w:rsid w:val="009B3D56"/>
    <w:rsid w:val="009B3E00"/>
    <w:rsid w:val="009B3F8C"/>
    <w:rsid w:val="009B4DB2"/>
    <w:rsid w:val="009B4DE9"/>
    <w:rsid w:val="009B533B"/>
    <w:rsid w:val="009B546B"/>
    <w:rsid w:val="009B586E"/>
    <w:rsid w:val="009C0433"/>
    <w:rsid w:val="009C119F"/>
    <w:rsid w:val="009C1481"/>
    <w:rsid w:val="009C26AA"/>
    <w:rsid w:val="009C3EE6"/>
    <w:rsid w:val="009C4400"/>
    <w:rsid w:val="009C47DA"/>
    <w:rsid w:val="009C4B52"/>
    <w:rsid w:val="009C5EA7"/>
    <w:rsid w:val="009C703C"/>
    <w:rsid w:val="009C75C9"/>
    <w:rsid w:val="009C78CF"/>
    <w:rsid w:val="009D037F"/>
    <w:rsid w:val="009D0AA8"/>
    <w:rsid w:val="009D0C29"/>
    <w:rsid w:val="009D0FFE"/>
    <w:rsid w:val="009D11A5"/>
    <w:rsid w:val="009D140B"/>
    <w:rsid w:val="009D1605"/>
    <w:rsid w:val="009D1663"/>
    <w:rsid w:val="009D1C4B"/>
    <w:rsid w:val="009D206E"/>
    <w:rsid w:val="009D2DC7"/>
    <w:rsid w:val="009D3CAA"/>
    <w:rsid w:val="009D507A"/>
    <w:rsid w:val="009D543F"/>
    <w:rsid w:val="009D5A19"/>
    <w:rsid w:val="009D6251"/>
    <w:rsid w:val="009D6532"/>
    <w:rsid w:val="009D688E"/>
    <w:rsid w:val="009D6B34"/>
    <w:rsid w:val="009D71FD"/>
    <w:rsid w:val="009D7AB4"/>
    <w:rsid w:val="009D7FBE"/>
    <w:rsid w:val="009E06F0"/>
    <w:rsid w:val="009E0755"/>
    <w:rsid w:val="009E10AD"/>
    <w:rsid w:val="009E18F3"/>
    <w:rsid w:val="009E1C81"/>
    <w:rsid w:val="009E2112"/>
    <w:rsid w:val="009E2588"/>
    <w:rsid w:val="009E28CE"/>
    <w:rsid w:val="009E2E4B"/>
    <w:rsid w:val="009E2E8E"/>
    <w:rsid w:val="009E34B9"/>
    <w:rsid w:val="009E40E1"/>
    <w:rsid w:val="009E6EFF"/>
    <w:rsid w:val="009E7D4D"/>
    <w:rsid w:val="009F0DFD"/>
    <w:rsid w:val="009F0EFA"/>
    <w:rsid w:val="009F1341"/>
    <w:rsid w:val="009F2008"/>
    <w:rsid w:val="009F2255"/>
    <w:rsid w:val="009F25C6"/>
    <w:rsid w:val="009F2860"/>
    <w:rsid w:val="009F2ACC"/>
    <w:rsid w:val="009F2F6F"/>
    <w:rsid w:val="009F30ED"/>
    <w:rsid w:val="009F4A61"/>
    <w:rsid w:val="009F4E46"/>
    <w:rsid w:val="009F4F39"/>
    <w:rsid w:val="009F52BA"/>
    <w:rsid w:val="009F5B65"/>
    <w:rsid w:val="009F5F2E"/>
    <w:rsid w:val="009F6675"/>
    <w:rsid w:val="009F738E"/>
    <w:rsid w:val="009F778C"/>
    <w:rsid w:val="009F7FEB"/>
    <w:rsid w:val="00A01432"/>
    <w:rsid w:val="00A0167A"/>
    <w:rsid w:val="00A01980"/>
    <w:rsid w:val="00A036BC"/>
    <w:rsid w:val="00A03BB8"/>
    <w:rsid w:val="00A04DBC"/>
    <w:rsid w:val="00A06225"/>
    <w:rsid w:val="00A066D4"/>
    <w:rsid w:val="00A066E6"/>
    <w:rsid w:val="00A06777"/>
    <w:rsid w:val="00A06F16"/>
    <w:rsid w:val="00A1012F"/>
    <w:rsid w:val="00A104A7"/>
    <w:rsid w:val="00A1095C"/>
    <w:rsid w:val="00A10FED"/>
    <w:rsid w:val="00A110D1"/>
    <w:rsid w:val="00A12355"/>
    <w:rsid w:val="00A12587"/>
    <w:rsid w:val="00A125C8"/>
    <w:rsid w:val="00A128E6"/>
    <w:rsid w:val="00A13EE6"/>
    <w:rsid w:val="00A144D3"/>
    <w:rsid w:val="00A1534C"/>
    <w:rsid w:val="00A15419"/>
    <w:rsid w:val="00A1629B"/>
    <w:rsid w:val="00A1753F"/>
    <w:rsid w:val="00A179B5"/>
    <w:rsid w:val="00A17D93"/>
    <w:rsid w:val="00A17EA7"/>
    <w:rsid w:val="00A2054E"/>
    <w:rsid w:val="00A2132C"/>
    <w:rsid w:val="00A21D7D"/>
    <w:rsid w:val="00A22AC3"/>
    <w:rsid w:val="00A2351E"/>
    <w:rsid w:val="00A23EB5"/>
    <w:rsid w:val="00A23F3F"/>
    <w:rsid w:val="00A24067"/>
    <w:rsid w:val="00A2420A"/>
    <w:rsid w:val="00A24A4B"/>
    <w:rsid w:val="00A25156"/>
    <w:rsid w:val="00A25B29"/>
    <w:rsid w:val="00A2744D"/>
    <w:rsid w:val="00A27C23"/>
    <w:rsid w:val="00A305B5"/>
    <w:rsid w:val="00A306F6"/>
    <w:rsid w:val="00A30972"/>
    <w:rsid w:val="00A30D16"/>
    <w:rsid w:val="00A313F0"/>
    <w:rsid w:val="00A31B17"/>
    <w:rsid w:val="00A33607"/>
    <w:rsid w:val="00A33EB7"/>
    <w:rsid w:val="00A33F9B"/>
    <w:rsid w:val="00A343E2"/>
    <w:rsid w:val="00A34E6C"/>
    <w:rsid w:val="00A34FD0"/>
    <w:rsid w:val="00A361EA"/>
    <w:rsid w:val="00A36398"/>
    <w:rsid w:val="00A3698B"/>
    <w:rsid w:val="00A36CC1"/>
    <w:rsid w:val="00A36D92"/>
    <w:rsid w:val="00A371F4"/>
    <w:rsid w:val="00A3728A"/>
    <w:rsid w:val="00A37980"/>
    <w:rsid w:val="00A37C8D"/>
    <w:rsid w:val="00A4002A"/>
    <w:rsid w:val="00A400E0"/>
    <w:rsid w:val="00A4020E"/>
    <w:rsid w:val="00A40493"/>
    <w:rsid w:val="00A408E8"/>
    <w:rsid w:val="00A40FB5"/>
    <w:rsid w:val="00A4115B"/>
    <w:rsid w:val="00A4129A"/>
    <w:rsid w:val="00A42659"/>
    <w:rsid w:val="00A42826"/>
    <w:rsid w:val="00A42918"/>
    <w:rsid w:val="00A429B3"/>
    <w:rsid w:val="00A43A55"/>
    <w:rsid w:val="00A43BE2"/>
    <w:rsid w:val="00A443ED"/>
    <w:rsid w:val="00A44687"/>
    <w:rsid w:val="00A44789"/>
    <w:rsid w:val="00A44B81"/>
    <w:rsid w:val="00A44EC1"/>
    <w:rsid w:val="00A44F6C"/>
    <w:rsid w:val="00A45189"/>
    <w:rsid w:val="00A455F1"/>
    <w:rsid w:val="00A4793B"/>
    <w:rsid w:val="00A47C92"/>
    <w:rsid w:val="00A50497"/>
    <w:rsid w:val="00A510E4"/>
    <w:rsid w:val="00A51842"/>
    <w:rsid w:val="00A51DCE"/>
    <w:rsid w:val="00A51F8C"/>
    <w:rsid w:val="00A526F7"/>
    <w:rsid w:val="00A5273B"/>
    <w:rsid w:val="00A53543"/>
    <w:rsid w:val="00A5375F"/>
    <w:rsid w:val="00A53A9D"/>
    <w:rsid w:val="00A53C18"/>
    <w:rsid w:val="00A53C72"/>
    <w:rsid w:val="00A53D28"/>
    <w:rsid w:val="00A54580"/>
    <w:rsid w:val="00A54EB4"/>
    <w:rsid w:val="00A550CC"/>
    <w:rsid w:val="00A558AB"/>
    <w:rsid w:val="00A55FEE"/>
    <w:rsid w:val="00A56304"/>
    <w:rsid w:val="00A56FAC"/>
    <w:rsid w:val="00A57422"/>
    <w:rsid w:val="00A611F7"/>
    <w:rsid w:val="00A612AD"/>
    <w:rsid w:val="00A62C1A"/>
    <w:rsid w:val="00A63167"/>
    <w:rsid w:val="00A63CA2"/>
    <w:rsid w:val="00A6426D"/>
    <w:rsid w:val="00A6439B"/>
    <w:rsid w:val="00A65A1D"/>
    <w:rsid w:val="00A665C1"/>
    <w:rsid w:val="00A6691C"/>
    <w:rsid w:val="00A66EB9"/>
    <w:rsid w:val="00A673A4"/>
    <w:rsid w:val="00A676B0"/>
    <w:rsid w:val="00A7001A"/>
    <w:rsid w:val="00A70622"/>
    <w:rsid w:val="00A70977"/>
    <w:rsid w:val="00A70D58"/>
    <w:rsid w:val="00A70D9B"/>
    <w:rsid w:val="00A70ED5"/>
    <w:rsid w:val="00A72009"/>
    <w:rsid w:val="00A744F9"/>
    <w:rsid w:val="00A7476C"/>
    <w:rsid w:val="00A74F5E"/>
    <w:rsid w:val="00A753A1"/>
    <w:rsid w:val="00A75CED"/>
    <w:rsid w:val="00A77613"/>
    <w:rsid w:val="00A77B87"/>
    <w:rsid w:val="00A77C4F"/>
    <w:rsid w:val="00A77E01"/>
    <w:rsid w:val="00A801AD"/>
    <w:rsid w:val="00A810B9"/>
    <w:rsid w:val="00A81111"/>
    <w:rsid w:val="00A811DD"/>
    <w:rsid w:val="00A81851"/>
    <w:rsid w:val="00A82B53"/>
    <w:rsid w:val="00A82E0E"/>
    <w:rsid w:val="00A8390C"/>
    <w:rsid w:val="00A83F63"/>
    <w:rsid w:val="00A84CFF"/>
    <w:rsid w:val="00A8516D"/>
    <w:rsid w:val="00A86AE0"/>
    <w:rsid w:val="00A86F02"/>
    <w:rsid w:val="00A904F4"/>
    <w:rsid w:val="00A912B0"/>
    <w:rsid w:val="00A91362"/>
    <w:rsid w:val="00A9151C"/>
    <w:rsid w:val="00A919C6"/>
    <w:rsid w:val="00A928BD"/>
    <w:rsid w:val="00A92D61"/>
    <w:rsid w:val="00A936B6"/>
    <w:rsid w:val="00A94B19"/>
    <w:rsid w:val="00A94F30"/>
    <w:rsid w:val="00A96687"/>
    <w:rsid w:val="00A97CFC"/>
    <w:rsid w:val="00A97DE9"/>
    <w:rsid w:val="00AA0D2D"/>
    <w:rsid w:val="00AA12CD"/>
    <w:rsid w:val="00AA1BDF"/>
    <w:rsid w:val="00AA24E9"/>
    <w:rsid w:val="00AA2533"/>
    <w:rsid w:val="00AA25A8"/>
    <w:rsid w:val="00AA2BB6"/>
    <w:rsid w:val="00AA3B85"/>
    <w:rsid w:val="00AA4C4C"/>
    <w:rsid w:val="00AA4D1C"/>
    <w:rsid w:val="00AA526C"/>
    <w:rsid w:val="00AA52FD"/>
    <w:rsid w:val="00AA556B"/>
    <w:rsid w:val="00AA5976"/>
    <w:rsid w:val="00AA5D40"/>
    <w:rsid w:val="00AA7006"/>
    <w:rsid w:val="00AA761E"/>
    <w:rsid w:val="00AA7B71"/>
    <w:rsid w:val="00AB0DFF"/>
    <w:rsid w:val="00AB0F93"/>
    <w:rsid w:val="00AB11E7"/>
    <w:rsid w:val="00AB133F"/>
    <w:rsid w:val="00AB143D"/>
    <w:rsid w:val="00AB1B72"/>
    <w:rsid w:val="00AB1F78"/>
    <w:rsid w:val="00AB2338"/>
    <w:rsid w:val="00AB302A"/>
    <w:rsid w:val="00AB3138"/>
    <w:rsid w:val="00AB361E"/>
    <w:rsid w:val="00AB4684"/>
    <w:rsid w:val="00AB5856"/>
    <w:rsid w:val="00AB686F"/>
    <w:rsid w:val="00AB6A80"/>
    <w:rsid w:val="00AB7815"/>
    <w:rsid w:val="00AC04DC"/>
    <w:rsid w:val="00AC081D"/>
    <w:rsid w:val="00AC0C6F"/>
    <w:rsid w:val="00AC1266"/>
    <w:rsid w:val="00AC1342"/>
    <w:rsid w:val="00AC193C"/>
    <w:rsid w:val="00AC2615"/>
    <w:rsid w:val="00AC30C1"/>
    <w:rsid w:val="00AC393A"/>
    <w:rsid w:val="00AC4532"/>
    <w:rsid w:val="00AC4DE5"/>
    <w:rsid w:val="00AC5206"/>
    <w:rsid w:val="00AC5B8A"/>
    <w:rsid w:val="00AC60B3"/>
    <w:rsid w:val="00AC6B25"/>
    <w:rsid w:val="00AC7128"/>
    <w:rsid w:val="00AC741C"/>
    <w:rsid w:val="00AD0285"/>
    <w:rsid w:val="00AD095B"/>
    <w:rsid w:val="00AD0E26"/>
    <w:rsid w:val="00AD3106"/>
    <w:rsid w:val="00AD3482"/>
    <w:rsid w:val="00AD4080"/>
    <w:rsid w:val="00AD4322"/>
    <w:rsid w:val="00AD5095"/>
    <w:rsid w:val="00AD5144"/>
    <w:rsid w:val="00AD6719"/>
    <w:rsid w:val="00AD7E6A"/>
    <w:rsid w:val="00AE11A5"/>
    <w:rsid w:val="00AE13E2"/>
    <w:rsid w:val="00AE22D3"/>
    <w:rsid w:val="00AE293A"/>
    <w:rsid w:val="00AE37BC"/>
    <w:rsid w:val="00AE3816"/>
    <w:rsid w:val="00AE48FB"/>
    <w:rsid w:val="00AE4962"/>
    <w:rsid w:val="00AE50AA"/>
    <w:rsid w:val="00AE5987"/>
    <w:rsid w:val="00AE5A49"/>
    <w:rsid w:val="00AE7AC9"/>
    <w:rsid w:val="00AF03E6"/>
    <w:rsid w:val="00AF0FDF"/>
    <w:rsid w:val="00AF11D8"/>
    <w:rsid w:val="00AF24FB"/>
    <w:rsid w:val="00AF2E85"/>
    <w:rsid w:val="00AF4922"/>
    <w:rsid w:val="00AF4B62"/>
    <w:rsid w:val="00AF4BED"/>
    <w:rsid w:val="00AF4E4F"/>
    <w:rsid w:val="00AF4EF1"/>
    <w:rsid w:val="00AF546F"/>
    <w:rsid w:val="00AF5867"/>
    <w:rsid w:val="00AF62DF"/>
    <w:rsid w:val="00AF68CC"/>
    <w:rsid w:val="00AF6BDA"/>
    <w:rsid w:val="00AF70D7"/>
    <w:rsid w:val="00AF77B9"/>
    <w:rsid w:val="00B00086"/>
    <w:rsid w:val="00B00C60"/>
    <w:rsid w:val="00B00CD0"/>
    <w:rsid w:val="00B00D4A"/>
    <w:rsid w:val="00B00DE2"/>
    <w:rsid w:val="00B00E7F"/>
    <w:rsid w:val="00B01E69"/>
    <w:rsid w:val="00B01FF4"/>
    <w:rsid w:val="00B02836"/>
    <w:rsid w:val="00B0326D"/>
    <w:rsid w:val="00B0329A"/>
    <w:rsid w:val="00B054E5"/>
    <w:rsid w:val="00B05996"/>
    <w:rsid w:val="00B06037"/>
    <w:rsid w:val="00B06478"/>
    <w:rsid w:val="00B06890"/>
    <w:rsid w:val="00B06EAE"/>
    <w:rsid w:val="00B07533"/>
    <w:rsid w:val="00B07CFB"/>
    <w:rsid w:val="00B10218"/>
    <w:rsid w:val="00B104CA"/>
    <w:rsid w:val="00B1059E"/>
    <w:rsid w:val="00B1060F"/>
    <w:rsid w:val="00B10E04"/>
    <w:rsid w:val="00B121C3"/>
    <w:rsid w:val="00B1316D"/>
    <w:rsid w:val="00B13AD1"/>
    <w:rsid w:val="00B149BA"/>
    <w:rsid w:val="00B14A36"/>
    <w:rsid w:val="00B151AF"/>
    <w:rsid w:val="00B16273"/>
    <w:rsid w:val="00B164B4"/>
    <w:rsid w:val="00B16CCF"/>
    <w:rsid w:val="00B170A5"/>
    <w:rsid w:val="00B1725F"/>
    <w:rsid w:val="00B17528"/>
    <w:rsid w:val="00B176C8"/>
    <w:rsid w:val="00B177D7"/>
    <w:rsid w:val="00B17EE5"/>
    <w:rsid w:val="00B205AA"/>
    <w:rsid w:val="00B20601"/>
    <w:rsid w:val="00B2100A"/>
    <w:rsid w:val="00B21A91"/>
    <w:rsid w:val="00B22AAA"/>
    <w:rsid w:val="00B22D5E"/>
    <w:rsid w:val="00B22E84"/>
    <w:rsid w:val="00B233AD"/>
    <w:rsid w:val="00B23E25"/>
    <w:rsid w:val="00B24CAC"/>
    <w:rsid w:val="00B24E14"/>
    <w:rsid w:val="00B25226"/>
    <w:rsid w:val="00B25925"/>
    <w:rsid w:val="00B25E28"/>
    <w:rsid w:val="00B25F75"/>
    <w:rsid w:val="00B2639D"/>
    <w:rsid w:val="00B26B3F"/>
    <w:rsid w:val="00B2778F"/>
    <w:rsid w:val="00B27E38"/>
    <w:rsid w:val="00B3066B"/>
    <w:rsid w:val="00B31295"/>
    <w:rsid w:val="00B314AD"/>
    <w:rsid w:val="00B3202C"/>
    <w:rsid w:val="00B327E2"/>
    <w:rsid w:val="00B33635"/>
    <w:rsid w:val="00B34208"/>
    <w:rsid w:val="00B36E60"/>
    <w:rsid w:val="00B37031"/>
    <w:rsid w:val="00B3749E"/>
    <w:rsid w:val="00B3778D"/>
    <w:rsid w:val="00B37A23"/>
    <w:rsid w:val="00B37CF8"/>
    <w:rsid w:val="00B37E6C"/>
    <w:rsid w:val="00B41480"/>
    <w:rsid w:val="00B4189A"/>
    <w:rsid w:val="00B42AF4"/>
    <w:rsid w:val="00B43E90"/>
    <w:rsid w:val="00B44308"/>
    <w:rsid w:val="00B4533F"/>
    <w:rsid w:val="00B45722"/>
    <w:rsid w:val="00B458BB"/>
    <w:rsid w:val="00B460F4"/>
    <w:rsid w:val="00B467DC"/>
    <w:rsid w:val="00B474F4"/>
    <w:rsid w:val="00B4770D"/>
    <w:rsid w:val="00B4777F"/>
    <w:rsid w:val="00B478FF"/>
    <w:rsid w:val="00B47A88"/>
    <w:rsid w:val="00B51B66"/>
    <w:rsid w:val="00B51E09"/>
    <w:rsid w:val="00B52303"/>
    <w:rsid w:val="00B5260D"/>
    <w:rsid w:val="00B5392A"/>
    <w:rsid w:val="00B539EF"/>
    <w:rsid w:val="00B53C76"/>
    <w:rsid w:val="00B540A5"/>
    <w:rsid w:val="00B54755"/>
    <w:rsid w:val="00B5530D"/>
    <w:rsid w:val="00B558F2"/>
    <w:rsid w:val="00B55ACC"/>
    <w:rsid w:val="00B55D15"/>
    <w:rsid w:val="00B56118"/>
    <w:rsid w:val="00B5624F"/>
    <w:rsid w:val="00B562FB"/>
    <w:rsid w:val="00B565DF"/>
    <w:rsid w:val="00B56611"/>
    <w:rsid w:val="00B566E1"/>
    <w:rsid w:val="00B56AB6"/>
    <w:rsid w:val="00B56AFB"/>
    <w:rsid w:val="00B56B88"/>
    <w:rsid w:val="00B57182"/>
    <w:rsid w:val="00B572BE"/>
    <w:rsid w:val="00B576BF"/>
    <w:rsid w:val="00B576E2"/>
    <w:rsid w:val="00B57BCA"/>
    <w:rsid w:val="00B602F6"/>
    <w:rsid w:val="00B6088B"/>
    <w:rsid w:val="00B60A60"/>
    <w:rsid w:val="00B60ED3"/>
    <w:rsid w:val="00B6144D"/>
    <w:rsid w:val="00B620E5"/>
    <w:rsid w:val="00B62424"/>
    <w:rsid w:val="00B62EC1"/>
    <w:rsid w:val="00B63251"/>
    <w:rsid w:val="00B647BC"/>
    <w:rsid w:val="00B64A96"/>
    <w:rsid w:val="00B6533B"/>
    <w:rsid w:val="00B655E1"/>
    <w:rsid w:val="00B66EF0"/>
    <w:rsid w:val="00B671F2"/>
    <w:rsid w:val="00B6773F"/>
    <w:rsid w:val="00B67C39"/>
    <w:rsid w:val="00B700A6"/>
    <w:rsid w:val="00B70EB3"/>
    <w:rsid w:val="00B72906"/>
    <w:rsid w:val="00B7308F"/>
    <w:rsid w:val="00B73738"/>
    <w:rsid w:val="00B74F11"/>
    <w:rsid w:val="00B74F48"/>
    <w:rsid w:val="00B7525E"/>
    <w:rsid w:val="00B75433"/>
    <w:rsid w:val="00B75F70"/>
    <w:rsid w:val="00B760FB"/>
    <w:rsid w:val="00B76765"/>
    <w:rsid w:val="00B767AB"/>
    <w:rsid w:val="00B76BD7"/>
    <w:rsid w:val="00B76D0F"/>
    <w:rsid w:val="00B770B9"/>
    <w:rsid w:val="00B77C1F"/>
    <w:rsid w:val="00B801BA"/>
    <w:rsid w:val="00B804FC"/>
    <w:rsid w:val="00B80D50"/>
    <w:rsid w:val="00B812D6"/>
    <w:rsid w:val="00B81977"/>
    <w:rsid w:val="00B82C64"/>
    <w:rsid w:val="00B832EE"/>
    <w:rsid w:val="00B83464"/>
    <w:rsid w:val="00B84209"/>
    <w:rsid w:val="00B8445C"/>
    <w:rsid w:val="00B846E6"/>
    <w:rsid w:val="00B84D5C"/>
    <w:rsid w:val="00B85361"/>
    <w:rsid w:val="00B85AF6"/>
    <w:rsid w:val="00B861E2"/>
    <w:rsid w:val="00B86434"/>
    <w:rsid w:val="00B87170"/>
    <w:rsid w:val="00B9107B"/>
    <w:rsid w:val="00B91F0C"/>
    <w:rsid w:val="00B92210"/>
    <w:rsid w:val="00B92CAB"/>
    <w:rsid w:val="00B92E46"/>
    <w:rsid w:val="00B941ED"/>
    <w:rsid w:val="00B9421F"/>
    <w:rsid w:val="00B951AA"/>
    <w:rsid w:val="00B95526"/>
    <w:rsid w:val="00B956ED"/>
    <w:rsid w:val="00B9719A"/>
    <w:rsid w:val="00BA0F74"/>
    <w:rsid w:val="00BA1948"/>
    <w:rsid w:val="00BA2795"/>
    <w:rsid w:val="00BA2DA8"/>
    <w:rsid w:val="00BA343B"/>
    <w:rsid w:val="00BA347C"/>
    <w:rsid w:val="00BA4C79"/>
    <w:rsid w:val="00BA4D84"/>
    <w:rsid w:val="00BA5ED7"/>
    <w:rsid w:val="00BA7453"/>
    <w:rsid w:val="00BA76ED"/>
    <w:rsid w:val="00BA782D"/>
    <w:rsid w:val="00BB1B18"/>
    <w:rsid w:val="00BB1F21"/>
    <w:rsid w:val="00BB286A"/>
    <w:rsid w:val="00BB298A"/>
    <w:rsid w:val="00BB2A86"/>
    <w:rsid w:val="00BB3298"/>
    <w:rsid w:val="00BB3469"/>
    <w:rsid w:val="00BB3C0A"/>
    <w:rsid w:val="00BB44D2"/>
    <w:rsid w:val="00BB5254"/>
    <w:rsid w:val="00BB5A5F"/>
    <w:rsid w:val="00BB5C49"/>
    <w:rsid w:val="00BB6240"/>
    <w:rsid w:val="00BB6285"/>
    <w:rsid w:val="00BB69F5"/>
    <w:rsid w:val="00BB6E48"/>
    <w:rsid w:val="00BB7ADD"/>
    <w:rsid w:val="00BB7BE8"/>
    <w:rsid w:val="00BB7EC3"/>
    <w:rsid w:val="00BC00DA"/>
    <w:rsid w:val="00BC04B1"/>
    <w:rsid w:val="00BC1068"/>
    <w:rsid w:val="00BC12B7"/>
    <w:rsid w:val="00BC13F4"/>
    <w:rsid w:val="00BC27F9"/>
    <w:rsid w:val="00BC288D"/>
    <w:rsid w:val="00BC2B1B"/>
    <w:rsid w:val="00BC2DCE"/>
    <w:rsid w:val="00BC33DB"/>
    <w:rsid w:val="00BC361F"/>
    <w:rsid w:val="00BC40A6"/>
    <w:rsid w:val="00BC470E"/>
    <w:rsid w:val="00BC4A88"/>
    <w:rsid w:val="00BC4B9A"/>
    <w:rsid w:val="00BC6AEA"/>
    <w:rsid w:val="00BD02C3"/>
    <w:rsid w:val="00BD03CF"/>
    <w:rsid w:val="00BD2344"/>
    <w:rsid w:val="00BD306E"/>
    <w:rsid w:val="00BD3119"/>
    <w:rsid w:val="00BD31CF"/>
    <w:rsid w:val="00BD6BD4"/>
    <w:rsid w:val="00BD6EE6"/>
    <w:rsid w:val="00BD7311"/>
    <w:rsid w:val="00BD7483"/>
    <w:rsid w:val="00BD75C8"/>
    <w:rsid w:val="00BD784C"/>
    <w:rsid w:val="00BD7C77"/>
    <w:rsid w:val="00BE020A"/>
    <w:rsid w:val="00BE07FD"/>
    <w:rsid w:val="00BE13DF"/>
    <w:rsid w:val="00BE1EF0"/>
    <w:rsid w:val="00BE25D7"/>
    <w:rsid w:val="00BE3AA4"/>
    <w:rsid w:val="00BE3E94"/>
    <w:rsid w:val="00BE50F1"/>
    <w:rsid w:val="00BE53C0"/>
    <w:rsid w:val="00BE569E"/>
    <w:rsid w:val="00BE5BC3"/>
    <w:rsid w:val="00BE5E81"/>
    <w:rsid w:val="00BE5FDE"/>
    <w:rsid w:val="00BE6BFD"/>
    <w:rsid w:val="00BF092C"/>
    <w:rsid w:val="00BF0AD7"/>
    <w:rsid w:val="00BF21D1"/>
    <w:rsid w:val="00BF27A0"/>
    <w:rsid w:val="00BF29A4"/>
    <w:rsid w:val="00BF32AC"/>
    <w:rsid w:val="00BF33BD"/>
    <w:rsid w:val="00BF341E"/>
    <w:rsid w:val="00BF3819"/>
    <w:rsid w:val="00BF3AA4"/>
    <w:rsid w:val="00BF3E08"/>
    <w:rsid w:val="00BF40E6"/>
    <w:rsid w:val="00BF4CB6"/>
    <w:rsid w:val="00BF51E1"/>
    <w:rsid w:val="00BF5581"/>
    <w:rsid w:val="00BF5D23"/>
    <w:rsid w:val="00BF6162"/>
    <w:rsid w:val="00BF624E"/>
    <w:rsid w:val="00BF631F"/>
    <w:rsid w:val="00BF6CBD"/>
    <w:rsid w:val="00BF7E05"/>
    <w:rsid w:val="00C00DA7"/>
    <w:rsid w:val="00C026AA"/>
    <w:rsid w:val="00C028D0"/>
    <w:rsid w:val="00C02BC5"/>
    <w:rsid w:val="00C034FB"/>
    <w:rsid w:val="00C04CDE"/>
    <w:rsid w:val="00C059D5"/>
    <w:rsid w:val="00C064E2"/>
    <w:rsid w:val="00C06620"/>
    <w:rsid w:val="00C068A6"/>
    <w:rsid w:val="00C073A3"/>
    <w:rsid w:val="00C07AC9"/>
    <w:rsid w:val="00C1037C"/>
    <w:rsid w:val="00C109B6"/>
    <w:rsid w:val="00C11C7E"/>
    <w:rsid w:val="00C11DEA"/>
    <w:rsid w:val="00C12768"/>
    <w:rsid w:val="00C12D70"/>
    <w:rsid w:val="00C12F20"/>
    <w:rsid w:val="00C1453F"/>
    <w:rsid w:val="00C14BF6"/>
    <w:rsid w:val="00C14D1A"/>
    <w:rsid w:val="00C1563C"/>
    <w:rsid w:val="00C163DE"/>
    <w:rsid w:val="00C16724"/>
    <w:rsid w:val="00C203E3"/>
    <w:rsid w:val="00C205EA"/>
    <w:rsid w:val="00C210DA"/>
    <w:rsid w:val="00C21B09"/>
    <w:rsid w:val="00C22B2E"/>
    <w:rsid w:val="00C23589"/>
    <w:rsid w:val="00C24137"/>
    <w:rsid w:val="00C25343"/>
    <w:rsid w:val="00C25A7B"/>
    <w:rsid w:val="00C25EFF"/>
    <w:rsid w:val="00C26548"/>
    <w:rsid w:val="00C26655"/>
    <w:rsid w:val="00C2673A"/>
    <w:rsid w:val="00C2682D"/>
    <w:rsid w:val="00C2713C"/>
    <w:rsid w:val="00C27851"/>
    <w:rsid w:val="00C278CD"/>
    <w:rsid w:val="00C27B58"/>
    <w:rsid w:val="00C27C1C"/>
    <w:rsid w:val="00C3100A"/>
    <w:rsid w:val="00C3166C"/>
    <w:rsid w:val="00C33186"/>
    <w:rsid w:val="00C3451A"/>
    <w:rsid w:val="00C35996"/>
    <w:rsid w:val="00C35FCE"/>
    <w:rsid w:val="00C3661B"/>
    <w:rsid w:val="00C3712F"/>
    <w:rsid w:val="00C37F1D"/>
    <w:rsid w:val="00C40171"/>
    <w:rsid w:val="00C41C9D"/>
    <w:rsid w:val="00C42389"/>
    <w:rsid w:val="00C429E0"/>
    <w:rsid w:val="00C42BCD"/>
    <w:rsid w:val="00C4485F"/>
    <w:rsid w:val="00C44C84"/>
    <w:rsid w:val="00C44DED"/>
    <w:rsid w:val="00C46AA3"/>
    <w:rsid w:val="00C46C13"/>
    <w:rsid w:val="00C46C82"/>
    <w:rsid w:val="00C470FC"/>
    <w:rsid w:val="00C4747E"/>
    <w:rsid w:val="00C50C39"/>
    <w:rsid w:val="00C5151E"/>
    <w:rsid w:val="00C51CA5"/>
    <w:rsid w:val="00C52256"/>
    <w:rsid w:val="00C528F0"/>
    <w:rsid w:val="00C52FCD"/>
    <w:rsid w:val="00C5342C"/>
    <w:rsid w:val="00C535E5"/>
    <w:rsid w:val="00C53B2B"/>
    <w:rsid w:val="00C5409F"/>
    <w:rsid w:val="00C541C2"/>
    <w:rsid w:val="00C547F5"/>
    <w:rsid w:val="00C54EED"/>
    <w:rsid w:val="00C56D78"/>
    <w:rsid w:val="00C5715B"/>
    <w:rsid w:val="00C57465"/>
    <w:rsid w:val="00C60272"/>
    <w:rsid w:val="00C603D4"/>
    <w:rsid w:val="00C60E42"/>
    <w:rsid w:val="00C61C80"/>
    <w:rsid w:val="00C6256A"/>
    <w:rsid w:val="00C62E87"/>
    <w:rsid w:val="00C63580"/>
    <w:rsid w:val="00C63FDA"/>
    <w:rsid w:val="00C64975"/>
    <w:rsid w:val="00C64EBC"/>
    <w:rsid w:val="00C6577C"/>
    <w:rsid w:val="00C6626A"/>
    <w:rsid w:val="00C664D2"/>
    <w:rsid w:val="00C66A59"/>
    <w:rsid w:val="00C67164"/>
    <w:rsid w:val="00C674D9"/>
    <w:rsid w:val="00C677E1"/>
    <w:rsid w:val="00C702BA"/>
    <w:rsid w:val="00C70E6E"/>
    <w:rsid w:val="00C710E2"/>
    <w:rsid w:val="00C7112E"/>
    <w:rsid w:val="00C71C3F"/>
    <w:rsid w:val="00C7409E"/>
    <w:rsid w:val="00C74D6D"/>
    <w:rsid w:val="00C76354"/>
    <w:rsid w:val="00C7635E"/>
    <w:rsid w:val="00C7670D"/>
    <w:rsid w:val="00C76E76"/>
    <w:rsid w:val="00C77891"/>
    <w:rsid w:val="00C77A9D"/>
    <w:rsid w:val="00C77B74"/>
    <w:rsid w:val="00C80DE2"/>
    <w:rsid w:val="00C811E1"/>
    <w:rsid w:val="00C81660"/>
    <w:rsid w:val="00C81842"/>
    <w:rsid w:val="00C81C42"/>
    <w:rsid w:val="00C82062"/>
    <w:rsid w:val="00C8276F"/>
    <w:rsid w:val="00C829A9"/>
    <w:rsid w:val="00C833C5"/>
    <w:rsid w:val="00C84622"/>
    <w:rsid w:val="00C851BA"/>
    <w:rsid w:val="00C86F02"/>
    <w:rsid w:val="00C87B80"/>
    <w:rsid w:val="00C90330"/>
    <w:rsid w:val="00C9035E"/>
    <w:rsid w:val="00C91449"/>
    <w:rsid w:val="00C92D10"/>
    <w:rsid w:val="00C92F79"/>
    <w:rsid w:val="00C9404C"/>
    <w:rsid w:val="00C94497"/>
    <w:rsid w:val="00C94640"/>
    <w:rsid w:val="00C949FE"/>
    <w:rsid w:val="00C951B9"/>
    <w:rsid w:val="00C95200"/>
    <w:rsid w:val="00C9577F"/>
    <w:rsid w:val="00C95903"/>
    <w:rsid w:val="00C95C7B"/>
    <w:rsid w:val="00C95D5A"/>
    <w:rsid w:val="00C96836"/>
    <w:rsid w:val="00C96EC0"/>
    <w:rsid w:val="00C972CA"/>
    <w:rsid w:val="00C97DFE"/>
    <w:rsid w:val="00CA06F9"/>
    <w:rsid w:val="00CA09B3"/>
    <w:rsid w:val="00CA0DCB"/>
    <w:rsid w:val="00CA14BB"/>
    <w:rsid w:val="00CA230C"/>
    <w:rsid w:val="00CA27E1"/>
    <w:rsid w:val="00CA2BA6"/>
    <w:rsid w:val="00CA37E8"/>
    <w:rsid w:val="00CA3ADD"/>
    <w:rsid w:val="00CA470F"/>
    <w:rsid w:val="00CA48D9"/>
    <w:rsid w:val="00CA4B19"/>
    <w:rsid w:val="00CA4C11"/>
    <w:rsid w:val="00CA535C"/>
    <w:rsid w:val="00CA537B"/>
    <w:rsid w:val="00CA5482"/>
    <w:rsid w:val="00CA6957"/>
    <w:rsid w:val="00CA6A85"/>
    <w:rsid w:val="00CA7139"/>
    <w:rsid w:val="00CB0F88"/>
    <w:rsid w:val="00CB1193"/>
    <w:rsid w:val="00CB1653"/>
    <w:rsid w:val="00CB1B76"/>
    <w:rsid w:val="00CB1C01"/>
    <w:rsid w:val="00CB34F3"/>
    <w:rsid w:val="00CB358A"/>
    <w:rsid w:val="00CB4767"/>
    <w:rsid w:val="00CB493D"/>
    <w:rsid w:val="00CB605A"/>
    <w:rsid w:val="00CB6D8A"/>
    <w:rsid w:val="00CB7D93"/>
    <w:rsid w:val="00CC1ED7"/>
    <w:rsid w:val="00CC2224"/>
    <w:rsid w:val="00CC2D84"/>
    <w:rsid w:val="00CC342D"/>
    <w:rsid w:val="00CC3B7E"/>
    <w:rsid w:val="00CC3B97"/>
    <w:rsid w:val="00CC4BC0"/>
    <w:rsid w:val="00CC7682"/>
    <w:rsid w:val="00CD0106"/>
    <w:rsid w:val="00CD0EC9"/>
    <w:rsid w:val="00CD3273"/>
    <w:rsid w:val="00CD38AF"/>
    <w:rsid w:val="00CD38CE"/>
    <w:rsid w:val="00CD4A8C"/>
    <w:rsid w:val="00CD59A8"/>
    <w:rsid w:val="00CD5A24"/>
    <w:rsid w:val="00CD6257"/>
    <w:rsid w:val="00CD700B"/>
    <w:rsid w:val="00CD7C0B"/>
    <w:rsid w:val="00CE0274"/>
    <w:rsid w:val="00CE10C4"/>
    <w:rsid w:val="00CE1C0A"/>
    <w:rsid w:val="00CE1F32"/>
    <w:rsid w:val="00CE207B"/>
    <w:rsid w:val="00CE2343"/>
    <w:rsid w:val="00CE27B5"/>
    <w:rsid w:val="00CE2BDF"/>
    <w:rsid w:val="00CE40F8"/>
    <w:rsid w:val="00CE51AA"/>
    <w:rsid w:val="00CE5E2A"/>
    <w:rsid w:val="00CE60BB"/>
    <w:rsid w:val="00CE6B24"/>
    <w:rsid w:val="00CE6D24"/>
    <w:rsid w:val="00CE6DA2"/>
    <w:rsid w:val="00CE6DAF"/>
    <w:rsid w:val="00CE6F88"/>
    <w:rsid w:val="00CE73B7"/>
    <w:rsid w:val="00CF0013"/>
    <w:rsid w:val="00CF0933"/>
    <w:rsid w:val="00CF0973"/>
    <w:rsid w:val="00CF184E"/>
    <w:rsid w:val="00CF274C"/>
    <w:rsid w:val="00CF335C"/>
    <w:rsid w:val="00CF410A"/>
    <w:rsid w:val="00CF4340"/>
    <w:rsid w:val="00CF47B8"/>
    <w:rsid w:val="00CF4CF7"/>
    <w:rsid w:val="00CF6E35"/>
    <w:rsid w:val="00CF7528"/>
    <w:rsid w:val="00CF7FDE"/>
    <w:rsid w:val="00D009D9"/>
    <w:rsid w:val="00D00F7B"/>
    <w:rsid w:val="00D0100C"/>
    <w:rsid w:val="00D012AF"/>
    <w:rsid w:val="00D016ED"/>
    <w:rsid w:val="00D01F1C"/>
    <w:rsid w:val="00D02295"/>
    <w:rsid w:val="00D0321E"/>
    <w:rsid w:val="00D035EF"/>
    <w:rsid w:val="00D03C2F"/>
    <w:rsid w:val="00D04850"/>
    <w:rsid w:val="00D05457"/>
    <w:rsid w:val="00D059DA"/>
    <w:rsid w:val="00D069D6"/>
    <w:rsid w:val="00D069EB"/>
    <w:rsid w:val="00D07A8A"/>
    <w:rsid w:val="00D1060D"/>
    <w:rsid w:val="00D10E31"/>
    <w:rsid w:val="00D11199"/>
    <w:rsid w:val="00D11647"/>
    <w:rsid w:val="00D12CED"/>
    <w:rsid w:val="00D136CD"/>
    <w:rsid w:val="00D13770"/>
    <w:rsid w:val="00D1455A"/>
    <w:rsid w:val="00D14573"/>
    <w:rsid w:val="00D147F0"/>
    <w:rsid w:val="00D14A70"/>
    <w:rsid w:val="00D14D1F"/>
    <w:rsid w:val="00D207EA"/>
    <w:rsid w:val="00D211FB"/>
    <w:rsid w:val="00D2178E"/>
    <w:rsid w:val="00D21875"/>
    <w:rsid w:val="00D22093"/>
    <w:rsid w:val="00D22F1C"/>
    <w:rsid w:val="00D23834"/>
    <w:rsid w:val="00D2415A"/>
    <w:rsid w:val="00D2470C"/>
    <w:rsid w:val="00D24BD0"/>
    <w:rsid w:val="00D25060"/>
    <w:rsid w:val="00D25F67"/>
    <w:rsid w:val="00D267A7"/>
    <w:rsid w:val="00D26BC2"/>
    <w:rsid w:val="00D273BC"/>
    <w:rsid w:val="00D2770C"/>
    <w:rsid w:val="00D27A2C"/>
    <w:rsid w:val="00D30106"/>
    <w:rsid w:val="00D3034F"/>
    <w:rsid w:val="00D303AE"/>
    <w:rsid w:val="00D3062C"/>
    <w:rsid w:val="00D31150"/>
    <w:rsid w:val="00D3138B"/>
    <w:rsid w:val="00D31FCE"/>
    <w:rsid w:val="00D3280C"/>
    <w:rsid w:val="00D32AF6"/>
    <w:rsid w:val="00D32D5B"/>
    <w:rsid w:val="00D338BD"/>
    <w:rsid w:val="00D33E6E"/>
    <w:rsid w:val="00D3406A"/>
    <w:rsid w:val="00D34195"/>
    <w:rsid w:val="00D342C4"/>
    <w:rsid w:val="00D34D1B"/>
    <w:rsid w:val="00D34D24"/>
    <w:rsid w:val="00D351A1"/>
    <w:rsid w:val="00D36392"/>
    <w:rsid w:val="00D373FD"/>
    <w:rsid w:val="00D40B11"/>
    <w:rsid w:val="00D41D10"/>
    <w:rsid w:val="00D41F77"/>
    <w:rsid w:val="00D4272E"/>
    <w:rsid w:val="00D42864"/>
    <w:rsid w:val="00D429EC"/>
    <w:rsid w:val="00D4301F"/>
    <w:rsid w:val="00D441F1"/>
    <w:rsid w:val="00D44B8D"/>
    <w:rsid w:val="00D4572C"/>
    <w:rsid w:val="00D458EA"/>
    <w:rsid w:val="00D469B2"/>
    <w:rsid w:val="00D46EB3"/>
    <w:rsid w:val="00D500CA"/>
    <w:rsid w:val="00D51A1E"/>
    <w:rsid w:val="00D52290"/>
    <w:rsid w:val="00D52B24"/>
    <w:rsid w:val="00D52E23"/>
    <w:rsid w:val="00D52EAA"/>
    <w:rsid w:val="00D52ECF"/>
    <w:rsid w:val="00D53838"/>
    <w:rsid w:val="00D53CEC"/>
    <w:rsid w:val="00D53F0C"/>
    <w:rsid w:val="00D540FF"/>
    <w:rsid w:val="00D5411A"/>
    <w:rsid w:val="00D546A5"/>
    <w:rsid w:val="00D546F8"/>
    <w:rsid w:val="00D54B09"/>
    <w:rsid w:val="00D54F0A"/>
    <w:rsid w:val="00D555A3"/>
    <w:rsid w:val="00D55D5F"/>
    <w:rsid w:val="00D569BF"/>
    <w:rsid w:val="00D56AC8"/>
    <w:rsid w:val="00D571F0"/>
    <w:rsid w:val="00D5725B"/>
    <w:rsid w:val="00D57BAE"/>
    <w:rsid w:val="00D57D0B"/>
    <w:rsid w:val="00D5B312"/>
    <w:rsid w:val="00D60906"/>
    <w:rsid w:val="00D6243E"/>
    <w:rsid w:val="00D62D9E"/>
    <w:rsid w:val="00D63503"/>
    <w:rsid w:val="00D6405B"/>
    <w:rsid w:val="00D642CF"/>
    <w:rsid w:val="00D65145"/>
    <w:rsid w:val="00D654B7"/>
    <w:rsid w:val="00D65658"/>
    <w:rsid w:val="00D66424"/>
    <w:rsid w:val="00D6740A"/>
    <w:rsid w:val="00D67EB2"/>
    <w:rsid w:val="00D70349"/>
    <w:rsid w:val="00D72791"/>
    <w:rsid w:val="00D72B6F"/>
    <w:rsid w:val="00D72B80"/>
    <w:rsid w:val="00D72FE2"/>
    <w:rsid w:val="00D73376"/>
    <w:rsid w:val="00D741EB"/>
    <w:rsid w:val="00D747FA"/>
    <w:rsid w:val="00D74CEA"/>
    <w:rsid w:val="00D7678F"/>
    <w:rsid w:val="00D7679C"/>
    <w:rsid w:val="00D76B27"/>
    <w:rsid w:val="00D77833"/>
    <w:rsid w:val="00D77AA1"/>
    <w:rsid w:val="00D80F3D"/>
    <w:rsid w:val="00D812CE"/>
    <w:rsid w:val="00D812CF"/>
    <w:rsid w:val="00D817A9"/>
    <w:rsid w:val="00D817C1"/>
    <w:rsid w:val="00D820F3"/>
    <w:rsid w:val="00D83605"/>
    <w:rsid w:val="00D84934"/>
    <w:rsid w:val="00D866EB"/>
    <w:rsid w:val="00D86C52"/>
    <w:rsid w:val="00D86E00"/>
    <w:rsid w:val="00D875D0"/>
    <w:rsid w:val="00D87CF7"/>
    <w:rsid w:val="00D87D1A"/>
    <w:rsid w:val="00D8E5EE"/>
    <w:rsid w:val="00D905D8"/>
    <w:rsid w:val="00D9060E"/>
    <w:rsid w:val="00D906DA"/>
    <w:rsid w:val="00D91271"/>
    <w:rsid w:val="00D919F5"/>
    <w:rsid w:val="00D925E2"/>
    <w:rsid w:val="00D9261F"/>
    <w:rsid w:val="00D94564"/>
    <w:rsid w:val="00D945F6"/>
    <w:rsid w:val="00D948B7"/>
    <w:rsid w:val="00D94F03"/>
    <w:rsid w:val="00D95161"/>
    <w:rsid w:val="00D95397"/>
    <w:rsid w:val="00D95C23"/>
    <w:rsid w:val="00D97224"/>
    <w:rsid w:val="00D9758B"/>
    <w:rsid w:val="00D97AF6"/>
    <w:rsid w:val="00DA07EA"/>
    <w:rsid w:val="00DA0A82"/>
    <w:rsid w:val="00DA0D14"/>
    <w:rsid w:val="00DA11DE"/>
    <w:rsid w:val="00DA16F9"/>
    <w:rsid w:val="00DA1E66"/>
    <w:rsid w:val="00DA1FC9"/>
    <w:rsid w:val="00DA2283"/>
    <w:rsid w:val="00DA25C2"/>
    <w:rsid w:val="00DA276A"/>
    <w:rsid w:val="00DA2CB5"/>
    <w:rsid w:val="00DA32AE"/>
    <w:rsid w:val="00DA358F"/>
    <w:rsid w:val="00DA383E"/>
    <w:rsid w:val="00DA3B64"/>
    <w:rsid w:val="00DA3C79"/>
    <w:rsid w:val="00DA47A2"/>
    <w:rsid w:val="00DA4933"/>
    <w:rsid w:val="00DA4BAC"/>
    <w:rsid w:val="00DA51B9"/>
    <w:rsid w:val="00DA6384"/>
    <w:rsid w:val="00DA68D1"/>
    <w:rsid w:val="00DA722E"/>
    <w:rsid w:val="00DA792A"/>
    <w:rsid w:val="00DA7A72"/>
    <w:rsid w:val="00DB0151"/>
    <w:rsid w:val="00DB0160"/>
    <w:rsid w:val="00DB02CE"/>
    <w:rsid w:val="00DB04D7"/>
    <w:rsid w:val="00DB0B2A"/>
    <w:rsid w:val="00DB2C31"/>
    <w:rsid w:val="00DB328D"/>
    <w:rsid w:val="00DB50E1"/>
    <w:rsid w:val="00DB56EE"/>
    <w:rsid w:val="00DB6E11"/>
    <w:rsid w:val="00DB74BE"/>
    <w:rsid w:val="00DB7B87"/>
    <w:rsid w:val="00DC019F"/>
    <w:rsid w:val="00DC0566"/>
    <w:rsid w:val="00DC05E1"/>
    <w:rsid w:val="00DC1499"/>
    <w:rsid w:val="00DC165D"/>
    <w:rsid w:val="00DC16CF"/>
    <w:rsid w:val="00DC198E"/>
    <w:rsid w:val="00DC2238"/>
    <w:rsid w:val="00DC28A6"/>
    <w:rsid w:val="00DC2C3E"/>
    <w:rsid w:val="00DC3137"/>
    <w:rsid w:val="00DC3A71"/>
    <w:rsid w:val="00DC3BA4"/>
    <w:rsid w:val="00DC4880"/>
    <w:rsid w:val="00DC581F"/>
    <w:rsid w:val="00DC58C5"/>
    <w:rsid w:val="00DC5E35"/>
    <w:rsid w:val="00DC5E90"/>
    <w:rsid w:val="00DC6B78"/>
    <w:rsid w:val="00DC6CC6"/>
    <w:rsid w:val="00DC6EC3"/>
    <w:rsid w:val="00DC6FF1"/>
    <w:rsid w:val="00DC719C"/>
    <w:rsid w:val="00DC732A"/>
    <w:rsid w:val="00DD04D7"/>
    <w:rsid w:val="00DD0B09"/>
    <w:rsid w:val="00DD0BE9"/>
    <w:rsid w:val="00DD244F"/>
    <w:rsid w:val="00DD26F9"/>
    <w:rsid w:val="00DD2A2F"/>
    <w:rsid w:val="00DD33DC"/>
    <w:rsid w:val="00DD350E"/>
    <w:rsid w:val="00DD42AB"/>
    <w:rsid w:val="00DD4A5C"/>
    <w:rsid w:val="00DD5630"/>
    <w:rsid w:val="00DD5D7E"/>
    <w:rsid w:val="00DD5E61"/>
    <w:rsid w:val="00DD66B3"/>
    <w:rsid w:val="00DD68A6"/>
    <w:rsid w:val="00DD6A7A"/>
    <w:rsid w:val="00DD7437"/>
    <w:rsid w:val="00DD74AD"/>
    <w:rsid w:val="00DD75EC"/>
    <w:rsid w:val="00DE06AF"/>
    <w:rsid w:val="00DE0CAF"/>
    <w:rsid w:val="00DE0FEE"/>
    <w:rsid w:val="00DE2825"/>
    <w:rsid w:val="00DE3267"/>
    <w:rsid w:val="00DE43E2"/>
    <w:rsid w:val="00DE5C56"/>
    <w:rsid w:val="00DE5FCA"/>
    <w:rsid w:val="00DE64C2"/>
    <w:rsid w:val="00DE6D27"/>
    <w:rsid w:val="00DE7573"/>
    <w:rsid w:val="00DE76EA"/>
    <w:rsid w:val="00DE778E"/>
    <w:rsid w:val="00DE78CA"/>
    <w:rsid w:val="00DE7B25"/>
    <w:rsid w:val="00DF01F8"/>
    <w:rsid w:val="00DF021D"/>
    <w:rsid w:val="00DF03BB"/>
    <w:rsid w:val="00DF14EE"/>
    <w:rsid w:val="00DF1653"/>
    <w:rsid w:val="00DF1BA4"/>
    <w:rsid w:val="00DF217D"/>
    <w:rsid w:val="00DF2558"/>
    <w:rsid w:val="00DF26A7"/>
    <w:rsid w:val="00DF2B1B"/>
    <w:rsid w:val="00DF316B"/>
    <w:rsid w:val="00DF317F"/>
    <w:rsid w:val="00DF3277"/>
    <w:rsid w:val="00DF4B32"/>
    <w:rsid w:val="00DF6231"/>
    <w:rsid w:val="00DF6860"/>
    <w:rsid w:val="00DF6A31"/>
    <w:rsid w:val="00DF7407"/>
    <w:rsid w:val="00DF7766"/>
    <w:rsid w:val="00DF77A1"/>
    <w:rsid w:val="00DF7919"/>
    <w:rsid w:val="00E00100"/>
    <w:rsid w:val="00E00350"/>
    <w:rsid w:val="00E003AC"/>
    <w:rsid w:val="00E00F76"/>
    <w:rsid w:val="00E00FEE"/>
    <w:rsid w:val="00E01A6A"/>
    <w:rsid w:val="00E0207E"/>
    <w:rsid w:val="00E02AE6"/>
    <w:rsid w:val="00E03912"/>
    <w:rsid w:val="00E03BE9"/>
    <w:rsid w:val="00E04748"/>
    <w:rsid w:val="00E04CB8"/>
    <w:rsid w:val="00E0501E"/>
    <w:rsid w:val="00E060AF"/>
    <w:rsid w:val="00E06830"/>
    <w:rsid w:val="00E07513"/>
    <w:rsid w:val="00E078A9"/>
    <w:rsid w:val="00E078D9"/>
    <w:rsid w:val="00E07E74"/>
    <w:rsid w:val="00E10293"/>
    <w:rsid w:val="00E103A0"/>
    <w:rsid w:val="00E1043F"/>
    <w:rsid w:val="00E1157E"/>
    <w:rsid w:val="00E11A99"/>
    <w:rsid w:val="00E11F44"/>
    <w:rsid w:val="00E12C2B"/>
    <w:rsid w:val="00E12ED9"/>
    <w:rsid w:val="00E13E60"/>
    <w:rsid w:val="00E1429C"/>
    <w:rsid w:val="00E143EA"/>
    <w:rsid w:val="00E148AF"/>
    <w:rsid w:val="00E15627"/>
    <w:rsid w:val="00E164B3"/>
    <w:rsid w:val="00E16795"/>
    <w:rsid w:val="00E16910"/>
    <w:rsid w:val="00E1698D"/>
    <w:rsid w:val="00E17359"/>
    <w:rsid w:val="00E20755"/>
    <w:rsid w:val="00E20B19"/>
    <w:rsid w:val="00E20B21"/>
    <w:rsid w:val="00E21164"/>
    <w:rsid w:val="00E216DC"/>
    <w:rsid w:val="00E218CA"/>
    <w:rsid w:val="00E21BD8"/>
    <w:rsid w:val="00E228B6"/>
    <w:rsid w:val="00E22DCE"/>
    <w:rsid w:val="00E239E2"/>
    <w:rsid w:val="00E23BE0"/>
    <w:rsid w:val="00E24171"/>
    <w:rsid w:val="00E24C9F"/>
    <w:rsid w:val="00E24CB6"/>
    <w:rsid w:val="00E24E09"/>
    <w:rsid w:val="00E24E1A"/>
    <w:rsid w:val="00E2513C"/>
    <w:rsid w:val="00E2537D"/>
    <w:rsid w:val="00E27234"/>
    <w:rsid w:val="00E2726D"/>
    <w:rsid w:val="00E27C8B"/>
    <w:rsid w:val="00E30906"/>
    <w:rsid w:val="00E3116B"/>
    <w:rsid w:val="00E314AC"/>
    <w:rsid w:val="00E32562"/>
    <w:rsid w:val="00E3495C"/>
    <w:rsid w:val="00E3632C"/>
    <w:rsid w:val="00E36F89"/>
    <w:rsid w:val="00E37046"/>
    <w:rsid w:val="00E40C7D"/>
    <w:rsid w:val="00E41B7A"/>
    <w:rsid w:val="00E41BE9"/>
    <w:rsid w:val="00E428D3"/>
    <w:rsid w:val="00E42B30"/>
    <w:rsid w:val="00E42BDB"/>
    <w:rsid w:val="00E42DEA"/>
    <w:rsid w:val="00E42FAE"/>
    <w:rsid w:val="00E43A31"/>
    <w:rsid w:val="00E46246"/>
    <w:rsid w:val="00E468E7"/>
    <w:rsid w:val="00E472A0"/>
    <w:rsid w:val="00E474EF"/>
    <w:rsid w:val="00E476B1"/>
    <w:rsid w:val="00E50F18"/>
    <w:rsid w:val="00E50FDA"/>
    <w:rsid w:val="00E51685"/>
    <w:rsid w:val="00E51F3E"/>
    <w:rsid w:val="00E524A9"/>
    <w:rsid w:val="00E53050"/>
    <w:rsid w:val="00E53868"/>
    <w:rsid w:val="00E53D79"/>
    <w:rsid w:val="00E53F1A"/>
    <w:rsid w:val="00E544FF"/>
    <w:rsid w:val="00E54B00"/>
    <w:rsid w:val="00E557DB"/>
    <w:rsid w:val="00E564D5"/>
    <w:rsid w:val="00E56EC0"/>
    <w:rsid w:val="00E5726D"/>
    <w:rsid w:val="00E57315"/>
    <w:rsid w:val="00E57EEB"/>
    <w:rsid w:val="00E607CC"/>
    <w:rsid w:val="00E61BA3"/>
    <w:rsid w:val="00E61C90"/>
    <w:rsid w:val="00E61D9D"/>
    <w:rsid w:val="00E62D94"/>
    <w:rsid w:val="00E62ECC"/>
    <w:rsid w:val="00E63384"/>
    <w:rsid w:val="00E64F37"/>
    <w:rsid w:val="00E64F5A"/>
    <w:rsid w:val="00E65091"/>
    <w:rsid w:val="00E65393"/>
    <w:rsid w:val="00E6566E"/>
    <w:rsid w:val="00E65E2C"/>
    <w:rsid w:val="00E65E54"/>
    <w:rsid w:val="00E661C7"/>
    <w:rsid w:val="00E66679"/>
    <w:rsid w:val="00E67FC2"/>
    <w:rsid w:val="00E718FC"/>
    <w:rsid w:val="00E71D02"/>
    <w:rsid w:val="00E720E2"/>
    <w:rsid w:val="00E72A84"/>
    <w:rsid w:val="00E732C4"/>
    <w:rsid w:val="00E745F1"/>
    <w:rsid w:val="00E74E41"/>
    <w:rsid w:val="00E7504C"/>
    <w:rsid w:val="00E75151"/>
    <w:rsid w:val="00E761CA"/>
    <w:rsid w:val="00E80155"/>
    <w:rsid w:val="00E8134B"/>
    <w:rsid w:val="00E81B20"/>
    <w:rsid w:val="00E81E0D"/>
    <w:rsid w:val="00E81F28"/>
    <w:rsid w:val="00E82089"/>
    <w:rsid w:val="00E83B5B"/>
    <w:rsid w:val="00E8472E"/>
    <w:rsid w:val="00E848A6"/>
    <w:rsid w:val="00E848C0"/>
    <w:rsid w:val="00E84BB8"/>
    <w:rsid w:val="00E862AA"/>
    <w:rsid w:val="00E866F5"/>
    <w:rsid w:val="00E86DF4"/>
    <w:rsid w:val="00E86F92"/>
    <w:rsid w:val="00E871E9"/>
    <w:rsid w:val="00E87364"/>
    <w:rsid w:val="00E90353"/>
    <w:rsid w:val="00E91108"/>
    <w:rsid w:val="00E91233"/>
    <w:rsid w:val="00E91B96"/>
    <w:rsid w:val="00E92C05"/>
    <w:rsid w:val="00E92F2E"/>
    <w:rsid w:val="00E93401"/>
    <w:rsid w:val="00E935DA"/>
    <w:rsid w:val="00E9396A"/>
    <w:rsid w:val="00E93D1E"/>
    <w:rsid w:val="00E941A1"/>
    <w:rsid w:val="00E9475C"/>
    <w:rsid w:val="00E952DD"/>
    <w:rsid w:val="00E95368"/>
    <w:rsid w:val="00E9541B"/>
    <w:rsid w:val="00E9560F"/>
    <w:rsid w:val="00E95CE3"/>
    <w:rsid w:val="00E95F9A"/>
    <w:rsid w:val="00E96339"/>
    <w:rsid w:val="00E96661"/>
    <w:rsid w:val="00E96B1C"/>
    <w:rsid w:val="00E96E99"/>
    <w:rsid w:val="00E97270"/>
    <w:rsid w:val="00E972AE"/>
    <w:rsid w:val="00E97D8F"/>
    <w:rsid w:val="00EA04C4"/>
    <w:rsid w:val="00EA0856"/>
    <w:rsid w:val="00EA1DC4"/>
    <w:rsid w:val="00EA2448"/>
    <w:rsid w:val="00EA252F"/>
    <w:rsid w:val="00EA2825"/>
    <w:rsid w:val="00EA2AF8"/>
    <w:rsid w:val="00EA2F93"/>
    <w:rsid w:val="00EA364A"/>
    <w:rsid w:val="00EA3EE4"/>
    <w:rsid w:val="00EA3F4E"/>
    <w:rsid w:val="00EA4558"/>
    <w:rsid w:val="00EA5027"/>
    <w:rsid w:val="00EA5B22"/>
    <w:rsid w:val="00EA5DD8"/>
    <w:rsid w:val="00EA5E2D"/>
    <w:rsid w:val="00EA64C2"/>
    <w:rsid w:val="00EA6518"/>
    <w:rsid w:val="00EA6DDD"/>
    <w:rsid w:val="00EA6E01"/>
    <w:rsid w:val="00EA71A2"/>
    <w:rsid w:val="00EA7466"/>
    <w:rsid w:val="00EA7B02"/>
    <w:rsid w:val="00EA7EDE"/>
    <w:rsid w:val="00EB0B63"/>
    <w:rsid w:val="00EB0EB5"/>
    <w:rsid w:val="00EB0ED1"/>
    <w:rsid w:val="00EB1936"/>
    <w:rsid w:val="00EB255F"/>
    <w:rsid w:val="00EB2CBA"/>
    <w:rsid w:val="00EB3545"/>
    <w:rsid w:val="00EB37BE"/>
    <w:rsid w:val="00EB3D1B"/>
    <w:rsid w:val="00EB4BAE"/>
    <w:rsid w:val="00EB5088"/>
    <w:rsid w:val="00EB6949"/>
    <w:rsid w:val="00EB6B44"/>
    <w:rsid w:val="00EB7210"/>
    <w:rsid w:val="00EC1E55"/>
    <w:rsid w:val="00EC2726"/>
    <w:rsid w:val="00EC404E"/>
    <w:rsid w:val="00EC40A7"/>
    <w:rsid w:val="00EC4C75"/>
    <w:rsid w:val="00EC5747"/>
    <w:rsid w:val="00EC575E"/>
    <w:rsid w:val="00EC6723"/>
    <w:rsid w:val="00EC681C"/>
    <w:rsid w:val="00EC7332"/>
    <w:rsid w:val="00EC7A61"/>
    <w:rsid w:val="00EC7B65"/>
    <w:rsid w:val="00EC7B87"/>
    <w:rsid w:val="00ED071E"/>
    <w:rsid w:val="00ED07C4"/>
    <w:rsid w:val="00ED0958"/>
    <w:rsid w:val="00ED0F01"/>
    <w:rsid w:val="00ED1644"/>
    <w:rsid w:val="00ED1D2B"/>
    <w:rsid w:val="00ED2593"/>
    <w:rsid w:val="00ED3709"/>
    <w:rsid w:val="00ED409C"/>
    <w:rsid w:val="00ED432F"/>
    <w:rsid w:val="00ED500A"/>
    <w:rsid w:val="00ED6E34"/>
    <w:rsid w:val="00ED7CBB"/>
    <w:rsid w:val="00ED7D55"/>
    <w:rsid w:val="00ED7D9C"/>
    <w:rsid w:val="00EE0033"/>
    <w:rsid w:val="00EE00A7"/>
    <w:rsid w:val="00EE22E9"/>
    <w:rsid w:val="00EE2E91"/>
    <w:rsid w:val="00EE2F77"/>
    <w:rsid w:val="00EE3158"/>
    <w:rsid w:val="00EE31A2"/>
    <w:rsid w:val="00EE37AE"/>
    <w:rsid w:val="00EE4329"/>
    <w:rsid w:val="00EE4C0E"/>
    <w:rsid w:val="00EE4C42"/>
    <w:rsid w:val="00EE6203"/>
    <w:rsid w:val="00EE65BA"/>
    <w:rsid w:val="00EE6C5A"/>
    <w:rsid w:val="00EE6ED0"/>
    <w:rsid w:val="00EE700B"/>
    <w:rsid w:val="00EE7012"/>
    <w:rsid w:val="00EE7F1A"/>
    <w:rsid w:val="00EF0069"/>
    <w:rsid w:val="00EF2276"/>
    <w:rsid w:val="00EF229C"/>
    <w:rsid w:val="00EF2DEE"/>
    <w:rsid w:val="00EF2E78"/>
    <w:rsid w:val="00EF3B07"/>
    <w:rsid w:val="00EF3C52"/>
    <w:rsid w:val="00EF44A0"/>
    <w:rsid w:val="00EF4580"/>
    <w:rsid w:val="00EF4FED"/>
    <w:rsid w:val="00EF5F45"/>
    <w:rsid w:val="00EF62EB"/>
    <w:rsid w:val="00EF6843"/>
    <w:rsid w:val="00EF6941"/>
    <w:rsid w:val="00EF6FB3"/>
    <w:rsid w:val="00EF727B"/>
    <w:rsid w:val="00EF776E"/>
    <w:rsid w:val="00F0068B"/>
    <w:rsid w:val="00F007C6"/>
    <w:rsid w:val="00F01203"/>
    <w:rsid w:val="00F0172E"/>
    <w:rsid w:val="00F017D8"/>
    <w:rsid w:val="00F01AEB"/>
    <w:rsid w:val="00F050BD"/>
    <w:rsid w:val="00F05657"/>
    <w:rsid w:val="00F059F9"/>
    <w:rsid w:val="00F05AB0"/>
    <w:rsid w:val="00F06C49"/>
    <w:rsid w:val="00F070C0"/>
    <w:rsid w:val="00F0717E"/>
    <w:rsid w:val="00F07589"/>
    <w:rsid w:val="00F10037"/>
    <w:rsid w:val="00F119BB"/>
    <w:rsid w:val="00F12011"/>
    <w:rsid w:val="00F12C74"/>
    <w:rsid w:val="00F12CC6"/>
    <w:rsid w:val="00F13214"/>
    <w:rsid w:val="00F135C0"/>
    <w:rsid w:val="00F1419D"/>
    <w:rsid w:val="00F14D7D"/>
    <w:rsid w:val="00F15369"/>
    <w:rsid w:val="00F1559A"/>
    <w:rsid w:val="00F171DE"/>
    <w:rsid w:val="00F17ED6"/>
    <w:rsid w:val="00F2010B"/>
    <w:rsid w:val="00F20676"/>
    <w:rsid w:val="00F209E2"/>
    <w:rsid w:val="00F20FB3"/>
    <w:rsid w:val="00F22294"/>
    <w:rsid w:val="00F2281E"/>
    <w:rsid w:val="00F228F3"/>
    <w:rsid w:val="00F22D44"/>
    <w:rsid w:val="00F23772"/>
    <w:rsid w:val="00F2398F"/>
    <w:rsid w:val="00F247AE"/>
    <w:rsid w:val="00F250C4"/>
    <w:rsid w:val="00F251F7"/>
    <w:rsid w:val="00F25578"/>
    <w:rsid w:val="00F25707"/>
    <w:rsid w:val="00F258E5"/>
    <w:rsid w:val="00F25B9C"/>
    <w:rsid w:val="00F26068"/>
    <w:rsid w:val="00F2675A"/>
    <w:rsid w:val="00F26CC6"/>
    <w:rsid w:val="00F26D80"/>
    <w:rsid w:val="00F26F07"/>
    <w:rsid w:val="00F27BBA"/>
    <w:rsid w:val="00F27CD5"/>
    <w:rsid w:val="00F27CDC"/>
    <w:rsid w:val="00F300BC"/>
    <w:rsid w:val="00F305FA"/>
    <w:rsid w:val="00F30B4A"/>
    <w:rsid w:val="00F31C7E"/>
    <w:rsid w:val="00F32089"/>
    <w:rsid w:val="00F325AB"/>
    <w:rsid w:val="00F3263C"/>
    <w:rsid w:val="00F3334E"/>
    <w:rsid w:val="00F34348"/>
    <w:rsid w:val="00F344FC"/>
    <w:rsid w:val="00F34E79"/>
    <w:rsid w:val="00F3573A"/>
    <w:rsid w:val="00F365A5"/>
    <w:rsid w:val="00F366C0"/>
    <w:rsid w:val="00F36CCB"/>
    <w:rsid w:val="00F374E5"/>
    <w:rsid w:val="00F37B93"/>
    <w:rsid w:val="00F37BAD"/>
    <w:rsid w:val="00F37ECA"/>
    <w:rsid w:val="00F37FC5"/>
    <w:rsid w:val="00F37FF9"/>
    <w:rsid w:val="00F40168"/>
    <w:rsid w:val="00F40A1C"/>
    <w:rsid w:val="00F41B6E"/>
    <w:rsid w:val="00F43AF2"/>
    <w:rsid w:val="00F43F52"/>
    <w:rsid w:val="00F45216"/>
    <w:rsid w:val="00F45BAF"/>
    <w:rsid w:val="00F460C2"/>
    <w:rsid w:val="00F5007E"/>
    <w:rsid w:val="00F508F6"/>
    <w:rsid w:val="00F50EC4"/>
    <w:rsid w:val="00F51FE5"/>
    <w:rsid w:val="00F52232"/>
    <w:rsid w:val="00F527B1"/>
    <w:rsid w:val="00F52DC2"/>
    <w:rsid w:val="00F53AE1"/>
    <w:rsid w:val="00F54AF9"/>
    <w:rsid w:val="00F550CF"/>
    <w:rsid w:val="00F553D2"/>
    <w:rsid w:val="00F55859"/>
    <w:rsid w:val="00F568FC"/>
    <w:rsid w:val="00F56A2D"/>
    <w:rsid w:val="00F56BBA"/>
    <w:rsid w:val="00F57645"/>
    <w:rsid w:val="00F57A6D"/>
    <w:rsid w:val="00F60179"/>
    <w:rsid w:val="00F6044B"/>
    <w:rsid w:val="00F60D76"/>
    <w:rsid w:val="00F614F2"/>
    <w:rsid w:val="00F6188C"/>
    <w:rsid w:val="00F61FB9"/>
    <w:rsid w:val="00F629D3"/>
    <w:rsid w:val="00F62A79"/>
    <w:rsid w:val="00F62F19"/>
    <w:rsid w:val="00F63238"/>
    <w:rsid w:val="00F63512"/>
    <w:rsid w:val="00F638CC"/>
    <w:rsid w:val="00F64C9E"/>
    <w:rsid w:val="00F64CC1"/>
    <w:rsid w:val="00F64FC8"/>
    <w:rsid w:val="00F66381"/>
    <w:rsid w:val="00F663E1"/>
    <w:rsid w:val="00F66A87"/>
    <w:rsid w:val="00F66C02"/>
    <w:rsid w:val="00F67742"/>
    <w:rsid w:val="00F67B7D"/>
    <w:rsid w:val="00F67F5F"/>
    <w:rsid w:val="00F708B1"/>
    <w:rsid w:val="00F70C7B"/>
    <w:rsid w:val="00F71FF1"/>
    <w:rsid w:val="00F72317"/>
    <w:rsid w:val="00F73DC1"/>
    <w:rsid w:val="00F74018"/>
    <w:rsid w:val="00F74309"/>
    <w:rsid w:val="00F75BB8"/>
    <w:rsid w:val="00F75E3D"/>
    <w:rsid w:val="00F76D78"/>
    <w:rsid w:val="00F77714"/>
    <w:rsid w:val="00F77720"/>
    <w:rsid w:val="00F80475"/>
    <w:rsid w:val="00F80E6E"/>
    <w:rsid w:val="00F81390"/>
    <w:rsid w:val="00F81F7A"/>
    <w:rsid w:val="00F8202D"/>
    <w:rsid w:val="00F821DB"/>
    <w:rsid w:val="00F8247A"/>
    <w:rsid w:val="00F82E5C"/>
    <w:rsid w:val="00F831DC"/>
    <w:rsid w:val="00F83E86"/>
    <w:rsid w:val="00F83F58"/>
    <w:rsid w:val="00F84096"/>
    <w:rsid w:val="00F84140"/>
    <w:rsid w:val="00F85206"/>
    <w:rsid w:val="00F87AC8"/>
    <w:rsid w:val="00F87C7A"/>
    <w:rsid w:val="00F87CEA"/>
    <w:rsid w:val="00F90441"/>
    <w:rsid w:val="00F907C0"/>
    <w:rsid w:val="00F90D28"/>
    <w:rsid w:val="00F9265D"/>
    <w:rsid w:val="00F92B29"/>
    <w:rsid w:val="00F93AB5"/>
    <w:rsid w:val="00F944E2"/>
    <w:rsid w:val="00F94850"/>
    <w:rsid w:val="00F9560A"/>
    <w:rsid w:val="00F95D56"/>
    <w:rsid w:val="00F9629A"/>
    <w:rsid w:val="00F97EFC"/>
    <w:rsid w:val="00FA00D4"/>
    <w:rsid w:val="00FA0855"/>
    <w:rsid w:val="00FA0B04"/>
    <w:rsid w:val="00FA0C7C"/>
    <w:rsid w:val="00FA1BDD"/>
    <w:rsid w:val="00FA27C1"/>
    <w:rsid w:val="00FA2BA9"/>
    <w:rsid w:val="00FA2BC2"/>
    <w:rsid w:val="00FA305C"/>
    <w:rsid w:val="00FA3075"/>
    <w:rsid w:val="00FA41F7"/>
    <w:rsid w:val="00FA4245"/>
    <w:rsid w:val="00FA462E"/>
    <w:rsid w:val="00FA4DD5"/>
    <w:rsid w:val="00FA5883"/>
    <w:rsid w:val="00FA6055"/>
    <w:rsid w:val="00FA6446"/>
    <w:rsid w:val="00FA6ED7"/>
    <w:rsid w:val="00FA71A3"/>
    <w:rsid w:val="00FA7B33"/>
    <w:rsid w:val="00FB0B39"/>
    <w:rsid w:val="00FB0F26"/>
    <w:rsid w:val="00FB263B"/>
    <w:rsid w:val="00FB2955"/>
    <w:rsid w:val="00FB322F"/>
    <w:rsid w:val="00FB3781"/>
    <w:rsid w:val="00FB4075"/>
    <w:rsid w:val="00FB442F"/>
    <w:rsid w:val="00FB48ED"/>
    <w:rsid w:val="00FB523D"/>
    <w:rsid w:val="00FB5C5F"/>
    <w:rsid w:val="00FB5C87"/>
    <w:rsid w:val="00FB6F31"/>
    <w:rsid w:val="00FC118C"/>
    <w:rsid w:val="00FC1929"/>
    <w:rsid w:val="00FC2186"/>
    <w:rsid w:val="00FC3D78"/>
    <w:rsid w:val="00FC5A2D"/>
    <w:rsid w:val="00FC5B46"/>
    <w:rsid w:val="00FC67D1"/>
    <w:rsid w:val="00FC743D"/>
    <w:rsid w:val="00FD01BD"/>
    <w:rsid w:val="00FD0690"/>
    <w:rsid w:val="00FD142E"/>
    <w:rsid w:val="00FD1D4F"/>
    <w:rsid w:val="00FD24BF"/>
    <w:rsid w:val="00FD3B6E"/>
    <w:rsid w:val="00FD4140"/>
    <w:rsid w:val="00FD46BD"/>
    <w:rsid w:val="00FD46E7"/>
    <w:rsid w:val="00FD57EB"/>
    <w:rsid w:val="00FD5BD1"/>
    <w:rsid w:val="00FD6CCA"/>
    <w:rsid w:val="00FD6D8E"/>
    <w:rsid w:val="00FD7D7A"/>
    <w:rsid w:val="00FD7F5D"/>
    <w:rsid w:val="00FE0663"/>
    <w:rsid w:val="00FE0A18"/>
    <w:rsid w:val="00FE0E94"/>
    <w:rsid w:val="00FE369C"/>
    <w:rsid w:val="00FE3CD9"/>
    <w:rsid w:val="00FE3DC5"/>
    <w:rsid w:val="00FE4AE8"/>
    <w:rsid w:val="00FE6E73"/>
    <w:rsid w:val="00FF00BD"/>
    <w:rsid w:val="00FF0352"/>
    <w:rsid w:val="00FF067C"/>
    <w:rsid w:val="00FF0B13"/>
    <w:rsid w:val="00FF1672"/>
    <w:rsid w:val="00FF1B4A"/>
    <w:rsid w:val="00FF1ED4"/>
    <w:rsid w:val="00FF2801"/>
    <w:rsid w:val="00FF385B"/>
    <w:rsid w:val="00FF68C5"/>
    <w:rsid w:val="00FF6A3F"/>
    <w:rsid w:val="00FF799B"/>
    <w:rsid w:val="00FF7B3D"/>
    <w:rsid w:val="0109E5BE"/>
    <w:rsid w:val="012A7082"/>
    <w:rsid w:val="0143FC8B"/>
    <w:rsid w:val="01472274"/>
    <w:rsid w:val="01BAC867"/>
    <w:rsid w:val="01E699CE"/>
    <w:rsid w:val="01F22F45"/>
    <w:rsid w:val="01F26183"/>
    <w:rsid w:val="0254441C"/>
    <w:rsid w:val="025792D8"/>
    <w:rsid w:val="027FC545"/>
    <w:rsid w:val="02A4B502"/>
    <w:rsid w:val="02E816C3"/>
    <w:rsid w:val="03135D87"/>
    <w:rsid w:val="031ECC8F"/>
    <w:rsid w:val="032394EB"/>
    <w:rsid w:val="033B2F40"/>
    <w:rsid w:val="039F4750"/>
    <w:rsid w:val="03E0D84F"/>
    <w:rsid w:val="03E163E4"/>
    <w:rsid w:val="04310D0F"/>
    <w:rsid w:val="0437B5A4"/>
    <w:rsid w:val="043FD3F7"/>
    <w:rsid w:val="04A12F4E"/>
    <w:rsid w:val="04C5B93F"/>
    <w:rsid w:val="04DBE9EA"/>
    <w:rsid w:val="05182518"/>
    <w:rsid w:val="051D99F9"/>
    <w:rsid w:val="05B612E3"/>
    <w:rsid w:val="0605216C"/>
    <w:rsid w:val="063EE9F7"/>
    <w:rsid w:val="06780F49"/>
    <w:rsid w:val="0678E457"/>
    <w:rsid w:val="069F379E"/>
    <w:rsid w:val="075EA01B"/>
    <w:rsid w:val="076CEE75"/>
    <w:rsid w:val="07B88581"/>
    <w:rsid w:val="07E541A5"/>
    <w:rsid w:val="07E8F0AF"/>
    <w:rsid w:val="08185FB9"/>
    <w:rsid w:val="08211452"/>
    <w:rsid w:val="082A09EB"/>
    <w:rsid w:val="089BC592"/>
    <w:rsid w:val="08BD54AF"/>
    <w:rsid w:val="08CE2351"/>
    <w:rsid w:val="0913FF54"/>
    <w:rsid w:val="092B0933"/>
    <w:rsid w:val="092F91D7"/>
    <w:rsid w:val="0938C02A"/>
    <w:rsid w:val="0941C53C"/>
    <w:rsid w:val="0981A469"/>
    <w:rsid w:val="0A0C7AE1"/>
    <w:rsid w:val="0A2B5285"/>
    <w:rsid w:val="0A663D94"/>
    <w:rsid w:val="0B1BF5E7"/>
    <w:rsid w:val="0B28175B"/>
    <w:rsid w:val="0CEE6DE9"/>
    <w:rsid w:val="0CF130DF"/>
    <w:rsid w:val="0CFE1DFD"/>
    <w:rsid w:val="0D4FC7CF"/>
    <w:rsid w:val="0DC4E36E"/>
    <w:rsid w:val="0E246D09"/>
    <w:rsid w:val="0E5E506F"/>
    <w:rsid w:val="0EF155A5"/>
    <w:rsid w:val="0EF4FE6C"/>
    <w:rsid w:val="0F1B65C5"/>
    <w:rsid w:val="0F41EDF0"/>
    <w:rsid w:val="0F5CF529"/>
    <w:rsid w:val="0FBA342C"/>
    <w:rsid w:val="0FC31246"/>
    <w:rsid w:val="1023E0F9"/>
    <w:rsid w:val="1045D78B"/>
    <w:rsid w:val="10F7D708"/>
    <w:rsid w:val="110E6FC0"/>
    <w:rsid w:val="123EFA8D"/>
    <w:rsid w:val="1272477B"/>
    <w:rsid w:val="12952BBE"/>
    <w:rsid w:val="12B95C68"/>
    <w:rsid w:val="12C6FEB6"/>
    <w:rsid w:val="136C9A90"/>
    <w:rsid w:val="145DE8FB"/>
    <w:rsid w:val="147BF96C"/>
    <w:rsid w:val="14B92F8F"/>
    <w:rsid w:val="14F07869"/>
    <w:rsid w:val="15107A79"/>
    <w:rsid w:val="1559BAC6"/>
    <w:rsid w:val="15614112"/>
    <w:rsid w:val="157647F2"/>
    <w:rsid w:val="162998A6"/>
    <w:rsid w:val="173BA4DC"/>
    <w:rsid w:val="17FD5F39"/>
    <w:rsid w:val="18657CF4"/>
    <w:rsid w:val="18824744"/>
    <w:rsid w:val="18F3EC1D"/>
    <w:rsid w:val="1910E1A1"/>
    <w:rsid w:val="1924482A"/>
    <w:rsid w:val="19701D18"/>
    <w:rsid w:val="1983C0B3"/>
    <w:rsid w:val="19890FA6"/>
    <w:rsid w:val="19A8D2D6"/>
    <w:rsid w:val="19B44400"/>
    <w:rsid w:val="19F2311B"/>
    <w:rsid w:val="19F7AA11"/>
    <w:rsid w:val="1A0D3C6A"/>
    <w:rsid w:val="1A2D1BE7"/>
    <w:rsid w:val="1A8A0C43"/>
    <w:rsid w:val="1ACC61DD"/>
    <w:rsid w:val="1B0BFFE7"/>
    <w:rsid w:val="1B4DABE9"/>
    <w:rsid w:val="1B9028DC"/>
    <w:rsid w:val="1BFD904A"/>
    <w:rsid w:val="1C06158C"/>
    <w:rsid w:val="1CCCD016"/>
    <w:rsid w:val="1D4E7C25"/>
    <w:rsid w:val="1D6033D6"/>
    <w:rsid w:val="1D9E053D"/>
    <w:rsid w:val="1DDBDA0D"/>
    <w:rsid w:val="1DF28C71"/>
    <w:rsid w:val="1E372069"/>
    <w:rsid w:val="1E382E8C"/>
    <w:rsid w:val="1E938E64"/>
    <w:rsid w:val="1EA80A8D"/>
    <w:rsid w:val="1EAFF635"/>
    <w:rsid w:val="1F22B784"/>
    <w:rsid w:val="1F3EECBD"/>
    <w:rsid w:val="1FB6E350"/>
    <w:rsid w:val="1FEE6194"/>
    <w:rsid w:val="1FF3162D"/>
    <w:rsid w:val="2009EB8A"/>
    <w:rsid w:val="2026C776"/>
    <w:rsid w:val="20468902"/>
    <w:rsid w:val="2069AF40"/>
    <w:rsid w:val="2070292B"/>
    <w:rsid w:val="20997DDE"/>
    <w:rsid w:val="210F5AF1"/>
    <w:rsid w:val="212688E1"/>
    <w:rsid w:val="212CBC64"/>
    <w:rsid w:val="218F9A12"/>
    <w:rsid w:val="21F739F4"/>
    <w:rsid w:val="2213936E"/>
    <w:rsid w:val="22415EF3"/>
    <w:rsid w:val="2277FA8C"/>
    <w:rsid w:val="22E3727D"/>
    <w:rsid w:val="231C3354"/>
    <w:rsid w:val="233D67CA"/>
    <w:rsid w:val="2389355F"/>
    <w:rsid w:val="238CC620"/>
    <w:rsid w:val="23A09389"/>
    <w:rsid w:val="23F87F17"/>
    <w:rsid w:val="24169CE7"/>
    <w:rsid w:val="243213AE"/>
    <w:rsid w:val="244A0FCC"/>
    <w:rsid w:val="244B7C9D"/>
    <w:rsid w:val="244B8CF8"/>
    <w:rsid w:val="24C0A041"/>
    <w:rsid w:val="24CA5046"/>
    <w:rsid w:val="24F49182"/>
    <w:rsid w:val="24F81CE6"/>
    <w:rsid w:val="2552B567"/>
    <w:rsid w:val="25EAF2D4"/>
    <w:rsid w:val="26615FE7"/>
    <w:rsid w:val="2678B15D"/>
    <w:rsid w:val="26906152"/>
    <w:rsid w:val="26F6F44A"/>
    <w:rsid w:val="27394882"/>
    <w:rsid w:val="277C845D"/>
    <w:rsid w:val="281A4E45"/>
    <w:rsid w:val="283D2FDA"/>
    <w:rsid w:val="28B27485"/>
    <w:rsid w:val="29365BD7"/>
    <w:rsid w:val="29882150"/>
    <w:rsid w:val="2991B083"/>
    <w:rsid w:val="29DE9F98"/>
    <w:rsid w:val="29E0E709"/>
    <w:rsid w:val="2A7CB315"/>
    <w:rsid w:val="2AA490C3"/>
    <w:rsid w:val="2AAAB5D4"/>
    <w:rsid w:val="2AB480AD"/>
    <w:rsid w:val="2B042BA1"/>
    <w:rsid w:val="2B740167"/>
    <w:rsid w:val="2B8D5B09"/>
    <w:rsid w:val="2B97947E"/>
    <w:rsid w:val="2BD8F964"/>
    <w:rsid w:val="2C2E68FF"/>
    <w:rsid w:val="2C4C1D68"/>
    <w:rsid w:val="2C6074F5"/>
    <w:rsid w:val="2C7C3DFB"/>
    <w:rsid w:val="2C849C8E"/>
    <w:rsid w:val="2CCAE59A"/>
    <w:rsid w:val="2CCFF892"/>
    <w:rsid w:val="2D355AD6"/>
    <w:rsid w:val="2D470254"/>
    <w:rsid w:val="2D5EDA90"/>
    <w:rsid w:val="2D8426CB"/>
    <w:rsid w:val="2DECC312"/>
    <w:rsid w:val="2E4579D6"/>
    <w:rsid w:val="2E9A1D16"/>
    <w:rsid w:val="2EF0545B"/>
    <w:rsid w:val="2F54BD4F"/>
    <w:rsid w:val="2F7B3743"/>
    <w:rsid w:val="2FBB0508"/>
    <w:rsid w:val="2FC97F8A"/>
    <w:rsid w:val="2FF33D97"/>
    <w:rsid w:val="2FF5E41A"/>
    <w:rsid w:val="3004E2B7"/>
    <w:rsid w:val="300EDF22"/>
    <w:rsid w:val="301EB98D"/>
    <w:rsid w:val="304D4871"/>
    <w:rsid w:val="3079EB0D"/>
    <w:rsid w:val="307D714D"/>
    <w:rsid w:val="3093AC95"/>
    <w:rsid w:val="30C7C97A"/>
    <w:rsid w:val="30E1AD8D"/>
    <w:rsid w:val="30E8B387"/>
    <w:rsid w:val="31C1265F"/>
    <w:rsid w:val="31E2BF07"/>
    <w:rsid w:val="321F658F"/>
    <w:rsid w:val="3221C4AB"/>
    <w:rsid w:val="326B5AEE"/>
    <w:rsid w:val="32FFC29C"/>
    <w:rsid w:val="3320F36F"/>
    <w:rsid w:val="340D0A3D"/>
    <w:rsid w:val="340D350C"/>
    <w:rsid w:val="342860FB"/>
    <w:rsid w:val="343A4F58"/>
    <w:rsid w:val="34CD725D"/>
    <w:rsid w:val="34E7EA92"/>
    <w:rsid w:val="35624D13"/>
    <w:rsid w:val="356CB294"/>
    <w:rsid w:val="35EFA410"/>
    <w:rsid w:val="361E76F1"/>
    <w:rsid w:val="363425FC"/>
    <w:rsid w:val="372409CF"/>
    <w:rsid w:val="373C6128"/>
    <w:rsid w:val="379637E9"/>
    <w:rsid w:val="37B9D8CB"/>
    <w:rsid w:val="37BBA7E7"/>
    <w:rsid w:val="37C1F8E8"/>
    <w:rsid w:val="37DA9C42"/>
    <w:rsid w:val="3805C0E7"/>
    <w:rsid w:val="38168071"/>
    <w:rsid w:val="38A212AA"/>
    <w:rsid w:val="38D0F5DB"/>
    <w:rsid w:val="393376D2"/>
    <w:rsid w:val="39375B5A"/>
    <w:rsid w:val="395463D1"/>
    <w:rsid w:val="3957035C"/>
    <w:rsid w:val="398863F1"/>
    <w:rsid w:val="398D5A35"/>
    <w:rsid w:val="39B0BF87"/>
    <w:rsid w:val="3A164DBA"/>
    <w:rsid w:val="3A1C5337"/>
    <w:rsid w:val="3A20C143"/>
    <w:rsid w:val="3A4C135D"/>
    <w:rsid w:val="3B22C271"/>
    <w:rsid w:val="3B339219"/>
    <w:rsid w:val="3BA095AD"/>
    <w:rsid w:val="3BAD6598"/>
    <w:rsid w:val="3BB03AF7"/>
    <w:rsid w:val="3C7F6321"/>
    <w:rsid w:val="3C86BF5E"/>
    <w:rsid w:val="3C96C2AC"/>
    <w:rsid w:val="3CA0CBFE"/>
    <w:rsid w:val="3CC9BA38"/>
    <w:rsid w:val="3CF3C183"/>
    <w:rsid w:val="3D14FEC0"/>
    <w:rsid w:val="3EDC23CB"/>
    <w:rsid w:val="3F08E55A"/>
    <w:rsid w:val="3F682740"/>
    <w:rsid w:val="3FA1DA1B"/>
    <w:rsid w:val="4046F3B7"/>
    <w:rsid w:val="40771079"/>
    <w:rsid w:val="40930EF5"/>
    <w:rsid w:val="40CCC371"/>
    <w:rsid w:val="4110CDB4"/>
    <w:rsid w:val="4118D695"/>
    <w:rsid w:val="41B893FA"/>
    <w:rsid w:val="41B95CC9"/>
    <w:rsid w:val="41C95276"/>
    <w:rsid w:val="41FF302E"/>
    <w:rsid w:val="42691D0F"/>
    <w:rsid w:val="428E224F"/>
    <w:rsid w:val="42D4492A"/>
    <w:rsid w:val="42DB28E3"/>
    <w:rsid w:val="4369DE66"/>
    <w:rsid w:val="4372D6C2"/>
    <w:rsid w:val="437914D0"/>
    <w:rsid w:val="443448FB"/>
    <w:rsid w:val="44505BFC"/>
    <w:rsid w:val="44AF3ECE"/>
    <w:rsid w:val="44BE746B"/>
    <w:rsid w:val="450F5A46"/>
    <w:rsid w:val="456C4AA2"/>
    <w:rsid w:val="4641A0D0"/>
    <w:rsid w:val="4642DCBB"/>
    <w:rsid w:val="46440BA9"/>
    <w:rsid w:val="47591234"/>
    <w:rsid w:val="47C25BD8"/>
    <w:rsid w:val="47EF2039"/>
    <w:rsid w:val="483DA525"/>
    <w:rsid w:val="483FDDAE"/>
    <w:rsid w:val="484FBD3F"/>
    <w:rsid w:val="4873567A"/>
    <w:rsid w:val="4878AC40"/>
    <w:rsid w:val="48F582C0"/>
    <w:rsid w:val="48FE382B"/>
    <w:rsid w:val="4957B974"/>
    <w:rsid w:val="495D9BBE"/>
    <w:rsid w:val="49B7B512"/>
    <w:rsid w:val="49CAE3F7"/>
    <w:rsid w:val="4AD50CEF"/>
    <w:rsid w:val="4AE86C22"/>
    <w:rsid w:val="4AFED7FE"/>
    <w:rsid w:val="4B9BB887"/>
    <w:rsid w:val="4BB0003E"/>
    <w:rsid w:val="4C8B405E"/>
    <w:rsid w:val="4CA8BA21"/>
    <w:rsid w:val="4CB3B178"/>
    <w:rsid w:val="4D053085"/>
    <w:rsid w:val="4D21EA56"/>
    <w:rsid w:val="4D89D2B1"/>
    <w:rsid w:val="4DA14906"/>
    <w:rsid w:val="4DCAF2D6"/>
    <w:rsid w:val="4DCDA231"/>
    <w:rsid w:val="4DD74500"/>
    <w:rsid w:val="4E24F649"/>
    <w:rsid w:val="4E3041CA"/>
    <w:rsid w:val="4E75B0F0"/>
    <w:rsid w:val="4EE3854C"/>
    <w:rsid w:val="4F0F2069"/>
    <w:rsid w:val="4F28A562"/>
    <w:rsid w:val="4F9619CB"/>
    <w:rsid w:val="4FC27595"/>
    <w:rsid w:val="4FFE0690"/>
    <w:rsid w:val="5057B658"/>
    <w:rsid w:val="50683313"/>
    <w:rsid w:val="50C78B0F"/>
    <w:rsid w:val="50C87A34"/>
    <w:rsid w:val="50F1C25A"/>
    <w:rsid w:val="511381F2"/>
    <w:rsid w:val="5122476A"/>
    <w:rsid w:val="51485208"/>
    <w:rsid w:val="517C50E5"/>
    <w:rsid w:val="51A107A9"/>
    <w:rsid w:val="521C1C44"/>
    <w:rsid w:val="524E7DAD"/>
    <w:rsid w:val="52679B9C"/>
    <w:rsid w:val="527098CF"/>
    <w:rsid w:val="53044900"/>
    <w:rsid w:val="53229BC9"/>
    <w:rsid w:val="533B51F8"/>
    <w:rsid w:val="5384C204"/>
    <w:rsid w:val="53B39A2E"/>
    <w:rsid w:val="53C18632"/>
    <w:rsid w:val="53CD3B6A"/>
    <w:rsid w:val="5409CEDB"/>
    <w:rsid w:val="54C17BA2"/>
    <w:rsid w:val="55285308"/>
    <w:rsid w:val="5528E98A"/>
    <w:rsid w:val="553311EF"/>
    <w:rsid w:val="5534EE3A"/>
    <w:rsid w:val="5544E114"/>
    <w:rsid w:val="55662E2A"/>
    <w:rsid w:val="55ACD1A0"/>
    <w:rsid w:val="55AD6151"/>
    <w:rsid w:val="564DCC9E"/>
    <w:rsid w:val="56627565"/>
    <w:rsid w:val="566CA803"/>
    <w:rsid w:val="5672664F"/>
    <w:rsid w:val="568287D8"/>
    <w:rsid w:val="56AFA43F"/>
    <w:rsid w:val="57222D56"/>
    <w:rsid w:val="582B37C2"/>
    <w:rsid w:val="5831C2C6"/>
    <w:rsid w:val="58963761"/>
    <w:rsid w:val="59185BFB"/>
    <w:rsid w:val="593F501C"/>
    <w:rsid w:val="595AE53A"/>
    <w:rsid w:val="59BF732C"/>
    <w:rsid w:val="59C35E37"/>
    <w:rsid w:val="59C4EC6E"/>
    <w:rsid w:val="59F135DE"/>
    <w:rsid w:val="5A05D725"/>
    <w:rsid w:val="5A899685"/>
    <w:rsid w:val="5ADD90BE"/>
    <w:rsid w:val="5B1E38D7"/>
    <w:rsid w:val="5B698E2A"/>
    <w:rsid w:val="5B8BD279"/>
    <w:rsid w:val="5B9D8C93"/>
    <w:rsid w:val="5C435A75"/>
    <w:rsid w:val="5C69E319"/>
    <w:rsid w:val="5CA2DEB7"/>
    <w:rsid w:val="5CB076C8"/>
    <w:rsid w:val="5D5832E9"/>
    <w:rsid w:val="5D63FF1A"/>
    <w:rsid w:val="5D80A09E"/>
    <w:rsid w:val="5D8C8902"/>
    <w:rsid w:val="5DC1C88E"/>
    <w:rsid w:val="5DC5CED1"/>
    <w:rsid w:val="5DF2A876"/>
    <w:rsid w:val="5E4AB35D"/>
    <w:rsid w:val="5E601DB9"/>
    <w:rsid w:val="5E691D88"/>
    <w:rsid w:val="5E879E8F"/>
    <w:rsid w:val="5E9CB08A"/>
    <w:rsid w:val="5EACEEBD"/>
    <w:rsid w:val="5EBDDC85"/>
    <w:rsid w:val="5F6C0ADC"/>
    <w:rsid w:val="5F8C18FC"/>
    <w:rsid w:val="5FC6822D"/>
    <w:rsid w:val="600E03FD"/>
    <w:rsid w:val="60716306"/>
    <w:rsid w:val="608D4499"/>
    <w:rsid w:val="60C0242E"/>
    <w:rsid w:val="610FE3D6"/>
    <w:rsid w:val="612FD970"/>
    <w:rsid w:val="615EBE48"/>
    <w:rsid w:val="616C3ED2"/>
    <w:rsid w:val="6193B02B"/>
    <w:rsid w:val="61DB7C73"/>
    <w:rsid w:val="61E3B558"/>
    <w:rsid w:val="6238D218"/>
    <w:rsid w:val="626F29B7"/>
    <w:rsid w:val="627E795F"/>
    <w:rsid w:val="628CB478"/>
    <w:rsid w:val="62AD93BA"/>
    <w:rsid w:val="62DD7113"/>
    <w:rsid w:val="630F855D"/>
    <w:rsid w:val="63400F5F"/>
    <w:rsid w:val="63555756"/>
    <w:rsid w:val="6364B481"/>
    <w:rsid w:val="644E444D"/>
    <w:rsid w:val="6457C698"/>
    <w:rsid w:val="6463B6D7"/>
    <w:rsid w:val="64711182"/>
    <w:rsid w:val="64ACB995"/>
    <w:rsid w:val="653838D3"/>
    <w:rsid w:val="65573E26"/>
    <w:rsid w:val="657C1C75"/>
    <w:rsid w:val="65AD35BA"/>
    <w:rsid w:val="65C2D45A"/>
    <w:rsid w:val="65EE4836"/>
    <w:rsid w:val="661F8786"/>
    <w:rsid w:val="6657D135"/>
    <w:rsid w:val="66B05E5A"/>
    <w:rsid w:val="66D9E62A"/>
    <w:rsid w:val="66E8E023"/>
    <w:rsid w:val="67128D8F"/>
    <w:rsid w:val="6728F4B3"/>
    <w:rsid w:val="673BE400"/>
    <w:rsid w:val="67B0AB53"/>
    <w:rsid w:val="67B6BAF7"/>
    <w:rsid w:val="67E6386C"/>
    <w:rsid w:val="684CD407"/>
    <w:rsid w:val="68B2A1C6"/>
    <w:rsid w:val="68D159DD"/>
    <w:rsid w:val="68E0347C"/>
    <w:rsid w:val="68FC11E9"/>
    <w:rsid w:val="68FE03A4"/>
    <w:rsid w:val="6956685D"/>
    <w:rsid w:val="699144ED"/>
    <w:rsid w:val="699B3EBB"/>
    <w:rsid w:val="69A7D5B7"/>
    <w:rsid w:val="69E0B9AE"/>
    <w:rsid w:val="69E8743E"/>
    <w:rsid w:val="6A2AAF49"/>
    <w:rsid w:val="6B29E52F"/>
    <w:rsid w:val="6BAD574D"/>
    <w:rsid w:val="6BB07CCA"/>
    <w:rsid w:val="6C070AFE"/>
    <w:rsid w:val="6C3CC6B6"/>
    <w:rsid w:val="6CA77350"/>
    <w:rsid w:val="6CE1F6EF"/>
    <w:rsid w:val="6CF3AF55"/>
    <w:rsid w:val="6D340EDD"/>
    <w:rsid w:val="6E1929DA"/>
    <w:rsid w:val="6E62E81B"/>
    <w:rsid w:val="6E636734"/>
    <w:rsid w:val="6F6F8B19"/>
    <w:rsid w:val="6F75C909"/>
    <w:rsid w:val="6F877D79"/>
    <w:rsid w:val="7056DA9C"/>
    <w:rsid w:val="70889BA5"/>
    <w:rsid w:val="70971A32"/>
    <w:rsid w:val="709A626A"/>
    <w:rsid w:val="71239580"/>
    <w:rsid w:val="714506CE"/>
    <w:rsid w:val="716D6D8F"/>
    <w:rsid w:val="71A1AE34"/>
    <w:rsid w:val="722A080D"/>
    <w:rsid w:val="72945D75"/>
    <w:rsid w:val="72B69A59"/>
    <w:rsid w:val="7318AA02"/>
    <w:rsid w:val="731BA24E"/>
    <w:rsid w:val="73796C13"/>
    <w:rsid w:val="739CE65B"/>
    <w:rsid w:val="73C929CD"/>
    <w:rsid w:val="73E7CF48"/>
    <w:rsid w:val="73F53336"/>
    <w:rsid w:val="73FD5D45"/>
    <w:rsid w:val="751BDD98"/>
    <w:rsid w:val="752FF802"/>
    <w:rsid w:val="75B5D97D"/>
    <w:rsid w:val="75B9CE48"/>
    <w:rsid w:val="75FDF168"/>
    <w:rsid w:val="764DA178"/>
    <w:rsid w:val="7688E2E7"/>
    <w:rsid w:val="76C1316D"/>
    <w:rsid w:val="76C20411"/>
    <w:rsid w:val="772E55A5"/>
    <w:rsid w:val="77B642A1"/>
    <w:rsid w:val="78063D85"/>
    <w:rsid w:val="78168F3E"/>
    <w:rsid w:val="78232FFC"/>
    <w:rsid w:val="783FCB9B"/>
    <w:rsid w:val="78E271BD"/>
    <w:rsid w:val="78E93C4E"/>
    <w:rsid w:val="799A08DE"/>
    <w:rsid w:val="79E6E493"/>
    <w:rsid w:val="79E941EA"/>
    <w:rsid w:val="7A3DE86F"/>
    <w:rsid w:val="7AD6838E"/>
    <w:rsid w:val="7ADD2C5D"/>
    <w:rsid w:val="7B180F93"/>
    <w:rsid w:val="7B1B6DA9"/>
    <w:rsid w:val="7B349606"/>
    <w:rsid w:val="7B4F3488"/>
    <w:rsid w:val="7B4F5FF1"/>
    <w:rsid w:val="7B5B5B61"/>
    <w:rsid w:val="7B71E1C1"/>
    <w:rsid w:val="7BB49B82"/>
    <w:rsid w:val="7BFBA570"/>
    <w:rsid w:val="7C2E196E"/>
    <w:rsid w:val="7C63B7C1"/>
    <w:rsid w:val="7C73E7A8"/>
    <w:rsid w:val="7C7878ED"/>
    <w:rsid w:val="7CDEBC17"/>
    <w:rsid w:val="7CFE3E78"/>
    <w:rsid w:val="7D0BEE6B"/>
    <w:rsid w:val="7D3162CE"/>
    <w:rsid w:val="7D61AEBC"/>
    <w:rsid w:val="7D79DCD9"/>
    <w:rsid w:val="7D98DA3E"/>
    <w:rsid w:val="7DAC400C"/>
    <w:rsid w:val="7DD3119E"/>
    <w:rsid w:val="7E04A18C"/>
    <w:rsid w:val="7E303FD3"/>
    <w:rsid w:val="7E35F535"/>
    <w:rsid w:val="7E3EF267"/>
    <w:rsid w:val="7E77EEEF"/>
    <w:rsid w:val="7E784689"/>
    <w:rsid w:val="7E9A54A9"/>
    <w:rsid w:val="7E9AABDB"/>
    <w:rsid w:val="7ED84F56"/>
    <w:rsid w:val="7F47C472"/>
    <w:rsid w:val="7F4F2D65"/>
    <w:rsid w:val="7FA7D59F"/>
    <w:rsid w:val="7FA82C29"/>
    <w:rsid w:val="7FC15486"/>
    <w:rsid w:val="7FD28F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6E9"/>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553B1E"/>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99"/>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553B1E"/>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72"/>
    <w:qFormat/>
    <w:rsid w:val="0011466E"/>
    <w:pPr>
      <w:numPr>
        <w:numId w:val="48"/>
      </w:numPr>
      <w:spacing w:after="120"/>
      <w:ind w:left="1134"/>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72"/>
    <w:qFormat/>
    <w:rsid w:val="0011466E"/>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553B1E"/>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553B1E"/>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99"/>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553B1E"/>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553B1E"/>
    <w:pPr>
      <w:keepNext/>
    </w:pPr>
    <w:rPr>
      <w:rFonts w:ascii="Arial Narrow" w:eastAsiaTheme="majorEastAsia" w:hAnsi="Arial Narrow"/>
      <w:b/>
      <w:szCs w:val="24"/>
      <w:lang w:val="en-US"/>
    </w:rPr>
  </w:style>
  <w:style w:type="paragraph" w:customStyle="1" w:styleId="2-SectionHeading">
    <w:name w:val="2-Section Heading"/>
    <w:next w:val="3-BodyText"/>
    <w:qFormat/>
    <w:rsid w:val="00553B1E"/>
    <w:pPr>
      <w:keepNext/>
      <w:numPr>
        <w:numId w:val="2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553B1E"/>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553B1E"/>
    <w:rPr>
      <w:rFonts w:asciiTheme="minorHAnsi" w:eastAsiaTheme="majorEastAsia" w:hAnsiTheme="minorHAnsi" w:cstheme="majorBidi"/>
      <w:b/>
      <w:spacing w:val="5"/>
      <w:kern w:val="28"/>
      <w:sz w:val="36"/>
      <w:szCs w:val="36"/>
    </w:rPr>
  </w:style>
  <w:style w:type="paragraph" w:customStyle="1" w:styleId="TableFigureHeading">
    <w:name w:val="Table/Figure Heading"/>
    <w:basedOn w:val="Caption"/>
    <w:next w:val="TableText0"/>
    <w:link w:val="TableFigureHeadingChar"/>
    <w:qFormat/>
    <w:rsid w:val="00553B1E"/>
    <w:pPr>
      <w:keepNext/>
      <w:keepLines/>
    </w:pPr>
    <w:rPr>
      <w:rFonts w:eastAsiaTheme="majorEastAsia" w:cstheme="majorBidi"/>
      <w:bCs/>
      <w:color w:val="auto"/>
      <w:szCs w:val="24"/>
    </w:rPr>
  </w:style>
  <w:style w:type="character" w:customStyle="1" w:styleId="TableFigureHeadingChar">
    <w:name w:val="Table/Figure Heading Char"/>
    <w:basedOn w:val="DefaultParagraphFont"/>
    <w:link w:val="TableFigureHeading"/>
    <w:rsid w:val="00553B1E"/>
    <w:rPr>
      <w:rFonts w:ascii="Arial Narrow" w:eastAsiaTheme="majorEastAsia" w:hAnsi="Arial Narrow" w:cstheme="majorBidi"/>
      <w:b/>
      <w:bCs/>
      <w:iCs/>
      <w:szCs w:val="24"/>
    </w:rPr>
  </w:style>
  <w:style w:type="paragraph" w:customStyle="1" w:styleId="3-BodyText">
    <w:name w:val="3-Body Text"/>
    <w:link w:val="3-BodyTextChar"/>
    <w:qFormat/>
    <w:rsid w:val="00553B1E"/>
    <w:pPr>
      <w:numPr>
        <w:ilvl w:val="1"/>
        <w:numId w:val="29"/>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553B1E"/>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553B1E"/>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553B1E"/>
    <w:rPr>
      <w:rFonts w:ascii="Calibri" w:hAnsi="Calibri" w:cs="Arial"/>
      <w:b/>
      <w:sz w:val="24"/>
      <w:szCs w:val="24"/>
    </w:rPr>
  </w:style>
  <w:style w:type="paragraph" w:customStyle="1" w:styleId="TableFigureFooter">
    <w:name w:val="Table/Figure Footer"/>
    <w:basedOn w:val="Normal"/>
    <w:next w:val="3-BodyText"/>
    <w:link w:val="TableFigureFooterChar"/>
    <w:qFormat/>
    <w:rsid w:val="00553B1E"/>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553B1E"/>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553B1E"/>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553B1E"/>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553B1E"/>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553B1E"/>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KMC16-Text">
    <w:name w:val="KMC16 - Text"/>
    <w:basedOn w:val="Normal"/>
    <w:link w:val="KMC16-TextChar"/>
    <w:rsid w:val="00AF4BED"/>
    <w:pPr>
      <w:spacing w:before="120" w:after="240" w:line="360" w:lineRule="auto"/>
    </w:pPr>
    <w:rPr>
      <w:rFonts w:ascii="Arial" w:hAnsi="Arial"/>
      <w:color w:val="000000" w:themeColor="text1"/>
      <w:lang w:eastAsia="en-GB"/>
    </w:rPr>
  </w:style>
  <w:style w:type="character" w:customStyle="1" w:styleId="KMC16-TextChar">
    <w:name w:val="KMC16 - Text Char"/>
    <w:basedOn w:val="DefaultParagraphFont"/>
    <w:link w:val="KMC16-Text"/>
    <w:rsid w:val="00AF4BED"/>
    <w:rPr>
      <w:rFonts w:ascii="Arial" w:hAnsi="Arial"/>
      <w:color w:val="000000" w:themeColor="text1"/>
      <w:sz w:val="24"/>
      <w:szCs w:val="24"/>
      <w:lang w:eastAsia="en-GB"/>
    </w:rPr>
  </w:style>
  <w:style w:type="paragraph" w:customStyle="1" w:styleId="KMC16-BulletLists">
    <w:name w:val="KMC16 - Bullet Lists"/>
    <w:basedOn w:val="Normal"/>
    <w:link w:val="KMC16-BulletListsChar"/>
    <w:rsid w:val="003F14A5"/>
    <w:pPr>
      <w:numPr>
        <w:numId w:val="17"/>
      </w:numPr>
      <w:spacing w:before="120" w:after="240" w:line="360" w:lineRule="auto"/>
      <w:contextualSpacing/>
      <w:jc w:val="left"/>
    </w:pPr>
    <w:rPr>
      <w:rFonts w:ascii="Arial" w:hAnsi="Arial"/>
      <w:lang w:eastAsia="en-GB"/>
    </w:rPr>
  </w:style>
  <w:style w:type="character" w:customStyle="1" w:styleId="KMC16-BulletListsChar">
    <w:name w:val="KMC16 - Bullet Lists Char"/>
    <w:basedOn w:val="DefaultParagraphFont"/>
    <w:link w:val="KMC16-BulletLists"/>
    <w:rsid w:val="003F14A5"/>
    <w:rPr>
      <w:rFonts w:ascii="Arial" w:hAnsi="Arial"/>
      <w:sz w:val="24"/>
      <w:szCs w:val="24"/>
      <w:lang w:eastAsia="en-GB"/>
    </w:rPr>
  </w:style>
  <w:style w:type="paragraph" w:styleId="NormalWeb">
    <w:name w:val="Normal (Web)"/>
    <w:basedOn w:val="Normal"/>
    <w:uiPriority w:val="99"/>
    <w:semiHidden/>
    <w:unhideWhenUsed/>
    <w:rsid w:val="006A2544"/>
    <w:pPr>
      <w:spacing w:before="100" w:beforeAutospacing="1" w:after="100" w:afterAutospacing="1"/>
      <w:jc w:val="left"/>
    </w:pPr>
    <w:rPr>
      <w:rFonts w:ascii="Times New Roman" w:hAnsi="Times New Roman"/>
    </w:rPr>
  </w:style>
  <w:style w:type="character" w:styleId="Strong">
    <w:name w:val="Strong"/>
    <w:basedOn w:val="DefaultParagraphFont"/>
    <w:uiPriority w:val="22"/>
    <w:rsid w:val="006A2544"/>
    <w:rPr>
      <w:b/>
      <w:bCs/>
    </w:rPr>
  </w:style>
  <w:style w:type="table" w:customStyle="1" w:styleId="TableGrid2">
    <w:name w:val="Table Grid2"/>
    <w:basedOn w:val="TableNormal"/>
    <w:next w:val="TableGrid"/>
    <w:uiPriority w:val="39"/>
    <w:rsid w:val="00407B8C"/>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C7637"/>
    <w:rPr>
      <w:sz w:val="20"/>
      <w:szCs w:val="20"/>
    </w:rPr>
  </w:style>
  <w:style w:type="character" w:customStyle="1" w:styleId="FootnoteTextChar">
    <w:name w:val="Footnote Text Char"/>
    <w:basedOn w:val="DefaultParagraphFont"/>
    <w:link w:val="FootnoteText"/>
    <w:semiHidden/>
    <w:rsid w:val="008C7637"/>
    <w:rPr>
      <w:rFonts w:ascii="Calibri" w:hAnsi="Calibri"/>
    </w:rPr>
  </w:style>
  <w:style w:type="character" w:styleId="FootnoteReference">
    <w:name w:val="footnote reference"/>
    <w:basedOn w:val="DefaultParagraphFont"/>
    <w:semiHidden/>
    <w:unhideWhenUsed/>
    <w:rsid w:val="008C7637"/>
    <w:rPr>
      <w:vertAlign w:val="superscript"/>
    </w:rPr>
  </w:style>
  <w:style w:type="paragraph" w:customStyle="1" w:styleId="KMC16-Caption">
    <w:name w:val="KMC16 - Caption"/>
    <w:basedOn w:val="Normal"/>
    <w:rsid w:val="009D7FBE"/>
    <w:pPr>
      <w:keepNext/>
      <w:tabs>
        <w:tab w:val="left" w:pos="567"/>
      </w:tabs>
      <w:spacing w:before="240" w:after="40"/>
      <w:ind w:left="992" w:hanging="992"/>
      <w:contextualSpacing/>
      <w:jc w:val="left"/>
    </w:pPr>
    <w:rPr>
      <w:rFonts w:ascii="Arial" w:hAnsi="Arial"/>
      <w:b/>
      <w:color w:val="000000"/>
      <w:sz w:val="20"/>
      <w:szCs w:val="20"/>
    </w:rPr>
  </w:style>
  <w:style w:type="paragraph" w:customStyle="1" w:styleId="KMC16-Tablecontent">
    <w:name w:val="KMC16 - Table content"/>
    <w:basedOn w:val="Normal"/>
    <w:link w:val="KMC16-TablecontentChar"/>
    <w:rsid w:val="009D7FBE"/>
    <w:pPr>
      <w:spacing w:before="40" w:after="40"/>
      <w:jc w:val="left"/>
    </w:pPr>
    <w:rPr>
      <w:rFonts w:ascii="Arial Narrow" w:hAnsi="Arial Narrow" w:cs="Arial"/>
      <w:color w:val="000000"/>
      <w:sz w:val="20"/>
      <w:lang w:val="en-GB" w:eastAsia="en-GB"/>
    </w:rPr>
  </w:style>
  <w:style w:type="character" w:customStyle="1" w:styleId="KMC16-TablecontentChar">
    <w:name w:val="KMC16 - Table content Char"/>
    <w:basedOn w:val="DefaultParagraphFont"/>
    <w:link w:val="KMC16-Tablecontent"/>
    <w:rsid w:val="009D7FBE"/>
    <w:rPr>
      <w:rFonts w:ascii="Arial Narrow" w:hAnsi="Arial Narrow" w:cs="Arial"/>
      <w:color w:val="000000"/>
      <w:szCs w:val="24"/>
      <w:lang w:val="en-GB" w:eastAsia="en-GB"/>
    </w:rPr>
  </w:style>
  <w:style w:type="paragraph" w:customStyle="1" w:styleId="KMC16-TableHeading">
    <w:name w:val="KMC16 - Table Heading"/>
    <w:basedOn w:val="Normal"/>
    <w:rsid w:val="009D7FBE"/>
    <w:pPr>
      <w:spacing w:before="40" w:after="40"/>
      <w:jc w:val="center"/>
    </w:pPr>
    <w:rPr>
      <w:rFonts w:ascii="Arial Narrow" w:hAnsi="Arial Narrow" w:cs="Arial"/>
      <w:b/>
      <w:color w:val="000000"/>
      <w:sz w:val="20"/>
      <w:lang w:eastAsia="en-GB"/>
    </w:rPr>
  </w:style>
  <w:style w:type="paragraph" w:styleId="HTMLPreformatted">
    <w:name w:val="HTML Preformatted"/>
    <w:basedOn w:val="Normal"/>
    <w:link w:val="HTMLPreformattedChar"/>
    <w:uiPriority w:val="99"/>
    <w:semiHidden/>
    <w:unhideWhenUsed/>
    <w:rsid w:val="00EC1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C1E55"/>
    <w:rPr>
      <w:rFonts w:ascii="Courier New" w:hAnsi="Courier New" w:cs="Courier New"/>
    </w:rPr>
  </w:style>
  <w:style w:type="character" w:customStyle="1" w:styleId="Heading5Char">
    <w:name w:val="Heading 5 Char"/>
    <w:basedOn w:val="DefaultParagraphFont"/>
    <w:link w:val="Heading5"/>
    <w:rsid w:val="000706E9"/>
    <w:rPr>
      <w:rFonts w:ascii="Calibri" w:hAnsi="Calibri"/>
      <w:b/>
      <w:bCs/>
      <w:i/>
      <w:iCs/>
      <w:sz w:val="26"/>
      <w:szCs w:val="26"/>
    </w:rPr>
  </w:style>
  <w:style w:type="character" w:customStyle="1" w:styleId="Heading6Char">
    <w:name w:val="Heading 6 Char"/>
    <w:basedOn w:val="DefaultParagraphFont"/>
    <w:link w:val="Heading6"/>
    <w:rsid w:val="000706E9"/>
    <w:rPr>
      <w:rFonts w:ascii="Calibri" w:hAnsi="Calibri"/>
      <w:b/>
      <w:bCs/>
      <w:sz w:val="22"/>
      <w:szCs w:val="22"/>
    </w:rPr>
  </w:style>
  <w:style w:type="character" w:customStyle="1" w:styleId="BalloonTextChar">
    <w:name w:val="Balloon Text Char"/>
    <w:basedOn w:val="DefaultParagraphFont"/>
    <w:link w:val="BalloonText"/>
    <w:semiHidden/>
    <w:rsid w:val="000706E9"/>
    <w:rPr>
      <w:rFonts w:ascii="Tahoma" w:hAnsi="Tahoma" w:cs="Tahoma"/>
      <w:sz w:val="16"/>
      <w:szCs w:val="16"/>
    </w:rPr>
  </w:style>
  <w:style w:type="character" w:customStyle="1" w:styleId="BodyText3Char">
    <w:name w:val="Body Text 3 Char"/>
    <w:basedOn w:val="DefaultParagraphFont"/>
    <w:link w:val="BodyText3"/>
    <w:rsid w:val="000706E9"/>
    <w:rPr>
      <w:rFonts w:ascii="Calibri" w:hAnsi="Calibri"/>
      <w:sz w:val="16"/>
      <w:szCs w:val="16"/>
    </w:rPr>
  </w:style>
  <w:style w:type="character" w:customStyle="1" w:styleId="SubtitleChar1">
    <w:name w:val="Subtitle Char1"/>
    <w:basedOn w:val="DefaultParagraphFont"/>
    <w:uiPriority w:val="11"/>
    <w:rsid w:val="000706E9"/>
    <w:rPr>
      <w:rFonts w:asciiTheme="minorHAnsi" w:eastAsiaTheme="majorEastAsia" w:hAnsiTheme="minorHAnsi"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819">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9618993">
      <w:bodyDiv w:val="1"/>
      <w:marLeft w:val="0"/>
      <w:marRight w:val="0"/>
      <w:marTop w:val="0"/>
      <w:marBottom w:val="0"/>
      <w:divBdr>
        <w:top w:val="none" w:sz="0" w:space="0" w:color="auto"/>
        <w:left w:val="none" w:sz="0" w:space="0" w:color="auto"/>
        <w:bottom w:val="none" w:sz="0" w:space="0" w:color="auto"/>
        <w:right w:val="none" w:sz="0" w:space="0" w:color="auto"/>
      </w:divBdr>
    </w:div>
    <w:div w:id="66465198">
      <w:bodyDiv w:val="1"/>
      <w:marLeft w:val="0"/>
      <w:marRight w:val="0"/>
      <w:marTop w:val="0"/>
      <w:marBottom w:val="0"/>
      <w:divBdr>
        <w:top w:val="none" w:sz="0" w:space="0" w:color="auto"/>
        <w:left w:val="none" w:sz="0" w:space="0" w:color="auto"/>
        <w:bottom w:val="none" w:sz="0" w:space="0" w:color="auto"/>
        <w:right w:val="none" w:sz="0" w:space="0" w:color="auto"/>
      </w:divBdr>
    </w:div>
    <w:div w:id="70127482">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87360199">
      <w:bodyDiv w:val="1"/>
      <w:marLeft w:val="0"/>
      <w:marRight w:val="0"/>
      <w:marTop w:val="0"/>
      <w:marBottom w:val="0"/>
      <w:divBdr>
        <w:top w:val="none" w:sz="0" w:space="0" w:color="auto"/>
        <w:left w:val="none" w:sz="0" w:space="0" w:color="auto"/>
        <w:bottom w:val="none" w:sz="0" w:space="0" w:color="auto"/>
        <w:right w:val="none" w:sz="0" w:space="0" w:color="auto"/>
      </w:divBdr>
      <w:divsChild>
        <w:div w:id="467820443">
          <w:marLeft w:val="0"/>
          <w:marRight w:val="0"/>
          <w:marTop w:val="0"/>
          <w:marBottom w:val="0"/>
          <w:divBdr>
            <w:top w:val="none" w:sz="0" w:space="0" w:color="auto"/>
            <w:left w:val="none" w:sz="0" w:space="0" w:color="auto"/>
            <w:bottom w:val="none" w:sz="0" w:space="0" w:color="auto"/>
            <w:right w:val="none" w:sz="0" w:space="0" w:color="auto"/>
          </w:divBdr>
          <w:divsChild>
            <w:div w:id="505630962">
              <w:marLeft w:val="0"/>
              <w:marRight w:val="0"/>
              <w:marTop w:val="0"/>
              <w:marBottom w:val="0"/>
              <w:divBdr>
                <w:top w:val="none" w:sz="0" w:space="0" w:color="auto"/>
                <w:left w:val="none" w:sz="0" w:space="0" w:color="auto"/>
                <w:bottom w:val="none" w:sz="0" w:space="0" w:color="auto"/>
                <w:right w:val="none" w:sz="0" w:space="0" w:color="auto"/>
              </w:divBdr>
              <w:divsChild>
                <w:div w:id="2050757290">
                  <w:marLeft w:val="0"/>
                  <w:marRight w:val="0"/>
                  <w:marTop w:val="0"/>
                  <w:marBottom w:val="0"/>
                  <w:divBdr>
                    <w:top w:val="none" w:sz="0" w:space="0" w:color="auto"/>
                    <w:left w:val="none" w:sz="0" w:space="0" w:color="auto"/>
                    <w:bottom w:val="none" w:sz="0" w:space="0" w:color="auto"/>
                    <w:right w:val="none" w:sz="0" w:space="0" w:color="auto"/>
                  </w:divBdr>
                </w:div>
              </w:divsChild>
            </w:div>
            <w:div w:id="817572027">
              <w:marLeft w:val="0"/>
              <w:marRight w:val="0"/>
              <w:marTop w:val="0"/>
              <w:marBottom w:val="0"/>
              <w:divBdr>
                <w:top w:val="none" w:sz="0" w:space="0" w:color="auto"/>
                <w:left w:val="none" w:sz="0" w:space="0" w:color="auto"/>
                <w:bottom w:val="none" w:sz="0" w:space="0" w:color="auto"/>
                <w:right w:val="none" w:sz="0" w:space="0" w:color="auto"/>
              </w:divBdr>
              <w:divsChild>
                <w:div w:id="1675759408">
                  <w:marLeft w:val="0"/>
                  <w:marRight w:val="0"/>
                  <w:marTop w:val="0"/>
                  <w:marBottom w:val="0"/>
                  <w:divBdr>
                    <w:top w:val="none" w:sz="0" w:space="0" w:color="auto"/>
                    <w:left w:val="none" w:sz="0" w:space="0" w:color="auto"/>
                    <w:bottom w:val="none" w:sz="0" w:space="0" w:color="auto"/>
                    <w:right w:val="none" w:sz="0" w:space="0" w:color="auto"/>
                  </w:divBdr>
                </w:div>
              </w:divsChild>
            </w:div>
            <w:div w:id="2105566109">
              <w:marLeft w:val="0"/>
              <w:marRight w:val="0"/>
              <w:marTop w:val="0"/>
              <w:marBottom w:val="0"/>
              <w:divBdr>
                <w:top w:val="none" w:sz="0" w:space="0" w:color="auto"/>
                <w:left w:val="none" w:sz="0" w:space="0" w:color="auto"/>
                <w:bottom w:val="none" w:sz="0" w:space="0" w:color="auto"/>
                <w:right w:val="none" w:sz="0" w:space="0" w:color="auto"/>
              </w:divBdr>
              <w:divsChild>
                <w:div w:id="5941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3669">
          <w:marLeft w:val="0"/>
          <w:marRight w:val="0"/>
          <w:marTop w:val="0"/>
          <w:marBottom w:val="0"/>
          <w:divBdr>
            <w:top w:val="none" w:sz="0" w:space="0" w:color="auto"/>
            <w:left w:val="none" w:sz="0" w:space="0" w:color="auto"/>
            <w:bottom w:val="none" w:sz="0" w:space="0" w:color="auto"/>
            <w:right w:val="none" w:sz="0" w:space="0" w:color="auto"/>
          </w:divBdr>
          <w:divsChild>
            <w:div w:id="341974275">
              <w:marLeft w:val="0"/>
              <w:marRight w:val="0"/>
              <w:marTop w:val="0"/>
              <w:marBottom w:val="0"/>
              <w:divBdr>
                <w:top w:val="none" w:sz="0" w:space="0" w:color="auto"/>
                <w:left w:val="none" w:sz="0" w:space="0" w:color="auto"/>
                <w:bottom w:val="none" w:sz="0" w:space="0" w:color="auto"/>
                <w:right w:val="none" w:sz="0" w:space="0" w:color="auto"/>
              </w:divBdr>
              <w:divsChild>
                <w:div w:id="16400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5737">
      <w:bodyDiv w:val="1"/>
      <w:marLeft w:val="0"/>
      <w:marRight w:val="0"/>
      <w:marTop w:val="0"/>
      <w:marBottom w:val="0"/>
      <w:divBdr>
        <w:top w:val="none" w:sz="0" w:space="0" w:color="auto"/>
        <w:left w:val="none" w:sz="0" w:space="0" w:color="auto"/>
        <w:bottom w:val="none" w:sz="0" w:space="0" w:color="auto"/>
        <w:right w:val="none" w:sz="0" w:space="0" w:color="auto"/>
      </w:divBdr>
    </w:div>
    <w:div w:id="158430423">
      <w:bodyDiv w:val="1"/>
      <w:marLeft w:val="0"/>
      <w:marRight w:val="0"/>
      <w:marTop w:val="0"/>
      <w:marBottom w:val="0"/>
      <w:divBdr>
        <w:top w:val="none" w:sz="0" w:space="0" w:color="auto"/>
        <w:left w:val="none" w:sz="0" w:space="0" w:color="auto"/>
        <w:bottom w:val="none" w:sz="0" w:space="0" w:color="auto"/>
        <w:right w:val="none" w:sz="0" w:space="0" w:color="auto"/>
      </w:divBdr>
      <w:divsChild>
        <w:div w:id="194200113">
          <w:marLeft w:val="0"/>
          <w:marRight w:val="0"/>
          <w:marTop w:val="0"/>
          <w:marBottom w:val="0"/>
          <w:divBdr>
            <w:top w:val="none" w:sz="0" w:space="0" w:color="auto"/>
            <w:left w:val="none" w:sz="0" w:space="0" w:color="auto"/>
            <w:bottom w:val="none" w:sz="0" w:space="0" w:color="auto"/>
            <w:right w:val="none" w:sz="0" w:space="0" w:color="auto"/>
          </w:divBdr>
          <w:divsChild>
            <w:div w:id="2050764400">
              <w:marLeft w:val="0"/>
              <w:marRight w:val="0"/>
              <w:marTop w:val="0"/>
              <w:marBottom w:val="0"/>
              <w:divBdr>
                <w:top w:val="none" w:sz="0" w:space="0" w:color="auto"/>
                <w:left w:val="none" w:sz="0" w:space="0" w:color="auto"/>
                <w:bottom w:val="none" w:sz="0" w:space="0" w:color="auto"/>
                <w:right w:val="none" w:sz="0" w:space="0" w:color="auto"/>
              </w:divBdr>
              <w:divsChild>
                <w:div w:id="14800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5462">
          <w:marLeft w:val="0"/>
          <w:marRight w:val="0"/>
          <w:marTop w:val="0"/>
          <w:marBottom w:val="0"/>
          <w:divBdr>
            <w:top w:val="none" w:sz="0" w:space="0" w:color="auto"/>
            <w:left w:val="none" w:sz="0" w:space="0" w:color="auto"/>
            <w:bottom w:val="none" w:sz="0" w:space="0" w:color="auto"/>
            <w:right w:val="none" w:sz="0" w:space="0" w:color="auto"/>
          </w:divBdr>
          <w:divsChild>
            <w:div w:id="1690720259">
              <w:marLeft w:val="0"/>
              <w:marRight w:val="0"/>
              <w:marTop w:val="0"/>
              <w:marBottom w:val="0"/>
              <w:divBdr>
                <w:top w:val="none" w:sz="0" w:space="0" w:color="auto"/>
                <w:left w:val="none" w:sz="0" w:space="0" w:color="auto"/>
                <w:bottom w:val="none" w:sz="0" w:space="0" w:color="auto"/>
                <w:right w:val="none" w:sz="0" w:space="0" w:color="auto"/>
              </w:divBdr>
              <w:divsChild>
                <w:div w:id="17723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2839">
          <w:marLeft w:val="0"/>
          <w:marRight w:val="0"/>
          <w:marTop w:val="0"/>
          <w:marBottom w:val="0"/>
          <w:divBdr>
            <w:top w:val="none" w:sz="0" w:space="0" w:color="auto"/>
            <w:left w:val="none" w:sz="0" w:space="0" w:color="auto"/>
            <w:bottom w:val="none" w:sz="0" w:space="0" w:color="auto"/>
            <w:right w:val="none" w:sz="0" w:space="0" w:color="auto"/>
          </w:divBdr>
          <w:divsChild>
            <w:div w:id="1960643724">
              <w:marLeft w:val="0"/>
              <w:marRight w:val="0"/>
              <w:marTop w:val="0"/>
              <w:marBottom w:val="0"/>
              <w:divBdr>
                <w:top w:val="none" w:sz="0" w:space="0" w:color="auto"/>
                <w:left w:val="none" w:sz="0" w:space="0" w:color="auto"/>
                <w:bottom w:val="none" w:sz="0" w:space="0" w:color="auto"/>
                <w:right w:val="none" w:sz="0" w:space="0" w:color="auto"/>
              </w:divBdr>
              <w:divsChild>
                <w:div w:id="1417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2421">
          <w:marLeft w:val="0"/>
          <w:marRight w:val="0"/>
          <w:marTop w:val="0"/>
          <w:marBottom w:val="0"/>
          <w:divBdr>
            <w:top w:val="none" w:sz="0" w:space="0" w:color="auto"/>
            <w:left w:val="none" w:sz="0" w:space="0" w:color="auto"/>
            <w:bottom w:val="none" w:sz="0" w:space="0" w:color="auto"/>
            <w:right w:val="none" w:sz="0" w:space="0" w:color="auto"/>
          </w:divBdr>
          <w:divsChild>
            <w:div w:id="1451583685">
              <w:marLeft w:val="0"/>
              <w:marRight w:val="0"/>
              <w:marTop w:val="0"/>
              <w:marBottom w:val="0"/>
              <w:divBdr>
                <w:top w:val="none" w:sz="0" w:space="0" w:color="auto"/>
                <w:left w:val="none" w:sz="0" w:space="0" w:color="auto"/>
                <w:bottom w:val="none" w:sz="0" w:space="0" w:color="auto"/>
                <w:right w:val="none" w:sz="0" w:space="0" w:color="auto"/>
              </w:divBdr>
              <w:divsChild>
                <w:div w:id="15681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0262">
          <w:marLeft w:val="0"/>
          <w:marRight w:val="0"/>
          <w:marTop w:val="0"/>
          <w:marBottom w:val="0"/>
          <w:divBdr>
            <w:top w:val="none" w:sz="0" w:space="0" w:color="auto"/>
            <w:left w:val="none" w:sz="0" w:space="0" w:color="auto"/>
            <w:bottom w:val="none" w:sz="0" w:space="0" w:color="auto"/>
            <w:right w:val="none" w:sz="0" w:space="0" w:color="auto"/>
          </w:divBdr>
          <w:divsChild>
            <w:div w:id="719866551">
              <w:marLeft w:val="0"/>
              <w:marRight w:val="0"/>
              <w:marTop w:val="0"/>
              <w:marBottom w:val="0"/>
              <w:divBdr>
                <w:top w:val="none" w:sz="0" w:space="0" w:color="auto"/>
                <w:left w:val="none" w:sz="0" w:space="0" w:color="auto"/>
                <w:bottom w:val="none" w:sz="0" w:space="0" w:color="auto"/>
                <w:right w:val="none" w:sz="0" w:space="0" w:color="auto"/>
              </w:divBdr>
              <w:divsChild>
                <w:div w:id="8405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2148">
      <w:bodyDiv w:val="1"/>
      <w:marLeft w:val="0"/>
      <w:marRight w:val="0"/>
      <w:marTop w:val="0"/>
      <w:marBottom w:val="0"/>
      <w:divBdr>
        <w:top w:val="none" w:sz="0" w:space="0" w:color="auto"/>
        <w:left w:val="none" w:sz="0" w:space="0" w:color="auto"/>
        <w:bottom w:val="none" w:sz="0" w:space="0" w:color="auto"/>
        <w:right w:val="none" w:sz="0" w:space="0" w:color="auto"/>
      </w:divBdr>
    </w:div>
    <w:div w:id="248319591">
      <w:bodyDiv w:val="1"/>
      <w:marLeft w:val="0"/>
      <w:marRight w:val="0"/>
      <w:marTop w:val="0"/>
      <w:marBottom w:val="0"/>
      <w:divBdr>
        <w:top w:val="none" w:sz="0" w:space="0" w:color="auto"/>
        <w:left w:val="none" w:sz="0" w:space="0" w:color="auto"/>
        <w:bottom w:val="none" w:sz="0" w:space="0" w:color="auto"/>
        <w:right w:val="none" w:sz="0" w:space="0" w:color="auto"/>
      </w:divBdr>
      <w:divsChild>
        <w:div w:id="1293949010">
          <w:marLeft w:val="0"/>
          <w:marRight w:val="0"/>
          <w:marTop w:val="0"/>
          <w:marBottom w:val="0"/>
          <w:divBdr>
            <w:top w:val="none" w:sz="0" w:space="0" w:color="auto"/>
            <w:left w:val="none" w:sz="0" w:space="0" w:color="auto"/>
            <w:bottom w:val="none" w:sz="0" w:space="0" w:color="auto"/>
            <w:right w:val="none" w:sz="0" w:space="0" w:color="auto"/>
          </w:divBdr>
          <w:divsChild>
            <w:div w:id="904148547">
              <w:marLeft w:val="0"/>
              <w:marRight w:val="0"/>
              <w:marTop w:val="0"/>
              <w:marBottom w:val="0"/>
              <w:divBdr>
                <w:top w:val="none" w:sz="0" w:space="0" w:color="auto"/>
                <w:left w:val="none" w:sz="0" w:space="0" w:color="auto"/>
                <w:bottom w:val="none" w:sz="0" w:space="0" w:color="auto"/>
                <w:right w:val="none" w:sz="0" w:space="0" w:color="auto"/>
              </w:divBdr>
            </w:div>
          </w:divsChild>
        </w:div>
        <w:div w:id="2023428669">
          <w:marLeft w:val="0"/>
          <w:marRight w:val="0"/>
          <w:marTop w:val="0"/>
          <w:marBottom w:val="0"/>
          <w:divBdr>
            <w:top w:val="none" w:sz="0" w:space="0" w:color="auto"/>
            <w:left w:val="none" w:sz="0" w:space="0" w:color="auto"/>
            <w:bottom w:val="none" w:sz="0" w:space="0" w:color="auto"/>
            <w:right w:val="none" w:sz="0" w:space="0" w:color="auto"/>
          </w:divBdr>
          <w:divsChild>
            <w:div w:id="847259457">
              <w:marLeft w:val="0"/>
              <w:marRight w:val="0"/>
              <w:marTop w:val="0"/>
              <w:marBottom w:val="0"/>
              <w:divBdr>
                <w:top w:val="none" w:sz="0" w:space="0" w:color="auto"/>
                <w:left w:val="none" w:sz="0" w:space="0" w:color="auto"/>
                <w:bottom w:val="none" w:sz="0" w:space="0" w:color="auto"/>
                <w:right w:val="none" w:sz="0" w:space="0" w:color="auto"/>
              </w:divBdr>
            </w:div>
          </w:divsChild>
        </w:div>
        <w:div w:id="2095661108">
          <w:marLeft w:val="0"/>
          <w:marRight w:val="0"/>
          <w:marTop w:val="0"/>
          <w:marBottom w:val="0"/>
          <w:divBdr>
            <w:top w:val="none" w:sz="0" w:space="0" w:color="auto"/>
            <w:left w:val="none" w:sz="0" w:space="0" w:color="auto"/>
            <w:bottom w:val="none" w:sz="0" w:space="0" w:color="auto"/>
            <w:right w:val="none" w:sz="0" w:space="0" w:color="auto"/>
          </w:divBdr>
          <w:divsChild>
            <w:div w:id="10739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69120643">
      <w:bodyDiv w:val="1"/>
      <w:marLeft w:val="0"/>
      <w:marRight w:val="0"/>
      <w:marTop w:val="0"/>
      <w:marBottom w:val="0"/>
      <w:divBdr>
        <w:top w:val="none" w:sz="0" w:space="0" w:color="auto"/>
        <w:left w:val="none" w:sz="0" w:space="0" w:color="auto"/>
        <w:bottom w:val="none" w:sz="0" w:space="0" w:color="auto"/>
        <w:right w:val="none" w:sz="0" w:space="0" w:color="auto"/>
      </w:divBdr>
    </w:div>
    <w:div w:id="323440305">
      <w:bodyDiv w:val="1"/>
      <w:marLeft w:val="0"/>
      <w:marRight w:val="0"/>
      <w:marTop w:val="0"/>
      <w:marBottom w:val="0"/>
      <w:divBdr>
        <w:top w:val="none" w:sz="0" w:space="0" w:color="auto"/>
        <w:left w:val="none" w:sz="0" w:space="0" w:color="auto"/>
        <w:bottom w:val="none" w:sz="0" w:space="0" w:color="auto"/>
        <w:right w:val="none" w:sz="0" w:space="0" w:color="auto"/>
      </w:divBdr>
      <w:divsChild>
        <w:div w:id="795828972">
          <w:marLeft w:val="0"/>
          <w:marRight w:val="0"/>
          <w:marTop w:val="0"/>
          <w:marBottom w:val="0"/>
          <w:divBdr>
            <w:top w:val="none" w:sz="0" w:space="0" w:color="auto"/>
            <w:left w:val="none" w:sz="0" w:space="0" w:color="auto"/>
            <w:bottom w:val="none" w:sz="0" w:space="0" w:color="auto"/>
            <w:right w:val="none" w:sz="0" w:space="0" w:color="auto"/>
          </w:divBdr>
        </w:div>
      </w:divsChild>
    </w:div>
    <w:div w:id="341471479">
      <w:bodyDiv w:val="1"/>
      <w:marLeft w:val="0"/>
      <w:marRight w:val="0"/>
      <w:marTop w:val="0"/>
      <w:marBottom w:val="0"/>
      <w:divBdr>
        <w:top w:val="none" w:sz="0" w:space="0" w:color="auto"/>
        <w:left w:val="none" w:sz="0" w:space="0" w:color="auto"/>
        <w:bottom w:val="none" w:sz="0" w:space="0" w:color="auto"/>
        <w:right w:val="none" w:sz="0" w:space="0" w:color="auto"/>
      </w:divBdr>
    </w:div>
    <w:div w:id="345252284">
      <w:bodyDiv w:val="1"/>
      <w:marLeft w:val="0"/>
      <w:marRight w:val="0"/>
      <w:marTop w:val="0"/>
      <w:marBottom w:val="0"/>
      <w:divBdr>
        <w:top w:val="none" w:sz="0" w:space="0" w:color="auto"/>
        <w:left w:val="none" w:sz="0" w:space="0" w:color="auto"/>
        <w:bottom w:val="none" w:sz="0" w:space="0" w:color="auto"/>
        <w:right w:val="none" w:sz="0" w:space="0" w:color="auto"/>
      </w:divBdr>
    </w:div>
    <w:div w:id="376509342">
      <w:bodyDiv w:val="1"/>
      <w:marLeft w:val="0"/>
      <w:marRight w:val="0"/>
      <w:marTop w:val="0"/>
      <w:marBottom w:val="0"/>
      <w:divBdr>
        <w:top w:val="none" w:sz="0" w:space="0" w:color="auto"/>
        <w:left w:val="none" w:sz="0" w:space="0" w:color="auto"/>
        <w:bottom w:val="none" w:sz="0" w:space="0" w:color="auto"/>
        <w:right w:val="none" w:sz="0" w:space="0" w:color="auto"/>
      </w:divBdr>
    </w:div>
    <w:div w:id="397747582">
      <w:bodyDiv w:val="1"/>
      <w:marLeft w:val="0"/>
      <w:marRight w:val="0"/>
      <w:marTop w:val="0"/>
      <w:marBottom w:val="0"/>
      <w:divBdr>
        <w:top w:val="none" w:sz="0" w:space="0" w:color="auto"/>
        <w:left w:val="none" w:sz="0" w:space="0" w:color="auto"/>
        <w:bottom w:val="none" w:sz="0" w:space="0" w:color="auto"/>
        <w:right w:val="none" w:sz="0" w:space="0" w:color="auto"/>
      </w:divBdr>
    </w:div>
    <w:div w:id="399326154">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82834998">
      <w:bodyDiv w:val="1"/>
      <w:marLeft w:val="0"/>
      <w:marRight w:val="0"/>
      <w:marTop w:val="0"/>
      <w:marBottom w:val="0"/>
      <w:divBdr>
        <w:top w:val="none" w:sz="0" w:space="0" w:color="auto"/>
        <w:left w:val="none" w:sz="0" w:space="0" w:color="auto"/>
        <w:bottom w:val="none" w:sz="0" w:space="0" w:color="auto"/>
        <w:right w:val="none" w:sz="0" w:space="0" w:color="auto"/>
      </w:divBdr>
    </w:div>
    <w:div w:id="587345398">
      <w:bodyDiv w:val="1"/>
      <w:marLeft w:val="0"/>
      <w:marRight w:val="0"/>
      <w:marTop w:val="0"/>
      <w:marBottom w:val="0"/>
      <w:divBdr>
        <w:top w:val="none" w:sz="0" w:space="0" w:color="auto"/>
        <w:left w:val="none" w:sz="0" w:space="0" w:color="auto"/>
        <w:bottom w:val="none" w:sz="0" w:space="0" w:color="auto"/>
        <w:right w:val="none" w:sz="0" w:space="0" w:color="auto"/>
      </w:divBdr>
    </w:div>
    <w:div w:id="605700815">
      <w:bodyDiv w:val="1"/>
      <w:marLeft w:val="0"/>
      <w:marRight w:val="0"/>
      <w:marTop w:val="0"/>
      <w:marBottom w:val="0"/>
      <w:divBdr>
        <w:top w:val="none" w:sz="0" w:space="0" w:color="auto"/>
        <w:left w:val="none" w:sz="0" w:space="0" w:color="auto"/>
        <w:bottom w:val="none" w:sz="0" w:space="0" w:color="auto"/>
        <w:right w:val="none" w:sz="0" w:space="0" w:color="auto"/>
      </w:divBdr>
      <w:divsChild>
        <w:div w:id="397438199">
          <w:marLeft w:val="0"/>
          <w:marRight w:val="0"/>
          <w:marTop w:val="0"/>
          <w:marBottom w:val="0"/>
          <w:divBdr>
            <w:top w:val="none" w:sz="0" w:space="0" w:color="auto"/>
            <w:left w:val="none" w:sz="0" w:space="0" w:color="auto"/>
            <w:bottom w:val="none" w:sz="0" w:space="0" w:color="auto"/>
            <w:right w:val="none" w:sz="0" w:space="0" w:color="auto"/>
          </w:divBdr>
          <w:divsChild>
            <w:div w:id="2004114599">
              <w:marLeft w:val="0"/>
              <w:marRight w:val="0"/>
              <w:marTop w:val="0"/>
              <w:marBottom w:val="0"/>
              <w:divBdr>
                <w:top w:val="none" w:sz="0" w:space="0" w:color="auto"/>
                <w:left w:val="none" w:sz="0" w:space="0" w:color="auto"/>
                <w:bottom w:val="none" w:sz="0" w:space="0" w:color="auto"/>
                <w:right w:val="none" w:sz="0" w:space="0" w:color="auto"/>
              </w:divBdr>
              <w:divsChild>
                <w:div w:id="3533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2777">
          <w:marLeft w:val="0"/>
          <w:marRight w:val="0"/>
          <w:marTop w:val="0"/>
          <w:marBottom w:val="0"/>
          <w:divBdr>
            <w:top w:val="none" w:sz="0" w:space="0" w:color="auto"/>
            <w:left w:val="none" w:sz="0" w:space="0" w:color="auto"/>
            <w:bottom w:val="none" w:sz="0" w:space="0" w:color="auto"/>
            <w:right w:val="none" w:sz="0" w:space="0" w:color="auto"/>
          </w:divBdr>
          <w:divsChild>
            <w:div w:id="125129158">
              <w:marLeft w:val="0"/>
              <w:marRight w:val="0"/>
              <w:marTop w:val="0"/>
              <w:marBottom w:val="0"/>
              <w:divBdr>
                <w:top w:val="none" w:sz="0" w:space="0" w:color="auto"/>
                <w:left w:val="none" w:sz="0" w:space="0" w:color="auto"/>
                <w:bottom w:val="none" w:sz="0" w:space="0" w:color="auto"/>
                <w:right w:val="none" w:sz="0" w:space="0" w:color="auto"/>
              </w:divBdr>
              <w:divsChild>
                <w:div w:id="202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0399">
          <w:marLeft w:val="0"/>
          <w:marRight w:val="0"/>
          <w:marTop w:val="0"/>
          <w:marBottom w:val="0"/>
          <w:divBdr>
            <w:top w:val="none" w:sz="0" w:space="0" w:color="auto"/>
            <w:left w:val="none" w:sz="0" w:space="0" w:color="auto"/>
            <w:bottom w:val="none" w:sz="0" w:space="0" w:color="auto"/>
            <w:right w:val="none" w:sz="0" w:space="0" w:color="auto"/>
          </w:divBdr>
          <w:divsChild>
            <w:div w:id="593634912">
              <w:marLeft w:val="0"/>
              <w:marRight w:val="0"/>
              <w:marTop w:val="0"/>
              <w:marBottom w:val="0"/>
              <w:divBdr>
                <w:top w:val="none" w:sz="0" w:space="0" w:color="auto"/>
                <w:left w:val="none" w:sz="0" w:space="0" w:color="auto"/>
                <w:bottom w:val="none" w:sz="0" w:space="0" w:color="auto"/>
                <w:right w:val="none" w:sz="0" w:space="0" w:color="auto"/>
              </w:divBdr>
              <w:divsChild>
                <w:div w:id="20629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0441">
      <w:bodyDiv w:val="1"/>
      <w:marLeft w:val="0"/>
      <w:marRight w:val="0"/>
      <w:marTop w:val="0"/>
      <w:marBottom w:val="0"/>
      <w:divBdr>
        <w:top w:val="none" w:sz="0" w:space="0" w:color="auto"/>
        <w:left w:val="none" w:sz="0" w:space="0" w:color="auto"/>
        <w:bottom w:val="none" w:sz="0" w:space="0" w:color="auto"/>
        <w:right w:val="none" w:sz="0" w:space="0" w:color="auto"/>
      </w:divBdr>
    </w:div>
    <w:div w:id="642202540">
      <w:bodyDiv w:val="1"/>
      <w:marLeft w:val="0"/>
      <w:marRight w:val="0"/>
      <w:marTop w:val="0"/>
      <w:marBottom w:val="0"/>
      <w:divBdr>
        <w:top w:val="none" w:sz="0" w:space="0" w:color="auto"/>
        <w:left w:val="none" w:sz="0" w:space="0" w:color="auto"/>
        <w:bottom w:val="none" w:sz="0" w:space="0" w:color="auto"/>
        <w:right w:val="none" w:sz="0" w:space="0" w:color="auto"/>
      </w:divBdr>
    </w:div>
    <w:div w:id="643659574">
      <w:bodyDiv w:val="1"/>
      <w:marLeft w:val="0"/>
      <w:marRight w:val="0"/>
      <w:marTop w:val="0"/>
      <w:marBottom w:val="0"/>
      <w:divBdr>
        <w:top w:val="none" w:sz="0" w:space="0" w:color="auto"/>
        <w:left w:val="none" w:sz="0" w:space="0" w:color="auto"/>
        <w:bottom w:val="none" w:sz="0" w:space="0" w:color="auto"/>
        <w:right w:val="none" w:sz="0" w:space="0" w:color="auto"/>
      </w:divBdr>
    </w:div>
    <w:div w:id="646670992">
      <w:bodyDiv w:val="1"/>
      <w:marLeft w:val="0"/>
      <w:marRight w:val="0"/>
      <w:marTop w:val="0"/>
      <w:marBottom w:val="0"/>
      <w:divBdr>
        <w:top w:val="none" w:sz="0" w:space="0" w:color="auto"/>
        <w:left w:val="none" w:sz="0" w:space="0" w:color="auto"/>
        <w:bottom w:val="none" w:sz="0" w:space="0" w:color="auto"/>
        <w:right w:val="none" w:sz="0" w:space="0" w:color="auto"/>
      </w:divBdr>
      <w:divsChild>
        <w:div w:id="1278097834">
          <w:marLeft w:val="0"/>
          <w:marRight w:val="0"/>
          <w:marTop w:val="0"/>
          <w:marBottom w:val="0"/>
          <w:divBdr>
            <w:top w:val="none" w:sz="0" w:space="0" w:color="auto"/>
            <w:left w:val="none" w:sz="0" w:space="0" w:color="auto"/>
            <w:bottom w:val="none" w:sz="0" w:space="0" w:color="auto"/>
            <w:right w:val="none" w:sz="0" w:space="0" w:color="auto"/>
          </w:divBdr>
          <w:divsChild>
            <w:div w:id="40786142">
              <w:marLeft w:val="0"/>
              <w:marRight w:val="0"/>
              <w:marTop w:val="0"/>
              <w:marBottom w:val="0"/>
              <w:divBdr>
                <w:top w:val="none" w:sz="0" w:space="0" w:color="auto"/>
                <w:left w:val="none" w:sz="0" w:space="0" w:color="auto"/>
                <w:bottom w:val="none" w:sz="0" w:space="0" w:color="auto"/>
                <w:right w:val="none" w:sz="0" w:space="0" w:color="auto"/>
              </w:divBdr>
              <w:divsChild>
                <w:div w:id="1822765707">
                  <w:marLeft w:val="0"/>
                  <w:marRight w:val="0"/>
                  <w:marTop w:val="0"/>
                  <w:marBottom w:val="0"/>
                  <w:divBdr>
                    <w:top w:val="none" w:sz="0" w:space="0" w:color="auto"/>
                    <w:left w:val="none" w:sz="0" w:space="0" w:color="auto"/>
                    <w:bottom w:val="none" w:sz="0" w:space="0" w:color="auto"/>
                    <w:right w:val="none" w:sz="0" w:space="0" w:color="auto"/>
                  </w:divBdr>
                </w:div>
              </w:divsChild>
            </w:div>
            <w:div w:id="537743111">
              <w:marLeft w:val="0"/>
              <w:marRight w:val="0"/>
              <w:marTop w:val="0"/>
              <w:marBottom w:val="0"/>
              <w:divBdr>
                <w:top w:val="none" w:sz="0" w:space="0" w:color="auto"/>
                <w:left w:val="none" w:sz="0" w:space="0" w:color="auto"/>
                <w:bottom w:val="none" w:sz="0" w:space="0" w:color="auto"/>
                <w:right w:val="none" w:sz="0" w:space="0" w:color="auto"/>
              </w:divBdr>
              <w:divsChild>
                <w:div w:id="44761963">
                  <w:marLeft w:val="0"/>
                  <w:marRight w:val="0"/>
                  <w:marTop w:val="0"/>
                  <w:marBottom w:val="0"/>
                  <w:divBdr>
                    <w:top w:val="none" w:sz="0" w:space="0" w:color="auto"/>
                    <w:left w:val="none" w:sz="0" w:space="0" w:color="auto"/>
                    <w:bottom w:val="none" w:sz="0" w:space="0" w:color="auto"/>
                    <w:right w:val="none" w:sz="0" w:space="0" w:color="auto"/>
                  </w:divBdr>
                </w:div>
              </w:divsChild>
            </w:div>
            <w:div w:id="801725930">
              <w:marLeft w:val="0"/>
              <w:marRight w:val="0"/>
              <w:marTop w:val="0"/>
              <w:marBottom w:val="0"/>
              <w:divBdr>
                <w:top w:val="none" w:sz="0" w:space="0" w:color="auto"/>
                <w:left w:val="none" w:sz="0" w:space="0" w:color="auto"/>
                <w:bottom w:val="none" w:sz="0" w:space="0" w:color="auto"/>
                <w:right w:val="none" w:sz="0" w:space="0" w:color="auto"/>
              </w:divBdr>
              <w:divsChild>
                <w:div w:id="13289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00748">
      <w:bodyDiv w:val="1"/>
      <w:marLeft w:val="0"/>
      <w:marRight w:val="0"/>
      <w:marTop w:val="0"/>
      <w:marBottom w:val="0"/>
      <w:divBdr>
        <w:top w:val="none" w:sz="0" w:space="0" w:color="auto"/>
        <w:left w:val="none" w:sz="0" w:space="0" w:color="auto"/>
        <w:bottom w:val="none" w:sz="0" w:space="0" w:color="auto"/>
        <w:right w:val="none" w:sz="0" w:space="0" w:color="auto"/>
      </w:divBdr>
      <w:divsChild>
        <w:div w:id="8532064">
          <w:marLeft w:val="0"/>
          <w:marRight w:val="0"/>
          <w:marTop w:val="0"/>
          <w:marBottom w:val="0"/>
          <w:divBdr>
            <w:top w:val="none" w:sz="0" w:space="0" w:color="auto"/>
            <w:left w:val="none" w:sz="0" w:space="0" w:color="auto"/>
            <w:bottom w:val="none" w:sz="0" w:space="0" w:color="auto"/>
            <w:right w:val="none" w:sz="0" w:space="0" w:color="auto"/>
          </w:divBdr>
          <w:divsChild>
            <w:div w:id="1750809300">
              <w:marLeft w:val="0"/>
              <w:marRight w:val="0"/>
              <w:marTop w:val="0"/>
              <w:marBottom w:val="0"/>
              <w:divBdr>
                <w:top w:val="none" w:sz="0" w:space="0" w:color="auto"/>
                <w:left w:val="none" w:sz="0" w:space="0" w:color="auto"/>
                <w:bottom w:val="none" w:sz="0" w:space="0" w:color="auto"/>
                <w:right w:val="none" w:sz="0" w:space="0" w:color="auto"/>
              </w:divBdr>
              <w:divsChild>
                <w:div w:id="150393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1886">
          <w:marLeft w:val="0"/>
          <w:marRight w:val="0"/>
          <w:marTop w:val="0"/>
          <w:marBottom w:val="0"/>
          <w:divBdr>
            <w:top w:val="none" w:sz="0" w:space="0" w:color="auto"/>
            <w:left w:val="none" w:sz="0" w:space="0" w:color="auto"/>
            <w:bottom w:val="none" w:sz="0" w:space="0" w:color="auto"/>
            <w:right w:val="none" w:sz="0" w:space="0" w:color="auto"/>
          </w:divBdr>
          <w:divsChild>
            <w:div w:id="790973179">
              <w:marLeft w:val="0"/>
              <w:marRight w:val="0"/>
              <w:marTop w:val="0"/>
              <w:marBottom w:val="0"/>
              <w:divBdr>
                <w:top w:val="none" w:sz="0" w:space="0" w:color="auto"/>
                <w:left w:val="none" w:sz="0" w:space="0" w:color="auto"/>
                <w:bottom w:val="none" w:sz="0" w:space="0" w:color="auto"/>
                <w:right w:val="none" w:sz="0" w:space="0" w:color="auto"/>
              </w:divBdr>
              <w:divsChild>
                <w:div w:id="162167678">
                  <w:marLeft w:val="0"/>
                  <w:marRight w:val="0"/>
                  <w:marTop w:val="0"/>
                  <w:marBottom w:val="0"/>
                  <w:divBdr>
                    <w:top w:val="none" w:sz="0" w:space="0" w:color="auto"/>
                    <w:left w:val="none" w:sz="0" w:space="0" w:color="auto"/>
                    <w:bottom w:val="none" w:sz="0" w:space="0" w:color="auto"/>
                    <w:right w:val="none" w:sz="0" w:space="0" w:color="auto"/>
                  </w:divBdr>
                </w:div>
              </w:divsChild>
            </w:div>
            <w:div w:id="2029023183">
              <w:marLeft w:val="0"/>
              <w:marRight w:val="0"/>
              <w:marTop w:val="0"/>
              <w:marBottom w:val="0"/>
              <w:divBdr>
                <w:top w:val="none" w:sz="0" w:space="0" w:color="auto"/>
                <w:left w:val="none" w:sz="0" w:space="0" w:color="auto"/>
                <w:bottom w:val="none" w:sz="0" w:space="0" w:color="auto"/>
                <w:right w:val="none" w:sz="0" w:space="0" w:color="auto"/>
              </w:divBdr>
              <w:divsChild>
                <w:div w:id="5657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8011">
          <w:marLeft w:val="0"/>
          <w:marRight w:val="0"/>
          <w:marTop w:val="0"/>
          <w:marBottom w:val="0"/>
          <w:divBdr>
            <w:top w:val="none" w:sz="0" w:space="0" w:color="auto"/>
            <w:left w:val="none" w:sz="0" w:space="0" w:color="auto"/>
            <w:bottom w:val="none" w:sz="0" w:space="0" w:color="auto"/>
            <w:right w:val="none" w:sz="0" w:space="0" w:color="auto"/>
          </w:divBdr>
          <w:divsChild>
            <w:div w:id="1576892645">
              <w:marLeft w:val="0"/>
              <w:marRight w:val="0"/>
              <w:marTop w:val="0"/>
              <w:marBottom w:val="0"/>
              <w:divBdr>
                <w:top w:val="none" w:sz="0" w:space="0" w:color="auto"/>
                <w:left w:val="none" w:sz="0" w:space="0" w:color="auto"/>
                <w:bottom w:val="none" w:sz="0" w:space="0" w:color="auto"/>
                <w:right w:val="none" w:sz="0" w:space="0" w:color="auto"/>
              </w:divBdr>
              <w:divsChild>
                <w:div w:id="2061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56253">
          <w:marLeft w:val="0"/>
          <w:marRight w:val="0"/>
          <w:marTop w:val="0"/>
          <w:marBottom w:val="0"/>
          <w:divBdr>
            <w:top w:val="none" w:sz="0" w:space="0" w:color="auto"/>
            <w:left w:val="none" w:sz="0" w:space="0" w:color="auto"/>
            <w:bottom w:val="none" w:sz="0" w:space="0" w:color="auto"/>
            <w:right w:val="none" w:sz="0" w:space="0" w:color="auto"/>
          </w:divBdr>
          <w:divsChild>
            <w:div w:id="22294902">
              <w:marLeft w:val="0"/>
              <w:marRight w:val="0"/>
              <w:marTop w:val="0"/>
              <w:marBottom w:val="0"/>
              <w:divBdr>
                <w:top w:val="none" w:sz="0" w:space="0" w:color="auto"/>
                <w:left w:val="none" w:sz="0" w:space="0" w:color="auto"/>
                <w:bottom w:val="none" w:sz="0" w:space="0" w:color="auto"/>
                <w:right w:val="none" w:sz="0" w:space="0" w:color="auto"/>
              </w:divBdr>
              <w:divsChild>
                <w:div w:id="15918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05859">
          <w:marLeft w:val="0"/>
          <w:marRight w:val="0"/>
          <w:marTop w:val="0"/>
          <w:marBottom w:val="0"/>
          <w:divBdr>
            <w:top w:val="none" w:sz="0" w:space="0" w:color="auto"/>
            <w:left w:val="none" w:sz="0" w:space="0" w:color="auto"/>
            <w:bottom w:val="none" w:sz="0" w:space="0" w:color="auto"/>
            <w:right w:val="none" w:sz="0" w:space="0" w:color="auto"/>
          </w:divBdr>
          <w:divsChild>
            <w:div w:id="914782014">
              <w:marLeft w:val="0"/>
              <w:marRight w:val="0"/>
              <w:marTop w:val="0"/>
              <w:marBottom w:val="0"/>
              <w:divBdr>
                <w:top w:val="none" w:sz="0" w:space="0" w:color="auto"/>
                <w:left w:val="none" w:sz="0" w:space="0" w:color="auto"/>
                <w:bottom w:val="none" w:sz="0" w:space="0" w:color="auto"/>
                <w:right w:val="none" w:sz="0" w:space="0" w:color="auto"/>
              </w:divBdr>
              <w:divsChild>
                <w:div w:id="4403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4191">
          <w:marLeft w:val="0"/>
          <w:marRight w:val="0"/>
          <w:marTop w:val="0"/>
          <w:marBottom w:val="0"/>
          <w:divBdr>
            <w:top w:val="none" w:sz="0" w:space="0" w:color="auto"/>
            <w:left w:val="none" w:sz="0" w:space="0" w:color="auto"/>
            <w:bottom w:val="none" w:sz="0" w:space="0" w:color="auto"/>
            <w:right w:val="none" w:sz="0" w:space="0" w:color="auto"/>
          </w:divBdr>
          <w:divsChild>
            <w:div w:id="1635792971">
              <w:marLeft w:val="0"/>
              <w:marRight w:val="0"/>
              <w:marTop w:val="0"/>
              <w:marBottom w:val="0"/>
              <w:divBdr>
                <w:top w:val="none" w:sz="0" w:space="0" w:color="auto"/>
                <w:left w:val="none" w:sz="0" w:space="0" w:color="auto"/>
                <w:bottom w:val="none" w:sz="0" w:space="0" w:color="auto"/>
                <w:right w:val="none" w:sz="0" w:space="0" w:color="auto"/>
              </w:divBdr>
              <w:divsChild>
                <w:div w:id="16796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571">
          <w:marLeft w:val="0"/>
          <w:marRight w:val="0"/>
          <w:marTop w:val="0"/>
          <w:marBottom w:val="0"/>
          <w:divBdr>
            <w:top w:val="none" w:sz="0" w:space="0" w:color="auto"/>
            <w:left w:val="none" w:sz="0" w:space="0" w:color="auto"/>
            <w:bottom w:val="none" w:sz="0" w:space="0" w:color="auto"/>
            <w:right w:val="none" w:sz="0" w:space="0" w:color="auto"/>
          </w:divBdr>
          <w:divsChild>
            <w:div w:id="99835889">
              <w:marLeft w:val="0"/>
              <w:marRight w:val="0"/>
              <w:marTop w:val="0"/>
              <w:marBottom w:val="0"/>
              <w:divBdr>
                <w:top w:val="none" w:sz="0" w:space="0" w:color="auto"/>
                <w:left w:val="none" w:sz="0" w:space="0" w:color="auto"/>
                <w:bottom w:val="none" w:sz="0" w:space="0" w:color="auto"/>
                <w:right w:val="none" w:sz="0" w:space="0" w:color="auto"/>
              </w:divBdr>
              <w:divsChild>
                <w:div w:id="17185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89800">
          <w:marLeft w:val="0"/>
          <w:marRight w:val="0"/>
          <w:marTop w:val="0"/>
          <w:marBottom w:val="0"/>
          <w:divBdr>
            <w:top w:val="none" w:sz="0" w:space="0" w:color="auto"/>
            <w:left w:val="none" w:sz="0" w:space="0" w:color="auto"/>
            <w:bottom w:val="none" w:sz="0" w:space="0" w:color="auto"/>
            <w:right w:val="none" w:sz="0" w:space="0" w:color="auto"/>
          </w:divBdr>
          <w:divsChild>
            <w:div w:id="525096361">
              <w:marLeft w:val="0"/>
              <w:marRight w:val="0"/>
              <w:marTop w:val="0"/>
              <w:marBottom w:val="0"/>
              <w:divBdr>
                <w:top w:val="none" w:sz="0" w:space="0" w:color="auto"/>
                <w:left w:val="none" w:sz="0" w:space="0" w:color="auto"/>
                <w:bottom w:val="none" w:sz="0" w:space="0" w:color="auto"/>
                <w:right w:val="none" w:sz="0" w:space="0" w:color="auto"/>
              </w:divBdr>
              <w:divsChild>
                <w:div w:id="677391434">
                  <w:marLeft w:val="0"/>
                  <w:marRight w:val="0"/>
                  <w:marTop w:val="0"/>
                  <w:marBottom w:val="0"/>
                  <w:divBdr>
                    <w:top w:val="none" w:sz="0" w:space="0" w:color="auto"/>
                    <w:left w:val="none" w:sz="0" w:space="0" w:color="auto"/>
                    <w:bottom w:val="none" w:sz="0" w:space="0" w:color="auto"/>
                    <w:right w:val="none" w:sz="0" w:space="0" w:color="auto"/>
                  </w:divBdr>
                </w:div>
              </w:divsChild>
            </w:div>
            <w:div w:id="793060425">
              <w:marLeft w:val="0"/>
              <w:marRight w:val="0"/>
              <w:marTop w:val="0"/>
              <w:marBottom w:val="0"/>
              <w:divBdr>
                <w:top w:val="none" w:sz="0" w:space="0" w:color="auto"/>
                <w:left w:val="none" w:sz="0" w:space="0" w:color="auto"/>
                <w:bottom w:val="none" w:sz="0" w:space="0" w:color="auto"/>
                <w:right w:val="none" w:sz="0" w:space="0" w:color="auto"/>
              </w:divBdr>
              <w:divsChild>
                <w:div w:id="1371103750">
                  <w:marLeft w:val="0"/>
                  <w:marRight w:val="0"/>
                  <w:marTop w:val="0"/>
                  <w:marBottom w:val="0"/>
                  <w:divBdr>
                    <w:top w:val="none" w:sz="0" w:space="0" w:color="auto"/>
                    <w:left w:val="none" w:sz="0" w:space="0" w:color="auto"/>
                    <w:bottom w:val="none" w:sz="0" w:space="0" w:color="auto"/>
                    <w:right w:val="none" w:sz="0" w:space="0" w:color="auto"/>
                  </w:divBdr>
                </w:div>
              </w:divsChild>
            </w:div>
            <w:div w:id="866796127">
              <w:marLeft w:val="0"/>
              <w:marRight w:val="0"/>
              <w:marTop w:val="0"/>
              <w:marBottom w:val="0"/>
              <w:divBdr>
                <w:top w:val="none" w:sz="0" w:space="0" w:color="auto"/>
                <w:left w:val="none" w:sz="0" w:space="0" w:color="auto"/>
                <w:bottom w:val="none" w:sz="0" w:space="0" w:color="auto"/>
                <w:right w:val="none" w:sz="0" w:space="0" w:color="auto"/>
              </w:divBdr>
              <w:divsChild>
                <w:div w:id="12636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5547">
          <w:marLeft w:val="0"/>
          <w:marRight w:val="0"/>
          <w:marTop w:val="0"/>
          <w:marBottom w:val="0"/>
          <w:divBdr>
            <w:top w:val="none" w:sz="0" w:space="0" w:color="auto"/>
            <w:left w:val="none" w:sz="0" w:space="0" w:color="auto"/>
            <w:bottom w:val="none" w:sz="0" w:space="0" w:color="auto"/>
            <w:right w:val="none" w:sz="0" w:space="0" w:color="auto"/>
          </w:divBdr>
          <w:divsChild>
            <w:div w:id="1102408924">
              <w:marLeft w:val="0"/>
              <w:marRight w:val="0"/>
              <w:marTop w:val="0"/>
              <w:marBottom w:val="0"/>
              <w:divBdr>
                <w:top w:val="none" w:sz="0" w:space="0" w:color="auto"/>
                <w:left w:val="none" w:sz="0" w:space="0" w:color="auto"/>
                <w:bottom w:val="none" w:sz="0" w:space="0" w:color="auto"/>
                <w:right w:val="none" w:sz="0" w:space="0" w:color="auto"/>
              </w:divBdr>
              <w:divsChild>
                <w:div w:id="17213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4069">
      <w:bodyDiv w:val="1"/>
      <w:marLeft w:val="0"/>
      <w:marRight w:val="0"/>
      <w:marTop w:val="0"/>
      <w:marBottom w:val="0"/>
      <w:divBdr>
        <w:top w:val="none" w:sz="0" w:space="0" w:color="auto"/>
        <w:left w:val="none" w:sz="0" w:space="0" w:color="auto"/>
        <w:bottom w:val="none" w:sz="0" w:space="0" w:color="auto"/>
        <w:right w:val="none" w:sz="0" w:space="0" w:color="auto"/>
      </w:divBdr>
      <w:divsChild>
        <w:div w:id="279268339">
          <w:marLeft w:val="0"/>
          <w:marRight w:val="0"/>
          <w:marTop w:val="0"/>
          <w:marBottom w:val="0"/>
          <w:divBdr>
            <w:top w:val="none" w:sz="0" w:space="0" w:color="auto"/>
            <w:left w:val="none" w:sz="0" w:space="0" w:color="auto"/>
            <w:bottom w:val="none" w:sz="0" w:space="0" w:color="auto"/>
            <w:right w:val="none" w:sz="0" w:space="0" w:color="auto"/>
          </w:divBdr>
          <w:divsChild>
            <w:div w:id="1958364766">
              <w:marLeft w:val="0"/>
              <w:marRight w:val="0"/>
              <w:marTop w:val="0"/>
              <w:marBottom w:val="0"/>
              <w:divBdr>
                <w:top w:val="none" w:sz="0" w:space="0" w:color="auto"/>
                <w:left w:val="none" w:sz="0" w:space="0" w:color="auto"/>
                <w:bottom w:val="none" w:sz="0" w:space="0" w:color="auto"/>
                <w:right w:val="none" w:sz="0" w:space="0" w:color="auto"/>
              </w:divBdr>
              <w:divsChild>
                <w:div w:id="1724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2183">
          <w:marLeft w:val="0"/>
          <w:marRight w:val="0"/>
          <w:marTop w:val="0"/>
          <w:marBottom w:val="0"/>
          <w:divBdr>
            <w:top w:val="none" w:sz="0" w:space="0" w:color="auto"/>
            <w:left w:val="none" w:sz="0" w:space="0" w:color="auto"/>
            <w:bottom w:val="none" w:sz="0" w:space="0" w:color="auto"/>
            <w:right w:val="none" w:sz="0" w:space="0" w:color="auto"/>
          </w:divBdr>
          <w:divsChild>
            <w:div w:id="703481532">
              <w:marLeft w:val="0"/>
              <w:marRight w:val="0"/>
              <w:marTop w:val="0"/>
              <w:marBottom w:val="0"/>
              <w:divBdr>
                <w:top w:val="none" w:sz="0" w:space="0" w:color="auto"/>
                <w:left w:val="none" w:sz="0" w:space="0" w:color="auto"/>
                <w:bottom w:val="none" w:sz="0" w:space="0" w:color="auto"/>
                <w:right w:val="none" w:sz="0" w:space="0" w:color="auto"/>
              </w:divBdr>
              <w:divsChild>
                <w:div w:id="84648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9080">
          <w:marLeft w:val="0"/>
          <w:marRight w:val="0"/>
          <w:marTop w:val="0"/>
          <w:marBottom w:val="0"/>
          <w:divBdr>
            <w:top w:val="none" w:sz="0" w:space="0" w:color="auto"/>
            <w:left w:val="none" w:sz="0" w:space="0" w:color="auto"/>
            <w:bottom w:val="none" w:sz="0" w:space="0" w:color="auto"/>
            <w:right w:val="none" w:sz="0" w:space="0" w:color="auto"/>
          </w:divBdr>
          <w:divsChild>
            <w:div w:id="988099856">
              <w:marLeft w:val="0"/>
              <w:marRight w:val="0"/>
              <w:marTop w:val="0"/>
              <w:marBottom w:val="0"/>
              <w:divBdr>
                <w:top w:val="none" w:sz="0" w:space="0" w:color="auto"/>
                <w:left w:val="none" w:sz="0" w:space="0" w:color="auto"/>
                <w:bottom w:val="none" w:sz="0" w:space="0" w:color="auto"/>
                <w:right w:val="none" w:sz="0" w:space="0" w:color="auto"/>
              </w:divBdr>
              <w:divsChild>
                <w:div w:id="9637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5150">
          <w:marLeft w:val="0"/>
          <w:marRight w:val="0"/>
          <w:marTop w:val="0"/>
          <w:marBottom w:val="0"/>
          <w:divBdr>
            <w:top w:val="none" w:sz="0" w:space="0" w:color="auto"/>
            <w:left w:val="none" w:sz="0" w:space="0" w:color="auto"/>
            <w:bottom w:val="none" w:sz="0" w:space="0" w:color="auto"/>
            <w:right w:val="none" w:sz="0" w:space="0" w:color="auto"/>
          </w:divBdr>
          <w:divsChild>
            <w:div w:id="1906527578">
              <w:marLeft w:val="0"/>
              <w:marRight w:val="0"/>
              <w:marTop w:val="0"/>
              <w:marBottom w:val="0"/>
              <w:divBdr>
                <w:top w:val="none" w:sz="0" w:space="0" w:color="auto"/>
                <w:left w:val="none" w:sz="0" w:space="0" w:color="auto"/>
                <w:bottom w:val="none" w:sz="0" w:space="0" w:color="auto"/>
                <w:right w:val="none" w:sz="0" w:space="0" w:color="auto"/>
              </w:divBdr>
              <w:divsChild>
                <w:div w:id="1254895512">
                  <w:marLeft w:val="0"/>
                  <w:marRight w:val="0"/>
                  <w:marTop w:val="0"/>
                  <w:marBottom w:val="0"/>
                  <w:divBdr>
                    <w:top w:val="none" w:sz="0" w:space="0" w:color="auto"/>
                    <w:left w:val="none" w:sz="0" w:space="0" w:color="auto"/>
                    <w:bottom w:val="none" w:sz="0" w:space="0" w:color="auto"/>
                    <w:right w:val="none" w:sz="0" w:space="0" w:color="auto"/>
                  </w:divBdr>
                </w:div>
              </w:divsChild>
            </w:div>
            <w:div w:id="2029602174">
              <w:marLeft w:val="0"/>
              <w:marRight w:val="0"/>
              <w:marTop w:val="0"/>
              <w:marBottom w:val="0"/>
              <w:divBdr>
                <w:top w:val="none" w:sz="0" w:space="0" w:color="auto"/>
                <w:left w:val="none" w:sz="0" w:space="0" w:color="auto"/>
                <w:bottom w:val="none" w:sz="0" w:space="0" w:color="auto"/>
                <w:right w:val="none" w:sz="0" w:space="0" w:color="auto"/>
              </w:divBdr>
              <w:divsChild>
                <w:div w:id="290677556">
                  <w:marLeft w:val="0"/>
                  <w:marRight w:val="0"/>
                  <w:marTop w:val="0"/>
                  <w:marBottom w:val="0"/>
                  <w:divBdr>
                    <w:top w:val="none" w:sz="0" w:space="0" w:color="auto"/>
                    <w:left w:val="none" w:sz="0" w:space="0" w:color="auto"/>
                    <w:bottom w:val="none" w:sz="0" w:space="0" w:color="auto"/>
                    <w:right w:val="none" w:sz="0" w:space="0" w:color="auto"/>
                  </w:divBdr>
                </w:div>
              </w:divsChild>
            </w:div>
            <w:div w:id="2129353106">
              <w:marLeft w:val="0"/>
              <w:marRight w:val="0"/>
              <w:marTop w:val="0"/>
              <w:marBottom w:val="0"/>
              <w:divBdr>
                <w:top w:val="none" w:sz="0" w:space="0" w:color="auto"/>
                <w:left w:val="none" w:sz="0" w:space="0" w:color="auto"/>
                <w:bottom w:val="none" w:sz="0" w:space="0" w:color="auto"/>
                <w:right w:val="none" w:sz="0" w:space="0" w:color="auto"/>
              </w:divBdr>
              <w:divsChild>
                <w:div w:id="3296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3737">
          <w:marLeft w:val="0"/>
          <w:marRight w:val="0"/>
          <w:marTop w:val="0"/>
          <w:marBottom w:val="0"/>
          <w:divBdr>
            <w:top w:val="none" w:sz="0" w:space="0" w:color="auto"/>
            <w:left w:val="none" w:sz="0" w:space="0" w:color="auto"/>
            <w:bottom w:val="none" w:sz="0" w:space="0" w:color="auto"/>
            <w:right w:val="none" w:sz="0" w:space="0" w:color="auto"/>
          </w:divBdr>
          <w:divsChild>
            <w:div w:id="1303002472">
              <w:marLeft w:val="0"/>
              <w:marRight w:val="0"/>
              <w:marTop w:val="0"/>
              <w:marBottom w:val="0"/>
              <w:divBdr>
                <w:top w:val="none" w:sz="0" w:space="0" w:color="auto"/>
                <w:left w:val="none" w:sz="0" w:space="0" w:color="auto"/>
                <w:bottom w:val="none" w:sz="0" w:space="0" w:color="auto"/>
                <w:right w:val="none" w:sz="0" w:space="0" w:color="auto"/>
              </w:divBdr>
              <w:divsChild>
                <w:div w:id="16333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26478">
          <w:marLeft w:val="0"/>
          <w:marRight w:val="0"/>
          <w:marTop w:val="0"/>
          <w:marBottom w:val="0"/>
          <w:divBdr>
            <w:top w:val="none" w:sz="0" w:space="0" w:color="auto"/>
            <w:left w:val="none" w:sz="0" w:space="0" w:color="auto"/>
            <w:bottom w:val="none" w:sz="0" w:space="0" w:color="auto"/>
            <w:right w:val="none" w:sz="0" w:space="0" w:color="auto"/>
          </w:divBdr>
          <w:divsChild>
            <w:div w:id="1136948979">
              <w:marLeft w:val="0"/>
              <w:marRight w:val="0"/>
              <w:marTop w:val="0"/>
              <w:marBottom w:val="0"/>
              <w:divBdr>
                <w:top w:val="none" w:sz="0" w:space="0" w:color="auto"/>
                <w:left w:val="none" w:sz="0" w:space="0" w:color="auto"/>
                <w:bottom w:val="none" w:sz="0" w:space="0" w:color="auto"/>
                <w:right w:val="none" w:sz="0" w:space="0" w:color="auto"/>
              </w:divBdr>
              <w:divsChild>
                <w:div w:id="13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8724">
          <w:marLeft w:val="0"/>
          <w:marRight w:val="0"/>
          <w:marTop w:val="0"/>
          <w:marBottom w:val="0"/>
          <w:divBdr>
            <w:top w:val="none" w:sz="0" w:space="0" w:color="auto"/>
            <w:left w:val="none" w:sz="0" w:space="0" w:color="auto"/>
            <w:bottom w:val="none" w:sz="0" w:space="0" w:color="auto"/>
            <w:right w:val="none" w:sz="0" w:space="0" w:color="auto"/>
          </w:divBdr>
          <w:divsChild>
            <w:div w:id="1464811307">
              <w:marLeft w:val="0"/>
              <w:marRight w:val="0"/>
              <w:marTop w:val="0"/>
              <w:marBottom w:val="0"/>
              <w:divBdr>
                <w:top w:val="none" w:sz="0" w:space="0" w:color="auto"/>
                <w:left w:val="none" w:sz="0" w:space="0" w:color="auto"/>
                <w:bottom w:val="none" w:sz="0" w:space="0" w:color="auto"/>
                <w:right w:val="none" w:sz="0" w:space="0" w:color="auto"/>
              </w:divBdr>
              <w:divsChild>
                <w:div w:id="20273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09959">
          <w:marLeft w:val="0"/>
          <w:marRight w:val="0"/>
          <w:marTop w:val="0"/>
          <w:marBottom w:val="0"/>
          <w:divBdr>
            <w:top w:val="none" w:sz="0" w:space="0" w:color="auto"/>
            <w:left w:val="none" w:sz="0" w:space="0" w:color="auto"/>
            <w:bottom w:val="none" w:sz="0" w:space="0" w:color="auto"/>
            <w:right w:val="none" w:sz="0" w:space="0" w:color="auto"/>
          </w:divBdr>
          <w:divsChild>
            <w:div w:id="2080665864">
              <w:marLeft w:val="0"/>
              <w:marRight w:val="0"/>
              <w:marTop w:val="0"/>
              <w:marBottom w:val="0"/>
              <w:divBdr>
                <w:top w:val="none" w:sz="0" w:space="0" w:color="auto"/>
                <w:left w:val="none" w:sz="0" w:space="0" w:color="auto"/>
                <w:bottom w:val="none" w:sz="0" w:space="0" w:color="auto"/>
                <w:right w:val="none" w:sz="0" w:space="0" w:color="auto"/>
              </w:divBdr>
              <w:divsChild>
                <w:div w:id="12264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50053">
          <w:marLeft w:val="0"/>
          <w:marRight w:val="0"/>
          <w:marTop w:val="0"/>
          <w:marBottom w:val="0"/>
          <w:divBdr>
            <w:top w:val="none" w:sz="0" w:space="0" w:color="auto"/>
            <w:left w:val="none" w:sz="0" w:space="0" w:color="auto"/>
            <w:bottom w:val="none" w:sz="0" w:space="0" w:color="auto"/>
            <w:right w:val="none" w:sz="0" w:space="0" w:color="auto"/>
          </w:divBdr>
          <w:divsChild>
            <w:div w:id="856846584">
              <w:marLeft w:val="0"/>
              <w:marRight w:val="0"/>
              <w:marTop w:val="0"/>
              <w:marBottom w:val="0"/>
              <w:divBdr>
                <w:top w:val="none" w:sz="0" w:space="0" w:color="auto"/>
                <w:left w:val="none" w:sz="0" w:space="0" w:color="auto"/>
                <w:bottom w:val="none" w:sz="0" w:space="0" w:color="auto"/>
                <w:right w:val="none" w:sz="0" w:space="0" w:color="auto"/>
              </w:divBdr>
              <w:divsChild>
                <w:div w:id="13474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65418710">
      <w:bodyDiv w:val="1"/>
      <w:marLeft w:val="0"/>
      <w:marRight w:val="0"/>
      <w:marTop w:val="0"/>
      <w:marBottom w:val="0"/>
      <w:divBdr>
        <w:top w:val="none" w:sz="0" w:space="0" w:color="auto"/>
        <w:left w:val="none" w:sz="0" w:space="0" w:color="auto"/>
        <w:bottom w:val="none" w:sz="0" w:space="0" w:color="auto"/>
        <w:right w:val="none" w:sz="0" w:space="0" w:color="auto"/>
      </w:divBdr>
      <w:divsChild>
        <w:div w:id="21785523">
          <w:marLeft w:val="0"/>
          <w:marRight w:val="0"/>
          <w:marTop w:val="0"/>
          <w:marBottom w:val="0"/>
          <w:divBdr>
            <w:top w:val="none" w:sz="0" w:space="0" w:color="auto"/>
            <w:left w:val="none" w:sz="0" w:space="0" w:color="auto"/>
            <w:bottom w:val="none" w:sz="0" w:space="0" w:color="auto"/>
            <w:right w:val="none" w:sz="0" w:space="0" w:color="auto"/>
          </w:divBdr>
          <w:divsChild>
            <w:div w:id="872233691">
              <w:marLeft w:val="0"/>
              <w:marRight w:val="0"/>
              <w:marTop w:val="0"/>
              <w:marBottom w:val="0"/>
              <w:divBdr>
                <w:top w:val="none" w:sz="0" w:space="0" w:color="auto"/>
                <w:left w:val="none" w:sz="0" w:space="0" w:color="auto"/>
                <w:bottom w:val="none" w:sz="0" w:space="0" w:color="auto"/>
                <w:right w:val="none" w:sz="0" w:space="0" w:color="auto"/>
              </w:divBdr>
              <w:divsChild>
                <w:div w:id="51277099">
                  <w:marLeft w:val="0"/>
                  <w:marRight w:val="0"/>
                  <w:marTop w:val="0"/>
                  <w:marBottom w:val="0"/>
                  <w:divBdr>
                    <w:top w:val="none" w:sz="0" w:space="0" w:color="auto"/>
                    <w:left w:val="none" w:sz="0" w:space="0" w:color="auto"/>
                    <w:bottom w:val="none" w:sz="0" w:space="0" w:color="auto"/>
                    <w:right w:val="none" w:sz="0" w:space="0" w:color="auto"/>
                  </w:divBdr>
                </w:div>
              </w:divsChild>
            </w:div>
            <w:div w:id="1115640054">
              <w:marLeft w:val="0"/>
              <w:marRight w:val="0"/>
              <w:marTop w:val="0"/>
              <w:marBottom w:val="0"/>
              <w:divBdr>
                <w:top w:val="none" w:sz="0" w:space="0" w:color="auto"/>
                <w:left w:val="none" w:sz="0" w:space="0" w:color="auto"/>
                <w:bottom w:val="none" w:sz="0" w:space="0" w:color="auto"/>
                <w:right w:val="none" w:sz="0" w:space="0" w:color="auto"/>
              </w:divBdr>
              <w:divsChild>
                <w:div w:id="726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9810">
          <w:marLeft w:val="0"/>
          <w:marRight w:val="0"/>
          <w:marTop w:val="0"/>
          <w:marBottom w:val="0"/>
          <w:divBdr>
            <w:top w:val="none" w:sz="0" w:space="0" w:color="auto"/>
            <w:left w:val="none" w:sz="0" w:space="0" w:color="auto"/>
            <w:bottom w:val="none" w:sz="0" w:space="0" w:color="auto"/>
            <w:right w:val="none" w:sz="0" w:space="0" w:color="auto"/>
          </w:divBdr>
          <w:divsChild>
            <w:div w:id="130750226">
              <w:marLeft w:val="0"/>
              <w:marRight w:val="0"/>
              <w:marTop w:val="0"/>
              <w:marBottom w:val="0"/>
              <w:divBdr>
                <w:top w:val="none" w:sz="0" w:space="0" w:color="auto"/>
                <w:left w:val="none" w:sz="0" w:space="0" w:color="auto"/>
                <w:bottom w:val="none" w:sz="0" w:space="0" w:color="auto"/>
                <w:right w:val="none" w:sz="0" w:space="0" w:color="auto"/>
              </w:divBdr>
              <w:divsChild>
                <w:div w:id="1463966146">
                  <w:marLeft w:val="0"/>
                  <w:marRight w:val="0"/>
                  <w:marTop w:val="0"/>
                  <w:marBottom w:val="0"/>
                  <w:divBdr>
                    <w:top w:val="none" w:sz="0" w:space="0" w:color="auto"/>
                    <w:left w:val="none" w:sz="0" w:space="0" w:color="auto"/>
                    <w:bottom w:val="none" w:sz="0" w:space="0" w:color="auto"/>
                    <w:right w:val="none" w:sz="0" w:space="0" w:color="auto"/>
                  </w:divBdr>
                </w:div>
              </w:divsChild>
            </w:div>
            <w:div w:id="1514295267">
              <w:marLeft w:val="0"/>
              <w:marRight w:val="0"/>
              <w:marTop w:val="0"/>
              <w:marBottom w:val="0"/>
              <w:divBdr>
                <w:top w:val="none" w:sz="0" w:space="0" w:color="auto"/>
                <w:left w:val="none" w:sz="0" w:space="0" w:color="auto"/>
                <w:bottom w:val="none" w:sz="0" w:space="0" w:color="auto"/>
                <w:right w:val="none" w:sz="0" w:space="0" w:color="auto"/>
              </w:divBdr>
              <w:divsChild>
                <w:div w:id="9441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08788110">
      <w:bodyDiv w:val="1"/>
      <w:marLeft w:val="0"/>
      <w:marRight w:val="0"/>
      <w:marTop w:val="0"/>
      <w:marBottom w:val="0"/>
      <w:divBdr>
        <w:top w:val="none" w:sz="0" w:space="0" w:color="auto"/>
        <w:left w:val="none" w:sz="0" w:space="0" w:color="auto"/>
        <w:bottom w:val="none" w:sz="0" w:space="0" w:color="auto"/>
        <w:right w:val="none" w:sz="0" w:space="0" w:color="auto"/>
      </w:divBdr>
    </w:div>
    <w:div w:id="840313880">
      <w:bodyDiv w:val="1"/>
      <w:marLeft w:val="0"/>
      <w:marRight w:val="0"/>
      <w:marTop w:val="0"/>
      <w:marBottom w:val="0"/>
      <w:divBdr>
        <w:top w:val="none" w:sz="0" w:space="0" w:color="auto"/>
        <w:left w:val="none" w:sz="0" w:space="0" w:color="auto"/>
        <w:bottom w:val="none" w:sz="0" w:space="0" w:color="auto"/>
        <w:right w:val="none" w:sz="0" w:space="0" w:color="auto"/>
      </w:divBdr>
    </w:div>
    <w:div w:id="868687056">
      <w:bodyDiv w:val="1"/>
      <w:marLeft w:val="0"/>
      <w:marRight w:val="0"/>
      <w:marTop w:val="0"/>
      <w:marBottom w:val="0"/>
      <w:divBdr>
        <w:top w:val="none" w:sz="0" w:space="0" w:color="auto"/>
        <w:left w:val="none" w:sz="0" w:space="0" w:color="auto"/>
        <w:bottom w:val="none" w:sz="0" w:space="0" w:color="auto"/>
        <w:right w:val="none" w:sz="0" w:space="0" w:color="auto"/>
      </w:divBdr>
      <w:divsChild>
        <w:div w:id="29189215">
          <w:marLeft w:val="0"/>
          <w:marRight w:val="0"/>
          <w:marTop w:val="0"/>
          <w:marBottom w:val="0"/>
          <w:divBdr>
            <w:top w:val="none" w:sz="0" w:space="0" w:color="auto"/>
            <w:left w:val="none" w:sz="0" w:space="0" w:color="auto"/>
            <w:bottom w:val="none" w:sz="0" w:space="0" w:color="auto"/>
            <w:right w:val="none" w:sz="0" w:space="0" w:color="auto"/>
          </w:divBdr>
          <w:divsChild>
            <w:div w:id="739206404">
              <w:marLeft w:val="0"/>
              <w:marRight w:val="0"/>
              <w:marTop w:val="0"/>
              <w:marBottom w:val="0"/>
              <w:divBdr>
                <w:top w:val="none" w:sz="0" w:space="0" w:color="auto"/>
                <w:left w:val="none" w:sz="0" w:space="0" w:color="auto"/>
                <w:bottom w:val="none" w:sz="0" w:space="0" w:color="auto"/>
                <w:right w:val="none" w:sz="0" w:space="0" w:color="auto"/>
              </w:divBdr>
            </w:div>
          </w:divsChild>
        </w:div>
        <w:div w:id="1795563343">
          <w:marLeft w:val="0"/>
          <w:marRight w:val="0"/>
          <w:marTop w:val="0"/>
          <w:marBottom w:val="0"/>
          <w:divBdr>
            <w:top w:val="none" w:sz="0" w:space="0" w:color="auto"/>
            <w:left w:val="none" w:sz="0" w:space="0" w:color="auto"/>
            <w:bottom w:val="none" w:sz="0" w:space="0" w:color="auto"/>
            <w:right w:val="none" w:sz="0" w:space="0" w:color="auto"/>
          </w:divBdr>
          <w:divsChild>
            <w:div w:id="146015719">
              <w:marLeft w:val="0"/>
              <w:marRight w:val="0"/>
              <w:marTop w:val="0"/>
              <w:marBottom w:val="0"/>
              <w:divBdr>
                <w:top w:val="none" w:sz="0" w:space="0" w:color="auto"/>
                <w:left w:val="none" w:sz="0" w:space="0" w:color="auto"/>
                <w:bottom w:val="none" w:sz="0" w:space="0" w:color="auto"/>
                <w:right w:val="none" w:sz="0" w:space="0" w:color="auto"/>
              </w:divBdr>
            </w:div>
          </w:divsChild>
        </w:div>
        <w:div w:id="1992824144">
          <w:marLeft w:val="0"/>
          <w:marRight w:val="0"/>
          <w:marTop w:val="0"/>
          <w:marBottom w:val="0"/>
          <w:divBdr>
            <w:top w:val="none" w:sz="0" w:space="0" w:color="auto"/>
            <w:left w:val="none" w:sz="0" w:space="0" w:color="auto"/>
            <w:bottom w:val="none" w:sz="0" w:space="0" w:color="auto"/>
            <w:right w:val="none" w:sz="0" w:space="0" w:color="auto"/>
          </w:divBdr>
          <w:divsChild>
            <w:div w:id="7143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53095251">
      <w:bodyDiv w:val="1"/>
      <w:marLeft w:val="0"/>
      <w:marRight w:val="0"/>
      <w:marTop w:val="0"/>
      <w:marBottom w:val="0"/>
      <w:divBdr>
        <w:top w:val="none" w:sz="0" w:space="0" w:color="auto"/>
        <w:left w:val="none" w:sz="0" w:space="0" w:color="auto"/>
        <w:bottom w:val="none" w:sz="0" w:space="0" w:color="auto"/>
        <w:right w:val="none" w:sz="0" w:space="0" w:color="auto"/>
      </w:divBdr>
    </w:div>
    <w:div w:id="95416970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80227862">
      <w:bodyDiv w:val="1"/>
      <w:marLeft w:val="0"/>
      <w:marRight w:val="0"/>
      <w:marTop w:val="0"/>
      <w:marBottom w:val="0"/>
      <w:divBdr>
        <w:top w:val="none" w:sz="0" w:space="0" w:color="auto"/>
        <w:left w:val="none" w:sz="0" w:space="0" w:color="auto"/>
        <w:bottom w:val="none" w:sz="0" w:space="0" w:color="auto"/>
        <w:right w:val="none" w:sz="0" w:space="0" w:color="auto"/>
      </w:divBdr>
    </w:div>
    <w:div w:id="1066222279">
      <w:bodyDiv w:val="1"/>
      <w:marLeft w:val="0"/>
      <w:marRight w:val="0"/>
      <w:marTop w:val="0"/>
      <w:marBottom w:val="0"/>
      <w:divBdr>
        <w:top w:val="none" w:sz="0" w:space="0" w:color="auto"/>
        <w:left w:val="none" w:sz="0" w:space="0" w:color="auto"/>
        <w:bottom w:val="none" w:sz="0" w:space="0" w:color="auto"/>
        <w:right w:val="none" w:sz="0" w:space="0" w:color="auto"/>
      </w:divBdr>
      <w:divsChild>
        <w:div w:id="81029858">
          <w:marLeft w:val="0"/>
          <w:marRight w:val="0"/>
          <w:marTop w:val="0"/>
          <w:marBottom w:val="0"/>
          <w:divBdr>
            <w:top w:val="none" w:sz="0" w:space="0" w:color="auto"/>
            <w:left w:val="none" w:sz="0" w:space="0" w:color="auto"/>
            <w:bottom w:val="none" w:sz="0" w:space="0" w:color="auto"/>
            <w:right w:val="none" w:sz="0" w:space="0" w:color="auto"/>
          </w:divBdr>
          <w:divsChild>
            <w:div w:id="2043242390">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08961">
          <w:marLeft w:val="0"/>
          <w:marRight w:val="0"/>
          <w:marTop w:val="0"/>
          <w:marBottom w:val="0"/>
          <w:divBdr>
            <w:top w:val="none" w:sz="0" w:space="0" w:color="auto"/>
            <w:left w:val="none" w:sz="0" w:space="0" w:color="auto"/>
            <w:bottom w:val="none" w:sz="0" w:space="0" w:color="auto"/>
            <w:right w:val="none" w:sz="0" w:space="0" w:color="auto"/>
          </w:divBdr>
          <w:divsChild>
            <w:div w:id="302807253">
              <w:marLeft w:val="0"/>
              <w:marRight w:val="0"/>
              <w:marTop w:val="0"/>
              <w:marBottom w:val="0"/>
              <w:divBdr>
                <w:top w:val="none" w:sz="0" w:space="0" w:color="auto"/>
                <w:left w:val="none" w:sz="0" w:space="0" w:color="auto"/>
                <w:bottom w:val="none" w:sz="0" w:space="0" w:color="auto"/>
                <w:right w:val="none" w:sz="0" w:space="0" w:color="auto"/>
              </w:divBdr>
              <w:divsChild>
                <w:div w:id="277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69933">
          <w:marLeft w:val="0"/>
          <w:marRight w:val="0"/>
          <w:marTop w:val="0"/>
          <w:marBottom w:val="0"/>
          <w:divBdr>
            <w:top w:val="none" w:sz="0" w:space="0" w:color="auto"/>
            <w:left w:val="none" w:sz="0" w:space="0" w:color="auto"/>
            <w:bottom w:val="none" w:sz="0" w:space="0" w:color="auto"/>
            <w:right w:val="none" w:sz="0" w:space="0" w:color="auto"/>
          </w:divBdr>
          <w:divsChild>
            <w:div w:id="453865414">
              <w:marLeft w:val="0"/>
              <w:marRight w:val="0"/>
              <w:marTop w:val="0"/>
              <w:marBottom w:val="0"/>
              <w:divBdr>
                <w:top w:val="none" w:sz="0" w:space="0" w:color="auto"/>
                <w:left w:val="none" w:sz="0" w:space="0" w:color="auto"/>
                <w:bottom w:val="none" w:sz="0" w:space="0" w:color="auto"/>
                <w:right w:val="none" w:sz="0" w:space="0" w:color="auto"/>
              </w:divBdr>
              <w:divsChild>
                <w:div w:id="16487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88765">
      <w:bodyDiv w:val="1"/>
      <w:marLeft w:val="0"/>
      <w:marRight w:val="0"/>
      <w:marTop w:val="0"/>
      <w:marBottom w:val="0"/>
      <w:divBdr>
        <w:top w:val="none" w:sz="0" w:space="0" w:color="auto"/>
        <w:left w:val="none" w:sz="0" w:space="0" w:color="auto"/>
        <w:bottom w:val="none" w:sz="0" w:space="0" w:color="auto"/>
        <w:right w:val="none" w:sz="0" w:space="0" w:color="auto"/>
      </w:divBdr>
      <w:divsChild>
        <w:div w:id="417949002">
          <w:marLeft w:val="0"/>
          <w:marRight w:val="0"/>
          <w:marTop w:val="0"/>
          <w:marBottom w:val="0"/>
          <w:divBdr>
            <w:top w:val="none" w:sz="0" w:space="0" w:color="auto"/>
            <w:left w:val="none" w:sz="0" w:space="0" w:color="auto"/>
            <w:bottom w:val="none" w:sz="0" w:space="0" w:color="auto"/>
            <w:right w:val="none" w:sz="0" w:space="0" w:color="auto"/>
          </w:divBdr>
          <w:divsChild>
            <w:div w:id="1452087105">
              <w:marLeft w:val="0"/>
              <w:marRight w:val="0"/>
              <w:marTop w:val="0"/>
              <w:marBottom w:val="0"/>
              <w:divBdr>
                <w:top w:val="none" w:sz="0" w:space="0" w:color="auto"/>
                <w:left w:val="none" w:sz="0" w:space="0" w:color="auto"/>
                <w:bottom w:val="none" w:sz="0" w:space="0" w:color="auto"/>
                <w:right w:val="none" w:sz="0" w:space="0" w:color="auto"/>
              </w:divBdr>
            </w:div>
          </w:divsChild>
        </w:div>
        <w:div w:id="2024739576">
          <w:marLeft w:val="0"/>
          <w:marRight w:val="0"/>
          <w:marTop w:val="0"/>
          <w:marBottom w:val="0"/>
          <w:divBdr>
            <w:top w:val="none" w:sz="0" w:space="0" w:color="auto"/>
            <w:left w:val="none" w:sz="0" w:space="0" w:color="auto"/>
            <w:bottom w:val="none" w:sz="0" w:space="0" w:color="auto"/>
            <w:right w:val="none" w:sz="0" w:space="0" w:color="auto"/>
          </w:divBdr>
          <w:divsChild>
            <w:div w:id="2104177444">
              <w:marLeft w:val="0"/>
              <w:marRight w:val="0"/>
              <w:marTop w:val="0"/>
              <w:marBottom w:val="0"/>
              <w:divBdr>
                <w:top w:val="none" w:sz="0" w:space="0" w:color="auto"/>
                <w:left w:val="none" w:sz="0" w:space="0" w:color="auto"/>
                <w:bottom w:val="none" w:sz="0" w:space="0" w:color="auto"/>
                <w:right w:val="none" w:sz="0" w:space="0" w:color="auto"/>
              </w:divBdr>
            </w:div>
          </w:divsChild>
        </w:div>
        <w:div w:id="2115324893">
          <w:marLeft w:val="0"/>
          <w:marRight w:val="0"/>
          <w:marTop w:val="0"/>
          <w:marBottom w:val="0"/>
          <w:divBdr>
            <w:top w:val="none" w:sz="0" w:space="0" w:color="auto"/>
            <w:left w:val="none" w:sz="0" w:space="0" w:color="auto"/>
            <w:bottom w:val="none" w:sz="0" w:space="0" w:color="auto"/>
            <w:right w:val="none" w:sz="0" w:space="0" w:color="auto"/>
          </w:divBdr>
          <w:divsChild>
            <w:div w:id="20930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20532">
      <w:bodyDiv w:val="1"/>
      <w:marLeft w:val="0"/>
      <w:marRight w:val="0"/>
      <w:marTop w:val="0"/>
      <w:marBottom w:val="0"/>
      <w:divBdr>
        <w:top w:val="none" w:sz="0" w:space="0" w:color="auto"/>
        <w:left w:val="none" w:sz="0" w:space="0" w:color="auto"/>
        <w:bottom w:val="none" w:sz="0" w:space="0" w:color="auto"/>
        <w:right w:val="none" w:sz="0" w:space="0" w:color="auto"/>
      </w:divBdr>
      <w:divsChild>
        <w:div w:id="346061002">
          <w:marLeft w:val="0"/>
          <w:marRight w:val="0"/>
          <w:marTop w:val="0"/>
          <w:marBottom w:val="0"/>
          <w:divBdr>
            <w:top w:val="none" w:sz="0" w:space="0" w:color="auto"/>
            <w:left w:val="none" w:sz="0" w:space="0" w:color="auto"/>
            <w:bottom w:val="none" w:sz="0" w:space="0" w:color="auto"/>
            <w:right w:val="none" w:sz="0" w:space="0" w:color="auto"/>
          </w:divBdr>
          <w:divsChild>
            <w:div w:id="230432554">
              <w:marLeft w:val="0"/>
              <w:marRight w:val="0"/>
              <w:marTop w:val="0"/>
              <w:marBottom w:val="0"/>
              <w:divBdr>
                <w:top w:val="none" w:sz="0" w:space="0" w:color="auto"/>
                <w:left w:val="none" w:sz="0" w:space="0" w:color="auto"/>
                <w:bottom w:val="none" w:sz="0" w:space="0" w:color="auto"/>
                <w:right w:val="none" w:sz="0" w:space="0" w:color="auto"/>
              </w:divBdr>
              <w:divsChild>
                <w:div w:id="1821077682">
                  <w:marLeft w:val="0"/>
                  <w:marRight w:val="0"/>
                  <w:marTop w:val="0"/>
                  <w:marBottom w:val="0"/>
                  <w:divBdr>
                    <w:top w:val="none" w:sz="0" w:space="0" w:color="auto"/>
                    <w:left w:val="none" w:sz="0" w:space="0" w:color="auto"/>
                    <w:bottom w:val="none" w:sz="0" w:space="0" w:color="auto"/>
                    <w:right w:val="none" w:sz="0" w:space="0" w:color="auto"/>
                  </w:divBdr>
                </w:div>
              </w:divsChild>
            </w:div>
            <w:div w:id="519860752">
              <w:marLeft w:val="0"/>
              <w:marRight w:val="0"/>
              <w:marTop w:val="0"/>
              <w:marBottom w:val="0"/>
              <w:divBdr>
                <w:top w:val="none" w:sz="0" w:space="0" w:color="auto"/>
                <w:left w:val="none" w:sz="0" w:space="0" w:color="auto"/>
                <w:bottom w:val="none" w:sz="0" w:space="0" w:color="auto"/>
                <w:right w:val="none" w:sz="0" w:space="0" w:color="auto"/>
              </w:divBdr>
              <w:divsChild>
                <w:div w:id="2119180081">
                  <w:marLeft w:val="0"/>
                  <w:marRight w:val="0"/>
                  <w:marTop w:val="0"/>
                  <w:marBottom w:val="0"/>
                  <w:divBdr>
                    <w:top w:val="none" w:sz="0" w:space="0" w:color="auto"/>
                    <w:left w:val="none" w:sz="0" w:space="0" w:color="auto"/>
                    <w:bottom w:val="none" w:sz="0" w:space="0" w:color="auto"/>
                    <w:right w:val="none" w:sz="0" w:space="0" w:color="auto"/>
                  </w:divBdr>
                </w:div>
              </w:divsChild>
            </w:div>
            <w:div w:id="1373729524">
              <w:marLeft w:val="0"/>
              <w:marRight w:val="0"/>
              <w:marTop w:val="0"/>
              <w:marBottom w:val="0"/>
              <w:divBdr>
                <w:top w:val="none" w:sz="0" w:space="0" w:color="auto"/>
                <w:left w:val="none" w:sz="0" w:space="0" w:color="auto"/>
                <w:bottom w:val="none" w:sz="0" w:space="0" w:color="auto"/>
                <w:right w:val="none" w:sz="0" w:space="0" w:color="auto"/>
              </w:divBdr>
              <w:divsChild>
                <w:div w:id="7194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9640">
          <w:marLeft w:val="0"/>
          <w:marRight w:val="0"/>
          <w:marTop w:val="0"/>
          <w:marBottom w:val="0"/>
          <w:divBdr>
            <w:top w:val="none" w:sz="0" w:space="0" w:color="auto"/>
            <w:left w:val="none" w:sz="0" w:space="0" w:color="auto"/>
            <w:bottom w:val="none" w:sz="0" w:space="0" w:color="auto"/>
            <w:right w:val="none" w:sz="0" w:space="0" w:color="auto"/>
          </w:divBdr>
          <w:divsChild>
            <w:div w:id="1410884173">
              <w:marLeft w:val="0"/>
              <w:marRight w:val="0"/>
              <w:marTop w:val="0"/>
              <w:marBottom w:val="0"/>
              <w:divBdr>
                <w:top w:val="none" w:sz="0" w:space="0" w:color="auto"/>
                <w:left w:val="none" w:sz="0" w:space="0" w:color="auto"/>
                <w:bottom w:val="none" w:sz="0" w:space="0" w:color="auto"/>
                <w:right w:val="none" w:sz="0" w:space="0" w:color="auto"/>
              </w:divBdr>
              <w:divsChild>
                <w:div w:id="418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94987">
          <w:marLeft w:val="0"/>
          <w:marRight w:val="0"/>
          <w:marTop w:val="0"/>
          <w:marBottom w:val="0"/>
          <w:divBdr>
            <w:top w:val="none" w:sz="0" w:space="0" w:color="auto"/>
            <w:left w:val="none" w:sz="0" w:space="0" w:color="auto"/>
            <w:bottom w:val="none" w:sz="0" w:space="0" w:color="auto"/>
            <w:right w:val="none" w:sz="0" w:space="0" w:color="auto"/>
          </w:divBdr>
          <w:divsChild>
            <w:div w:id="131025977">
              <w:marLeft w:val="0"/>
              <w:marRight w:val="0"/>
              <w:marTop w:val="0"/>
              <w:marBottom w:val="0"/>
              <w:divBdr>
                <w:top w:val="none" w:sz="0" w:space="0" w:color="auto"/>
                <w:left w:val="none" w:sz="0" w:space="0" w:color="auto"/>
                <w:bottom w:val="none" w:sz="0" w:space="0" w:color="auto"/>
                <w:right w:val="none" w:sz="0" w:space="0" w:color="auto"/>
              </w:divBdr>
              <w:divsChild>
                <w:div w:id="9995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6395">
      <w:bodyDiv w:val="1"/>
      <w:marLeft w:val="0"/>
      <w:marRight w:val="0"/>
      <w:marTop w:val="0"/>
      <w:marBottom w:val="0"/>
      <w:divBdr>
        <w:top w:val="none" w:sz="0" w:space="0" w:color="auto"/>
        <w:left w:val="none" w:sz="0" w:space="0" w:color="auto"/>
        <w:bottom w:val="none" w:sz="0" w:space="0" w:color="auto"/>
        <w:right w:val="none" w:sz="0" w:space="0" w:color="auto"/>
      </w:divBdr>
      <w:divsChild>
        <w:div w:id="1149714959">
          <w:marLeft w:val="0"/>
          <w:marRight w:val="0"/>
          <w:marTop w:val="0"/>
          <w:marBottom w:val="0"/>
          <w:divBdr>
            <w:top w:val="none" w:sz="0" w:space="0" w:color="auto"/>
            <w:left w:val="none" w:sz="0" w:space="0" w:color="auto"/>
            <w:bottom w:val="none" w:sz="0" w:space="0" w:color="auto"/>
            <w:right w:val="none" w:sz="0" w:space="0" w:color="auto"/>
          </w:divBdr>
        </w:div>
      </w:divsChild>
    </w:div>
    <w:div w:id="1131940688">
      <w:bodyDiv w:val="1"/>
      <w:marLeft w:val="0"/>
      <w:marRight w:val="0"/>
      <w:marTop w:val="0"/>
      <w:marBottom w:val="0"/>
      <w:divBdr>
        <w:top w:val="none" w:sz="0" w:space="0" w:color="auto"/>
        <w:left w:val="none" w:sz="0" w:space="0" w:color="auto"/>
        <w:bottom w:val="none" w:sz="0" w:space="0" w:color="auto"/>
        <w:right w:val="none" w:sz="0" w:space="0" w:color="auto"/>
      </w:divBdr>
      <w:divsChild>
        <w:div w:id="622611120">
          <w:marLeft w:val="0"/>
          <w:marRight w:val="0"/>
          <w:marTop w:val="0"/>
          <w:marBottom w:val="0"/>
          <w:divBdr>
            <w:top w:val="none" w:sz="0" w:space="0" w:color="auto"/>
            <w:left w:val="none" w:sz="0" w:space="0" w:color="auto"/>
            <w:bottom w:val="none" w:sz="0" w:space="0" w:color="auto"/>
            <w:right w:val="none" w:sz="0" w:space="0" w:color="auto"/>
          </w:divBdr>
          <w:divsChild>
            <w:div w:id="1234701724">
              <w:marLeft w:val="0"/>
              <w:marRight w:val="0"/>
              <w:marTop w:val="0"/>
              <w:marBottom w:val="0"/>
              <w:divBdr>
                <w:top w:val="none" w:sz="0" w:space="0" w:color="auto"/>
                <w:left w:val="none" w:sz="0" w:space="0" w:color="auto"/>
                <w:bottom w:val="none" w:sz="0" w:space="0" w:color="auto"/>
                <w:right w:val="none" w:sz="0" w:space="0" w:color="auto"/>
              </w:divBdr>
              <w:divsChild>
                <w:div w:id="1139612475">
                  <w:marLeft w:val="0"/>
                  <w:marRight w:val="0"/>
                  <w:marTop w:val="0"/>
                  <w:marBottom w:val="0"/>
                  <w:divBdr>
                    <w:top w:val="none" w:sz="0" w:space="0" w:color="auto"/>
                    <w:left w:val="none" w:sz="0" w:space="0" w:color="auto"/>
                    <w:bottom w:val="none" w:sz="0" w:space="0" w:color="auto"/>
                    <w:right w:val="none" w:sz="0" w:space="0" w:color="auto"/>
                  </w:divBdr>
                </w:div>
              </w:divsChild>
            </w:div>
            <w:div w:id="1655332605">
              <w:marLeft w:val="0"/>
              <w:marRight w:val="0"/>
              <w:marTop w:val="0"/>
              <w:marBottom w:val="0"/>
              <w:divBdr>
                <w:top w:val="none" w:sz="0" w:space="0" w:color="auto"/>
                <w:left w:val="none" w:sz="0" w:space="0" w:color="auto"/>
                <w:bottom w:val="none" w:sz="0" w:space="0" w:color="auto"/>
                <w:right w:val="none" w:sz="0" w:space="0" w:color="auto"/>
              </w:divBdr>
              <w:divsChild>
                <w:div w:id="544558428">
                  <w:marLeft w:val="0"/>
                  <w:marRight w:val="0"/>
                  <w:marTop w:val="0"/>
                  <w:marBottom w:val="0"/>
                  <w:divBdr>
                    <w:top w:val="none" w:sz="0" w:space="0" w:color="auto"/>
                    <w:left w:val="none" w:sz="0" w:space="0" w:color="auto"/>
                    <w:bottom w:val="none" w:sz="0" w:space="0" w:color="auto"/>
                    <w:right w:val="none" w:sz="0" w:space="0" w:color="auto"/>
                  </w:divBdr>
                </w:div>
              </w:divsChild>
            </w:div>
            <w:div w:id="1801725943">
              <w:marLeft w:val="0"/>
              <w:marRight w:val="0"/>
              <w:marTop w:val="0"/>
              <w:marBottom w:val="0"/>
              <w:divBdr>
                <w:top w:val="none" w:sz="0" w:space="0" w:color="auto"/>
                <w:left w:val="none" w:sz="0" w:space="0" w:color="auto"/>
                <w:bottom w:val="none" w:sz="0" w:space="0" w:color="auto"/>
                <w:right w:val="none" w:sz="0" w:space="0" w:color="auto"/>
              </w:divBdr>
              <w:divsChild>
                <w:div w:id="15787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493">
          <w:marLeft w:val="0"/>
          <w:marRight w:val="0"/>
          <w:marTop w:val="0"/>
          <w:marBottom w:val="0"/>
          <w:divBdr>
            <w:top w:val="none" w:sz="0" w:space="0" w:color="auto"/>
            <w:left w:val="none" w:sz="0" w:space="0" w:color="auto"/>
            <w:bottom w:val="none" w:sz="0" w:space="0" w:color="auto"/>
            <w:right w:val="none" w:sz="0" w:space="0" w:color="auto"/>
          </w:divBdr>
          <w:divsChild>
            <w:div w:id="705181154">
              <w:marLeft w:val="0"/>
              <w:marRight w:val="0"/>
              <w:marTop w:val="0"/>
              <w:marBottom w:val="0"/>
              <w:divBdr>
                <w:top w:val="none" w:sz="0" w:space="0" w:color="auto"/>
                <w:left w:val="none" w:sz="0" w:space="0" w:color="auto"/>
                <w:bottom w:val="none" w:sz="0" w:space="0" w:color="auto"/>
                <w:right w:val="none" w:sz="0" w:space="0" w:color="auto"/>
              </w:divBdr>
              <w:divsChild>
                <w:div w:id="129814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4868">
          <w:marLeft w:val="0"/>
          <w:marRight w:val="0"/>
          <w:marTop w:val="0"/>
          <w:marBottom w:val="0"/>
          <w:divBdr>
            <w:top w:val="none" w:sz="0" w:space="0" w:color="auto"/>
            <w:left w:val="none" w:sz="0" w:space="0" w:color="auto"/>
            <w:bottom w:val="none" w:sz="0" w:space="0" w:color="auto"/>
            <w:right w:val="none" w:sz="0" w:space="0" w:color="auto"/>
          </w:divBdr>
          <w:divsChild>
            <w:div w:id="1086533548">
              <w:marLeft w:val="0"/>
              <w:marRight w:val="0"/>
              <w:marTop w:val="0"/>
              <w:marBottom w:val="0"/>
              <w:divBdr>
                <w:top w:val="none" w:sz="0" w:space="0" w:color="auto"/>
                <w:left w:val="none" w:sz="0" w:space="0" w:color="auto"/>
                <w:bottom w:val="none" w:sz="0" w:space="0" w:color="auto"/>
                <w:right w:val="none" w:sz="0" w:space="0" w:color="auto"/>
              </w:divBdr>
              <w:divsChild>
                <w:div w:id="2550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27255082">
      <w:bodyDiv w:val="1"/>
      <w:marLeft w:val="0"/>
      <w:marRight w:val="0"/>
      <w:marTop w:val="0"/>
      <w:marBottom w:val="0"/>
      <w:divBdr>
        <w:top w:val="none" w:sz="0" w:space="0" w:color="auto"/>
        <w:left w:val="none" w:sz="0" w:space="0" w:color="auto"/>
        <w:bottom w:val="none" w:sz="0" w:space="0" w:color="auto"/>
        <w:right w:val="none" w:sz="0" w:space="0" w:color="auto"/>
      </w:divBdr>
      <w:divsChild>
        <w:div w:id="382289927">
          <w:marLeft w:val="0"/>
          <w:marRight w:val="0"/>
          <w:marTop w:val="0"/>
          <w:marBottom w:val="0"/>
          <w:divBdr>
            <w:top w:val="none" w:sz="0" w:space="0" w:color="auto"/>
            <w:left w:val="none" w:sz="0" w:space="0" w:color="auto"/>
            <w:bottom w:val="none" w:sz="0" w:space="0" w:color="auto"/>
            <w:right w:val="none" w:sz="0" w:space="0" w:color="auto"/>
          </w:divBdr>
          <w:divsChild>
            <w:div w:id="1488285167">
              <w:marLeft w:val="0"/>
              <w:marRight w:val="0"/>
              <w:marTop w:val="0"/>
              <w:marBottom w:val="0"/>
              <w:divBdr>
                <w:top w:val="none" w:sz="0" w:space="0" w:color="auto"/>
                <w:left w:val="none" w:sz="0" w:space="0" w:color="auto"/>
                <w:bottom w:val="none" w:sz="0" w:space="0" w:color="auto"/>
                <w:right w:val="none" w:sz="0" w:space="0" w:color="auto"/>
              </w:divBdr>
            </w:div>
          </w:divsChild>
        </w:div>
        <w:div w:id="1001353556">
          <w:marLeft w:val="0"/>
          <w:marRight w:val="0"/>
          <w:marTop w:val="0"/>
          <w:marBottom w:val="0"/>
          <w:divBdr>
            <w:top w:val="none" w:sz="0" w:space="0" w:color="auto"/>
            <w:left w:val="none" w:sz="0" w:space="0" w:color="auto"/>
            <w:bottom w:val="none" w:sz="0" w:space="0" w:color="auto"/>
            <w:right w:val="none" w:sz="0" w:space="0" w:color="auto"/>
          </w:divBdr>
          <w:divsChild>
            <w:div w:id="2503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110">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1107090">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55687583">
      <w:bodyDiv w:val="1"/>
      <w:marLeft w:val="0"/>
      <w:marRight w:val="0"/>
      <w:marTop w:val="0"/>
      <w:marBottom w:val="0"/>
      <w:divBdr>
        <w:top w:val="none" w:sz="0" w:space="0" w:color="auto"/>
        <w:left w:val="none" w:sz="0" w:space="0" w:color="auto"/>
        <w:bottom w:val="none" w:sz="0" w:space="0" w:color="auto"/>
        <w:right w:val="none" w:sz="0" w:space="0" w:color="auto"/>
      </w:divBdr>
      <w:divsChild>
        <w:div w:id="913857828">
          <w:marLeft w:val="0"/>
          <w:marRight w:val="0"/>
          <w:marTop w:val="0"/>
          <w:marBottom w:val="0"/>
          <w:divBdr>
            <w:top w:val="none" w:sz="0" w:space="0" w:color="auto"/>
            <w:left w:val="none" w:sz="0" w:space="0" w:color="auto"/>
            <w:bottom w:val="none" w:sz="0" w:space="0" w:color="auto"/>
            <w:right w:val="none" w:sz="0" w:space="0" w:color="auto"/>
          </w:divBdr>
        </w:div>
      </w:divsChild>
    </w:div>
    <w:div w:id="1365983037">
      <w:bodyDiv w:val="1"/>
      <w:marLeft w:val="0"/>
      <w:marRight w:val="0"/>
      <w:marTop w:val="0"/>
      <w:marBottom w:val="0"/>
      <w:divBdr>
        <w:top w:val="none" w:sz="0" w:space="0" w:color="auto"/>
        <w:left w:val="none" w:sz="0" w:space="0" w:color="auto"/>
        <w:bottom w:val="none" w:sz="0" w:space="0" w:color="auto"/>
        <w:right w:val="none" w:sz="0" w:space="0" w:color="auto"/>
      </w:divBdr>
    </w:div>
    <w:div w:id="1452869293">
      <w:bodyDiv w:val="1"/>
      <w:marLeft w:val="0"/>
      <w:marRight w:val="0"/>
      <w:marTop w:val="0"/>
      <w:marBottom w:val="0"/>
      <w:divBdr>
        <w:top w:val="none" w:sz="0" w:space="0" w:color="auto"/>
        <w:left w:val="none" w:sz="0" w:space="0" w:color="auto"/>
        <w:bottom w:val="none" w:sz="0" w:space="0" w:color="auto"/>
        <w:right w:val="none" w:sz="0" w:space="0" w:color="auto"/>
      </w:divBdr>
      <w:divsChild>
        <w:div w:id="1631091513">
          <w:marLeft w:val="0"/>
          <w:marRight w:val="0"/>
          <w:marTop w:val="0"/>
          <w:marBottom w:val="0"/>
          <w:divBdr>
            <w:top w:val="none" w:sz="0" w:space="0" w:color="auto"/>
            <w:left w:val="none" w:sz="0" w:space="0" w:color="auto"/>
            <w:bottom w:val="none" w:sz="0" w:space="0" w:color="auto"/>
            <w:right w:val="none" w:sz="0" w:space="0" w:color="auto"/>
          </w:divBdr>
          <w:divsChild>
            <w:div w:id="157356496">
              <w:marLeft w:val="0"/>
              <w:marRight w:val="0"/>
              <w:marTop w:val="0"/>
              <w:marBottom w:val="0"/>
              <w:divBdr>
                <w:top w:val="none" w:sz="0" w:space="0" w:color="auto"/>
                <w:left w:val="none" w:sz="0" w:space="0" w:color="auto"/>
                <w:bottom w:val="none" w:sz="0" w:space="0" w:color="auto"/>
                <w:right w:val="none" w:sz="0" w:space="0" w:color="auto"/>
              </w:divBdr>
              <w:divsChild>
                <w:div w:id="1270359563">
                  <w:marLeft w:val="0"/>
                  <w:marRight w:val="0"/>
                  <w:marTop w:val="0"/>
                  <w:marBottom w:val="0"/>
                  <w:divBdr>
                    <w:top w:val="none" w:sz="0" w:space="0" w:color="auto"/>
                    <w:left w:val="none" w:sz="0" w:space="0" w:color="auto"/>
                    <w:bottom w:val="none" w:sz="0" w:space="0" w:color="auto"/>
                    <w:right w:val="none" w:sz="0" w:space="0" w:color="auto"/>
                  </w:divBdr>
                </w:div>
              </w:divsChild>
            </w:div>
            <w:div w:id="541750663">
              <w:marLeft w:val="0"/>
              <w:marRight w:val="0"/>
              <w:marTop w:val="0"/>
              <w:marBottom w:val="0"/>
              <w:divBdr>
                <w:top w:val="none" w:sz="0" w:space="0" w:color="auto"/>
                <w:left w:val="none" w:sz="0" w:space="0" w:color="auto"/>
                <w:bottom w:val="none" w:sz="0" w:space="0" w:color="auto"/>
                <w:right w:val="none" w:sz="0" w:space="0" w:color="auto"/>
              </w:divBdr>
              <w:divsChild>
                <w:div w:id="15109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3142">
      <w:bodyDiv w:val="1"/>
      <w:marLeft w:val="0"/>
      <w:marRight w:val="0"/>
      <w:marTop w:val="0"/>
      <w:marBottom w:val="0"/>
      <w:divBdr>
        <w:top w:val="none" w:sz="0" w:space="0" w:color="auto"/>
        <w:left w:val="none" w:sz="0" w:space="0" w:color="auto"/>
        <w:bottom w:val="none" w:sz="0" w:space="0" w:color="auto"/>
        <w:right w:val="none" w:sz="0" w:space="0" w:color="auto"/>
      </w:divBdr>
      <w:divsChild>
        <w:div w:id="1060133486">
          <w:marLeft w:val="0"/>
          <w:marRight w:val="0"/>
          <w:marTop w:val="0"/>
          <w:marBottom w:val="0"/>
          <w:divBdr>
            <w:top w:val="none" w:sz="0" w:space="0" w:color="auto"/>
            <w:left w:val="none" w:sz="0" w:space="0" w:color="auto"/>
            <w:bottom w:val="none" w:sz="0" w:space="0" w:color="auto"/>
            <w:right w:val="none" w:sz="0" w:space="0" w:color="auto"/>
          </w:divBdr>
          <w:divsChild>
            <w:div w:id="612056403">
              <w:marLeft w:val="0"/>
              <w:marRight w:val="0"/>
              <w:marTop w:val="0"/>
              <w:marBottom w:val="0"/>
              <w:divBdr>
                <w:top w:val="none" w:sz="0" w:space="0" w:color="auto"/>
                <w:left w:val="none" w:sz="0" w:space="0" w:color="auto"/>
                <w:bottom w:val="none" w:sz="0" w:space="0" w:color="auto"/>
                <w:right w:val="none" w:sz="0" w:space="0" w:color="auto"/>
              </w:divBdr>
            </w:div>
          </w:divsChild>
        </w:div>
        <w:div w:id="1971665555">
          <w:marLeft w:val="0"/>
          <w:marRight w:val="0"/>
          <w:marTop w:val="0"/>
          <w:marBottom w:val="0"/>
          <w:divBdr>
            <w:top w:val="none" w:sz="0" w:space="0" w:color="auto"/>
            <w:left w:val="none" w:sz="0" w:space="0" w:color="auto"/>
            <w:bottom w:val="none" w:sz="0" w:space="0" w:color="auto"/>
            <w:right w:val="none" w:sz="0" w:space="0" w:color="auto"/>
          </w:divBdr>
          <w:divsChild>
            <w:div w:id="2009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4214420">
      <w:bodyDiv w:val="1"/>
      <w:marLeft w:val="0"/>
      <w:marRight w:val="0"/>
      <w:marTop w:val="0"/>
      <w:marBottom w:val="0"/>
      <w:divBdr>
        <w:top w:val="none" w:sz="0" w:space="0" w:color="auto"/>
        <w:left w:val="none" w:sz="0" w:space="0" w:color="auto"/>
        <w:bottom w:val="none" w:sz="0" w:space="0" w:color="auto"/>
        <w:right w:val="none" w:sz="0" w:space="0" w:color="auto"/>
      </w:divBdr>
      <w:divsChild>
        <w:div w:id="943079388">
          <w:marLeft w:val="0"/>
          <w:marRight w:val="0"/>
          <w:marTop w:val="0"/>
          <w:marBottom w:val="0"/>
          <w:divBdr>
            <w:top w:val="none" w:sz="0" w:space="0" w:color="auto"/>
            <w:left w:val="none" w:sz="0" w:space="0" w:color="auto"/>
            <w:bottom w:val="none" w:sz="0" w:space="0" w:color="auto"/>
            <w:right w:val="none" w:sz="0" w:space="0" w:color="auto"/>
          </w:divBdr>
          <w:divsChild>
            <w:div w:id="771629477">
              <w:marLeft w:val="0"/>
              <w:marRight w:val="0"/>
              <w:marTop w:val="0"/>
              <w:marBottom w:val="0"/>
              <w:divBdr>
                <w:top w:val="none" w:sz="0" w:space="0" w:color="auto"/>
                <w:left w:val="none" w:sz="0" w:space="0" w:color="auto"/>
                <w:bottom w:val="none" w:sz="0" w:space="0" w:color="auto"/>
                <w:right w:val="none" w:sz="0" w:space="0" w:color="auto"/>
              </w:divBdr>
              <w:divsChild>
                <w:div w:id="192428721">
                  <w:marLeft w:val="0"/>
                  <w:marRight w:val="0"/>
                  <w:marTop w:val="0"/>
                  <w:marBottom w:val="0"/>
                  <w:divBdr>
                    <w:top w:val="none" w:sz="0" w:space="0" w:color="auto"/>
                    <w:left w:val="none" w:sz="0" w:space="0" w:color="auto"/>
                    <w:bottom w:val="none" w:sz="0" w:space="0" w:color="auto"/>
                    <w:right w:val="none" w:sz="0" w:space="0" w:color="auto"/>
                  </w:divBdr>
                </w:div>
              </w:divsChild>
            </w:div>
            <w:div w:id="1290864051">
              <w:marLeft w:val="0"/>
              <w:marRight w:val="0"/>
              <w:marTop w:val="0"/>
              <w:marBottom w:val="0"/>
              <w:divBdr>
                <w:top w:val="none" w:sz="0" w:space="0" w:color="auto"/>
                <w:left w:val="none" w:sz="0" w:space="0" w:color="auto"/>
                <w:bottom w:val="none" w:sz="0" w:space="0" w:color="auto"/>
                <w:right w:val="none" w:sz="0" w:space="0" w:color="auto"/>
              </w:divBdr>
              <w:divsChild>
                <w:div w:id="15263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8399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1804528">
      <w:bodyDiv w:val="1"/>
      <w:marLeft w:val="0"/>
      <w:marRight w:val="0"/>
      <w:marTop w:val="0"/>
      <w:marBottom w:val="0"/>
      <w:divBdr>
        <w:top w:val="none" w:sz="0" w:space="0" w:color="auto"/>
        <w:left w:val="none" w:sz="0" w:space="0" w:color="auto"/>
        <w:bottom w:val="none" w:sz="0" w:space="0" w:color="auto"/>
        <w:right w:val="none" w:sz="0" w:space="0" w:color="auto"/>
      </w:divBdr>
      <w:divsChild>
        <w:div w:id="44725097">
          <w:marLeft w:val="0"/>
          <w:marRight w:val="0"/>
          <w:marTop w:val="0"/>
          <w:marBottom w:val="0"/>
          <w:divBdr>
            <w:top w:val="none" w:sz="0" w:space="0" w:color="auto"/>
            <w:left w:val="none" w:sz="0" w:space="0" w:color="auto"/>
            <w:bottom w:val="none" w:sz="0" w:space="0" w:color="auto"/>
            <w:right w:val="none" w:sz="0" w:space="0" w:color="auto"/>
          </w:divBdr>
          <w:divsChild>
            <w:div w:id="2025282493">
              <w:marLeft w:val="0"/>
              <w:marRight w:val="0"/>
              <w:marTop w:val="0"/>
              <w:marBottom w:val="0"/>
              <w:divBdr>
                <w:top w:val="none" w:sz="0" w:space="0" w:color="auto"/>
                <w:left w:val="none" w:sz="0" w:space="0" w:color="auto"/>
                <w:bottom w:val="none" w:sz="0" w:space="0" w:color="auto"/>
                <w:right w:val="none" w:sz="0" w:space="0" w:color="auto"/>
              </w:divBdr>
              <w:divsChild>
                <w:div w:id="1052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6725">
          <w:marLeft w:val="0"/>
          <w:marRight w:val="0"/>
          <w:marTop w:val="0"/>
          <w:marBottom w:val="0"/>
          <w:divBdr>
            <w:top w:val="none" w:sz="0" w:space="0" w:color="auto"/>
            <w:left w:val="none" w:sz="0" w:space="0" w:color="auto"/>
            <w:bottom w:val="none" w:sz="0" w:space="0" w:color="auto"/>
            <w:right w:val="none" w:sz="0" w:space="0" w:color="auto"/>
          </w:divBdr>
          <w:divsChild>
            <w:div w:id="2047557290">
              <w:marLeft w:val="0"/>
              <w:marRight w:val="0"/>
              <w:marTop w:val="0"/>
              <w:marBottom w:val="0"/>
              <w:divBdr>
                <w:top w:val="none" w:sz="0" w:space="0" w:color="auto"/>
                <w:left w:val="none" w:sz="0" w:space="0" w:color="auto"/>
                <w:bottom w:val="none" w:sz="0" w:space="0" w:color="auto"/>
                <w:right w:val="none" w:sz="0" w:space="0" w:color="auto"/>
              </w:divBdr>
              <w:divsChild>
                <w:div w:id="150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2389">
          <w:marLeft w:val="0"/>
          <w:marRight w:val="0"/>
          <w:marTop w:val="0"/>
          <w:marBottom w:val="0"/>
          <w:divBdr>
            <w:top w:val="none" w:sz="0" w:space="0" w:color="auto"/>
            <w:left w:val="none" w:sz="0" w:space="0" w:color="auto"/>
            <w:bottom w:val="none" w:sz="0" w:space="0" w:color="auto"/>
            <w:right w:val="none" w:sz="0" w:space="0" w:color="auto"/>
          </w:divBdr>
          <w:divsChild>
            <w:div w:id="879511661">
              <w:marLeft w:val="0"/>
              <w:marRight w:val="0"/>
              <w:marTop w:val="0"/>
              <w:marBottom w:val="0"/>
              <w:divBdr>
                <w:top w:val="none" w:sz="0" w:space="0" w:color="auto"/>
                <w:left w:val="none" w:sz="0" w:space="0" w:color="auto"/>
                <w:bottom w:val="none" w:sz="0" w:space="0" w:color="auto"/>
                <w:right w:val="none" w:sz="0" w:space="0" w:color="auto"/>
              </w:divBdr>
              <w:divsChild>
                <w:div w:id="5382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6375">
          <w:marLeft w:val="0"/>
          <w:marRight w:val="0"/>
          <w:marTop w:val="0"/>
          <w:marBottom w:val="0"/>
          <w:divBdr>
            <w:top w:val="none" w:sz="0" w:space="0" w:color="auto"/>
            <w:left w:val="none" w:sz="0" w:space="0" w:color="auto"/>
            <w:bottom w:val="none" w:sz="0" w:space="0" w:color="auto"/>
            <w:right w:val="none" w:sz="0" w:space="0" w:color="auto"/>
          </w:divBdr>
          <w:divsChild>
            <w:div w:id="768816372">
              <w:marLeft w:val="0"/>
              <w:marRight w:val="0"/>
              <w:marTop w:val="0"/>
              <w:marBottom w:val="0"/>
              <w:divBdr>
                <w:top w:val="none" w:sz="0" w:space="0" w:color="auto"/>
                <w:left w:val="none" w:sz="0" w:space="0" w:color="auto"/>
                <w:bottom w:val="none" w:sz="0" w:space="0" w:color="auto"/>
                <w:right w:val="none" w:sz="0" w:space="0" w:color="auto"/>
              </w:divBdr>
              <w:divsChild>
                <w:div w:id="14272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60125">
          <w:marLeft w:val="0"/>
          <w:marRight w:val="0"/>
          <w:marTop w:val="0"/>
          <w:marBottom w:val="0"/>
          <w:divBdr>
            <w:top w:val="none" w:sz="0" w:space="0" w:color="auto"/>
            <w:left w:val="none" w:sz="0" w:space="0" w:color="auto"/>
            <w:bottom w:val="none" w:sz="0" w:space="0" w:color="auto"/>
            <w:right w:val="none" w:sz="0" w:space="0" w:color="auto"/>
          </w:divBdr>
          <w:divsChild>
            <w:div w:id="1451970863">
              <w:marLeft w:val="0"/>
              <w:marRight w:val="0"/>
              <w:marTop w:val="0"/>
              <w:marBottom w:val="0"/>
              <w:divBdr>
                <w:top w:val="none" w:sz="0" w:space="0" w:color="auto"/>
                <w:left w:val="none" w:sz="0" w:space="0" w:color="auto"/>
                <w:bottom w:val="none" w:sz="0" w:space="0" w:color="auto"/>
                <w:right w:val="none" w:sz="0" w:space="0" w:color="auto"/>
              </w:divBdr>
              <w:divsChild>
                <w:div w:id="21133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5084">
          <w:marLeft w:val="0"/>
          <w:marRight w:val="0"/>
          <w:marTop w:val="0"/>
          <w:marBottom w:val="0"/>
          <w:divBdr>
            <w:top w:val="none" w:sz="0" w:space="0" w:color="auto"/>
            <w:left w:val="none" w:sz="0" w:space="0" w:color="auto"/>
            <w:bottom w:val="none" w:sz="0" w:space="0" w:color="auto"/>
            <w:right w:val="none" w:sz="0" w:space="0" w:color="auto"/>
          </w:divBdr>
          <w:divsChild>
            <w:div w:id="1488208928">
              <w:marLeft w:val="0"/>
              <w:marRight w:val="0"/>
              <w:marTop w:val="0"/>
              <w:marBottom w:val="0"/>
              <w:divBdr>
                <w:top w:val="none" w:sz="0" w:space="0" w:color="auto"/>
                <w:left w:val="none" w:sz="0" w:space="0" w:color="auto"/>
                <w:bottom w:val="none" w:sz="0" w:space="0" w:color="auto"/>
                <w:right w:val="none" w:sz="0" w:space="0" w:color="auto"/>
              </w:divBdr>
              <w:divsChild>
                <w:div w:id="3368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7690">
          <w:marLeft w:val="0"/>
          <w:marRight w:val="0"/>
          <w:marTop w:val="0"/>
          <w:marBottom w:val="0"/>
          <w:divBdr>
            <w:top w:val="none" w:sz="0" w:space="0" w:color="auto"/>
            <w:left w:val="none" w:sz="0" w:space="0" w:color="auto"/>
            <w:bottom w:val="none" w:sz="0" w:space="0" w:color="auto"/>
            <w:right w:val="none" w:sz="0" w:space="0" w:color="auto"/>
          </w:divBdr>
          <w:divsChild>
            <w:div w:id="430126560">
              <w:marLeft w:val="0"/>
              <w:marRight w:val="0"/>
              <w:marTop w:val="0"/>
              <w:marBottom w:val="0"/>
              <w:divBdr>
                <w:top w:val="none" w:sz="0" w:space="0" w:color="auto"/>
                <w:left w:val="none" w:sz="0" w:space="0" w:color="auto"/>
                <w:bottom w:val="none" w:sz="0" w:space="0" w:color="auto"/>
                <w:right w:val="none" w:sz="0" w:space="0" w:color="auto"/>
              </w:divBdr>
              <w:divsChild>
                <w:div w:id="1428772674">
                  <w:marLeft w:val="0"/>
                  <w:marRight w:val="0"/>
                  <w:marTop w:val="0"/>
                  <w:marBottom w:val="0"/>
                  <w:divBdr>
                    <w:top w:val="none" w:sz="0" w:space="0" w:color="auto"/>
                    <w:left w:val="none" w:sz="0" w:space="0" w:color="auto"/>
                    <w:bottom w:val="none" w:sz="0" w:space="0" w:color="auto"/>
                    <w:right w:val="none" w:sz="0" w:space="0" w:color="auto"/>
                  </w:divBdr>
                </w:div>
              </w:divsChild>
            </w:div>
            <w:div w:id="849872077">
              <w:marLeft w:val="0"/>
              <w:marRight w:val="0"/>
              <w:marTop w:val="0"/>
              <w:marBottom w:val="0"/>
              <w:divBdr>
                <w:top w:val="none" w:sz="0" w:space="0" w:color="auto"/>
                <w:left w:val="none" w:sz="0" w:space="0" w:color="auto"/>
                <w:bottom w:val="none" w:sz="0" w:space="0" w:color="auto"/>
                <w:right w:val="none" w:sz="0" w:space="0" w:color="auto"/>
              </w:divBdr>
              <w:divsChild>
                <w:div w:id="1823109743">
                  <w:marLeft w:val="0"/>
                  <w:marRight w:val="0"/>
                  <w:marTop w:val="0"/>
                  <w:marBottom w:val="0"/>
                  <w:divBdr>
                    <w:top w:val="none" w:sz="0" w:space="0" w:color="auto"/>
                    <w:left w:val="none" w:sz="0" w:space="0" w:color="auto"/>
                    <w:bottom w:val="none" w:sz="0" w:space="0" w:color="auto"/>
                    <w:right w:val="none" w:sz="0" w:space="0" w:color="auto"/>
                  </w:divBdr>
                </w:div>
              </w:divsChild>
            </w:div>
            <w:div w:id="962230212">
              <w:marLeft w:val="0"/>
              <w:marRight w:val="0"/>
              <w:marTop w:val="0"/>
              <w:marBottom w:val="0"/>
              <w:divBdr>
                <w:top w:val="none" w:sz="0" w:space="0" w:color="auto"/>
                <w:left w:val="none" w:sz="0" w:space="0" w:color="auto"/>
                <w:bottom w:val="none" w:sz="0" w:space="0" w:color="auto"/>
                <w:right w:val="none" w:sz="0" w:space="0" w:color="auto"/>
              </w:divBdr>
              <w:divsChild>
                <w:div w:id="7096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3189">
          <w:marLeft w:val="0"/>
          <w:marRight w:val="0"/>
          <w:marTop w:val="0"/>
          <w:marBottom w:val="0"/>
          <w:divBdr>
            <w:top w:val="none" w:sz="0" w:space="0" w:color="auto"/>
            <w:left w:val="none" w:sz="0" w:space="0" w:color="auto"/>
            <w:bottom w:val="none" w:sz="0" w:space="0" w:color="auto"/>
            <w:right w:val="none" w:sz="0" w:space="0" w:color="auto"/>
          </w:divBdr>
          <w:divsChild>
            <w:div w:id="338967773">
              <w:marLeft w:val="0"/>
              <w:marRight w:val="0"/>
              <w:marTop w:val="0"/>
              <w:marBottom w:val="0"/>
              <w:divBdr>
                <w:top w:val="none" w:sz="0" w:space="0" w:color="auto"/>
                <w:left w:val="none" w:sz="0" w:space="0" w:color="auto"/>
                <w:bottom w:val="none" w:sz="0" w:space="0" w:color="auto"/>
                <w:right w:val="none" w:sz="0" w:space="0" w:color="auto"/>
              </w:divBdr>
              <w:divsChild>
                <w:div w:id="804153425">
                  <w:marLeft w:val="0"/>
                  <w:marRight w:val="0"/>
                  <w:marTop w:val="0"/>
                  <w:marBottom w:val="0"/>
                  <w:divBdr>
                    <w:top w:val="none" w:sz="0" w:space="0" w:color="auto"/>
                    <w:left w:val="none" w:sz="0" w:space="0" w:color="auto"/>
                    <w:bottom w:val="none" w:sz="0" w:space="0" w:color="auto"/>
                    <w:right w:val="none" w:sz="0" w:space="0" w:color="auto"/>
                  </w:divBdr>
                </w:div>
              </w:divsChild>
            </w:div>
            <w:div w:id="482888450">
              <w:marLeft w:val="0"/>
              <w:marRight w:val="0"/>
              <w:marTop w:val="0"/>
              <w:marBottom w:val="0"/>
              <w:divBdr>
                <w:top w:val="none" w:sz="0" w:space="0" w:color="auto"/>
                <w:left w:val="none" w:sz="0" w:space="0" w:color="auto"/>
                <w:bottom w:val="none" w:sz="0" w:space="0" w:color="auto"/>
                <w:right w:val="none" w:sz="0" w:space="0" w:color="auto"/>
              </w:divBdr>
              <w:divsChild>
                <w:div w:id="19885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9391">
          <w:marLeft w:val="0"/>
          <w:marRight w:val="0"/>
          <w:marTop w:val="0"/>
          <w:marBottom w:val="0"/>
          <w:divBdr>
            <w:top w:val="none" w:sz="0" w:space="0" w:color="auto"/>
            <w:left w:val="none" w:sz="0" w:space="0" w:color="auto"/>
            <w:bottom w:val="none" w:sz="0" w:space="0" w:color="auto"/>
            <w:right w:val="none" w:sz="0" w:space="0" w:color="auto"/>
          </w:divBdr>
          <w:divsChild>
            <w:div w:id="656420415">
              <w:marLeft w:val="0"/>
              <w:marRight w:val="0"/>
              <w:marTop w:val="0"/>
              <w:marBottom w:val="0"/>
              <w:divBdr>
                <w:top w:val="none" w:sz="0" w:space="0" w:color="auto"/>
                <w:left w:val="none" w:sz="0" w:space="0" w:color="auto"/>
                <w:bottom w:val="none" w:sz="0" w:space="0" w:color="auto"/>
                <w:right w:val="none" w:sz="0" w:space="0" w:color="auto"/>
              </w:divBdr>
              <w:divsChild>
                <w:div w:id="9210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2154">
          <w:marLeft w:val="0"/>
          <w:marRight w:val="0"/>
          <w:marTop w:val="0"/>
          <w:marBottom w:val="0"/>
          <w:divBdr>
            <w:top w:val="none" w:sz="0" w:space="0" w:color="auto"/>
            <w:left w:val="none" w:sz="0" w:space="0" w:color="auto"/>
            <w:bottom w:val="none" w:sz="0" w:space="0" w:color="auto"/>
            <w:right w:val="none" w:sz="0" w:space="0" w:color="auto"/>
          </w:divBdr>
          <w:divsChild>
            <w:div w:id="633415170">
              <w:marLeft w:val="0"/>
              <w:marRight w:val="0"/>
              <w:marTop w:val="0"/>
              <w:marBottom w:val="0"/>
              <w:divBdr>
                <w:top w:val="none" w:sz="0" w:space="0" w:color="auto"/>
                <w:left w:val="none" w:sz="0" w:space="0" w:color="auto"/>
                <w:bottom w:val="none" w:sz="0" w:space="0" w:color="auto"/>
                <w:right w:val="none" w:sz="0" w:space="0" w:color="auto"/>
              </w:divBdr>
              <w:divsChild>
                <w:div w:id="3266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2124">
          <w:marLeft w:val="0"/>
          <w:marRight w:val="0"/>
          <w:marTop w:val="0"/>
          <w:marBottom w:val="0"/>
          <w:divBdr>
            <w:top w:val="none" w:sz="0" w:space="0" w:color="auto"/>
            <w:left w:val="none" w:sz="0" w:space="0" w:color="auto"/>
            <w:bottom w:val="none" w:sz="0" w:space="0" w:color="auto"/>
            <w:right w:val="none" w:sz="0" w:space="0" w:color="auto"/>
          </w:divBdr>
          <w:divsChild>
            <w:div w:id="1962299943">
              <w:marLeft w:val="0"/>
              <w:marRight w:val="0"/>
              <w:marTop w:val="0"/>
              <w:marBottom w:val="0"/>
              <w:divBdr>
                <w:top w:val="none" w:sz="0" w:space="0" w:color="auto"/>
                <w:left w:val="none" w:sz="0" w:space="0" w:color="auto"/>
                <w:bottom w:val="none" w:sz="0" w:space="0" w:color="auto"/>
                <w:right w:val="none" w:sz="0" w:space="0" w:color="auto"/>
              </w:divBdr>
              <w:divsChild>
                <w:div w:id="7093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3614">
          <w:marLeft w:val="0"/>
          <w:marRight w:val="0"/>
          <w:marTop w:val="0"/>
          <w:marBottom w:val="0"/>
          <w:divBdr>
            <w:top w:val="none" w:sz="0" w:space="0" w:color="auto"/>
            <w:left w:val="none" w:sz="0" w:space="0" w:color="auto"/>
            <w:bottom w:val="none" w:sz="0" w:space="0" w:color="auto"/>
            <w:right w:val="none" w:sz="0" w:space="0" w:color="auto"/>
          </w:divBdr>
          <w:divsChild>
            <w:div w:id="26221818">
              <w:marLeft w:val="0"/>
              <w:marRight w:val="0"/>
              <w:marTop w:val="0"/>
              <w:marBottom w:val="0"/>
              <w:divBdr>
                <w:top w:val="none" w:sz="0" w:space="0" w:color="auto"/>
                <w:left w:val="none" w:sz="0" w:space="0" w:color="auto"/>
                <w:bottom w:val="none" w:sz="0" w:space="0" w:color="auto"/>
                <w:right w:val="none" w:sz="0" w:space="0" w:color="auto"/>
              </w:divBdr>
              <w:divsChild>
                <w:div w:id="17705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49450">
          <w:marLeft w:val="0"/>
          <w:marRight w:val="0"/>
          <w:marTop w:val="0"/>
          <w:marBottom w:val="0"/>
          <w:divBdr>
            <w:top w:val="none" w:sz="0" w:space="0" w:color="auto"/>
            <w:left w:val="none" w:sz="0" w:space="0" w:color="auto"/>
            <w:bottom w:val="none" w:sz="0" w:space="0" w:color="auto"/>
            <w:right w:val="none" w:sz="0" w:space="0" w:color="auto"/>
          </w:divBdr>
          <w:divsChild>
            <w:div w:id="1608005708">
              <w:marLeft w:val="0"/>
              <w:marRight w:val="0"/>
              <w:marTop w:val="0"/>
              <w:marBottom w:val="0"/>
              <w:divBdr>
                <w:top w:val="none" w:sz="0" w:space="0" w:color="auto"/>
                <w:left w:val="none" w:sz="0" w:space="0" w:color="auto"/>
                <w:bottom w:val="none" w:sz="0" w:space="0" w:color="auto"/>
                <w:right w:val="none" w:sz="0" w:space="0" w:color="auto"/>
              </w:divBdr>
              <w:divsChild>
                <w:div w:id="7375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78743">
          <w:marLeft w:val="0"/>
          <w:marRight w:val="0"/>
          <w:marTop w:val="0"/>
          <w:marBottom w:val="0"/>
          <w:divBdr>
            <w:top w:val="none" w:sz="0" w:space="0" w:color="auto"/>
            <w:left w:val="none" w:sz="0" w:space="0" w:color="auto"/>
            <w:bottom w:val="none" w:sz="0" w:space="0" w:color="auto"/>
            <w:right w:val="none" w:sz="0" w:space="0" w:color="auto"/>
          </w:divBdr>
          <w:divsChild>
            <w:div w:id="1949577859">
              <w:marLeft w:val="0"/>
              <w:marRight w:val="0"/>
              <w:marTop w:val="0"/>
              <w:marBottom w:val="0"/>
              <w:divBdr>
                <w:top w:val="none" w:sz="0" w:space="0" w:color="auto"/>
                <w:left w:val="none" w:sz="0" w:space="0" w:color="auto"/>
                <w:bottom w:val="none" w:sz="0" w:space="0" w:color="auto"/>
                <w:right w:val="none" w:sz="0" w:space="0" w:color="auto"/>
              </w:divBdr>
              <w:divsChild>
                <w:div w:id="20221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8822">
          <w:marLeft w:val="0"/>
          <w:marRight w:val="0"/>
          <w:marTop w:val="0"/>
          <w:marBottom w:val="0"/>
          <w:divBdr>
            <w:top w:val="none" w:sz="0" w:space="0" w:color="auto"/>
            <w:left w:val="none" w:sz="0" w:space="0" w:color="auto"/>
            <w:bottom w:val="none" w:sz="0" w:space="0" w:color="auto"/>
            <w:right w:val="none" w:sz="0" w:space="0" w:color="auto"/>
          </w:divBdr>
          <w:divsChild>
            <w:div w:id="1966622620">
              <w:marLeft w:val="0"/>
              <w:marRight w:val="0"/>
              <w:marTop w:val="0"/>
              <w:marBottom w:val="0"/>
              <w:divBdr>
                <w:top w:val="none" w:sz="0" w:space="0" w:color="auto"/>
                <w:left w:val="none" w:sz="0" w:space="0" w:color="auto"/>
                <w:bottom w:val="none" w:sz="0" w:space="0" w:color="auto"/>
                <w:right w:val="none" w:sz="0" w:space="0" w:color="auto"/>
              </w:divBdr>
              <w:divsChild>
                <w:div w:id="4458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7441">
          <w:marLeft w:val="0"/>
          <w:marRight w:val="0"/>
          <w:marTop w:val="0"/>
          <w:marBottom w:val="0"/>
          <w:divBdr>
            <w:top w:val="none" w:sz="0" w:space="0" w:color="auto"/>
            <w:left w:val="none" w:sz="0" w:space="0" w:color="auto"/>
            <w:bottom w:val="none" w:sz="0" w:space="0" w:color="auto"/>
            <w:right w:val="none" w:sz="0" w:space="0" w:color="auto"/>
          </w:divBdr>
          <w:divsChild>
            <w:div w:id="627929613">
              <w:marLeft w:val="0"/>
              <w:marRight w:val="0"/>
              <w:marTop w:val="0"/>
              <w:marBottom w:val="0"/>
              <w:divBdr>
                <w:top w:val="none" w:sz="0" w:space="0" w:color="auto"/>
                <w:left w:val="none" w:sz="0" w:space="0" w:color="auto"/>
                <w:bottom w:val="none" w:sz="0" w:space="0" w:color="auto"/>
                <w:right w:val="none" w:sz="0" w:space="0" w:color="auto"/>
              </w:divBdr>
              <w:divsChild>
                <w:div w:id="238099075">
                  <w:marLeft w:val="0"/>
                  <w:marRight w:val="0"/>
                  <w:marTop w:val="0"/>
                  <w:marBottom w:val="0"/>
                  <w:divBdr>
                    <w:top w:val="none" w:sz="0" w:space="0" w:color="auto"/>
                    <w:left w:val="none" w:sz="0" w:space="0" w:color="auto"/>
                    <w:bottom w:val="none" w:sz="0" w:space="0" w:color="auto"/>
                    <w:right w:val="none" w:sz="0" w:space="0" w:color="auto"/>
                  </w:divBdr>
                </w:div>
              </w:divsChild>
            </w:div>
            <w:div w:id="877544561">
              <w:marLeft w:val="0"/>
              <w:marRight w:val="0"/>
              <w:marTop w:val="0"/>
              <w:marBottom w:val="0"/>
              <w:divBdr>
                <w:top w:val="none" w:sz="0" w:space="0" w:color="auto"/>
                <w:left w:val="none" w:sz="0" w:space="0" w:color="auto"/>
                <w:bottom w:val="none" w:sz="0" w:space="0" w:color="auto"/>
                <w:right w:val="none" w:sz="0" w:space="0" w:color="auto"/>
              </w:divBdr>
              <w:divsChild>
                <w:div w:id="21513796">
                  <w:marLeft w:val="0"/>
                  <w:marRight w:val="0"/>
                  <w:marTop w:val="0"/>
                  <w:marBottom w:val="0"/>
                  <w:divBdr>
                    <w:top w:val="none" w:sz="0" w:space="0" w:color="auto"/>
                    <w:left w:val="none" w:sz="0" w:space="0" w:color="auto"/>
                    <w:bottom w:val="none" w:sz="0" w:space="0" w:color="auto"/>
                    <w:right w:val="none" w:sz="0" w:space="0" w:color="auto"/>
                  </w:divBdr>
                </w:div>
              </w:divsChild>
            </w:div>
            <w:div w:id="1111169265">
              <w:marLeft w:val="0"/>
              <w:marRight w:val="0"/>
              <w:marTop w:val="0"/>
              <w:marBottom w:val="0"/>
              <w:divBdr>
                <w:top w:val="none" w:sz="0" w:space="0" w:color="auto"/>
                <w:left w:val="none" w:sz="0" w:space="0" w:color="auto"/>
                <w:bottom w:val="none" w:sz="0" w:space="0" w:color="auto"/>
                <w:right w:val="none" w:sz="0" w:space="0" w:color="auto"/>
              </w:divBdr>
              <w:divsChild>
                <w:div w:id="11054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34389">
      <w:bodyDiv w:val="1"/>
      <w:marLeft w:val="0"/>
      <w:marRight w:val="0"/>
      <w:marTop w:val="0"/>
      <w:marBottom w:val="0"/>
      <w:divBdr>
        <w:top w:val="none" w:sz="0" w:space="0" w:color="auto"/>
        <w:left w:val="none" w:sz="0" w:space="0" w:color="auto"/>
        <w:bottom w:val="none" w:sz="0" w:space="0" w:color="auto"/>
        <w:right w:val="none" w:sz="0" w:space="0" w:color="auto"/>
      </w:divBdr>
    </w:div>
    <w:div w:id="1809662919">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5117251">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0091364">
      <w:bodyDiv w:val="1"/>
      <w:marLeft w:val="0"/>
      <w:marRight w:val="0"/>
      <w:marTop w:val="0"/>
      <w:marBottom w:val="0"/>
      <w:divBdr>
        <w:top w:val="none" w:sz="0" w:space="0" w:color="auto"/>
        <w:left w:val="none" w:sz="0" w:space="0" w:color="auto"/>
        <w:bottom w:val="none" w:sz="0" w:space="0" w:color="auto"/>
        <w:right w:val="none" w:sz="0" w:space="0" w:color="auto"/>
      </w:divBdr>
      <w:divsChild>
        <w:div w:id="453060388">
          <w:marLeft w:val="0"/>
          <w:marRight w:val="0"/>
          <w:marTop w:val="0"/>
          <w:marBottom w:val="0"/>
          <w:divBdr>
            <w:top w:val="none" w:sz="0" w:space="0" w:color="auto"/>
            <w:left w:val="none" w:sz="0" w:space="0" w:color="auto"/>
            <w:bottom w:val="none" w:sz="0" w:space="0" w:color="auto"/>
            <w:right w:val="none" w:sz="0" w:space="0" w:color="auto"/>
          </w:divBdr>
          <w:divsChild>
            <w:div w:id="893737457">
              <w:marLeft w:val="0"/>
              <w:marRight w:val="0"/>
              <w:marTop w:val="0"/>
              <w:marBottom w:val="0"/>
              <w:divBdr>
                <w:top w:val="none" w:sz="0" w:space="0" w:color="auto"/>
                <w:left w:val="none" w:sz="0" w:space="0" w:color="auto"/>
                <w:bottom w:val="none" w:sz="0" w:space="0" w:color="auto"/>
                <w:right w:val="none" w:sz="0" w:space="0" w:color="auto"/>
              </w:divBdr>
              <w:divsChild>
                <w:div w:id="15084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3360">
          <w:marLeft w:val="0"/>
          <w:marRight w:val="0"/>
          <w:marTop w:val="0"/>
          <w:marBottom w:val="0"/>
          <w:divBdr>
            <w:top w:val="none" w:sz="0" w:space="0" w:color="auto"/>
            <w:left w:val="none" w:sz="0" w:space="0" w:color="auto"/>
            <w:bottom w:val="none" w:sz="0" w:space="0" w:color="auto"/>
            <w:right w:val="none" w:sz="0" w:space="0" w:color="auto"/>
          </w:divBdr>
          <w:divsChild>
            <w:div w:id="230233323">
              <w:marLeft w:val="0"/>
              <w:marRight w:val="0"/>
              <w:marTop w:val="0"/>
              <w:marBottom w:val="0"/>
              <w:divBdr>
                <w:top w:val="none" w:sz="0" w:space="0" w:color="auto"/>
                <w:left w:val="none" w:sz="0" w:space="0" w:color="auto"/>
                <w:bottom w:val="none" w:sz="0" w:space="0" w:color="auto"/>
                <w:right w:val="none" w:sz="0" w:space="0" w:color="auto"/>
              </w:divBdr>
              <w:divsChild>
                <w:div w:id="9571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04268">
          <w:marLeft w:val="0"/>
          <w:marRight w:val="0"/>
          <w:marTop w:val="0"/>
          <w:marBottom w:val="0"/>
          <w:divBdr>
            <w:top w:val="none" w:sz="0" w:space="0" w:color="auto"/>
            <w:left w:val="none" w:sz="0" w:space="0" w:color="auto"/>
            <w:bottom w:val="none" w:sz="0" w:space="0" w:color="auto"/>
            <w:right w:val="none" w:sz="0" w:space="0" w:color="auto"/>
          </w:divBdr>
          <w:divsChild>
            <w:div w:id="1892114639">
              <w:marLeft w:val="0"/>
              <w:marRight w:val="0"/>
              <w:marTop w:val="0"/>
              <w:marBottom w:val="0"/>
              <w:divBdr>
                <w:top w:val="none" w:sz="0" w:space="0" w:color="auto"/>
                <w:left w:val="none" w:sz="0" w:space="0" w:color="auto"/>
                <w:bottom w:val="none" w:sz="0" w:space="0" w:color="auto"/>
                <w:right w:val="none" w:sz="0" w:space="0" w:color="auto"/>
              </w:divBdr>
              <w:divsChild>
                <w:div w:id="3497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25355016">
      <w:bodyDiv w:val="1"/>
      <w:marLeft w:val="0"/>
      <w:marRight w:val="0"/>
      <w:marTop w:val="0"/>
      <w:marBottom w:val="0"/>
      <w:divBdr>
        <w:top w:val="none" w:sz="0" w:space="0" w:color="auto"/>
        <w:left w:val="none" w:sz="0" w:space="0" w:color="auto"/>
        <w:bottom w:val="none" w:sz="0" w:space="0" w:color="auto"/>
        <w:right w:val="none" w:sz="0" w:space="0" w:color="auto"/>
      </w:divBdr>
    </w:div>
    <w:div w:id="2031905290">
      <w:bodyDiv w:val="1"/>
      <w:marLeft w:val="0"/>
      <w:marRight w:val="0"/>
      <w:marTop w:val="0"/>
      <w:marBottom w:val="0"/>
      <w:divBdr>
        <w:top w:val="none" w:sz="0" w:space="0" w:color="auto"/>
        <w:left w:val="none" w:sz="0" w:space="0" w:color="auto"/>
        <w:bottom w:val="none" w:sz="0" w:space="0" w:color="auto"/>
        <w:right w:val="none" w:sz="0" w:space="0" w:color="auto"/>
      </w:divBdr>
      <w:divsChild>
        <w:div w:id="217207989">
          <w:marLeft w:val="0"/>
          <w:marRight w:val="0"/>
          <w:marTop w:val="0"/>
          <w:marBottom w:val="0"/>
          <w:divBdr>
            <w:top w:val="none" w:sz="0" w:space="0" w:color="auto"/>
            <w:left w:val="none" w:sz="0" w:space="0" w:color="auto"/>
            <w:bottom w:val="none" w:sz="0" w:space="0" w:color="auto"/>
            <w:right w:val="none" w:sz="0" w:space="0" w:color="auto"/>
          </w:divBdr>
          <w:divsChild>
            <w:div w:id="2027519952">
              <w:marLeft w:val="0"/>
              <w:marRight w:val="0"/>
              <w:marTop w:val="0"/>
              <w:marBottom w:val="0"/>
              <w:divBdr>
                <w:top w:val="none" w:sz="0" w:space="0" w:color="auto"/>
                <w:left w:val="none" w:sz="0" w:space="0" w:color="auto"/>
                <w:bottom w:val="none" w:sz="0" w:space="0" w:color="auto"/>
                <w:right w:val="none" w:sz="0" w:space="0" w:color="auto"/>
              </w:divBdr>
              <w:divsChild>
                <w:div w:id="19696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8410">
          <w:marLeft w:val="0"/>
          <w:marRight w:val="0"/>
          <w:marTop w:val="0"/>
          <w:marBottom w:val="0"/>
          <w:divBdr>
            <w:top w:val="none" w:sz="0" w:space="0" w:color="auto"/>
            <w:left w:val="none" w:sz="0" w:space="0" w:color="auto"/>
            <w:bottom w:val="none" w:sz="0" w:space="0" w:color="auto"/>
            <w:right w:val="none" w:sz="0" w:space="0" w:color="auto"/>
          </w:divBdr>
          <w:divsChild>
            <w:div w:id="1073818571">
              <w:marLeft w:val="0"/>
              <w:marRight w:val="0"/>
              <w:marTop w:val="0"/>
              <w:marBottom w:val="0"/>
              <w:divBdr>
                <w:top w:val="none" w:sz="0" w:space="0" w:color="auto"/>
                <w:left w:val="none" w:sz="0" w:space="0" w:color="auto"/>
                <w:bottom w:val="none" w:sz="0" w:space="0" w:color="auto"/>
                <w:right w:val="none" w:sz="0" w:space="0" w:color="auto"/>
              </w:divBdr>
              <w:divsChild>
                <w:div w:id="9425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0825">
          <w:marLeft w:val="0"/>
          <w:marRight w:val="0"/>
          <w:marTop w:val="0"/>
          <w:marBottom w:val="0"/>
          <w:divBdr>
            <w:top w:val="none" w:sz="0" w:space="0" w:color="auto"/>
            <w:left w:val="none" w:sz="0" w:space="0" w:color="auto"/>
            <w:bottom w:val="none" w:sz="0" w:space="0" w:color="auto"/>
            <w:right w:val="none" w:sz="0" w:space="0" w:color="auto"/>
          </w:divBdr>
          <w:divsChild>
            <w:div w:id="997341107">
              <w:marLeft w:val="0"/>
              <w:marRight w:val="0"/>
              <w:marTop w:val="0"/>
              <w:marBottom w:val="0"/>
              <w:divBdr>
                <w:top w:val="none" w:sz="0" w:space="0" w:color="auto"/>
                <w:left w:val="none" w:sz="0" w:space="0" w:color="auto"/>
                <w:bottom w:val="none" w:sz="0" w:space="0" w:color="auto"/>
                <w:right w:val="none" w:sz="0" w:space="0" w:color="auto"/>
              </w:divBdr>
              <w:divsChild>
                <w:div w:id="15434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9069">
          <w:marLeft w:val="0"/>
          <w:marRight w:val="0"/>
          <w:marTop w:val="0"/>
          <w:marBottom w:val="0"/>
          <w:divBdr>
            <w:top w:val="none" w:sz="0" w:space="0" w:color="auto"/>
            <w:left w:val="none" w:sz="0" w:space="0" w:color="auto"/>
            <w:bottom w:val="none" w:sz="0" w:space="0" w:color="auto"/>
            <w:right w:val="none" w:sz="0" w:space="0" w:color="auto"/>
          </w:divBdr>
          <w:divsChild>
            <w:div w:id="118651535">
              <w:marLeft w:val="0"/>
              <w:marRight w:val="0"/>
              <w:marTop w:val="0"/>
              <w:marBottom w:val="0"/>
              <w:divBdr>
                <w:top w:val="none" w:sz="0" w:space="0" w:color="auto"/>
                <w:left w:val="none" w:sz="0" w:space="0" w:color="auto"/>
                <w:bottom w:val="none" w:sz="0" w:space="0" w:color="auto"/>
                <w:right w:val="none" w:sz="0" w:space="0" w:color="auto"/>
              </w:divBdr>
              <w:divsChild>
                <w:div w:id="1514951859">
                  <w:marLeft w:val="0"/>
                  <w:marRight w:val="0"/>
                  <w:marTop w:val="0"/>
                  <w:marBottom w:val="0"/>
                  <w:divBdr>
                    <w:top w:val="none" w:sz="0" w:space="0" w:color="auto"/>
                    <w:left w:val="none" w:sz="0" w:space="0" w:color="auto"/>
                    <w:bottom w:val="none" w:sz="0" w:space="0" w:color="auto"/>
                    <w:right w:val="none" w:sz="0" w:space="0" w:color="auto"/>
                  </w:divBdr>
                </w:div>
              </w:divsChild>
            </w:div>
            <w:div w:id="1489322772">
              <w:marLeft w:val="0"/>
              <w:marRight w:val="0"/>
              <w:marTop w:val="0"/>
              <w:marBottom w:val="0"/>
              <w:divBdr>
                <w:top w:val="none" w:sz="0" w:space="0" w:color="auto"/>
                <w:left w:val="none" w:sz="0" w:space="0" w:color="auto"/>
                <w:bottom w:val="none" w:sz="0" w:space="0" w:color="auto"/>
                <w:right w:val="none" w:sz="0" w:space="0" w:color="auto"/>
              </w:divBdr>
              <w:divsChild>
                <w:div w:id="95255780">
                  <w:marLeft w:val="0"/>
                  <w:marRight w:val="0"/>
                  <w:marTop w:val="0"/>
                  <w:marBottom w:val="0"/>
                  <w:divBdr>
                    <w:top w:val="none" w:sz="0" w:space="0" w:color="auto"/>
                    <w:left w:val="none" w:sz="0" w:space="0" w:color="auto"/>
                    <w:bottom w:val="none" w:sz="0" w:space="0" w:color="auto"/>
                    <w:right w:val="none" w:sz="0" w:space="0" w:color="auto"/>
                  </w:divBdr>
                </w:div>
              </w:divsChild>
            </w:div>
            <w:div w:id="1577589621">
              <w:marLeft w:val="0"/>
              <w:marRight w:val="0"/>
              <w:marTop w:val="0"/>
              <w:marBottom w:val="0"/>
              <w:divBdr>
                <w:top w:val="none" w:sz="0" w:space="0" w:color="auto"/>
                <w:left w:val="none" w:sz="0" w:space="0" w:color="auto"/>
                <w:bottom w:val="none" w:sz="0" w:space="0" w:color="auto"/>
                <w:right w:val="none" w:sz="0" w:space="0" w:color="auto"/>
              </w:divBdr>
              <w:divsChild>
                <w:div w:id="20922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3871">
      <w:bodyDiv w:val="1"/>
      <w:marLeft w:val="0"/>
      <w:marRight w:val="0"/>
      <w:marTop w:val="0"/>
      <w:marBottom w:val="0"/>
      <w:divBdr>
        <w:top w:val="none" w:sz="0" w:space="0" w:color="auto"/>
        <w:left w:val="none" w:sz="0" w:space="0" w:color="auto"/>
        <w:bottom w:val="none" w:sz="0" w:space="0" w:color="auto"/>
        <w:right w:val="none" w:sz="0" w:space="0" w:color="auto"/>
      </w:divBdr>
      <w:divsChild>
        <w:div w:id="22948057">
          <w:marLeft w:val="0"/>
          <w:marRight w:val="0"/>
          <w:marTop w:val="0"/>
          <w:marBottom w:val="0"/>
          <w:divBdr>
            <w:top w:val="none" w:sz="0" w:space="0" w:color="auto"/>
            <w:left w:val="none" w:sz="0" w:space="0" w:color="auto"/>
            <w:bottom w:val="none" w:sz="0" w:space="0" w:color="auto"/>
            <w:right w:val="none" w:sz="0" w:space="0" w:color="auto"/>
          </w:divBdr>
          <w:divsChild>
            <w:div w:id="97262704">
              <w:marLeft w:val="0"/>
              <w:marRight w:val="0"/>
              <w:marTop w:val="0"/>
              <w:marBottom w:val="0"/>
              <w:divBdr>
                <w:top w:val="none" w:sz="0" w:space="0" w:color="auto"/>
                <w:left w:val="none" w:sz="0" w:space="0" w:color="auto"/>
                <w:bottom w:val="none" w:sz="0" w:space="0" w:color="auto"/>
                <w:right w:val="none" w:sz="0" w:space="0" w:color="auto"/>
              </w:divBdr>
            </w:div>
          </w:divsChild>
        </w:div>
        <w:div w:id="732049294">
          <w:marLeft w:val="0"/>
          <w:marRight w:val="0"/>
          <w:marTop w:val="0"/>
          <w:marBottom w:val="0"/>
          <w:divBdr>
            <w:top w:val="none" w:sz="0" w:space="0" w:color="auto"/>
            <w:left w:val="none" w:sz="0" w:space="0" w:color="auto"/>
            <w:bottom w:val="none" w:sz="0" w:space="0" w:color="auto"/>
            <w:right w:val="none" w:sz="0" w:space="0" w:color="auto"/>
          </w:divBdr>
          <w:divsChild>
            <w:div w:id="733895751">
              <w:marLeft w:val="0"/>
              <w:marRight w:val="0"/>
              <w:marTop w:val="0"/>
              <w:marBottom w:val="0"/>
              <w:divBdr>
                <w:top w:val="none" w:sz="0" w:space="0" w:color="auto"/>
                <w:left w:val="none" w:sz="0" w:space="0" w:color="auto"/>
                <w:bottom w:val="none" w:sz="0" w:space="0" w:color="auto"/>
                <w:right w:val="none" w:sz="0" w:space="0" w:color="auto"/>
              </w:divBdr>
            </w:div>
          </w:divsChild>
        </w:div>
        <w:div w:id="1599100911">
          <w:marLeft w:val="0"/>
          <w:marRight w:val="0"/>
          <w:marTop w:val="0"/>
          <w:marBottom w:val="0"/>
          <w:divBdr>
            <w:top w:val="none" w:sz="0" w:space="0" w:color="auto"/>
            <w:left w:val="none" w:sz="0" w:space="0" w:color="auto"/>
            <w:bottom w:val="none" w:sz="0" w:space="0" w:color="auto"/>
            <w:right w:val="none" w:sz="0" w:space="0" w:color="auto"/>
          </w:divBdr>
          <w:divsChild>
            <w:div w:id="1635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HPOS" TargetMode="External"/><Relationship Id="rId13" Type="http://schemas.openxmlformats.org/officeDocument/2006/relationships/hyperlink" Target="http://www.servicesaustralia.gov.au/HPO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rvicesaustralia.gov.au/HPO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www.servicesaustralia.gov.au/HPO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ervicesaustralia.gov.au/HPOS"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aph.gov.au/~/media/wopapub/senate/committee/clac_ctte/completed_inquiries/2004_07/nat_hth_pbs_07/submissions/sub04_pdf.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02704085-B708-4ED0-820C-9F2A8C1FB440}"/>
</file>

<file path=customXml/itemProps3.xml><?xml version="1.0" encoding="utf-8"?>
<ds:datastoreItem xmlns:ds="http://schemas.openxmlformats.org/officeDocument/2006/customXml" ds:itemID="{266B98CB-9B08-426C-A577-E24E52DADB90}"/>
</file>

<file path=customXml/itemProps4.xml><?xml version="1.0" encoding="utf-8"?>
<ds:datastoreItem xmlns:ds="http://schemas.openxmlformats.org/officeDocument/2006/customXml" ds:itemID="{DE58EF57-9752-4900-82FE-993153932361}"/>
</file>

<file path=docProps/app.xml><?xml version="1.0" encoding="utf-8"?>
<Properties xmlns="http://schemas.openxmlformats.org/officeDocument/2006/extended-properties" xmlns:vt="http://schemas.openxmlformats.org/officeDocument/2006/docPropsVTypes">
  <Template>Normal.dotm</Template>
  <TotalTime>0</TotalTime>
  <Pages>31</Pages>
  <Words>12205</Words>
  <Characters>69571</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81613</CharactersWithSpaces>
  <SharedDoc>false</SharedDoc>
  <HLinks>
    <vt:vector size="42" baseType="variant">
      <vt:variant>
        <vt:i4>1507399</vt:i4>
      </vt:variant>
      <vt:variant>
        <vt:i4>195</vt:i4>
      </vt:variant>
      <vt:variant>
        <vt:i4>0</vt:i4>
      </vt:variant>
      <vt:variant>
        <vt:i4>5</vt:i4>
      </vt:variant>
      <vt:variant>
        <vt:lpwstr>http://www.servicesaustralia.gov.au/HPOS</vt:lpwstr>
      </vt:variant>
      <vt:variant>
        <vt:lpwstr/>
      </vt:variant>
      <vt:variant>
        <vt:i4>1507399</vt:i4>
      </vt:variant>
      <vt:variant>
        <vt:i4>168</vt:i4>
      </vt:variant>
      <vt:variant>
        <vt:i4>0</vt:i4>
      </vt:variant>
      <vt:variant>
        <vt:i4>5</vt:i4>
      </vt:variant>
      <vt:variant>
        <vt:lpwstr>http://www.servicesaustralia.gov.au/HPOS</vt:lpwstr>
      </vt:variant>
      <vt:variant>
        <vt:lpwstr/>
      </vt:variant>
      <vt:variant>
        <vt:i4>1507399</vt:i4>
      </vt:variant>
      <vt:variant>
        <vt:i4>132</vt:i4>
      </vt:variant>
      <vt:variant>
        <vt:i4>0</vt:i4>
      </vt:variant>
      <vt:variant>
        <vt:i4>5</vt:i4>
      </vt:variant>
      <vt:variant>
        <vt:lpwstr>http://www.servicesaustralia.gov.au/HPOS</vt:lpwstr>
      </vt:variant>
      <vt:variant>
        <vt:lpwstr/>
      </vt:variant>
      <vt:variant>
        <vt:i4>1507399</vt:i4>
      </vt:variant>
      <vt:variant>
        <vt:i4>63</vt:i4>
      </vt:variant>
      <vt:variant>
        <vt:i4>0</vt:i4>
      </vt:variant>
      <vt:variant>
        <vt:i4>5</vt:i4>
      </vt:variant>
      <vt:variant>
        <vt:lpwstr>http://www.servicesaustralia.gov.au/HPOS</vt:lpwstr>
      </vt:variant>
      <vt:variant>
        <vt:lpwstr/>
      </vt:variant>
      <vt:variant>
        <vt:i4>1507399</vt:i4>
      </vt:variant>
      <vt:variant>
        <vt:i4>45</vt:i4>
      </vt:variant>
      <vt:variant>
        <vt:i4>0</vt:i4>
      </vt:variant>
      <vt:variant>
        <vt:i4>5</vt:i4>
      </vt:variant>
      <vt:variant>
        <vt:lpwstr>http://www.servicesaustralia.gov.au/HPOS</vt:lpwstr>
      </vt:variant>
      <vt:variant>
        <vt:lpwstr/>
      </vt:variant>
      <vt:variant>
        <vt:i4>1507399</vt:i4>
      </vt:variant>
      <vt:variant>
        <vt:i4>27</vt:i4>
      </vt:variant>
      <vt:variant>
        <vt:i4>0</vt:i4>
      </vt:variant>
      <vt:variant>
        <vt:i4>5</vt:i4>
      </vt:variant>
      <vt:variant>
        <vt:lpwstr>http://www.servicesaustralia.gov.au/HPOS</vt:lpwstr>
      </vt:variant>
      <vt:variant>
        <vt:lpwstr/>
      </vt:variant>
      <vt:variant>
        <vt:i4>2490368</vt:i4>
      </vt:variant>
      <vt:variant>
        <vt:i4>0</vt:i4>
      </vt:variant>
      <vt:variant>
        <vt:i4>0</vt:i4>
      </vt:variant>
      <vt:variant>
        <vt:i4>5</vt:i4>
      </vt:variant>
      <vt:variant>
        <vt:lpwstr>https://www.aph.gov.au/~/media/wopapub/senate/committee/clac_ctte/completed_inquiries/2004_07/nat_hth_pbs_07/submissions/sub04_pdf.ashx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2025-07-04T00:39:00Z</dcterms:created>
  <dcterms:modified xsi:type="dcterms:W3CDTF">2025-07-04T00:39:00Z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ies>
</file>