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31655C9" w:rsidR="00B60939" w:rsidRPr="0098262F" w:rsidRDefault="00E50C0A" w:rsidP="004A6040">
      <w:pPr>
        <w:pStyle w:val="1-MainHeading"/>
      </w:pPr>
      <w:bookmarkStart w:id="0" w:name="_Toc187914740"/>
      <w:r>
        <w:t>5.06</w:t>
      </w:r>
      <w:r w:rsidR="00163F66" w:rsidRPr="0098262F">
        <w:tab/>
      </w:r>
      <w:r w:rsidR="00D32312">
        <w:t>ELAFIBRANOR</w:t>
      </w:r>
      <w:r w:rsidR="00163F66" w:rsidRPr="0098262F">
        <w:t>,</w:t>
      </w:r>
      <w:r w:rsidR="00163F66" w:rsidRPr="0098262F">
        <w:br/>
      </w:r>
      <w:r w:rsidR="00A71E7F">
        <w:t>Tablet</w:t>
      </w:r>
      <w:r>
        <w:t xml:space="preserve"> </w:t>
      </w:r>
      <w:r w:rsidR="00576E55">
        <w:t>80 mg</w:t>
      </w:r>
      <w:r w:rsidR="00163F66" w:rsidRPr="0098262F">
        <w:t>,</w:t>
      </w:r>
      <w:r w:rsidR="00163F66" w:rsidRPr="0098262F">
        <w:br/>
      </w:r>
      <w:proofErr w:type="spellStart"/>
      <w:r w:rsidR="00576E55">
        <w:t>Iqirvo</w:t>
      </w:r>
      <w:proofErr w:type="spellEnd"/>
      <w:r w:rsidR="00B60939" w:rsidRPr="0098262F">
        <w:rPr>
          <w:vertAlign w:val="superscript"/>
        </w:rPr>
        <w:t>®</w:t>
      </w:r>
      <w:r w:rsidR="004A6040" w:rsidRPr="0098262F">
        <w:t>,</w:t>
      </w:r>
      <w:r w:rsidR="004A6040" w:rsidRPr="0098262F">
        <w:br/>
      </w:r>
      <w:r w:rsidR="00576E55">
        <w:t>Ipsen Pty Ltd</w:t>
      </w:r>
      <w:r w:rsidR="00B60939" w:rsidRPr="0098262F">
        <w:t>.</w:t>
      </w:r>
      <w:bookmarkEnd w:id="0"/>
    </w:p>
    <w:p w14:paraId="2981A5B8" w14:textId="77777777" w:rsidR="004A29D1" w:rsidRPr="00407F2D" w:rsidRDefault="004A29D1" w:rsidP="004A29D1">
      <w:pPr>
        <w:pStyle w:val="2-SectionHeading"/>
      </w:pPr>
      <w:bookmarkStart w:id="1" w:name="_Toc187914742"/>
      <w:r w:rsidRPr="00407F2D">
        <w:t xml:space="preserve">Purpose of </w:t>
      </w:r>
      <w:r>
        <w:t>submission</w:t>
      </w:r>
      <w:bookmarkEnd w:id="1"/>
    </w:p>
    <w:p w14:paraId="19414AA1" w14:textId="2C9FB94D" w:rsidR="002C2775" w:rsidRPr="0098262F" w:rsidRDefault="007170DA" w:rsidP="004E18E9">
      <w:pPr>
        <w:pStyle w:val="3-BodyText"/>
      </w:pPr>
      <w:r w:rsidRPr="05042C88">
        <w:t xml:space="preserve">The </w:t>
      </w:r>
      <w:r w:rsidR="00F73E08" w:rsidRPr="05042C88">
        <w:t xml:space="preserve">Category </w:t>
      </w:r>
      <w:r w:rsidR="00273EA7" w:rsidRPr="05042C88">
        <w:t>1</w:t>
      </w:r>
      <w:r w:rsidR="00F73E08" w:rsidRPr="05042C88">
        <w:t xml:space="preserve"> </w:t>
      </w:r>
      <w:r w:rsidRPr="05042C88">
        <w:t xml:space="preserve">submission requested </w:t>
      </w:r>
      <w:r w:rsidR="002D68AE" w:rsidRPr="05042C88">
        <w:t>Authority required (STREAMLINED)</w:t>
      </w:r>
      <w:r w:rsidR="008B1757" w:rsidRPr="05042C88">
        <w:t xml:space="preserve"> listing for </w:t>
      </w:r>
      <w:proofErr w:type="spellStart"/>
      <w:r w:rsidR="002D68AE" w:rsidRPr="05042C88">
        <w:t>elafibranor</w:t>
      </w:r>
      <w:proofErr w:type="spellEnd"/>
      <w:r w:rsidR="008B1757" w:rsidRPr="05042C88">
        <w:t xml:space="preserve"> for </w:t>
      </w:r>
      <w:r w:rsidR="0050174E" w:rsidRPr="05042C88">
        <w:t xml:space="preserve">the </w:t>
      </w:r>
      <w:r w:rsidR="008B1757" w:rsidRPr="05042C88">
        <w:t xml:space="preserve">treatment of </w:t>
      </w:r>
      <w:r w:rsidR="002D68AE" w:rsidRPr="05042C88">
        <w:t>primary biliary cholangitis</w:t>
      </w:r>
      <w:r w:rsidR="00C56513" w:rsidRPr="05042C88">
        <w:t xml:space="preserve"> (PBC)</w:t>
      </w:r>
      <w:r w:rsidR="008B1757" w:rsidRPr="05042C88">
        <w:t>.</w:t>
      </w:r>
    </w:p>
    <w:p w14:paraId="4E9FBCB5" w14:textId="4AF6788B" w:rsidR="00C2778B" w:rsidRPr="0098262F" w:rsidRDefault="005750C5" w:rsidP="004E18E9">
      <w:pPr>
        <w:pStyle w:val="3-BodyText"/>
      </w:pPr>
      <w:r w:rsidRPr="05042C88">
        <w:t xml:space="preserve">Listing was requested on the basis of a cost-effectiveness analysis versus </w:t>
      </w:r>
      <w:proofErr w:type="spellStart"/>
      <w:r w:rsidR="002D68AE" w:rsidRPr="05042C88">
        <w:t>obeticholic</w:t>
      </w:r>
      <w:proofErr w:type="spellEnd"/>
      <w:r w:rsidR="002D68AE" w:rsidRPr="05042C88">
        <w:t xml:space="preserve"> acid</w:t>
      </w:r>
      <w:r w:rsidR="00C56513" w:rsidRPr="05042C88">
        <w:t xml:space="preserve"> (OCA)</w:t>
      </w:r>
      <w:r w:rsidRPr="05042C88">
        <w:t>.</w:t>
      </w:r>
      <w:r w:rsidR="00BA3CA9" w:rsidRPr="05042C88">
        <w:t xml:space="preserve"> </w:t>
      </w:r>
      <w:r>
        <w:fldChar w:fldCharType="begin" w:fldLock="1"/>
      </w:r>
      <w:r>
        <w:instrText xml:space="preserve"> REF _Ref185191108 \h </w:instrText>
      </w:r>
      <w:r>
        <w:fldChar w:fldCharType="separate"/>
      </w:r>
      <w:r w:rsidR="002B3034" w:rsidRPr="05042C88">
        <w:t xml:space="preserve">Table </w:t>
      </w:r>
      <w:r w:rsidR="002B3034" w:rsidRPr="05042C88">
        <w:rPr>
          <w:noProof/>
        </w:rPr>
        <w:t>1</w:t>
      </w:r>
      <w:r>
        <w:fldChar w:fldCharType="end"/>
      </w:r>
      <w:r w:rsidR="00BA3CA9" w:rsidRPr="05042C88">
        <w:t xml:space="preserve"> summarises the components of the overall clinical claim addressed by the submission.</w:t>
      </w:r>
    </w:p>
    <w:p w14:paraId="1C3AD643" w14:textId="59CFC7D0" w:rsidR="00392763" w:rsidRDefault="004A29D1" w:rsidP="00392763">
      <w:pPr>
        <w:pStyle w:val="TableFigureHeading"/>
      </w:pPr>
      <w:bookmarkStart w:id="2" w:name="_Ref185191108"/>
      <w:r w:rsidRPr="05042C88">
        <w:t xml:space="preserve">Table </w:t>
      </w:r>
      <w:r w:rsidRPr="05042C88">
        <w:fldChar w:fldCharType="begin" w:fldLock="1"/>
      </w:r>
      <w:r>
        <w:instrText xml:space="preserve"> SEQ Table \* ARABIC </w:instrText>
      </w:r>
      <w:r w:rsidRPr="05042C88">
        <w:fldChar w:fldCharType="separate"/>
      </w:r>
      <w:r w:rsidR="00780A90" w:rsidRPr="05042C88">
        <w:rPr>
          <w:noProof/>
        </w:rPr>
        <w:t>1</w:t>
      </w:r>
      <w:r w:rsidRPr="05042C88">
        <w:rPr>
          <w:noProof/>
        </w:rPr>
        <w:fldChar w:fldCharType="end"/>
      </w:r>
      <w:bookmarkEnd w:id="2"/>
      <w:r w:rsidRPr="05042C88">
        <w:t>:</w:t>
      </w:r>
      <w:r w:rsidRPr="05042C88">
        <w:rPr>
          <w:rStyle w:val="CommentReference"/>
          <w:b/>
        </w:rPr>
        <w:t xml:space="preserve"> </w:t>
      </w:r>
      <w:r w:rsidR="008B1757" w:rsidRPr="05042C88">
        <w:rPr>
          <w:rStyle w:val="CommentReference"/>
          <w:b/>
        </w:rPr>
        <w:t>Key components of the clinical issue addressed by the submission</w:t>
      </w:r>
      <w:r w:rsidR="007170DA" w:rsidRPr="05042C88">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98262F" w14:paraId="569F5103" w14:textId="77777777" w:rsidTr="05042C88">
        <w:trPr>
          <w:cantSplit/>
          <w:tblHeader/>
        </w:trPr>
        <w:tc>
          <w:tcPr>
            <w:tcW w:w="705" w:type="pct"/>
            <w:shd w:val="clear" w:color="auto" w:fill="auto"/>
          </w:tcPr>
          <w:p w14:paraId="501803FB" w14:textId="77777777" w:rsidR="008B1757" w:rsidRPr="0098262F" w:rsidRDefault="008B1757" w:rsidP="00563702">
            <w:pPr>
              <w:pStyle w:val="In-tableHeading"/>
              <w:jc w:val="center"/>
              <w:rPr>
                <w:szCs w:val="20"/>
                <w:lang w:val="en-AU"/>
              </w:rPr>
            </w:pPr>
            <w:r w:rsidRPr="0098262F">
              <w:rPr>
                <w:lang w:val="en-AU"/>
              </w:rPr>
              <w:t>Component</w:t>
            </w:r>
          </w:p>
        </w:tc>
        <w:tc>
          <w:tcPr>
            <w:tcW w:w="4295" w:type="pct"/>
            <w:shd w:val="clear" w:color="auto" w:fill="auto"/>
          </w:tcPr>
          <w:p w14:paraId="445D9EBB" w14:textId="77777777" w:rsidR="008B1757" w:rsidRPr="0098262F" w:rsidRDefault="008B1757" w:rsidP="00563702">
            <w:pPr>
              <w:pStyle w:val="In-tableHeading"/>
              <w:jc w:val="center"/>
              <w:rPr>
                <w:lang w:val="en-AU"/>
              </w:rPr>
            </w:pPr>
            <w:r w:rsidRPr="0098262F">
              <w:rPr>
                <w:lang w:val="en-AU"/>
              </w:rPr>
              <w:t>Description</w:t>
            </w:r>
          </w:p>
        </w:tc>
      </w:tr>
      <w:tr w:rsidR="002D68AE" w:rsidRPr="0098262F" w14:paraId="0CA523AF" w14:textId="77777777" w:rsidTr="05042C88">
        <w:trPr>
          <w:cantSplit/>
        </w:trPr>
        <w:tc>
          <w:tcPr>
            <w:tcW w:w="705" w:type="pct"/>
            <w:shd w:val="clear" w:color="auto" w:fill="auto"/>
            <w:vAlign w:val="center"/>
          </w:tcPr>
          <w:p w14:paraId="7B6D20D8" w14:textId="4A0EE368" w:rsidR="002D68AE" w:rsidRPr="0098262F" w:rsidRDefault="002D68AE" w:rsidP="002D68AE">
            <w:pPr>
              <w:pStyle w:val="TableText0"/>
            </w:pPr>
            <w:r>
              <w:t>Population</w:t>
            </w:r>
          </w:p>
        </w:tc>
        <w:tc>
          <w:tcPr>
            <w:tcW w:w="4295" w:type="pct"/>
            <w:shd w:val="clear" w:color="auto" w:fill="auto"/>
          </w:tcPr>
          <w:p w14:paraId="2491E905" w14:textId="6A114935" w:rsidR="002D68AE" w:rsidRPr="0098262F" w:rsidRDefault="002D68AE" w:rsidP="002D68AE">
            <w:pPr>
              <w:pStyle w:val="TableText0"/>
            </w:pPr>
            <w:r>
              <w:t>Patients diagnosed with PBC with elevated levels of alkaline phosphatase and bilirubin, with an inadequate response to UDCA or intolerance to UDCA</w:t>
            </w:r>
            <w:r w:rsidR="00C94669">
              <w:t>.</w:t>
            </w:r>
          </w:p>
        </w:tc>
      </w:tr>
      <w:tr w:rsidR="002D68AE" w:rsidRPr="0098262F" w14:paraId="0F81EBE4" w14:textId="77777777" w:rsidTr="05042C88">
        <w:trPr>
          <w:cantSplit/>
        </w:trPr>
        <w:tc>
          <w:tcPr>
            <w:tcW w:w="705" w:type="pct"/>
            <w:shd w:val="clear" w:color="auto" w:fill="auto"/>
            <w:vAlign w:val="center"/>
          </w:tcPr>
          <w:p w14:paraId="3656B343" w14:textId="0A051FA4" w:rsidR="002D68AE" w:rsidRPr="0098262F" w:rsidRDefault="002D68AE" w:rsidP="002D68AE">
            <w:pPr>
              <w:pStyle w:val="TableText0"/>
            </w:pPr>
            <w:r>
              <w:t>Intervention</w:t>
            </w:r>
          </w:p>
        </w:tc>
        <w:tc>
          <w:tcPr>
            <w:tcW w:w="4295" w:type="pct"/>
            <w:shd w:val="clear" w:color="auto" w:fill="auto"/>
          </w:tcPr>
          <w:p w14:paraId="3727DE24" w14:textId="1D8660C5" w:rsidR="002D68AE" w:rsidRPr="0098262F" w:rsidRDefault="002D68AE" w:rsidP="002D68AE">
            <w:pPr>
              <w:pStyle w:val="TableText0"/>
            </w:pPr>
            <w:proofErr w:type="spellStart"/>
            <w:r w:rsidRPr="05042C88">
              <w:t>Elafibranor</w:t>
            </w:r>
            <w:proofErr w:type="spellEnd"/>
            <w:r w:rsidRPr="05042C88">
              <w:t xml:space="preserve"> 80mg tablet once daily</w:t>
            </w:r>
            <w:r w:rsidR="00C94669" w:rsidRPr="05042C88">
              <w:t>.</w:t>
            </w:r>
            <w:r w:rsidRPr="05042C88">
              <w:t xml:space="preserve"> </w:t>
            </w:r>
          </w:p>
        </w:tc>
      </w:tr>
      <w:tr w:rsidR="002D68AE" w:rsidRPr="0098262F" w14:paraId="02F86F0D" w14:textId="77777777" w:rsidTr="05042C88">
        <w:trPr>
          <w:cantSplit/>
        </w:trPr>
        <w:tc>
          <w:tcPr>
            <w:tcW w:w="705" w:type="pct"/>
            <w:shd w:val="clear" w:color="auto" w:fill="auto"/>
            <w:vAlign w:val="center"/>
          </w:tcPr>
          <w:p w14:paraId="06433105" w14:textId="599451D6" w:rsidR="002D68AE" w:rsidRPr="0098262F" w:rsidRDefault="002D68AE" w:rsidP="002D68AE">
            <w:pPr>
              <w:pStyle w:val="TableText0"/>
            </w:pPr>
            <w:r>
              <w:t>Comparator</w:t>
            </w:r>
          </w:p>
        </w:tc>
        <w:tc>
          <w:tcPr>
            <w:tcW w:w="4295" w:type="pct"/>
            <w:shd w:val="clear" w:color="auto" w:fill="auto"/>
          </w:tcPr>
          <w:p w14:paraId="688EA9B2" w14:textId="0E9A392E" w:rsidR="002D68AE" w:rsidRDefault="002D68AE" w:rsidP="00537252">
            <w:pPr>
              <w:pStyle w:val="TableText0"/>
            </w:pPr>
            <w:r>
              <w:t>1. OCA</w:t>
            </w:r>
            <w:r w:rsidR="001E76EC">
              <w:t xml:space="preserve"> 5-10 mg tablet once daily</w:t>
            </w:r>
            <w:r w:rsidR="00C94669">
              <w:t>.</w:t>
            </w:r>
          </w:p>
          <w:p w14:paraId="44110CEC" w14:textId="7A81A682" w:rsidR="002D68AE" w:rsidRDefault="002D68AE" w:rsidP="002D68AE">
            <w:pPr>
              <w:pStyle w:val="TableText0"/>
            </w:pPr>
            <w:r w:rsidRPr="05042C88">
              <w:t>2. In OCA non-responders or patients intolerant to OCA</w:t>
            </w:r>
            <w:r w:rsidR="00C94669" w:rsidRPr="05042C88">
              <w:t>:</w:t>
            </w:r>
          </w:p>
          <w:p w14:paraId="5D298BDB" w14:textId="7D96D457" w:rsidR="002D68AE" w:rsidRDefault="00C269DA" w:rsidP="002D68AE">
            <w:pPr>
              <w:pStyle w:val="TableText0"/>
            </w:pPr>
            <w:r>
              <w:t xml:space="preserve">  </w:t>
            </w:r>
            <w:r w:rsidR="002D68AE" w:rsidRPr="05042C88">
              <w:t>a.</w:t>
            </w:r>
            <w:r w:rsidR="002D68AE">
              <w:tab/>
            </w:r>
            <w:r w:rsidR="002D68AE" w:rsidRPr="05042C88">
              <w:t xml:space="preserve">For UDCA inadequate responders, UDCA </w:t>
            </w:r>
            <w:r w:rsidR="001E76EC" w:rsidRPr="05042C88">
              <w:t>12-16</w:t>
            </w:r>
            <w:r w:rsidR="00CE7260" w:rsidRPr="05042C88">
              <w:t xml:space="preserve"> </w:t>
            </w:r>
            <w:r w:rsidR="001E76EC" w:rsidRPr="05042C88">
              <w:t>mg/kg body weight/day</w:t>
            </w:r>
            <w:r w:rsidR="001E76EC" w:rsidRPr="05042C88">
              <w:rPr>
                <w:i/>
                <w:iCs/>
              </w:rPr>
              <w:t xml:space="preserve"> </w:t>
            </w:r>
            <w:r w:rsidR="002D68AE" w:rsidRPr="05042C88">
              <w:t>+ placebo</w:t>
            </w:r>
            <w:r w:rsidR="00C94669" w:rsidRPr="05042C88">
              <w:t>.</w:t>
            </w:r>
          </w:p>
          <w:p w14:paraId="5ABC4037" w14:textId="1A267A05" w:rsidR="002D68AE" w:rsidRPr="0098262F" w:rsidRDefault="00C269DA" w:rsidP="05042C88">
            <w:pPr>
              <w:pStyle w:val="TableText0"/>
              <w:rPr>
                <w:rFonts w:eastAsia="Times New Roman" w:cs="Arial"/>
                <w:snapToGrid w:val="0"/>
                <w:color w:val="0066FF"/>
              </w:rPr>
            </w:pPr>
            <w:r>
              <w:t xml:space="preserve">  </w:t>
            </w:r>
            <w:r w:rsidR="002D68AE" w:rsidRPr="05042C88">
              <w:t>b.</w:t>
            </w:r>
            <w:r w:rsidR="002D68AE">
              <w:tab/>
            </w:r>
            <w:r w:rsidR="002D68AE" w:rsidRPr="05042C88">
              <w:t>For UDCA intolerant patients, placebo</w:t>
            </w:r>
            <w:r w:rsidR="00C94669" w:rsidRPr="05042C88">
              <w:t>.</w:t>
            </w:r>
          </w:p>
        </w:tc>
      </w:tr>
      <w:tr w:rsidR="002D68AE" w:rsidRPr="0098262F" w14:paraId="22223890" w14:textId="77777777" w:rsidTr="05042C88">
        <w:trPr>
          <w:cantSplit/>
        </w:trPr>
        <w:tc>
          <w:tcPr>
            <w:tcW w:w="705" w:type="pct"/>
            <w:shd w:val="clear" w:color="auto" w:fill="auto"/>
            <w:vAlign w:val="center"/>
          </w:tcPr>
          <w:p w14:paraId="0FC8FCE0" w14:textId="55BCB096" w:rsidR="002D68AE" w:rsidRPr="002D68AE" w:rsidRDefault="002D68AE" w:rsidP="002D68AE">
            <w:pPr>
              <w:pStyle w:val="TableText0"/>
            </w:pPr>
            <w:r w:rsidRPr="002D68AE">
              <w:t>Outcomes</w:t>
            </w:r>
          </w:p>
        </w:tc>
        <w:tc>
          <w:tcPr>
            <w:tcW w:w="4295" w:type="pct"/>
            <w:shd w:val="clear" w:color="auto" w:fill="auto"/>
          </w:tcPr>
          <w:p w14:paraId="24FE9CBC" w14:textId="77777777" w:rsidR="002D68AE" w:rsidRPr="002D68AE" w:rsidRDefault="002D68AE" w:rsidP="00C300ED">
            <w:pPr>
              <w:pStyle w:val="TableText0"/>
              <w:numPr>
                <w:ilvl w:val="0"/>
                <w:numId w:val="7"/>
              </w:numPr>
              <w:ind w:left="283" w:hanging="283"/>
            </w:pPr>
            <w:r w:rsidRPr="002D68AE">
              <w:t>The primary end point was a biochemical response (defined by an ALP level of &lt;1.67 times the upper limit of the normal range, with a reduction of ≥15% from baseline, and normal total bilirubin levels) at week 52.</w:t>
            </w:r>
          </w:p>
          <w:p w14:paraId="56CF91B1" w14:textId="04EC28D4" w:rsidR="002D68AE" w:rsidRPr="00E2236E" w:rsidRDefault="002D68AE" w:rsidP="00C300ED">
            <w:pPr>
              <w:pStyle w:val="TableText0"/>
              <w:numPr>
                <w:ilvl w:val="0"/>
                <w:numId w:val="7"/>
              </w:numPr>
              <w:ind w:left="283" w:hanging="283"/>
            </w:pPr>
            <w:r w:rsidRPr="002D68AE">
              <w:t>Key secondary end points were normali</w:t>
            </w:r>
            <w:r w:rsidR="00D87D2C">
              <w:t>s</w:t>
            </w:r>
            <w:r w:rsidRPr="002D68AE">
              <w:t>ation of ALP at week 52 and a change in pruritus intensity from baseline through week 52 and through week 24, assessed with the use of the WI-NRS among patients with moderate-to-severe pruritus (</w:t>
            </w:r>
            <w:r w:rsidRPr="00E2236E">
              <w:t>defined as a WI-NRS score of ≥4 at baseline).</w:t>
            </w:r>
          </w:p>
          <w:p w14:paraId="2C99C4DE" w14:textId="74151262" w:rsidR="002D68AE" w:rsidRPr="002D68AE" w:rsidRDefault="002D68AE" w:rsidP="00C300ED">
            <w:pPr>
              <w:pStyle w:val="TableText0"/>
              <w:numPr>
                <w:ilvl w:val="0"/>
                <w:numId w:val="7"/>
              </w:numPr>
              <w:ind w:left="283" w:hanging="283"/>
              <w:rPr>
                <w:rFonts w:eastAsia="Times New Roman" w:cs="Arial"/>
                <w:bCs w:val="0"/>
                <w:snapToGrid w:val="0"/>
                <w:szCs w:val="20"/>
              </w:rPr>
            </w:pPr>
            <w:r w:rsidRPr="002D68AE">
              <w:t>Adverse events.</w:t>
            </w:r>
          </w:p>
        </w:tc>
      </w:tr>
      <w:tr w:rsidR="00F33538" w:rsidRPr="0098262F" w14:paraId="00E46990" w14:textId="77777777" w:rsidTr="05042C88">
        <w:trPr>
          <w:cantSplit/>
        </w:trPr>
        <w:tc>
          <w:tcPr>
            <w:tcW w:w="705" w:type="pct"/>
            <w:shd w:val="clear" w:color="auto" w:fill="auto"/>
            <w:vAlign w:val="center"/>
          </w:tcPr>
          <w:p w14:paraId="6119F96E" w14:textId="0D7DD430" w:rsidR="00F33538" w:rsidRPr="002D68AE" w:rsidRDefault="00F33538" w:rsidP="002D68AE">
            <w:pPr>
              <w:pStyle w:val="TableText0"/>
            </w:pPr>
            <w:r>
              <w:t>Clinical claim</w:t>
            </w:r>
          </w:p>
        </w:tc>
        <w:tc>
          <w:tcPr>
            <w:tcW w:w="4295" w:type="pct"/>
            <w:shd w:val="clear" w:color="auto" w:fill="auto"/>
          </w:tcPr>
          <w:p w14:paraId="575831D2" w14:textId="77777777" w:rsidR="00F33538" w:rsidRDefault="00F33538" w:rsidP="00F33538">
            <w:pPr>
              <w:pStyle w:val="TableText0"/>
            </w:pPr>
            <w:proofErr w:type="spellStart"/>
            <w:r>
              <w:t>Elafibranor</w:t>
            </w:r>
            <w:proofErr w:type="spellEnd"/>
            <w:r>
              <w:t xml:space="preserve"> is non-inferior in terms of effectiveness compared with OCA.</w:t>
            </w:r>
          </w:p>
          <w:p w14:paraId="3C82CC4D" w14:textId="24D3CB92" w:rsidR="00F33538" w:rsidRPr="002D68AE" w:rsidRDefault="00F33538" w:rsidP="00F33538">
            <w:pPr>
              <w:pStyle w:val="TableText0"/>
            </w:pPr>
            <w:proofErr w:type="spellStart"/>
            <w:r>
              <w:t>Elafibranor</w:t>
            </w:r>
            <w:proofErr w:type="spellEnd"/>
            <w:r>
              <w:t xml:space="preserve"> is superior in terms of safety compared with OCA.</w:t>
            </w:r>
          </w:p>
        </w:tc>
      </w:tr>
    </w:tbl>
    <w:p w14:paraId="11B17DE2" w14:textId="77777777" w:rsidR="002D68AE" w:rsidRPr="002D68AE" w:rsidRDefault="002D68AE" w:rsidP="002D68AE">
      <w:pPr>
        <w:pStyle w:val="FooterTableFigure"/>
      </w:pPr>
      <w:r w:rsidRPr="002D68AE">
        <w:t>Source: Table 1-1, p13 of the submission.</w:t>
      </w:r>
    </w:p>
    <w:p w14:paraId="527CA7F0" w14:textId="0A15677F" w:rsidR="004E43B2" w:rsidRPr="0098262F" w:rsidRDefault="002D68AE" w:rsidP="05042C88">
      <w:pPr>
        <w:pStyle w:val="FooterTableFigure"/>
        <w:rPr>
          <w:sz w:val="20"/>
          <w:szCs w:val="20"/>
        </w:rPr>
      </w:pPr>
      <w:r w:rsidRPr="05042C88">
        <w:t>ALP</w:t>
      </w:r>
      <w:r w:rsidR="00D37DB0" w:rsidRPr="05042C88">
        <w:t>=</w:t>
      </w:r>
      <w:r w:rsidRPr="05042C88">
        <w:t xml:space="preserve"> alkaline phosphatase; OCA</w:t>
      </w:r>
      <w:r w:rsidR="00D37DB0" w:rsidRPr="05042C88">
        <w:t>=</w:t>
      </w:r>
      <w:r w:rsidRPr="05042C88">
        <w:t xml:space="preserve"> </w:t>
      </w:r>
      <w:proofErr w:type="spellStart"/>
      <w:r w:rsidR="00D37DB0" w:rsidRPr="05042C88">
        <w:t>o</w:t>
      </w:r>
      <w:r w:rsidRPr="05042C88">
        <w:t>beticholic</w:t>
      </w:r>
      <w:proofErr w:type="spellEnd"/>
      <w:r w:rsidRPr="05042C88">
        <w:t xml:space="preserve"> acid; PBC</w:t>
      </w:r>
      <w:r w:rsidR="00D37DB0" w:rsidRPr="05042C88">
        <w:t>=</w:t>
      </w:r>
      <w:r w:rsidRPr="05042C88">
        <w:t xml:space="preserve"> primary biliary cholangitis; UDCA</w:t>
      </w:r>
      <w:r w:rsidR="00D37DB0" w:rsidRPr="05042C88">
        <w:t>=</w:t>
      </w:r>
      <w:r w:rsidRPr="05042C88">
        <w:t xml:space="preserve"> ursodeoxycholic acid</w:t>
      </w:r>
      <w:r w:rsidR="00E2236E" w:rsidRPr="05042C88">
        <w:t>; WI-NRS= Worst Itch Numeric Rating Scale</w:t>
      </w:r>
      <w:r w:rsidRPr="05042C88">
        <w:t>.</w:t>
      </w:r>
    </w:p>
    <w:p w14:paraId="6B4AB6C2" w14:textId="7F01D731" w:rsidR="005C25FF" w:rsidRPr="0098262F" w:rsidRDefault="005C25FF" w:rsidP="004A6040">
      <w:pPr>
        <w:pStyle w:val="2-SectionHeading"/>
      </w:pPr>
      <w:bookmarkStart w:id="3" w:name="_Toc187914743"/>
      <w:r w:rsidRPr="0098262F">
        <w:t>Background</w:t>
      </w:r>
      <w:bookmarkEnd w:id="3"/>
    </w:p>
    <w:p w14:paraId="58EF9125" w14:textId="77777777" w:rsidR="004A29D1" w:rsidRPr="004151CF" w:rsidRDefault="004A29D1" w:rsidP="004A29D1">
      <w:pPr>
        <w:pStyle w:val="4-SubsectionHeading"/>
        <w:rPr>
          <w:lang w:eastAsia="en-AU"/>
        </w:rPr>
      </w:pPr>
      <w:bookmarkStart w:id="4" w:name="_Toc22897638"/>
      <w:bookmarkStart w:id="5" w:name="_Toc187914744"/>
      <w:r w:rsidRPr="004151CF">
        <w:rPr>
          <w:lang w:eastAsia="en-AU"/>
        </w:rPr>
        <w:t>Registration status</w:t>
      </w:r>
      <w:bookmarkEnd w:id="4"/>
      <w:bookmarkEnd w:id="5"/>
    </w:p>
    <w:p w14:paraId="0BB311A0" w14:textId="04B605E6" w:rsidR="005E6326" w:rsidRDefault="005C25FF" w:rsidP="00EF5BE3">
      <w:pPr>
        <w:pStyle w:val="3-BodyText"/>
      </w:pPr>
      <w:r w:rsidRPr="05042C88">
        <w:t xml:space="preserve">The submission was made under </w:t>
      </w:r>
      <w:r w:rsidR="00E244F6" w:rsidRPr="05042C88">
        <w:t xml:space="preserve">the </w:t>
      </w:r>
      <w:r w:rsidR="00825B12" w:rsidRPr="05042C88">
        <w:t>Therapeutic Goods Administration (</w:t>
      </w:r>
      <w:r w:rsidRPr="05042C88">
        <w:t>TGA</w:t>
      </w:r>
      <w:r w:rsidR="00825B12" w:rsidRPr="05042C88">
        <w:t>)</w:t>
      </w:r>
      <w:r w:rsidRPr="05042C88">
        <w:t>/</w:t>
      </w:r>
      <w:r w:rsidR="00825B12" w:rsidRPr="05042C88">
        <w:t>Pharmaceutical Benefits Advisory Committee (</w:t>
      </w:r>
      <w:r w:rsidRPr="05042C88">
        <w:t>PBAC</w:t>
      </w:r>
      <w:r w:rsidR="00825B12" w:rsidRPr="05042C88">
        <w:t>)</w:t>
      </w:r>
      <w:r w:rsidRPr="05042C88">
        <w:t xml:space="preserve"> Parallel Process. </w:t>
      </w:r>
      <w:proofErr w:type="spellStart"/>
      <w:r w:rsidR="00EF5BE3" w:rsidRPr="05042C88">
        <w:t>Elafibranor</w:t>
      </w:r>
      <w:proofErr w:type="spellEnd"/>
      <w:r w:rsidR="00EF5BE3" w:rsidRPr="05042C88">
        <w:t xml:space="preserve"> </w:t>
      </w:r>
      <w:r w:rsidR="00155B88" w:rsidRPr="05042C88">
        <w:t>i</w:t>
      </w:r>
      <w:r w:rsidR="00F74DE2" w:rsidRPr="05042C88">
        <w:t xml:space="preserve">s </w:t>
      </w:r>
      <w:r w:rsidR="00EF5BE3" w:rsidRPr="05042C88">
        <w:t xml:space="preserve">being </w:t>
      </w:r>
      <w:r w:rsidR="00F74DE2" w:rsidRPr="05042C88">
        <w:t>considered</w:t>
      </w:r>
      <w:r w:rsidR="006046D0" w:rsidRPr="05042C88">
        <w:t xml:space="preserve"> by the TGA</w:t>
      </w:r>
      <w:r w:rsidR="00EF5BE3" w:rsidRPr="05042C88">
        <w:t xml:space="preserve"> for “the treatment of primary biliary cholangitis (PBC) in combination with ursodeoxycholic acid (UDCA) in adults with an inadequate response to UDCA, or as monotherapy in adults unable to tolerate UDCA”.</w:t>
      </w:r>
    </w:p>
    <w:p w14:paraId="3DE12AF3" w14:textId="3D637361" w:rsidR="00EF5BE3" w:rsidRPr="00E2449A" w:rsidRDefault="005C25FF" w:rsidP="00EF5BE3">
      <w:pPr>
        <w:pStyle w:val="3-BodyText"/>
      </w:pPr>
      <w:r w:rsidRPr="00A0724D">
        <w:lastRenderedPageBreak/>
        <w:t xml:space="preserve">At the time of </w:t>
      </w:r>
      <w:r w:rsidR="00924D0C" w:rsidRPr="00A0724D">
        <w:t xml:space="preserve">the </w:t>
      </w:r>
      <w:r w:rsidR="0095093A" w:rsidRPr="00A0724D">
        <w:t xml:space="preserve">PBAC </w:t>
      </w:r>
      <w:r w:rsidRPr="00A0724D">
        <w:t>consideration</w:t>
      </w:r>
      <w:r w:rsidRPr="00E2449A">
        <w:t xml:space="preserve">, </w:t>
      </w:r>
      <w:r w:rsidR="00BA3CA9" w:rsidRPr="00E2449A">
        <w:t xml:space="preserve">the </w:t>
      </w:r>
      <w:r w:rsidR="00821009">
        <w:t>TGA’s Advisory Committee on Medicines (ACM) minutes were available</w:t>
      </w:r>
      <w:r w:rsidR="00537252">
        <w:t>, in addition to the Clinical Evaluation Report and Delegate’s Overview</w:t>
      </w:r>
      <w:r w:rsidR="00FF085E">
        <w:t xml:space="preserve">. </w:t>
      </w:r>
    </w:p>
    <w:p w14:paraId="43622421" w14:textId="47A8E577" w:rsidR="00472000" w:rsidRPr="00E2449A" w:rsidRDefault="00472000" w:rsidP="00EF5BE3">
      <w:pPr>
        <w:pStyle w:val="3-BodyText"/>
      </w:pPr>
      <w:r w:rsidRPr="05042C88">
        <w:t xml:space="preserve">The </w:t>
      </w:r>
      <w:r w:rsidR="00310E14">
        <w:t>Delegate’s Overview</w:t>
      </w:r>
      <w:r w:rsidR="00DD3941">
        <w:t xml:space="preserve"> requested ACM advice regarding the proposal to include </w:t>
      </w:r>
      <w:proofErr w:type="spellStart"/>
      <w:r w:rsidR="00DD3941">
        <w:t>elafibranor</w:t>
      </w:r>
      <w:proofErr w:type="spellEnd"/>
      <w:r w:rsidR="00DD3941">
        <w:t xml:space="preserve"> monotherapy in adults unable to tolerate UDCA in the indication</w:t>
      </w:r>
      <w:r w:rsidR="00A15D23">
        <w:t>,</w:t>
      </w:r>
      <w:r w:rsidR="00245FE2">
        <w:t xml:space="preserve"> as there was only a small subset of patients in the ELA</w:t>
      </w:r>
      <w:r w:rsidR="00FB171A">
        <w:t>TIVE</w:t>
      </w:r>
      <w:r w:rsidR="00245FE2">
        <w:t xml:space="preserve"> trial </w:t>
      </w:r>
      <w:r w:rsidR="00FB171A">
        <w:t xml:space="preserve">(6 in the </w:t>
      </w:r>
      <w:proofErr w:type="spellStart"/>
      <w:r w:rsidR="00FB171A">
        <w:t>elafibranor</w:t>
      </w:r>
      <w:proofErr w:type="spellEnd"/>
      <w:r w:rsidR="00FB171A">
        <w:t xml:space="preserve"> arm and 2 in the placebo arm) who received monotherapy</w:t>
      </w:r>
      <w:r w:rsidR="00783061">
        <w:t>.</w:t>
      </w:r>
      <w:r w:rsidR="005B2F00">
        <w:t xml:space="preserve"> </w:t>
      </w:r>
      <w:r w:rsidR="00512673">
        <w:t>The ACM considered that the full indication, in</w:t>
      </w:r>
      <w:r w:rsidR="00A67B13">
        <w:t>c</w:t>
      </w:r>
      <w:r w:rsidR="00512673">
        <w:t>lu</w:t>
      </w:r>
      <w:r w:rsidR="00A67B13">
        <w:t>d</w:t>
      </w:r>
      <w:r w:rsidR="00512673">
        <w:t>ing monotherapy, had a positive benefit</w:t>
      </w:r>
      <w:r w:rsidR="00A67B13">
        <w:t>-risk profile.</w:t>
      </w:r>
    </w:p>
    <w:p w14:paraId="0769DE0C" w14:textId="56EC46FF" w:rsidR="00DA446E" w:rsidRPr="00DA446E" w:rsidRDefault="00EF5BE3" w:rsidP="00957161">
      <w:pPr>
        <w:pStyle w:val="3-BodyText"/>
      </w:pPr>
      <w:bookmarkStart w:id="6" w:name="_Ref193793824"/>
      <w:proofErr w:type="spellStart"/>
      <w:r w:rsidRPr="05042C88">
        <w:t>Elafibranor</w:t>
      </w:r>
      <w:proofErr w:type="spellEnd"/>
      <w:r w:rsidRPr="05042C88">
        <w:t xml:space="preserve"> was approved for the treatment of PBC by the United States Food and Drug Administration (FDA) in June 2024 (accelerated approval), by the European Medicines Agency (EMA) in September 2024 (conditional marketing authorisation), and in the United Kingdom by the Medicines and Healthcare products Regulatory Agency (MHRA) in October 2024.</w:t>
      </w:r>
      <w:r w:rsidR="0084196B" w:rsidRPr="05042C88">
        <w:t xml:space="preserve"> </w:t>
      </w:r>
      <w:r w:rsidRPr="05042C88">
        <w:t>The FDA and EMA approval</w:t>
      </w:r>
      <w:r w:rsidR="00BA3CA9" w:rsidRPr="05042C88">
        <w:t>s</w:t>
      </w:r>
      <w:r w:rsidRPr="05042C88">
        <w:t xml:space="preserve"> </w:t>
      </w:r>
      <w:r w:rsidR="00BA3CA9" w:rsidRPr="05042C88">
        <w:t>were</w:t>
      </w:r>
      <w:r w:rsidRPr="05042C88">
        <w:t xml:space="preserve"> conditional on conducting a variety of clinical trials and post-market studies, including: CLIN-60190-454 (ELFIDENCE), a randomi</w:t>
      </w:r>
      <w:r w:rsidR="00CE0093" w:rsidRPr="05042C88">
        <w:t>s</w:t>
      </w:r>
      <w:r w:rsidRPr="05042C88">
        <w:t xml:space="preserve">ed, double-blind, </w:t>
      </w:r>
      <w:r w:rsidR="00425FE3" w:rsidRPr="05042C88">
        <w:t>placebo-controlled</w:t>
      </w:r>
      <w:r w:rsidRPr="05042C88">
        <w:t xml:space="preserve"> study to evaluate the efficacy and safety of </w:t>
      </w:r>
      <w:proofErr w:type="spellStart"/>
      <w:r w:rsidRPr="05042C88">
        <w:t>elafibranor</w:t>
      </w:r>
      <w:proofErr w:type="spellEnd"/>
      <w:r w:rsidRPr="05042C88">
        <w:t xml:space="preserve"> in adults with PBC.</w:t>
      </w:r>
      <w:r w:rsidR="00B1784A" w:rsidRPr="05042C88">
        <w:rPr>
          <w:rStyle w:val="FootnoteReference"/>
        </w:rPr>
        <w:footnoteReference w:id="2"/>
      </w:r>
      <w:r w:rsidR="00B1784A" w:rsidRPr="05042C88">
        <w:rPr>
          <w:vertAlign w:val="superscript"/>
        </w:rPr>
        <w:t>,</w:t>
      </w:r>
      <w:r w:rsidR="00B1784A" w:rsidRPr="05042C88">
        <w:rPr>
          <w:rStyle w:val="FootnoteReference"/>
        </w:rPr>
        <w:footnoteReference w:id="3"/>
      </w:r>
      <w:bookmarkEnd w:id="6"/>
      <w:r w:rsidR="00B1784A" w:rsidRPr="05042C88">
        <w:rPr>
          <w:i/>
          <w:iCs/>
        </w:rPr>
        <w:t xml:space="preserve"> </w:t>
      </w:r>
    </w:p>
    <w:p w14:paraId="5374AD55" w14:textId="42C6926D" w:rsidR="005C25FF" w:rsidRPr="009221AC" w:rsidRDefault="00EF5BE3" w:rsidP="003B77A6">
      <w:pPr>
        <w:pStyle w:val="ListParagraph"/>
        <w:ind w:left="1080"/>
        <w:jc w:val="both"/>
      </w:pPr>
      <w:r w:rsidRPr="05042C88">
        <w:t>According to the FDA</w:t>
      </w:r>
      <w:r w:rsidR="001704FF" w:rsidRPr="05042C88">
        <w:t>,</w:t>
      </w:r>
      <w:r w:rsidRPr="05042C88">
        <w:t xml:space="preserve"> efficacy must be demonstrated using a composite endpoint of all-cause mortality, liver transplant, hepatic decompensation, change in </w:t>
      </w:r>
      <w:r w:rsidR="002C01D9" w:rsidRPr="05042C88">
        <w:t xml:space="preserve">Model for End-Stage Liver Disease </w:t>
      </w:r>
      <w:r w:rsidR="00A92D88" w:rsidRPr="05042C88">
        <w:t xml:space="preserve">3.0 </w:t>
      </w:r>
      <w:r w:rsidR="002C01D9" w:rsidRPr="05042C88">
        <w:t xml:space="preserve">(MELD) </w:t>
      </w:r>
      <w:r w:rsidR="00A92D88" w:rsidRPr="05042C88">
        <w:t>score</w:t>
      </w:r>
      <w:r w:rsidRPr="05042C88">
        <w:t xml:space="preserve"> to ≥</w:t>
      </w:r>
      <w:r w:rsidR="00A92D88" w:rsidRPr="05042C88">
        <w:t xml:space="preserve"> </w:t>
      </w:r>
      <w:r w:rsidRPr="05042C88">
        <w:t xml:space="preserve">15 in subjects with baseline MELD </w:t>
      </w:r>
      <w:r w:rsidR="00A92D88" w:rsidRPr="05042C88">
        <w:t xml:space="preserve">score </w:t>
      </w:r>
      <w:r w:rsidRPr="05042C88">
        <w:t>≤</w:t>
      </w:r>
      <w:r w:rsidR="00A92D88" w:rsidRPr="05042C88">
        <w:t xml:space="preserve"> </w:t>
      </w:r>
      <w:r w:rsidRPr="05042C88">
        <w:t xml:space="preserve">12, and development of hepatocellular carcinoma. The </w:t>
      </w:r>
      <w:r w:rsidR="00BA3CA9" w:rsidRPr="05042C88">
        <w:t>ELFIDENCE</w:t>
      </w:r>
      <w:r w:rsidRPr="05042C88">
        <w:t xml:space="preserve"> trial completion </w:t>
      </w:r>
      <w:r w:rsidR="008E2831" w:rsidRPr="05042C88">
        <w:t>was</w:t>
      </w:r>
      <w:r w:rsidRPr="05042C88">
        <w:t xml:space="preserve"> </w:t>
      </w:r>
      <w:r w:rsidR="00B122FF" w:rsidRPr="05042C88">
        <w:t xml:space="preserve">stated in the submission to be </w:t>
      </w:r>
      <w:r w:rsidRPr="05042C88">
        <w:t>May 2029.</w:t>
      </w:r>
    </w:p>
    <w:p w14:paraId="35589D02" w14:textId="238C1E1C" w:rsidR="00DA446E" w:rsidRPr="009221AC" w:rsidRDefault="00DA446E" w:rsidP="003B77A6">
      <w:pPr>
        <w:pStyle w:val="ListParagraph"/>
        <w:ind w:left="1080"/>
        <w:jc w:val="both"/>
      </w:pPr>
      <w:r w:rsidRPr="05042C88">
        <w:t xml:space="preserve">According to the EMA, the marketing authorisation holder shall conduct and submit the final results of the phase III randomised, parallel-arm, double-blind, placebo-controlled, 2-arm trial (ELFIDENCE) to evaluate the efficacy and safety of </w:t>
      </w:r>
      <w:proofErr w:type="spellStart"/>
      <w:r w:rsidRPr="05042C88">
        <w:t>elafibranor</w:t>
      </w:r>
      <w:proofErr w:type="spellEnd"/>
      <w:r w:rsidRPr="05042C88">
        <w:t xml:space="preserve"> on long-term clinical outcomes in adults with PBC.</w:t>
      </w:r>
    </w:p>
    <w:p w14:paraId="0B6C1E47" w14:textId="77777777" w:rsidR="00785588" w:rsidRDefault="00785588" w:rsidP="05042C88">
      <w:pPr>
        <w:pStyle w:val="4-SubsectionHeading"/>
        <w:rPr>
          <w:lang w:eastAsia="en-AU"/>
        </w:rPr>
      </w:pPr>
      <w:bookmarkStart w:id="7" w:name="_Toc22897639"/>
      <w:bookmarkStart w:id="8" w:name="_Toc187914745"/>
      <w:bookmarkStart w:id="9" w:name="_Hlk112059474"/>
      <w:r w:rsidRPr="05042C88">
        <w:rPr>
          <w:lang w:eastAsia="en-AU"/>
        </w:rPr>
        <w:t>Previous PBAC consideration</w:t>
      </w:r>
      <w:bookmarkEnd w:id="7"/>
      <w:bookmarkEnd w:id="8"/>
    </w:p>
    <w:bookmarkEnd w:id="9"/>
    <w:p w14:paraId="75E19FAF" w14:textId="28AE59AA" w:rsidR="0084196B" w:rsidRPr="0084196B" w:rsidRDefault="0084196B" w:rsidP="002E4F02">
      <w:pPr>
        <w:pStyle w:val="3-BodyText"/>
      </w:pPr>
      <w:r w:rsidRPr="05042C88">
        <w:t xml:space="preserve">The PBAC has not previously considered </w:t>
      </w:r>
      <w:proofErr w:type="spellStart"/>
      <w:r w:rsidRPr="05042C88">
        <w:t>elafibranor</w:t>
      </w:r>
      <w:proofErr w:type="spellEnd"/>
      <w:r w:rsidRPr="05042C88">
        <w:t xml:space="preserve"> for the treatment of PBC.</w:t>
      </w:r>
    </w:p>
    <w:p w14:paraId="451D7156" w14:textId="1F269057" w:rsidR="005C25FF" w:rsidRDefault="0084196B" w:rsidP="00777D20">
      <w:pPr>
        <w:pStyle w:val="3-BodyText"/>
      </w:pPr>
      <w:r w:rsidRPr="0084196B">
        <w:t xml:space="preserve">The PBAC </w:t>
      </w:r>
      <w:r w:rsidR="00435605">
        <w:t>ha</w:t>
      </w:r>
      <w:r w:rsidR="00BC7875">
        <w:t xml:space="preserve">s previously considered OCA, which was recommended </w:t>
      </w:r>
      <w:r w:rsidR="0007524D">
        <w:t xml:space="preserve">for the treatment of PBC </w:t>
      </w:r>
      <w:r w:rsidR="00BC7875">
        <w:t>in March 2021</w:t>
      </w:r>
      <w:r w:rsidRPr="0084196B">
        <w:t>.</w:t>
      </w:r>
    </w:p>
    <w:p w14:paraId="71D0620B" w14:textId="0752311B" w:rsidR="00DA5D72" w:rsidRPr="00DA5D72" w:rsidRDefault="00DA5D72" w:rsidP="00DA5D72">
      <w:pPr>
        <w:pStyle w:val="3-BodyText"/>
        <w:numPr>
          <w:ilvl w:val="0"/>
          <w:numId w:val="0"/>
        </w:numPr>
        <w:ind w:left="720"/>
        <w:rPr>
          <w:i/>
          <w:iCs/>
        </w:rPr>
      </w:pPr>
      <w:r w:rsidRPr="00DA5D72">
        <w:rPr>
          <w:i/>
          <w:iCs/>
        </w:rPr>
        <w:t>For more detail on PBAC’s view, see section 7 PBAC outcome.</w:t>
      </w:r>
    </w:p>
    <w:p w14:paraId="76E4EF3C" w14:textId="13040F70" w:rsidR="00B60939" w:rsidRPr="0098262F" w:rsidRDefault="00B50DB8" w:rsidP="004E18E9">
      <w:pPr>
        <w:pStyle w:val="2-SectionHeading"/>
      </w:pPr>
      <w:bookmarkStart w:id="10" w:name="_Toc107902078"/>
      <w:bookmarkStart w:id="11" w:name="_Toc187914746"/>
      <w:bookmarkEnd w:id="10"/>
      <w:r w:rsidRPr="0098262F">
        <w:lastRenderedPageBreak/>
        <w:t>Requested listing</w:t>
      </w:r>
      <w:bookmarkEnd w:id="11"/>
    </w:p>
    <w:p w14:paraId="1B423B86" w14:textId="62BE7DCC" w:rsidR="003A4C14" w:rsidRPr="0098262F" w:rsidRDefault="003A4C14" w:rsidP="003A4C14">
      <w:pPr>
        <w:pStyle w:val="Table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1778"/>
        <w:gridCol w:w="812"/>
        <w:gridCol w:w="812"/>
        <w:gridCol w:w="812"/>
        <w:gridCol w:w="1832"/>
      </w:tblGrid>
      <w:tr w:rsidR="00046D64" w:rsidRPr="0098262F" w14:paraId="73E16E29" w14:textId="77777777" w:rsidTr="05042C88">
        <w:trPr>
          <w:cantSplit/>
          <w:trHeight w:val="20"/>
        </w:trPr>
        <w:tc>
          <w:tcPr>
            <w:tcW w:w="1648" w:type="pct"/>
            <w:vAlign w:val="center"/>
          </w:tcPr>
          <w:p w14:paraId="4660296B" w14:textId="77777777" w:rsidR="00046D64" w:rsidRPr="0098262F" w:rsidRDefault="00046D64" w:rsidP="002321F7">
            <w:pPr>
              <w:keepNext/>
              <w:keepLines/>
              <w:rPr>
                <w:rFonts w:ascii="Arial Narrow" w:hAnsi="Arial Narrow"/>
                <w:b/>
                <w:bCs/>
                <w:sz w:val="20"/>
                <w:szCs w:val="20"/>
              </w:rPr>
            </w:pPr>
            <w:bookmarkStart w:id="12" w:name="_Hlk104809055"/>
            <w:r w:rsidRPr="0098262F">
              <w:rPr>
                <w:rFonts w:ascii="Arial Narrow" w:hAnsi="Arial Narrow"/>
                <w:b/>
                <w:bCs/>
                <w:sz w:val="20"/>
                <w:szCs w:val="20"/>
              </w:rPr>
              <w:t>MEDICINAL PRODUCT</w:t>
            </w:r>
          </w:p>
          <w:p w14:paraId="7221C2FD" w14:textId="77777777" w:rsidR="00046D64" w:rsidRPr="0098262F" w:rsidRDefault="00046D64" w:rsidP="002321F7">
            <w:pPr>
              <w:keepNext/>
              <w:keepLines/>
              <w:rPr>
                <w:rFonts w:ascii="Arial Narrow" w:hAnsi="Arial Narrow"/>
                <w:b/>
                <w:sz w:val="20"/>
                <w:szCs w:val="20"/>
              </w:rPr>
            </w:pPr>
            <w:r w:rsidRPr="0098262F">
              <w:rPr>
                <w:rFonts w:ascii="Arial Narrow" w:hAnsi="Arial Narrow"/>
                <w:b/>
                <w:bCs/>
                <w:sz w:val="20"/>
                <w:szCs w:val="20"/>
              </w:rPr>
              <w:t>medicinal product pack</w:t>
            </w:r>
          </w:p>
        </w:tc>
        <w:tc>
          <w:tcPr>
            <w:tcW w:w="986" w:type="pct"/>
            <w:vAlign w:val="center"/>
          </w:tcPr>
          <w:p w14:paraId="14424AF1" w14:textId="54369E4C" w:rsidR="00046D64" w:rsidRPr="0098262F" w:rsidRDefault="00C61A59" w:rsidP="002321F7">
            <w:pPr>
              <w:pStyle w:val="TableText0"/>
              <w:rPr>
                <w:b/>
                <w:bCs w:val="0"/>
                <w:szCs w:val="20"/>
              </w:rPr>
            </w:pPr>
            <w:r w:rsidRPr="0098262F">
              <w:rPr>
                <w:b/>
                <w:bCs w:val="0"/>
                <w:snapToGrid w:val="0"/>
              </w:rPr>
              <w:t xml:space="preserve">Dispensed Price for Max. Qty </w:t>
            </w:r>
          </w:p>
        </w:tc>
        <w:tc>
          <w:tcPr>
            <w:tcW w:w="450" w:type="pct"/>
            <w:vAlign w:val="center"/>
          </w:tcPr>
          <w:p w14:paraId="4E41A9BC" w14:textId="0E3A90D0" w:rsidR="00046D64" w:rsidRPr="0098262F" w:rsidRDefault="00046D64" w:rsidP="002321F7">
            <w:pPr>
              <w:keepNext/>
              <w:keepLines/>
              <w:jc w:val="center"/>
              <w:rPr>
                <w:rFonts w:ascii="Arial Narrow" w:hAnsi="Arial Narrow"/>
                <w:b/>
                <w:sz w:val="20"/>
                <w:szCs w:val="20"/>
              </w:rPr>
            </w:pPr>
            <w:r w:rsidRPr="0098262F">
              <w:rPr>
                <w:rFonts w:ascii="Arial Narrow" w:hAnsi="Arial Narrow"/>
                <w:b/>
                <w:sz w:val="20"/>
                <w:szCs w:val="20"/>
              </w:rPr>
              <w:t>Max. qty packs</w:t>
            </w:r>
          </w:p>
        </w:tc>
        <w:tc>
          <w:tcPr>
            <w:tcW w:w="450" w:type="pct"/>
            <w:vAlign w:val="center"/>
          </w:tcPr>
          <w:p w14:paraId="48197540" w14:textId="77777777" w:rsidR="00046D64" w:rsidRPr="0098262F" w:rsidRDefault="00046D64" w:rsidP="002321F7">
            <w:pPr>
              <w:keepNext/>
              <w:keepLines/>
              <w:jc w:val="center"/>
              <w:rPr>
                <w:rFonts w:ascii="Arial Narrow" w:hAnsi="Arial Narrow"/>
                <w:b/>
                <w:sz w:val="20"/>
                <w:szCs w:val="20"/>
              </w:rPr>
            </w:pPr>
            <w:r w:rsidRPr="0098262F">
              <w:rPr>
                <w:rFonts w:ascii="Arial Narrow" w:hAnsi="Arial Narrow"/>
                <w:b/>
                <w:sz w:val="20"/>
                <w:szCs w:val="20"/>
              </w:rPr>
              <w:t>Max. qty units</w:t>
            </w:r>
          </w:p>
        </w:tc>
        <w:tc>
          <w:tcPr>
            <w:tcW w:w="450" w:type="pct"/>
            <w:vAlign w:val="center"/>
          </w:tcPr>
          <w:p w14:paraId="13B3FDEE" w14:textId="6A5DDCBE" w:rsidR="00046D64" w:rsidRPr="0098262F" w:rsidRDefault="00046D64" w:rsidP="002321F7">
            <w:pPr>
              <w:keepNext/>
              <w:keepLines/>
              <w:jc w:val="center"/>
              <w:rPr>
                <w:rFonts w:ascii="Arial Narrow" w:hAnsi="Arial Narrow"/>
                <w:b/>
                <w:sz w:val="20"/>
                <w:szCs w:val="20"/>
              </w:rPr>
            </w:pPr>
            <w:r w:rsidRPr="0098262F">
              <w:rPr>
                <w:rFonts w:ascii="Arial Narrow" w:hAnsi="Arial Narrow"/>
                <w:b/>
                <w:sz w:val="20"/>
                <w:szCs w:val="20"/>
              </w:rPr>
              <w:t>№.</w:t>
            </w:r>
            <w:r w:rsidR="001704FF">
              <w:rPr>
                <w:rFonts w:ascii="Arial Narrow" w:hAnsi="Arial Narrow"/>
                <w:b/>
                <w:sz w:val="20"/>
                <w:szCs w:val="20"/>
              </w:rPr>
              <w:t xml:space="preserve"> </w:t>
            </w:r>
            <w:r w:rsidRPr="0098262F">
              <w:rPr>
                <w:rFonts w:ascii="Arial Narrow" w:hAnsi="Arial Narrow"/>
                <w:b/>
                <w:sz w:val="20"/>
                <w:szCs w:val="20"/>
              </w:rPr>
              <w:t>of</w:t>
            </w:r>
          </w:p>
          <w:p w14:paraId="7B215997" w14:textId="77777777" w:rsidR="00046D64" w:rsidRPr="0098262F" w:rsidRDefault="00046D64" w:rsidP="002321F7">
            <w:pPr>
              <w:keepNext/>
              <w:keepLines/>
              <w:jc w:val="center"/>
              <w:rPr>
                <w:rFonts w:ascii="Arial Narrow" w:hAnsi="Arial Narrow"/>
                <w:b/>
                <w:sz w:val="20"/>
                <w:szCs w:val="20"/>
              </w:rPr>
            </w:pPr>
            <w:r w:rsidRPr="0098262F">
              <w:rPr>
                <w:rFonts w:ascii="Arial Narrow" w:hAnsi="Arial Narrow"/>
                <w:b/>
                <w:sz w:val="20"/>
                <w:szCs w:val="20"/>
              </w:rPr>
              <w:t>Rpts</w:t>
            </w:r>
          </w:p>
        </w:tc>
        <w:tc>
          <w:tcPr>
            <w:tcW w:w="1015" w:type="pct"/>
            <w:vAlign w:val="center"/>
          </w:tcPr>
          <w:p w14:paraId="4976F6A8" w14:textId="77777777" w:rsidR="00046D64" w:rsidRPr="0098262F" w:rsidRDefault="00046D64" w:rsidP="002321F7">
            <w:pPr>
              <w:keepNext/>
              <w:keepLines/>
              <w:rPr>
                <w:rFonts w:ascii="Arial Narrow" w:hAnsi="Arial Narrow"/>
                <w:b/>
                <w:sz w:val="20"/>
                <w:szCs w:val="20"/>
              </w:rPr>
            </w:pPr>
            <w:r w:rsidRPr="0098262F">
              <w:rPr>
                <w:rFonts w:ascii="Arial Narrow" w:hAnsi="Arial Narrow"/>
                <w:b/>
                <w:sz w:val="20"/>
                <w:szCs w:val="20"/>
              </w:rPr>
              <w:t>Available brands</w:t>
            </w:r>
          </w:p>
        </w:tc>
      </w:tr>
      <w:tr w:rsidR="00087D74" w:rsidRPr="0098262F" w14:paraId="40C1AD8E" w14:textId="77777777" w:rsidTr="05042C88">
        <w:trPr>
          <w:cantSplit/>
          <w:trHeight w:val="20"/>
        </w:trPr>
        <w:tc>
          <w:tcPr>
            <w:tcW w:w="5000" w:type="pct"/>
            <w:gridSpan w:val="6"/>
            <w:vAlign w:val="center"/>
          </w:tcPr>
          <w:p w14:paraId="2A4C00A6" w14:textId="29BBD3E3" w:rsidR="00087D74" w:rsidRPr="0098262F" w:rsidRDefault="00087D74" w:rsidP="05042C88">
            <w:pPr>
              <w:pStyle w:val="TableText0"/>
              <w:rPr>
                <w:rFonts w:cs="Arial"/>
              </w:rPr>
            </w:pPr>
            <w:proofErr w:type="spellStart"/>
            <w:r w:rsidRPr="05042C88">
              <w:rPr>
                <w:smallCaps/>
              </w:rPr>
              <w:t>Elafibranor</w:t>
            </w:r>
            <w:proofErr w:type="spellEnd"/>
          </w:p>
        </w:tc>
      </w:tr>
      <w:tr w:rsidR="00087D74" w:rsidRPr="0098262F" w14:paraId="1DC2CC67" w14:textId="77777777" w:rsidTr="05042C88">
        <w:trPr>
          <w:cantSplit/>
          <w:trHeight w:val="20"/>
        </w:trPr>
        <w:tc>
          <w:tcPr>
            <w:tcW w:w="1648" w:type="pct"/>
            <w:vAlign w:val="center"/>
          </w:tcPr>
          <w:p w14:paraId="612C04D7" w14:textId="0730A37C" w:rsidR="00087D74" w:rsidRPr="0098262F" w:rsidRDefault="00087D74" w:rsidP="05042C88">
            <w:pPr>
              <w:pStyle w:val="TableText0"/>
              <w:rPr>
                <w:color w:val="0066FF"/>
              </w:rPr>
            </w:pPr>
            <w:proofErr w:type="spellStart"/>
            <w:r w:rsidRPr="05042C88">
              <w:t>Elafibranor</w:t>
            </w:r>
            <w:proofErr w:type="spellEnd"/>
            <w:r w:rsidRPr="05042C88">
              <w:t>, 80mg tablet, 30</w:t>
            </w:r>
          </w:p>
        </w:tc>
        <w:tc>
          <w:tcPr>
            <w:tcW w:w="986" w:type="pct"/>
          </w:tcPr>
          <w:p w14:paraId="1388AA46" w14:textId="7704EC54" w:rsidR="00087D74" w:rsidRPr="0098262F" w:rsidRDefault="001704FF" w:rsidP="002321F7">
            <w:pPr>
              <w:pStyle w:val="TableText0"/>
              <w:jc w:val="center"/>
            </w:pPr>
            <w:r>
              <w:t xml:space="preserve">Published: </w:t>
            </w:r>
            <w:r w:rsidR="00087D74" w:rsidRPr="0098262F">
              <w:t>$</w:t>
            </w:r>
            <w:r w:rsidR="00087D74" w:rsidRPr="007E583A">
              <w:t>6,262.60</w:t>
            </w:r>
            <w:r w:rsidR="00087D74" w:rsidRPr="0098262F">
              <w:t xml:space="preserve"> </w:t>
            </w:r>
          </w:p>
          <w:p w14:paraId="70C2874A" w14:textId="3063EDEC" w:rsidR="00087D74" w:rsidRPr="0098262F" w:rsidRDefault="001704FF" w:rsidP="002321F7">
            <w:pPr>
              <w:pStyle w:val="TableText0"/>
              <w:jc w:val="center"/>
              <w:rPr>
                <w:szCs w:val="20"/>
              </w:rPr>
            </w:pPr>
            <w:r>
              <w:t xml:space="preserve">Effective: </w:t>
            </w:r>
            <w:r w:rsidR="00087D74" w:rsidRPr="0098262F">
              <w:t>$</w:t>
            </w:r>
            <w:r w:rsidR="00B55D47" w:rsidRPr="00B55D47">
              <w:rPr>
                <w:color w:val="000000"/>
                <w:spacing w:val="84"/>
                <w:shd w:val="solid" w:color="000000" w:fill="000000"/>
                <w:fitText w:val="170" w:id="-694465280"/>
                <w14:textFill>
                  <w14:solidFill>
                    <w14:srgbClr w14:val="000000">
                      <w14:alpha w14:val="100000"/>
                    </w14:srgbClr>
                  </w14:solidFill>
                </w14:textFill>
              </w:rPr>
              <w:t>|</w:t>
            </w:r>
            <w:r w:rsidR="00B55D47" w:rsidRPr="00B55D47">
              <w:rPr>
                <w:color w:val="000000"/>
                <w:shd w:val="solid" w:color="000000" w:fill="000000"/>
                <w:fitText w:val="170" w:id="-694465280"/>
                <w14:textFill>
                  <w14:solidFill>
                    <w14:srgbClr w14:val="000000">
                      <w14:alpha w14:val="100000"/>
                    </w14:srgbClr>
                  </w14:solidFill>
                </w14:textFill>
              </w:rPr>
              <w:t>|</w:t>
            </w:r>
            <w:r w:rsidR="00087D74" w:rsidRPr="0098262F">
              <w:t xml:space="preserve"> </w:t>
            </w:r>
          </w:p>
        </w:tc>
        <w:tc>
          <w:tcPr>
            <w:tcW w:w="450" w:type="pct"/>
            <w:vAlign w:val="center"/>
          </w:tcPr>
          <w:p w14:paraId="71CD2441" w14:textId="1C755D61" w:rsidR="00087D74" w:rsidRPr="0098262F" w:rsidRDefault="00087D74" w:rsidP="002321F7">
            <w:pPr>
              <w:keepNext/>
              <w:keepLines/>
              <w:jc w:val="center"/>
              <w:rPr>
                <w:rFonts w:ascii="Arial Narrow" w:hAnsi="Arial Narrow"/>
                <w:sz w:val="20"/>
                <w:szCs w:val="20"/>
              </w:rPr>
            </w:pPr>
            <w:r>
              <w:rPr>
                <w:rFonts w:ascii="Arial Narrow" w:hAnsi="Arial Narrow"/>
                <w:sz w:val="20"/>
              </w:rPr>
              <w:t>1</w:t>
            </w:r>
          </w:p>
        </w:tc>
        <w:tc>
          <w:tcPr>
            <w:tcW w:w="450" w:type="pct"/>
            <w:vAlign w:val="center"/>
          </w:tcPr>
          <w:p w14:paraId="65F4D3E9" w14:textId="628CEF14" w:rsidR="00087D74" w:rsidRPr="0098262F" w:rsidRDefault="00087D74" w:rsidP="002321F7">
            <w:pPr>
              <w:keepNext/>
              <w:keepLines/>
              <w:jc w:val="center"/>
              <w:rPr>
                <w:rFonts w:ascii="Arial Narrow" w:hAnsi="Arial Narrow"/>
                <w:sz w:val="20"/>
                <w:szCs w:val="20"/>
              </w:rPr>
            </w:pPr>
            <w:r>
              <w:rPr>
                <w:rFonts w:ascii="Arial Narrow" w:hAnsi="Arial Narrow"/>
                <w:sz w:val="20"/>
              </w:rPr>
              <w:t>30</w:t>
            </w:r>
          </w:p>
        </w:tc>
        <w:tc>
          <w:tcPr>
            <w:tcW w:w="450" w:type="pct"/>
            <w:vAlign w:val="center"/>
          </w:tcPr>
          <w:p w14:paraId="7C728D0C" w14:textId="0A230277" w:rsidR="00087D74" w:rsidRPr="0098262F" w:rsidRDefault="00087D74" w:rsidP="002321F7">
            <w:pPr>
              <w:keepNext/>
              <w:keepLines/>
              <w:jc w:val="center"/>
              <w:rPr>
                <w:rFonts w:ascii="Arial Narrow" w:hAnsi="Arial Narrow"/>
                <w:sz w:val="20"/>
                <w:szCs w:val="20"/>
              </w:rPr>
            </w:pPr>
            <w:r>
              <w:rPr>
                <w:rFonts w:ascii="Arial Narrow" w:hAnsi="Arial Narrow"/>
                <w:sz w:val="20"/>
              </w:rPr>
              <w:t>5</w:t>
            </w:r>
          </w:p>
        </w:tc>
        <w:tc>
          <w:tcPr>
            <w:tcW w:w="1015" w:type="pct"/>
            <w:vAlign w:val="center"/>
          </w:tcPr>
          <w:p w14:paraId="519A0BC8" w14:textId="1B516D93" w:rsidR="00087D74" w:rsidRPr="0098262F" w:rsidRDefault="00087D74" w:rsidP="05042C88">
            <w:pPr>
              <w:keepNext/>
              <w:keepLines/>
              <w:rPr>
                <w:rFonts w:ascii="Arial Narrow" w:hAnsi="Arial Narrow"/>
                <w:color w:val="0066FF"/>
                <w:sz w:val="20"/>
                <w:szCs w:val="20"/>
              </w:rPr>
            </w:pPr>
            <w:proofErr w:type="spellStart"/>
            <w:r w:rsidRPr="05042C88">
              <w:rPr>
                <w:rFonts w:ascii="Arial Narrow" w:hAnsi="Arial Narrow"/>
                <w:sz w:val="20"/>
                <w:szCs w:val="20"/>
              </w:rPr>
              <w:t>Iqirvo</w:t>
            </w:r>
            <w:proofErr w:type="spellEnd"/>
          </w:p>
        </w:tc>
      </w:tr>
      <w:bookmarkEnd w:id="12"/>
    </w:tbl>
    <w:p w14:paraId="210B3796" w14:textId="12D5EEC6" w:rsidR="00046D64" w:rsidRPr="0098262F" w:rsidRDefault="00046D64"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087D74" w:rsidRPr="0098262F" w14:paraId="2795601C" w14:textId="77777777" w:rsidTr="05042C88">
        <w:trPr>
          <w:cantSplit/>
          <w:trHeight w:val="20"/>
        </w:trPr>
        <w:tc>
          <w:tcPr>
            <w:tcW w:w="5000" w:type="pct"/>
          </w:tcPr>
          <w:p w14:paraId="20604074" w14:textId="77777777" w:rsidR="00087D74" w:rsidRPr="0098262F" w:rsidRDefault="00087D74" w:rsidP="00EB7AB4">
            <w:pPr>
              <w:pStyle w:val="TableText0"/>
              <w:keepNext w:val="0"/>
              <w:keepLines w:val="0"/>
            </w:pPr>
            <w:r w:rsidRPr="0098262F">
              <w:rPr>
                <w:b/>
              </w:rPr>
              <w:t xml:space="preserve">Category / Program: </w:t>
            </w:r>
            <w:r w:rsidRPr="0098262F">
              <w:t>General Schedule</w:t>
            </w:r>
          </w:p>
        </w:tc>
      </w:tr>
      <w:tr w:rsidR="00087D74" w:rsidRPr="0098262F" w14:paraId="6FAE549E" w14:textId="77777777" w:rsidTr="05042C88">
        <w:trPr>
          <w:cantSplit/>
          <w:trHeight w:val="20"/>
        </w:trPr>
        <w:tc>
          <w:tcPr>
            <w:tcW w:w="5000" w:type="pct"/>
          </w:tcPr>
          <w:p w14:paraId="2894CDF7" w14:textId="77777777" w:rsidR="00087D74" w:rsidRPr="0098262F" w:rsidRDefault="00087D74" w:rsidP="00EB7AB4">
            <w:pPr>
              <w:pStyle w:val="TableText0"/>
              <w:keepNext w:val="0"/>
              <w:keepLines w:val="0"/>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087D74" w:rsidRPr="0098262F" w14:paraId="79678E59" w14:textId="77777777" w:rsidTr="05042C88">
        <w:trPr>
          <w:cantSplit/>
          <w:trHeight w:val="20"/>
        </w:trPr>
        <w:tc>
          <w:tcPr>
            <w:tcW w:w="5000" w:type="pct"/>
          </w:tcPr>
          <w:p w14:paraId="0DF13414" w14:textId="77777777" w:rsidR="00087D74" w:rsidRPr="0098262F" w:rsidRDefault="00087D74" w:rsidP="00EB7AB4">
            <w:pPr>
              <w:pStyle w:val="TableText0"/>
              <w:keepNext w:val="0"/>
              <w:keepLines w:val="0"/>
              <w:rPr>
                <w:rFonts w:eastAsia="Times New Roman"/>
              </w:rPr>
            </w:pPr>
            <w:r w:rsidRPr="0098262F">
              <w:rPr>
                <w:b/>
              </w:rPr>
              <w:t xml:space="preserve">Restriction type: </w:t>
            </w:r>
            <w:r>
              <w:rPr>
                <w:rFonts w:eastAsia="Times New Roman"/>
              </w:rPr>
              <w:fldChar w:fldCharType="begin" w:fldLock="1">
                <w:ffData>
                  <w:name w:val=""/>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(STREAMLINED)</w:t>
            </w:r>
          </w:p>
        </w:tc>
      </w:tr>
      <w:tr w:rsidR="00087D74" w:rsidRPr="0098262F" w14:paraId="1167DA74" w14:textId="77777777" w:rsidTr="05042C88">
        <w:trPr>
          <w:cantSplit/>
          <w:trHeight w:val="20"/>
        </w:trPr>
        <w:tc>
          <w:tcPr>
            <w:tcW w:w="5000" w:type="pct"/>
            <w:vAlign w:val="center"/>
            <w:hideMark/>
          </w:tcPr>
          <w:p w14:paraId="14CCD72F" w14:textId="77777777" w:rsidR="00087D74" w:rsidRPr="0098262F" w:rsidRDefault="00087D74" w:rsidP="00EB7AB4">
            <w:pPr>
              <w:pStyle w:val="TableText0"/>
              <w:keepNext w:val="0"/>
              <w:keepLines w:val="0"/>
            </w:pPr>
            <w:r w:rsidRPr="0098262F">
              <w:rPr>
                <w:b/>
              </w:rPr>
              <w:t>Indication:</w:t>
            </w:r>
            <w:r w:rsidRPr="0098262F">
              <w:t xml:space="preserve"> </w:t>
            </w:r>
            <w:r w:rsidRPr="00C35CD4">
              <w:t>Primary biliary cholangitis (previously known as Primary biliary cirrhosis)</w:t>
            </w:r>
          </w:p>
        </w:tc>
      </w:tr>
      <w:tr w:rsidR="00087D74" w:rsidRPr="0098262F" w14:paraId="687B6C44" w14:textId="77777777" w:rsidTr="05042C88">
        <w:trPr>
          <w:cantSplit/>
          <w:trHeight w:val="20"/>
        </w:trPr>
        <w:tc>
          <w:tcPr>
            <w:tcW w:w="5000" w:type="pct"/>
            <w:vAlign w:val="center"/>
            <w:hideMark/>
          </w:tcPr>
          <w:p w14:paraId="58344657" w14:textId="77777777" w:rsidR="00087D74" w:rsidRPr="0098262F" w:rsidRDefault="00087D74" w:rsidP="00EB7AB4">
            <w:pPr>
              <w:pStyle w:val="TableText0"/>
              <w:keepNext w:val="0"/>
              <w:keepLines w:val="0"/>
            </w:pPr>
            <w:r w:rsidRPr="0098262F">
              <w:rPr>
                <w:b/>
              </w:rPr>
              <w:t>Treatment Phase:</w:t>
            </w:r>
            <w:r w:rsidRPr="0098262F">
              <w:t xml:space="preserve"> </w:t>
            </w:r>
            <w:r>
              <w:t>Initial</w:t>
            </w:r>
          </w:p>
        </w:tc>
      </w:tr>
      <w:tr w:rsidR="00087D74" w:rsidRPr="0098262F" w14:paraId="1E4EBE3E" w14:textId="77777777" w:rsidTr="05042C88">
        <w:trPr>
          <w:cantSplit/>
          <w:trHeight w:val="20"/>
        </w:trPr>
        <w:tc>
          <w:tcPr>
            <w:tcW w:w="5000" w:type="pct"/>
            <w:vAlign w:val="center"/>
            <w:hideMark/>
          </w:tcPr>
          <w:p w14:paraId="61F565C9" w14:textId="77777777" w:rsidR="00087D74" w:rsidRPr="0098262F" w:rsidRDefault="00087D74" w:rsidP="00EB7AB4">
            <w:pPr>
              <w:pStyle w:val="TableText0"/>
              <w:keepNext w:val="0"/>
              <w:keepLines w:val="0"/>
            </w:pPr>
            <w:r w:rsidRPr="0098262F">
              <w:rPr>
                <w:b/>
              </w:rPr>
              <w:t>Clinical criteria:</w:t>
            </w:r>
          </w:p>
        </w:tc>
      </w:tr>
      <w:tr w:rsidR="00087D74" w:rsidRPr="0098262F" w14:paraId="66F3D8DE" w14:textId="77777777" w:rsidTr="05042C88">
        <w:trPr>
          <w:cantSplit/>
          <w:trHeight w:val="20"/>
        </w:trPr>
        <w:tc>
          <w:tcPr>
            <w:tcW w:w="5000" w:type="pct"/>
            <w:hideMark/>
          </w:tcPr>
          <w:p w14:paraId="4DE50B6B" w14:textId="77777777" w:rsidR="00087D74" w:rsidRPr="0098262F" w:rsidRDefault="00087D74" w:rsidP="00EB7AB4">
            <w:pPr>
              <w:pStyle w:val="TableText0"/>
              <w:keepNext w:val="0"/>
              <w:keepLines w:val="0"/>
            </w:pPr>
            <w:r w:rsidRPr="05042C88">
              <w:t>Patient must have experienced an inadequate response to ursodeoxycholic acid, despite treatment with ursodeoxycholic acid for at least 52 weeks at a therapeutic dose, prior to initiating treatment with this drug; or</w:t>
            </w:r>
          </w:p>
        </w:tc>
      </w:tr>
      <w:tr w:rsidR="00087D74" w:rsidRPr="0098262F" w14:paraId="594953AC" w14:textId="77777777" w:rsidTr="05042C88">
        <w:trPr>
          <w:cantSplit/>
          <w:trHeight w:val="20"/>
        </w:trPr>
        <w:tc>
          <w:tcPr>
            <w:tcW w:w="5000" w:type="pct"/>
          </w:tcPr>
          <w:p w14:paraId="33D3A40D" w14:textId="77777777" w:rsidR="00087D74" w:rsidRPr="0098262F" w:rsidRDefault="00087D74" w:rsidP="05042C88">
            <w:pPr>
              <w:pStyle w:val="TableText0"/>
              <w:keepNext w:val="0"/>
              <w:keepLines w:val="0"/>
              <w:rPr>
                <w:color w:val="0066FF"/>
              </w:rPr>
            </w:pPr>
            <w:r w:rsidRPr="05042C88">
              <w:t>Patient must have experienced an intolerance to ursodeoxycholic acid of a severity requiring permanent treatment discontinuation, prior to initiating treatment with this drug,</w:t>
            </w:r>
          </w:p>
        </w:tc>
      </w:tr>
      <w:tr w:rsidR="00087D74" w:rsidRPr="0098262F" w14:paraId="60DC88BE" w14:textId="77777777" w:rsidTr="05042C88">
        <w:trPr>
          <w:cantSplit/>
          <w:trHeight w:val="20"/>
        </w:trPr>
        <w:tc>
          <w:tcPr>
            <w:tcW w:w="5000" w:type="pct"/>
            <w:vAlign w:val="center"/>
            <w:hideMark/>
          </w:tcPr>
          <w:p w14:paraId="6D1BDC3A" w14:textId="77777777" w:rsidR="00087D74" w:rsidRPr="0098262F" w:rsidRDefault="00087D74" w:rsidP="00EB7AB4">
            <w:pPr>
              <w:pStyle w:val="TableText0"/>
              <w:keepNext w:val="0"/>
              <w:keepLines w:val="0"/>
            </w:pPr>
            <w:r w:rsidRPr="0098262F">
              <w:rPr>
                <w:b/>
              </w:rPr>
              <w:t>AND</w:t>
            </w:r>
          </w:p>
        </w:tc>
      </w:tr>
      <w:tr w:rsidR="00087D74" w:rsidRPr="0098262F" w14:paraId="710840A9" w14:textId="77777777" w:rsidTr="05042C88">
        <w:trPr>
          <w:cantSplit/>
          <w:trHeight w:val="20"/>
        </w:trPr>
        <w:tc>
          <w:tcPr>
            <w:tcW w:w="5000" w:type="pct"/>
            <w:hideMark/>
          </w:tcPr>
          <w:p w14:paraId="0776BB9E" w14:textId="77777777" w:rsidR="00087D74" w:rsidRPr="0098262F" w:rsidRDefault="00087D74" w:rsidP="05042C88">
            <w:pPr>
              <w:pStyle w:val="TableText0"/>
              <w:keepNext w:val="0"/>
              <w:keepLines w:val="0"/>
              <w:rPr>
                <w:color w:val="0066FF"/>
              </w:rPr>
            </w:pPr>
            <w:r w:rsidRPr="05042C88">
              <w:t>Patient must have an alkaline phosphatase (ALP) level of at least 1.67 times the upper limit of normal (ULN) having accounted for each of: (</w:t>
            </w:r>
            <w:proofErr w:type="spellStart"/>
            <w:r w:rsidRPr="05042C88">
              <w:t>i</w:t>
            </w:r>
            <w:proofErr w:type="spellEnd"/>
            <w:r w:rsidRPr="05042C88">
              <w:t>) age, (ii) gender, (iii) laboratory to laboratory variances in the definition of ‘normal’, despite treatment with ursodeoxycholic acid for at least 52 cumulative weeks; and</w:t>
            </w:r>
          </w:p>
        </w:tc>
      </w:tr>
      <w:tr w:rsidR="00087D74" w:rsidRPr="0098262F" w14:paraId="3E9DAC05" w14:textId="77777777" w:rsidTr="05042C88">
        <w:trPr>
          <w:cantSplit/>
          <w:trHeight w:val="20"/>
        </w:trPr>
        <w:tc>
          <w:tcPr>
            <w:tcW w:w="5000" w:type="pct"/>
          </w:tcPr>
          <w:p w14:paraId="64A5904C" w14:textId="77777777" w:rsidR="00087D74" w:rsidRPr="0098262F" w:rsidRDefault="00087D74" w:rsidP="00EB7AB4">
            <w:pPr>
              <w:pStyle w:val="TableText0"/>
              <w:keepNext w:val="0"/>
              <w:keepLines w:val="0"/>
              <w:rPr>
                <w:color w:val="0066FF"/>
              </w:rPr>
            </w:pPr>
            <w:r w:rsidRPr="00A27A46">
              <w:t>Patient must have a total bilirubin level no more than 2 times the ULN, despite treatment with ursodeoxycholic acid for at least 52 cumulative weeks; or</w:t>
            </w:r>
          </w:p>
        </w:tc>
      </w:tr>
      <w:tr w:rsidR="00087D74" w:rsidRPr="0098262F" w14:paraId="58FC468E" w14:textId="77777777" w:rsidTr="05042C88">
        <w:trPr>
          <w:cantSplit/>
          <w:trHeight w:val="20"/>
        </w:trPr>
        <w:tc>
          <w:tcPr>
            <w:tcW w:w="5000" w:type="pct"/>
          </w:tcPr>
          <w:p w14:paraId="41DD11AF" w14:textId="77777777" w:rsidR="00087D74" w:rsidRPr="0098262F" w:rsidRDefault="00087D74" w:rsidP="05042C88">
            <w:pPr>
              <w:pStyle w:val="TableText0"/>
              <w:keepNext w:val="0"/>
              <w:keepLines w:val="0"/>
              <w:rPr>
                <w:color w:val="0066FF"/>
              </w:rPr>
            </w:pPr>
            <w:r w:rsidRPr="05042C88">
              <w:t>Patient must have abnormal readings of at least one of: (</w:t>
            </w:r>
            <w:proofErr w:type="spellStart"/>
            <w:r w:rsidRPr="05042C88">
              <w:t>i</w:t>
            </w:r>
            <w:proofErr w:type="spellEnd"/>
            <w:r w:rsidRPr="05042C88">
              <w:t>) alkaline phosphatase (ii) total bilirubin, in the presence of an intolerance of a severity requiring treatment discontinuation with ursodeoxycholic acid.</w:t>
            </w:r>
          </w:p>
        </w:tc>
      </w:tr>
      <w:tr w:rsidR="00087D74" w:rsidRPr="0098262F" w14:paraId="63154D22" w14:textId="77777777" w:rsidTr="05042C88">
        <w:trPr>
          <w:cantSplit/>
          <w:trHeight w:val="20"/>
        </w:trPr>
        <w:tc>
          <w:tcPr>
            <w:tcW w:w="5000" w:type="pct"/>
            <w:vAlign w:val="center"/>
            <w:hideMark/>
          </w:tcPr>
          <w:p w14:paraId="612BA993" w14:textId="77777777" w:rsidR="00087D74" w:rsidRPr="0098262F" w:rsidRDefault="00087D74" w:rsidP="00EB7AB4">
            <w:pPr>
              <w:pStyle w:val="TableText0"/>
              <w:keepNext w:val="0"/>
              <w:keepLines w:val="0"/>
            </w:pPr>
            <w:r w:rsidRPr="0098262F">
              <w:rPr>
                <w:b/>
              </w:rPr>
              <w:t>Treatment criteria:</w:t>
            </w:r>
          </w:p>
        </w:tc>
      </w:tr>
      <w:tr w:rsidR="00087D74" w:rsidRPr="0098262F" w14:paraId="15F4877F" w14:textId="77777777" w:rsidTr="05042C88">
        <w:trPr>
          <w:cantSplit/>
          <w:trHeight w:val="20"/>
        </w:trPr>
        <w:tc>
          <w:tcPr>
            <w:tcW w:w="5000" w:type="pct"/>
            <w:hideMark/>
          </w:tcPr>
          <w:p w14:paraId="433CFE4C" w14:textId="3152433F" w:rsidR="00087D74" w:rsidRPr="0098262F" w:rsidRDefault="00087D74" w:rsidP="05042C88">
            <w:pPr>
              <w:pStyle w:val="TableText0"/>
              <w:keepNext w:val="0"/>
              <w:keepLines w:val="0"/>
              <w:rPr>
                <w:i/>
                <w:iCs/>
              </w:rPr>
            </w:pPr>
            <w:r w:rsidRPr="05042C88">
              <w:t>Must be treated by a prescriber who is either: (</w:t>
            </w:r>
            <w:proofErr w:type="spellStart"/>
            <w:r w:rsidRPr="05042C88">
              <w:t>i</w:t>
            </w:r>
            <w:proofErr w:type="spellEnd"/>
            <w:r w:rsidRPr="05042C88">
              <w:t>) a gastroenterologist, (ii) a hepatologist; or</w:t>
            </w:r>
            <w:r w:rsidR="00CD4055" w:rsidRPr="05042C88">
              <w:t xml:space="preserve"> </w:t>
            </w:r>
          </w:p>
        </w:tc>
      </w:tr>
      <w:tr w:rsidR="00087D74" w:rsidRPr="0098262F" w14:paraId="2C82FF44" w14:textId="77777777" w:rsidTr="05042C88">
        <w:trPr>
          <w:cantSplit/>
          <w:trHeight w:val="20"/>
        </w:trPr>
        <w:tc>
          <w:tcPr>
            <w:tcW w:w="5000" w:type="pct"/>
          </w:tcPr>
          <w:p w14:paraId="60FEDD77" w14:textId="77777777" w:rsidR="00087D74" w:rsidRPr="0098262F" w:rsidRDefault="00087D74" w:rsidP="05042C88">
            <w:pPr>
              <w:pStyle w:val="TableText0"/>
              <w:keepNext w:val="0"/>
              <w:keepLines w:val="0"/>
              <w:rPr>
                <w:color w:val="0066FF"/>
              </w:rPr>
            </w:pPr>
            <w:r w:rsidRPr="05042C88">
              <w:t>Must be treated by a medical practitioner who has consulted at least one of the above mentioned specialist types, with agreement reached that the patient should be treated with this pharmaceutical benefit on this occasion.</w:t>
            </w:r>
          </w:p>
        </w:tc>
      </w:tr>
      <w:tr w:rsidR="00087D74" w:rsidRPr="0098262F" w14:paraId="43A45283" w14:textId="77777777" w:rsidTr="05042C88">
        <w:trPr>
          <w:cantSplit/>
          <w:trHeight w:val="20"/>
        </w:trPr>
        <w:tc>
          <w:tcPr>
            <w:tcW w:w="5000" w:type="pct"/>
            <w:vAlign w:val="center"/>
            <w:hideMark/>
          </w:tcPr>
          <w:p w14:paraId="38878FCC" w14:textId="77777777" w:rsidR="00087D74" w:rsidRPr="0098262F" w:rsidRDefault="00087D74" w:rsidP="00EB7AB4">
            <w:pPr>
              <w:pStyle w:val="TableText0"/>
              <w:keepNext w:val="0"/>
              <w:keepLines w:val="0"/>
            </w:pPr>
            <w:r w:rsidRPr="0098262F">
              <w:rPr>
                <w:b/>
              </w:rPr>
              <w:t>AND</w:t>
            </w:r>
          </w:p>
        </w:tc>
      </w:tr>
      <w:tr w:rsidR="00087D74" w:rsidRPr="0098262F" w14:paraId="60A0D6D1" w14:textId="77777777" w:rsidTr="05042C88">
        <w:trPr>
          <w:cantSplit/>
          <w:trHeight w:val="20"/>
        </w:trPr>
        <w:tc>
          <w:tcPr>
            <w:tcW w:w="5000" w:type="pct"/>
          </w:tcPr>
          <w:p w14:paraId="11FE376C" w14:textId="77777777" w:rsidR="00087D74" w:rsidRPr="00000AAA" w:rsidRDefault="00087D74" w:rsidP="00777D20">
            <w:pPr>
              <w:pStyle w:val="TableText0"/>
            </w:pPr>
            <w:r w:rsidRPr="00C8012B">
              <w:t>Patient must be undergoing concurrent treatment with ursodeoxycholic acid, following this authority application; or</w:t>
            </w:r>
          </w:p>
        </w:tc>
      </w:tr>
      <w:tr w:rsidR="00087D74" w:rsidRPr="0098262F" w14:paraId="4F4DF0D5" w14:textId="77777777" w:rsidTr="05042C88">
        <w:trPr>
          <w:cantSplit/>
          <w:trHeight w:val="20"/>
        </w:trPr>
        <w:tc>
          <w:tcPr>
            <w:tcW w:w="5000" w:type="pct"/>
          </w:tcPr>
          <w:p w14:paraId="155DECB1" w14:textId="77777777" w:rsidR="00087D74" w:rsidRDefault="00087D74" w:rsidP="00777D20">
            <w:pPr>
              <w:pStyle w:val="TableText0"/>
            </w:pPr>
            <w:r w:rsidRPr="00C8012B">
              <w:t>Patient must be undergoing treatment with this drug as monotherapy following this authority application, because combination treatment with ursodeoxycholic acid is not tolerated.</w:t>
            </w:r>
          </w:p>
        </w:tc>
      </w:tr>
      <w:tr w:rsidR="00087D74" w:rsidRPr="0098262F" w14:paraId="7CD02455" w14:textId="77777777" w:rsidTr="05042C88">
        <w:trPr>
          <w:cantSplit/>
          <w:trHeight w:val="20"/>
        </w:trPr>
        <w:tc>
          <w:tcPr>
            <w:tcW w:w="5000" w:type="pct"/>
            <w:vAlign w:val="center"/>
            <w:hideMark/>
          </w:tcPr>
          <w:p w14:paraId="7C1CED7F" w14:textId="77777777" w:rsidR="00087D74" w:rsidRPr="0098262F" w:rsidRDefault="00087D74" w:rsidP="00777D20">
            <w:pPr>
              <w:pStyle w:val="TableText0"/>
            </w:pPr>
            <w:r w:rsidRPr="0098262F">
              <w:rPr>
                <w:b/>
              </w:rPr>
              <w:t>Population criteria:</w:t>
            </w:r>
          </w:p>
        </w:tc>
      </w:tr>
      <w:tr w:rsidR="00087D74" w:rsidRPr="0098262F" w14:paraId="4BC860C1" w14:textId="77777777" w:rsidTr="05042C88">
        <w:trPr>
          <w:cantSplit/>
          <w:trHeight w:val="20"/>
        </w:trPr>
        <w:tc>
          <w:tcPr>
            <w:tcW w:w="5000" w:type="pct"/>
            <w:vAlign w:val="center"/>
          </w:tcPr>
          <w:p w14:paraId="580ED32E" w14:textId="77777777" w:rsidR="00087D74" w:rsidRPr="0098262F" w:rsidRDefault="00087D74" w:rsidP="00777D20">
            <w:pPr>
              <w:pStyle w:val="TableText0"/>
              <w:rPr>
                <w:color w:val="0066FF"/>
              </w:rPr>
            </w:pPr>
            <w:r w:rsidRPr="001C5E2B">
              <w:t>Patient must be aged 18 years or over</w:t>
            </w:r>
            <w:r>
              <w:t>.</w:t>
            </w:r>
          </w:p>
        </w:tc>
      </w:tr>
      <w:tr w:rsidR="00087D74" w:rsidRPr="0098262F" w14:paraId="3CBDE894" w14:textId="77777777" w:rsidTr="05042C88">
        <w:trPr>
          <w:cantSplit/>
          <w:trHeight w:val="20"/>
        </w:trPr>
        <w:tc>
          <w:tcPr>
            <w:tcW w:w="5000" w:type="pct"/>
            <w:vAlign w:val="center"/>
            <w:hideMark/>
          </w:tcPr>
          <w:p w14:paraId="6134AC2B" w14:textId="77777777" w:rsidR="00087D74" w:rsidRPr="0098262F" w:rsidRDefault="00087D74" w:rsidP="00777D20">
            <w:pPr>
              <w:pStyle w:val="TableText0"/>
            </w:pPr>
            <w:r w:rsidRPr="05042C88">
              <w:rPr>
                <w:b/>
              </w:rPr>
              <w:t xml:space="preserve">Prescribing Instructions: </w:t>
            </w:r>
            <w:r w:rsidRPr="05042C88">
              <w:t>Document and retain in the patient's medical records the qualifying baseline laboratory reading for the purpose of assessing response to treatment under the 'Continuing treatment' restriction.</w:t>
            </w:r>
          </w:p>
        </w:tc>
      </w:tr>
    </w:tbl>
    <w:p w14:paraId="69BACA86" w14:textId="368A4FE8" w:rsidR="00087D74" w:rsidRPr="00087D74" w:rsidRDefault="00087D74" w:rsidP="00D4355A">
      <w:pPr>
        <w:pStyle w:val="Table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087D74" w:rsidRPr="0098262F" w14:paraId="004BC9E6" w14:textId="77777777" w:rsidTr="05042C88">
        <w:trPr>
          <w:cantSplit/>
          <w:trHeight w:val="20"/>
        </w:trPr>
        <w:tc>
          <w:tcPr>
            <w:tcW w:w="5000" w:type="pct"/>
          </w:tcPr>
          <w:p w14:paraId="3DF87921" w14:textId="77777777" w:rsidR="00087D74" w:rsidRPr="0098262F" w:rsidRDefault="00087D74" w:rsidP="00777D20">
            <w:pPr>
              <w:pStyle w:val="TableText0"/>
            </w:pPr>
            <w:r w:rsidRPr="0098262F">
              <w:rPr>
                <w:b/>
              </w:rPr>
              <w:lastRenderedPageBreak/>
              <w:t xml:space="preserve">Category / Program: </w:t>
            </w:r>
            <w:r w:rsidRPr="0098262F">
              <w:t>General Schedule</w:t>
            </w:r>
          </w:p>
        </w:tc>
      </w:tr>
      <w:tr w:rsidR="00087D74" w:rsidRPr="0098262F" w14:paraId="201F841A" w14:textId="77777777" w:rsidTr="05042C88">
        <w:trPr>
          <w:cantSplit/>
          <w:trHeight w:val="20"/>
        </w:trPr>
        <w:tc>
          <w:tcPr>
            <w:tcW w:w="5000" w:type="pct"/>
          </w:tcPr>
          <w:p w14:paraId="768D2709" w14:textId="77777777" w:rsidR="00087D74" w:rsidRPr="0098262F" w:rsidRDefault="00087D74" w:rsidP="00777D20">
            <w:pPr>
              <w:pStyle w:val="TableText0"/>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087D74" w:rsidRPr="0098262F" w14:paraId="616FBA98" w14:textId="77777777" w:rsidTr="05042C88">
        <w:trPr>
          <w:cantSplit/>
          <w:trHeight w:val="20"/>
        </w:trPr>
        <w:tc>
          <w:tcPr>
            <w:tcW w:w="5000" w:type="pct"/>
          </w:tcPr>
          <w:p w14:paraId="741B96A9" w14:textId="77777777" w:rsidR="00087D74" w:rsidRPr="0098262F" w:rsidRDefault="00087D74" w:rsidP="00777D20">
            <w:pPr>
              <w:pStyle w:val="TableText0"/>
              <w:rPr>
                <w:rFonts w:eastAsia="Times New Roman"/>
              </w:rPr>
            </w:pPr>
            <w:r w:rsidRPr="0098262F">
              <w:rPr>
                <w:b/>
              </w:rPr>
              <w:t xml:space="preserve">Restriction type: </w:t>
            </w:r>
            <w:r>
              <w:rPr>
                <w:rFonts w:eastAsia="Times New Roman"/>
              </w:rPr>
              <w:fldChar w:fldCharType="begin" w:fldLock="1">
                <w:ffData>
                  <w:name w:val=""/>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(STREAMLINED)</w:t>
            </w:r>
          </w:p>
        </w:tc>
      </w:tr>
      <w:tr w:rsidR="00087D74" w:rsidRPr="0098262F" w14:paraId="04141693" w14:textId="77777777" w:rsidTr="05042C88">
        <w:trPr>
          <w:cantSplit/>
          <w:trHeight w:val="20"/>
        </w:trPr>
        <w:tc>
          <w:tcPr>
            <w:tcW w:w="5000" w:type="pct"/>
            <w:vAlign w:val="center"/>
            <w:hideMark/>
          </w:tcPr>
          <w:p w14:paraId="165633F6" w14:textId="77777777" w:rsidR="00087D74" w:rsidRPr="0098262F" w:rsidRDefault="00087D74" w:rsidP="00777D20">
            <w:pPr>
              <w:pStyle w:val="TableText0"/>
            </w:pPr>
            <w:r w:rsidRPr="0098262F">
              <w:rPr>
                <w:b/>
              </w:rPr>
              <w:t>Indication:</w:t>
            </w:r>
            <w:r w:rsidRPr="0098262F">
              <w:t xml:space="preserve"> </w:t>
            </w:r>
            <w:r w:rsidRPr="00C35CD4">
              <w:t>Primary biliary cholangitis (previously known as Primary biliary cirrhosis)</w:t>
            </w:r>
          </w:p>
        </w:tc>
      </w:tr>
      <w:tr w:rsidR="00087D74" w:rsidRPr="0098262F" w14:paraId="0EB0B554" w14:textId="77777777" w:rsidTr="05042C88">
        <w:trPr>
          <w:cantSplit/>
          <w:trHeight w:val="20"/>
        </w:trPr>
        <w:tc>
          <w:tcPr>
            <w:tcW w:w="5000" w:type="pct"/>
            <w:vAlign w:val="center"/>
            <w:hideMark/>
          </w:tcPr>
          <w:p w14:paraId="11B2AD58" w14:textId="77777777" w:rsidR="00087D74" w:rsidRPr="0098262F" w:rsidRDefault="00087D74" w:rsidP="00777D20">
            <w:pPr>
              <w:pStyle w:val="TableText0"/>
            </w:pPr>
            <w:r w:rsidRPr="0098262F">
              <w:rPr>
                <w:b/>
              </w:rPr>
              <w:t>Treatment Phase:</w:t>
            </w:r>
            <w:r w:rsidRPr="0098262F">
              <w:t xml:space="preserve"> </w:t>
            </w:r>
            <w:r>
              <w:t>Continuing</w:t>
            </w:r>
          </w:p>
        </w:tc>
      </w:tr>
      <w:tr w:rsidR="00087D74" w:rsidRPr="0098262F" w14:paraId="40A560C5" w14:textId="77777777" w:rsidTr="05042C88">
        <w:trPr>
          <w:cantSplit/>
          <w:trHeight w:val="20"/>
        </w:trPr>
        <w:tc>
          <w:tcPr>
            <w:tcW w:w="5000" w:type="pct"/>
            <w:vAlign w:val="center"/>
            <w:hideMark/>
          </w:tcPr>
          <w:p w14:paraId="2C291F60" w14:textId="77777777" w:rsidR="00087D74" w:rsidRPr="0098262F" w:rsidRDefault="00087D74" w:rsidP="00777D20">
            <w:pPr>
              <w:pStyle w:val="TableText0"/>
            </w:pPr>
            <w:r w:rsidRPr="0098262F">
              <w:rPr>
                <w:b/>
              </w:rPr>
              <w:t>Treatment criteria:</w:t>
            </w:r>
          </w:p>
        </w:tc>
      </w:tr>
      <w:tr w:rsidR="00087D74" w:rsidRPr="0098262F" w14:paraId="3C0019B7" w14:textId="77777777" w:rsidTr="05042C88">
        <w:trPr>
          <w:cantSplit/>
          <w:trHeight w:val="20"/>
        </w:trPr>
        <w:tc>
          <w:tcPr>
            <w:tcW w:w="5000" w:type="pct"/>
            <w:hideMark/>
          </w:tcPr>
          <w:p w14:paraId="237E3691" w14:textId="77777777" w:rsidR="00087D74" w:rsidRPr="0098262F" w:rsidRDefault="00087D74" w:rsidP="05042C88">
            <w:pPr>
              <w:pStyle w:val="TableText0"/>
              <w:rPr>
                <w:i/>
                <w:iCs/>
              </w:rPr>
            </w:pPr>
            <w:r w:rsidRPr="05042C88">
              <w:t>Must be treated by a prescriber who is either: (</w:t>
            </w:r>
            <w:proofErr w:type="spellStart"/>
            <w:r w:rsidRPr="05042C88">
              <w:t>i</w:t>
            </w:r>
            <w:proofErr w:type="spellEnd"/>
            <w:r w:rsidRPr="05042C88">
              <w:t>) a gastroenterologist, (ii) a hepatologist; or</w:t>
            </w:r>
          </w:p>
        </w:tc>
      </w:tr>
      <w:tr w:rsidR="00087D74" w:rsidRPr="0098262F" w14:paraId="46B8C0B4" w14:textId="77777777" w:rsidTr="05042C88">
        <w:trPr>
          <w:cantSplit/>
          <w:trHeight w:val="20"/>
        </w:trPr>
        <w:tc>
          <w:tcPr>
            <w:tcW w:w="5000" w:type="pct"/>
          </w:tcPr>
          <w:p w14:paraId="6AE74E6E" w14:textId="77777777" w:rsidR="00087D74" w:rsidRPr="0098262F" w:rsidRDefault="00087D74" w:rsidP="05042C88">
            <w:pPr>
              <w:pStyle w:val="TableText0"/>
              <w:rPr>
                <w:color w:val="0066FF"/>
              </w:rPr>
            </w:pPr>
            <w:r w:rsidRPr="05042C88">
              <w:t>Must be treated by an eligible practitioner type who has consulted at least one of the above mentioned specialist types, with agreement reached that the patient should be treated with this pharmaceutical benefit on this occasion,</w:t>
            </w:r>
          </w:p>
        </w:tc>
      </w:tr>
      <w:tr w:rsidR="00087D74" w:rsidRPr="0098262F" w14:paraId="115FF112" w14:textId="77777777" w:rsidTr="05042C88">
        <w:trPr>
          <w:cantSplit/>
          <w:trHeight w:val="20"/>
        </w:trPr>
        <w:tc>
          <w:tcPr>
            <w:tcW w:w="5000" w:type="pct"/>
            <w:vAlign w:val="center"/>
            <w:hideMark/>
          </w:tcPr>
          <w:p w14:paraId="38C5A537" w14:textId="77777777" w:rsidR="00087D74" w:rsidRPr="0098262F" w:rsidRDefault="00087D74" w:rsidP="00777D20">
            <w:pPr>
              <w:pStyle w:val="TableText0"/>
            </w:pPr>
            <w:r w:rsidRPr="0098262F">
              <w:rPr>
                <w:b/>
              </w:rPr>
              <w:t>AND</w:t>
            </w:r>
          </w:p>
        </w:tc>
      </w:tr>
      <w:tr w:rsidR="00087D74" w:rsidRPr="0098262F" w14:paraId="023B646C" w14:textId="77777777" w:rsidTr="05042C88">
        <w:trPr>
          <w:cantSplit/>
          <w:trHeight w:val="20"/>
        </w:trPr>
        <w:tc>
          <w:tcPr>
            <w:tcW w:w="5000" w:type="pct"/>
          </w:tcPr>
          <w:p w14:paraId="28AFFAF5" w14:textId="77777777" w:rsidR="00087D74" w:rsidRPr="00000AAA" w:rsidRDefault="00087D74" w:rsidP="00777D20">
            <w:pPr>
              <w:pStyle w:val="TableText0"/>
            </w:pPr>
            <w:r w:rsidRPr="05042C88">
              <w:t>Patient must be undergoing continuing PBS-subsidised treatment with this drug, with treatment having commenced through one of: (</w:t>
            </w:r>
            <w:proofErr w:type="spellStart"/>
            <w:r w:rsidRPr="05042C88">
              <w:t>i</w:t>
            </w:r>
            <w:proofErr w:type="spellEnd"/>
            <w:r w:rsidRPr="05042C88">
              <w:t>) the 'Initial treatment' listing, (ii) 'Grandfather' arrangements,</w:t>
            </w:r>
          </w:p>
        </w:tc>
      </w:tr>
      <w:tr w:rsidR="00087D74" w:rsidRPr="0098262F" w14:paraId="715D502C" w14:textId="77777777" w:rsidTr="05042C88">
        <w:trPr>
          <w:cantSplit/>
          <w:trHeight w:val="20"/>
        </w:trPr>
        <w:tc>
          <w:tcPr>
            <w:tcW w:w="5000" w:type="pct"/>
            <w:vAlign w:val="center"/>
            <w:hideMark/>
          </w:tcPr>
          <w:p w14:paraId="3B88276D" w14:textId="77777777" w:rsidR="00087D74" w:rsidRPr="0098262F" w:rsidRDefault="00087D74" w:rsidP="00777D20">
            <w:pPr>
              <w:pStyle w:val="TableText0"/>
            </w:pPr>
            <w:r w:rsidRPr="0098262F">
              <w:rPr>
                <w:b/>
              </w:rPr>
              <w:t>AND</w:t>
            </w:r>
          </w:p>
        </w:tc>
      </w:tr>
      <w:tr w:rsidR="00087D74" w:rsidRPr="0098262F" w14:paraId="6D390C16" w14:textId="77777777" w:rsidTr="05042C88">
        <w:trPr>
          <w:cantSplit/>
          <w:trHeight w:val="20"/>
        </w:trPr>
        <w:tc>
          <w:tcPr>
            <w:tcW w:w="5000" w:type="pct"/>
            <w:vAlign w:val="center"/>
          </w:tcPr>
          <w:p w14:paraId="23D99515" w14:textId="77777777" w:rsidR="00087D74" w:rsidRPr="00000AAA" w:rsidRDefault="00087D74" w:rsidP="00777D20">
            <w:pPr>
              <w:pStyle w:val="TableText0"/>
            </w:pPr>
            <w:r w:rsidRPr="001D6B00">
              <w:t>Patient must be undergoing concurrent treatment with ursodeoxycholic acid, following this authority application; OR</w:t>
            </w:r>
          </w:p>
        </w:tc>
      </w:tr>
      <w:tr w:rsidR="00087D74" w:rsidRPr="0098262F" w14:paraId="2B5F20FC" w14:textId="77777777" w:rsidTr="05042C88">
        <w:trPr>
          <w:cantSplit/>
          <w:trHeight w:val="20"/>
        </w:trPr>
        <w:tc>
          <w:tcPr>
            <w:tcW w:w="5000" w:type="pct"/>
            <w:vAlign w:val="center"/>
          </w:tcPr>
          <w:p w14:paraId="40919071" w14:textId="77777777" w:rsidR="00087D74" w:rsidRPr="008638D0" w:rsidRDefault="00087D74" w:rsidP="00777D20">
            <w:pPr>
              <w:pStyle w:val="TableText0"/>
            </w:pPr>
            <w:r w:rsidRPr="001D6B00">
              <w:t>Patient must be undergoing treatment with this drug as monotherapy following this authority application, because combination treatment with ursodeoxycholic acid is not tolerated</w:t>
            </w:r>
            <w:r>
              <w:t>.</w:t>
            </w:r>
          </w:p>
        </w:tc>
      </w:tr>
      <w:tr w:rsidR="00087D74" w:rsidRPr="0098262F" w14:paraId="24B01815" w14:textId="77777777" w:rsidTr="05042C88">
        <w:trPr>
          <w:cantSplit/>
          <w:trHeight w:val="20"/>
        </w:trPr>
        <w:tc>
          <w:tcPr>
            <w:tcW w:w="5000" w:type="pct"/>
            <w:vAlign w:val="center"/>
            <w:hideMark/>
          </w:tcPr>
          <w:p w14:paraId="7B812688" w14:textId="77777777" w:rsidR="00087D74" w:rsidRPr="0098262F" w:rsidRDefault="00087D74" w:rsidP="00777D20">
            <w:pPr>
              <w:pStyle w:val="TableText0"/>
            </w:pPr>
            <w:r w:rsidRPr="0098262F">
              <w:rPr>
                <w:b/>
              </w:rPr>
              <w:t xml:space="preserve">Prescribing Instructions: </w:t>
            </w:r>
            <w:r w:rsidRPr="00EF767A">
              <w:rPr>
                <w:bCs w:val="0"/>
              </w:rPr>
              <w:t>The improvement in the qualifying laboratory reading(s) must be documented in the patient's medical records.</w:t>
            </w:r>
          </w:p>
        </w:tc>
      </w:tr>
    </w:tbl>
    <w:p w14:paraId="231013DF" w14:textId="30F2D0F4" w:rsidR="00087D74" w:rsidRPr="00087D74" w:rsidRDefault="00087D74" w:rsidP="00087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087D74" w:rsidRPr="0098262F" w14:paraId="68A95F2C" w14:textId="77777777" w:rsidTr="05042C88">
        <w:trPr>
          <w:cantSplit/>
          <w:trHeight w:val="20"/>
        </w:trPr>
        <w:tc>
          <w:tcPr>
            <w:tcW w:w="5000" w:type="pct"/>
          </w:tcPr>
          <w:p w14:paraId="3AD71765" w14:textId="77777777" w:rsidR="00087D74" w:rsidRPr="0098262F" w:rsidRDefault="00087D74" w:rsidP="00D3272B">
            <w:pPr>
              <w:pStyle w:val="TableText0"/>
              <w:keepNext w:val="0"/>
              <w:keepLines w:val="0"/>
            </w:pPr>
            <w:r w:rsidRPr="0098262F">
              <w:rPr>
                <w:b/>
              </w:rPr>
              <w:t xml:space="preserve">Category / Program: </w:t>
            </w:r>
            <w:r w:rsidRPr="0098262F">
              <w:t>General Schedule</w:t>
            </w:r>
          </w:p>
        </w:tc>
      </w:tr>
      <w:tr w:rsidR="00087D74" w:rsidRPr="0098262F" w14:paraId="6EEFDF80" w14:textId="77777777" w:rsidTr="05042C88">
        <w:trPr>
          <w:cantSplit/>
          <w:trHeight w:val="20"/>
        </w:trPr>
        <w:tc>
          <w:tcPr>
            <w:tcW w:w="5000" w:type="pct"/>
          </w:tcPr>
          <w:p w14:paraId="44B500E3" w14:textId="77777777" w:rsidR="00087D74" w:rsidRPr="0098262F" w:rsidRDefault="00087D74" w:rsidP="00D3272B">
            <w:pPr>
              <w:pStyle w:val="TableText0"/>
              <w:keepNext w:val="0"/>
              <w:keepLines w:val="0"/>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087D74" w:rsidRPr="0098262F" w14:paraId="4DE24C84" w14:textId="77777777" w:rsidTr="05042C88">
        <w:trPr>
          <w:cantSplit/>
          <w:trHeight w:val="20"/>
        </w:trPr>
        <w:tc>
          <w:tcPr>
            <w:tcW w:w="5000" w:type="pct"/>
          </w:tcPr>
          <w:p w14:paraId="035E25F1" w14:textId="77777777" w:rsidR="00087D74" w:rsidRPr="0098262F" w:rsidRDefault="00087D74" w:rsidP="00D3272B">
            <w:pPr>
              <w:pStyle w:val="TableText0"/>
              <w:keepNext w:val="0"/>
              <w:keepLines w:val="0"/>
              <w:rPr>
                <w:rFonts w:eastAsia="Times New Roman"/>
              </w:rPr>
            </w:pPr>
            <w:r w:rsidRPr="0098262F">
              <w:rPr>
                <w:b/>
              </w:rPr>
              <w:t xml:space="preserve">Restriction type: </w:t>
            </w:r>
            <w:r>
              <w:rPr>
                <w:rFonts w:eastAsia="Times New Roman"/>
              </w:rPr>
              <w:fldChar w:fldCharType="begin" w:fldLock="1">
                <w:ffData>
                  <w:name w:val=""/>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(STREAMLINED)</w:t>
            </w:r>
          </w:p>
        </w:tc>
      </w:tr>
      <w:tr w:rsidR="00087D74" w:rsidRPr="0098262F" w14:paraId="3BF47810" w14:textId="77777777" w:rsidTr="05042C88">
        <w:trPr>
          <w:cantSplit/>
          <w:trHeight w:val="20"/>
        </w:trPr>
        <w:tc>
          <w:tcPr>
            <w:tcW w:w="5000" w:type="pct"/>
            <w:vAlign w:val="center"/>
            <w:hideMark/>
          </w:tcPr>
          <w:p w14:paraId="7D9E461B" w14:textId="77777777" w:rsidR="00087D74" w:rsidRPr="0098262F" w:rsidRDefault="00087D74" w:rsidP="00D3272B">
            <w:pPr>
              <w:pStyle w:val="TableText0"/>
              <w:keepNext w:val="0"/>
              <w:keepLines w:val="0"/>
            </w:pPr>
            <w:r w:rsidRPr="0098262F">
              <w:rPr>
                <w:b/>
              </w:rPr>
              <w:t>Indication:</w:t>
            </w:r>
            <w:r w:rsidRPr="0098262F">
              <w:t xml:space="preserve"> </w:t>
            </w:r>
            <w:r w:rsidRPr="00C35CD4">
              <w:t>Primary biliary cholangitis (previously known as Primary biliary cirrhosis)</w:t>
            </w:r>
          </w:p>
        </w:tc>
      </w:tr>
      <w:tr w:rsidR="00100D6C" w:rsidRPr="0098262F" w14:paraId="3D5071F0" w14:textId="77777777" w:rsidTr="05042C88">
        <w:trPr>
          <w:cantSplit/>
          <w:trHeight w:val="20"/>
        </w:trPr>
        <w:tc>
          <w:tcPr>
            <w:tcW w:w="5000" w:type="pct"/>
            <w:vAlign w:val="center"/>
            <w:hideMark/>
          </w:tcPr>
          <w:p w14:paraId="6DC7BD6F" w14:textId="77777777" w:rsidR="00A2130C" w:rsidRPr="0098262F" w:rsidRDefault="00A2130C" w:rsidP="00D3272B">
            <w:pPr>
              <w:pStyle w:val="TableText0"/>
              <w:keepNext w:val="0"/>
              <w:keepLines w:val="0"/>
            </w:pPr>
            <w:r w:rsidRPr="0098262F">
              <w:rPr>
                <w:b/>
              </w:rPr>
              <w:t>Treatment Phase:</w:t>
            </w:r>
            <w:r w:rsidRPr="0098262F">
              <w:t xml:space="preserve"> </w:t>
            </w:r>
            <w:r w:rsidRPr="00317AA9">
              <w:t>Transitioning from non-PBS to PBS subsidised supply - Grandfather arrangements</w:t>
            </w:r>
          </w:p>
        </w:tc>
      </w:tr>
      <w:tr w:rsidR="00087D74" w:rsidRPr="0098262F" w14:paraId="4AF5AEF1" w14:textId="77777777" w:rsidTr="05042C88">
        <w:trPr>
          <w:cantSplit/>
          <w:trHeight w:val="20"/>
        </w:trPr>
        <w:tc>
          <w:tcPr>
            <w:tcW w:w="5000" w:type="pct"/>
            <w:vAlign w:val="center"/>
            <w:hideMark/>
          </w:tcPr>
          <w:p w14:paraId="2CAEDA33" w14:textId="77777777" w:rsidR="00087D74" w:rsidRPr="0098262F" w:rsidRDefault="00087D74" w:rsidP="00D3272B">
            <w:pPr>
              <w:pStyle w:val="TableText0"/>
              <w:keepNext w:val="0"/>
              <w:keepLines w:val="0"/>
            </w:pPr>
            <w:r w:rsidRPr="0098262F">
              <w:rPr>
                <w:b/>
              </w:rPr>
              <w:t>Clinical criteria:</w:t>
            </w:r>
          </w:p>
        </w:tc>
      </w:tr>
      <w:tr w:rsidR="00087D74" w:rsidRPr="0098262F" w14:paraId="50D990C1" w14:textId="77777777" w:rsidTr="05042C88">
        <w:trPr>
          <w:cantSplit/>
          <w:trHeight w:val="20"/>
        </w:trPr>
        <w:tc>
          <w:tcPr>
            <w:tcW w:w="5000" w:type="pct"/>
          </w:tcPr>
          <w:p w14:paraId="4E453A47" w14:textId="77777777" w:rsidR="00087D74" w:rsidRPr="00BF07D6" w:rsidRDefault="00087D74" w:rsidP="00D3272B">
            <w:pPr>
              <w:pStyle w:val="TableText0"/>
              <w:keepNext w:val="0"/>
              <w:keepLines w:val="0"/>
            </w:pPr>
            <w:r w:rsidRPr="05042C88">
              <w:t>Patient must have received treatment with this drug for this PBS indication prior to 1 XXXXXXX 202X</w:t>
            </w:r>
          </w:p>
        </w:tc>
      </w:tr>
      <w:tr w:rsidR="00087D74" w:rsidRPr="0098262F" w14:paraId="39AF216E" w14:textId="77777777" w:rsidTr="05042C88">
        <w:trPr>
          <w:cantSplit/>
          <w:trHeight w:val="20"/>
        </w:trPr>
        <w:tc>
          <w:tcPr>
            <w:tcW w:w="5000" w:type="pct"/>
            <w:vAlign w:val="center"/>
            <w:hideMark/>
          </w:tcPr>
          <w:p w14:paraId="45932995" w14:textId="77777777" w:rsidR="00087D74" w:rsidRPr="0098262F" w:rsidRDefault="00087D74" w:rsidP="00D3272B">
            <w:pPr>
              <w:pStyle w:val="TableText0"/>
              <w:keepNext w:val="0"/>
              <w:keepLines w:val="0"/>
            </w:pPr>
            <w:r w:rsidRPr="0098262F">
              <w:rPr>
                <w:b/>
              </w:rPr>
              <w:t>AND</w:t>
            </w:r>
          </w:p>
        </w:tc>
      </w:tr>
      <w:tr w:rsidR="00087D74" w:rsidRPr="0098262F" w14:paraId="03695E7F" w14:textId="77777777" w:rsidTr="05042C88">
        <w:trPr>
          <w:cantSplit/>
          <w:trHeight w:val="20"/>
        </w:trPr>
        <w:tc>
          <w:tcPr>
            <w:tcW w:w="5000" w:type="pct"/>
          </w:tcPr>
          <w:p w14:paraId="0EA24CCF" w14:textId="77777777" w:rsidR="00087D74" w:rsidRPr="00BF07D6" w:rsidRDefault="00087D74" w:rsidP="00D3272B">
            <w:pPr>
              <w:pStyle w:val="TableText0"/>
              <w:keepNext w:val="0"/>
              <w:keepLines w:val="0"/>
            </w:pPr>
            <w:r w:rsidRPr="05042C88">
              <w:t>Patient must have experienced an inadequate response to ursodeoxycholic acid, despite treatment with ursodeoxycholic acid for at least 52 weeks at a therapeutic dose, prior to initiating treatment with this drug; or</w:t>
            </w:r>
          </w:p>
        </w:tc>
      </w:tr>
      <w:tr w:rsidR="00087D74" w:rsidRPr="0098262F" w14:paraId="4326F162" w14:textId="77777777" w:rsidTr="05042C88">
        <w:trPr>
          <w:cantSplit/>
          <w:trHeight w:val="20"/>
        </w:trPr>
        <w:tc>
          <w:tcPr>
            <w:tcW w:w="5000" w:type="pct"/>
          </w:tcPr>
          <w:p w14:paraId="7C5AD193" w14:textId="77777777" w:rsidR="00087D74" w:rsidRPr="00BF07D6" w:rsidRDefault="00087D74" w:rsidP="00D3272B">
            <w:pPr>
              <w:pStyle w:val="TableText0"/>
              <w:keepNext w:val="0"/>
              <w:keepLines w:val="0"/>
            </w:pPr>
            <w:r w:rsidRPr="05042C88">
              <w:t>Patient must have experienced an intolerance to ursodeoxycholic acid of a severity requiring permanent treatment discontinuation, prior to initiating treatment with this drug,</w:t>
            </w:r>
          </w:p>
        </w:tc>
      </w:tr>
      <w:tr w:rsidR="00087D74" w:rsidRPr="0098262F" w14:paraId="52D24046" w14:textId="77777777" w:rsidTr="05042C88">
        <w:trPr>
          <w:cantSplit/>
          <w:trHeight w:val="20"/>
        </w:trPr>
        <w:tc>
          <w:tcPr>
            <w:tcW w:w="5000" w:type="pct"/>
            <w:vAlign w:val="center"/>
            <w:hideMark/>
          </w:tcPr>
          <w:p w14:paraId="4807158B" w14:textId="77777777" w:rsidR="00087D74" w:rsidRPr="0098262F" w:rsidRDefault="00087D74" w:rsidP="00D3272B">
            <w:pPr>
              <w:pStyle w:val="TableText0"/>
              <w:keepNext w:val="0"/>
              <w:keepLines w:val="0"/>
            </w:pPr>
            <w:r w:rsidRPr="0098262F">
              <w:rPr>
                <w:b/>
              </w:rPr>
              <w:t>AND</w:t>
            </w:r>
          </w:p>
        </w:tc>
      </w:tr>
      <w:tr w:rsidR="00087D74" w:rsidRPr="0098262F" w14:paraId="6B68315F" w14:textId="77777777" w:rsidTr="05042C88">
        <w:trPr>
          <w:cantSplit/>
          <w:trHeight w:val="20"/>
        </w:trPr>
        <w:tc>
          <w:tcPr>
            <w:tcW w:w="5000" w:type="pct"/>
          </w:tcPr>
          <w:p w14:paraId="66F8A1E8" w14:textId="77777777" w:rsidR="00087D74" w:rsidRPr="00BF07D6" w:rsidRDefault="00087D74" w:rsidP="00D3272B">
            <w:pPr>
              <w:pStyle w:val="TableText0"/>
              <w:keepNext w:val="0"/>
              <w:keepLines w:val="0"/>
            </w:pPr>
            <w:r w:rsidRPr="05042C88">
              <w:t>Patient must have had, prior to initiating treatment with this drug, an alkaline phosphatase (ALP) level of at least 1.67 times the upper limit of normal (ULN) having accounted for each of: (</w:t>
            </w:r>
            <w:proofErr w:type="spellStart"/>
            <w:r w:rsidRPr="05042C88">
              <w:t>i</w:t>
            </w:r>
            <w:proofErr w:type="spellEnd"/>
            <w:r w:rsidRPr="05042C88">
              <w:t>) age, (ii) gender, (iii) laboratory to laboratory variances in the definition of ‘normal’, despite treatment with ursodeoxycholic acid for at least 52 cumulative weeks; and</w:t>
            </w:r>
          </w:p>
        </w:tc>
      </w:tr>
      <w:tr w:rsidR="00087D74" w:rsidRPr="0098262F" w14:paraId="4D6994D1" w14:textId="77777777" w:rsidTr="05042C88">
        <w:trPr>
          <w:cantSplit/>
          <w:trHeight w:val="20"/>
        </w:trPr>
        <w:tc>
          <w:tcPr>
            <w:tcW w:w="5000" w:type="pct"/>
          </w:tcPr>
          <w:p w14:paraId="173AFF87" w14:textId="77777777" w:rsidR="00087D74" w:rsidRPr="00BF07D6" w:rsidRDefault="00087D74" w:rsidP="00D3272B">
            <w:pPr>
              <w:pStyle w:val="TableText0"/>
              <w:keepNext w:val="0"/>
              <w:keepLines w:val="0"/>
            </w:pPr>
            <w:r w:rsidRPr="05042C88">
              <w:t xml:space="preserve">Patient must have had, prior to initiating treatment with this drug a total bilirubin level no more than 2 times the ULN, despite treatment with ursodeoxycholic acid for at least 52 cumulative weeks; or </w:t>
            </w:r>
          </w:p>
        </w:tc>
      </w:tr>
      <w:tr w:rsidR="00087D74" w:rsidRPr="0098262F" w14:paraId="2D7C327E" w14:textId="77777777" w:rsidTr="05042C88">
        <w:trPr>
          <w:cantSplit/>
          <w:trHeight w:val="20"/>
        </w:trPr>
        <w:tc>
          <w:tcPr>
            <w:tcW w:w="5000" w:type="pct"/>
          </w:tcPr>
          <w:p w14:paraId="667EE74C" w14:textId="77777777" w:rsidR="00087D74" w:rsidRPr="00BF07D6" w:rsidRDefault="00087D74" w:rsidP="00D3272B">
            <w:pPr>
              <w:pStyle w:val="TableText0"/>
              <w:keepNext w:val="0"/>
              <w:keepLines w:val="0"/>
            </w:pPr>
            <w:r w:rsidRPr="05042C88">
              <w:t>Patient must have had, prior to initiating treatment with this drug, abnormal readings of at least one of: (</w:t>
            </w:r>
            <w:proofErr w:type="spellStart"/>
            <w:r w:rsidRPr="05042C88">
              <w:t>i</w:t>
            </w:r>
            <w:proofErr w:type="spellEnd"/>
            <w:r w:rsidRPr="05042C88">
              <w:t>) alkaline phosphatase (ii) total bilirubin, in the presence of an intolerance of a severity requiring treatment discontinuation with ursodeoxycholic acid.</w:t>
            </w:r>
          </w:p>
        </w:tc>
      </w:tr>
      <w:tr w:rsidR="00087D74" w:rsidRPr="0098262F" w14:paraId="3F085508" w14:textId="77777777" w:rsidTr="05042C88">
        <w:trPr>
          <w:cantSplit/>
          <w:trHeight w:val="20"/>
        </w:trPr>
        <w:tc>
          <w:tcPr>
            <w:tcW w:w="5000" w:type="pct"/>
            <w:vAlign w:val="center"/>
            <w:hideMark/>
          </w:tcPr>
          <w:p w14:paraId="2DEED905" w14:textId="77777777" w:rsidR="00087D74" w:rsidRPr="0098262F" w:rsidRDefault="00087D74" w:rsidP="00D3272B">
            <w:pPr>
              <w:pStyle w:val="TableText0"/>
              <w:keepNext w:val="0"/>
              <w:keepLines w:val="0"/>
            </w:pPr>
            <w:r w:rsidRPr="0098262F">
              <w:rPr>
                <w:b/>
              </w:rPr>
              <w:t>Treatment criteria:</w:t>
            </w:r>
          </w:p>
        </w:tc>
      </w:tr>
      <w:tr w:rsidR="00087D74" w:rsidRPr="0098262F" w14:paraId="126C002D" w14:textId="77777777" w:rsidTr="05042C88">
        <w:trPr>
          <w:cantSplit/>
          <w:trHeight w:val="20"/>
        </w:trPr>
        <w:tc>
          <w:tcPr>
            <w:tcW w:w="5000" w:type="pct"/>
            <w:vAlign w:val="center"/>
          </w:tcPr>
          <w:p w14:paraId="3DB2E0EF" w14:textId="77777777" w:rsidR="00087D74" w:rsidRPr="00BF07D6" w:rsidRDefault="00087D74" w:rsidP="00D3272B">
            <w:pPr>
              <w:pStyle w:val="TableText0"/>
              <w:keepNext w:val="0"/>
              <w:keepLines w:val="0"/>
            </w:pPr>
            <w:r w:rsidRPr="05042C88">
              <w:t>Must be treated by a prescriber who is either: (</w:t>
            </w:r>
            <w:proofErr w:type="spellStart"/>
            <w:r w:rsidRPr="05042C88">
              <w:t>i</w:t>
            </w:r>
            <w:proofErr w:type="spellEnd"/>
            <w:r w:rsidRPr="05042C88">
              <w:t>) a gastroenterologist, (ii) a hepatologist; or</w:t>
            </w:r>
          </w:p>
        </w:tc>
      </w:tr>
      <w:tr w:rsidR="00087D74" w:rsidRPr="0098262F" w14:paraId="08DC85A9" w14:textId="77777777" w:rsidTr="05042C88">
        <w:trPr>
          <w:cantSplit/>
          <w:trHeight w:val="20"/>
        </w:trPr>
        <w:tc>
          <w:tcPr>
            <w:tcW w:w="5000" w:type="pct"/>
            <w:vAlign w:val="center"/>
          </w:tcPr>
          <w:p w14:paraId="544F7F89" w14:textId="77777777" w:rsidR="00087D74" w:rsidRPr="00BF07D6" w:rsidRDefault="00087D74" w:rsidP="00D3272B">
            <w:pPr>
              <w:pStyle w:val="TableText0"/>
              <w:keepNext w:val="0"/>
              <w:keepLines w:val="0"/>
            </w:pPr>
            <w:r w:rsidRPr="05042C88">
              <w:t>Must be treated by an eligible practitioner type who has consulted at least one of the above mentioned specialist types, with agreement reached that the patient should be treated with this pharmaceutical benefit on this occasion,</w:t>
            </w:r>
          </w:p>
        </w:tc>
      </w:tr>
      <w:tr w:rsidR="00087D74" w:rsidRPr="0098262F" w14:paraId="1D1DA1D4" w14:textId="77777777" w:rsidTr="05042C88">
        <w:trPr>
          <w:cantSplit/>
          <w:trHeight w:val="20"/>
        </w:trPr>
        <w:tc>
          <w:tcPr>
            <w:tcW w:w="5000" w:type="pct"/>
            <w:vAlign w:val="center"/>
            <w:hideMark/>
          </w:tcPr>
          <w:p w14:paraId="0F006489" w14:textId="77777777" w:rsidR="00087D74" w:rsidRPr="0098262F" w:rsidRDefault="00087D74" w:rsidP="00D3272B">
            <w:pPr>
              <w:pStyle w:val="TableText0"/>
              <w:keepNext w:val="0"/>
              <w:keepLines w:val="0"/>
            </w:pPr>
            <w:r w:rsidRPr="0098262F">
              <w:rPr>
                <w:b/>
              </w:rPr>
              <w:t>AND</w:t>
            </w:r>
          </w:p>
        </w:tc>
      </w:tr>
      <w:tr w:rsidR="00087D74" w:rsidRPr="0098262F" w14:paraId="74031D38" w14:textId="77777777" w:rsidTr="05042C88">
        <w:trPr>
          <w:cantSplit/>
          <w:trHeight w:val="20"/>
        </w:trPr>
        <w:tc>
          <w:tcPr>
            <w:tcW w:w="5000" w:type="pct"/>
            <w:vAlign w:val="center"/>
          </w:tcPr>
          <w:p w14:paraId="14D6157D" w14:textId="77777777" w:rsidR="00087D74" w:rsidRPr="00BF07D6" w:rsidRDefault="00087D74" w:rsidP="00D3272B">
            <w:pPr>
              <w:pStyle w:val="TableText0"/>
              <w:keepNext w:val="0"/>
              <w:keepLines w:val="0"/>
            </w:pPr>
            <w:r w:rsidRPr="00BF07D6">
              <w:t>Patient must be undergoing concurrent treatment with ursodeoxycholic acid, following this authority application; or</w:t>
            </w:r>
          </w:p>
        </w:tc>
      </w:tr>
      <w:tr w:rsidR="00087D74" w:rsidRPr="0098262F" w14:paraId="25493DA5" w14:textId="77777777" w:rsidTr="05042C88">
        <w:trPr>
          <w:cantSplit/>
          <w:trHeight w:val="20"/>
        </w:trPr>
        <w:tc>
          <w:tcPr>
            <w:tcW w:w="5000" w:type="pct"/>
            <w:vAlign w:val="center"/>
          </w:tcPr>
          <w:p w14:paraId="3684F21E" w14:textId="77777777" w:rsidR="00087D74" w:rsidRPr="00BF07D6" w:rsidRDefault="00087D74" w:rsidP="00D3272B">
            <w:pPr>
              <w:pStyle w:val="TableText0"/>
              <w:keepNext w:val="0"/>
              <w:keepLines w:val="0"/>
            </w:pPr>
            <w:r w:rsidRPr="00BF07D6">
              <w:t>Patient must be undergoing treatment with this drug as monotherapy following this authority application, because combination treatment with ursodeoxycholic acid is not tolerated.</w:t>
            </w:r>
          </w:p>
        </w:tc>
      </w:tr>
      <w:tr w:rsidR="00087D74" w:rsidRPr="0098262F" w14:paraId="63EE5BB4" w14:textId="77777777" w:rsidTr="05042C88">
        <w:trPr>
          <w:cantSplit/>
          <w:trHeight w:val="20"/>
        </w:trPr>
        <w:tc>
          <w:tcPr>
            <w:tcW w:w="5000" w:type="pct"/>
            <w:vAlign w:val="center"/>
            <w:hideMark/>
          </w:tcPr>
          <w:p w14:paraId="05CEA721" w14:textId="77777777" w:rsidR="00087D74" w:rsidRPr="0098262F" w:rsidRDefault="00087D74" w:rsidP="00D3272B">
            <w:pPr>
              <w:pStyle w:val="TableText0"/>
              <w:keepNext w:val="0"/>
              <w:keepLines w:val="0"/>
            </w:pPr>
            <w:r w:rsidRPr="0098262F">
              <w:rPr>
                <w:b/>
              </w:rPr>
              <w:t>AND</w:t>
            </w:r>
          </w:p>
        </w:tc>
      </w:tr>
      <w:tr w:rsidR="00087D74" w:rsidRPr="0098262F" w14:paraId="3664A0E8" w14:textId="77777777" w:rsidTr="05042C88">
        <w:trPr>
          <w:cantSplit/>
          <w:trHeight w:val="20"/>
        </w:trPr>
        <w:tc>
          <w:tcPr>
            <w:tcW w:w="5000" w:type="pct"/>
            <w:vAlign w:val="center"/>
          </w:tcPr>
          <w:p w14:paraId="4A40E381" w14:textId="77777777" w:rsidR="00087D74" w:rsidRPr="00BF07D6" w:rsidRDefault="00087D74" w:rsidP="00D3272B">
            <w:pPr>
              <w:pStyle w:val="TableText0"/>
              <w:keepNext w:val="0"/>
              <w:keepLines w:val="0"/>
            </w:pPr>
            <w:r w:rsidRPr="05042C88">
              <w:lastRenderedPageBreak/>
              <w:t xml:space="preserve">Patient must not be undergoing concurrent treatment with </w:t>
            </w:r>
            <w:proofErr w:type="spellStart"/>
            <w:r w:rsidRPr="05042C88">
              <w:t>obeticholic</w:t>
            </w:r>
            <w:proofErr w:type="spellEnd"/>
            <w:r w:rsidRPr="05042C88">
              <w:t xml:space="preserve"> acid, but treatment may replace </w:t>
            </w:r>
            <w:proofErr w:type="spellStart"/>
            <w:r w:rsidRPr="05042C88">
              <w:t>obeticholic</w:t>
            </w:r>
            <w:proofErr w:type="spellEnd"/>
            <w:r w:rsidRPr="05042C88">
              <w:t xml:space="preserve"> acid where it is not tolerated, or an inadequate response is achieved.</w:t>
            </w:r>
          </w:p>
        </w:tc>
      </w:tr>
      <w:tr w:rsidR="00087D74" w:rsidRPr="0098262F" w14:paraId="6CE21232" w14:textId="77777777" w:rsidTr="05042C88">
        <w:trPr>
          <w:cantSplit/>
          <w:trHeight w:val="20"/>
        </w:trPr>
        <w:tc>
          <w:tcPr>
            <w:tcW w:w="5000" w:type="pct"/>
            <w:vAlign w:val="center"/>
            <w:hideMark/>
          </w:tcPr>
          <w:p w14:paraId="4D7DC457" w14:textId="77777777" w:rsidR="00087D74" w:rsidRPr="0098262F" w:rsidRDefault="00087D74" w:rsidP="00D3272B">
            <w:pPr>
              <w:pStyle w:val="TableText0"/>
              <w:keepNext w:val="0"/>
              <w:keepLines w:val="0"/>
            </w:pPr>
            <w:r w:rsidRPr="0098262F">
              <w:rPr>
                <w:b/>
              </w:rPr>
              <w:t>Population criteria:</w:t>
            </w:r>
          </w:p>
        </w:tc>
      </w:tr>
      <w:tr w:rsidR="00087D74" w:rsidRPr="0098262F" w14:paraId="4F752B09" w14:textId="77777777" w:rsidTr="05042C88">
        <w:trPr>
          <w:cantSplit/>
          <w:trHeight w:val="20"/>
        </w:trPr>
        <w:tc>
          <w:tcPr>
            <w:tcW w:w="5000" w:type="pct"/>
            <w:vAlign w:val="center"/>
          </w:tcPr>
          <w:p w14:paraId="37E10B24" w14:textId="77777777" w:rsidR="00087D74" w:rsidRPr="0098262F" w:rsidRDefault="00087D74" w:rsidP="00D3272B">
            <w:pPr>
              <w:pStyle w:val="TableText0"/>
              <w:keepNext w:val="0"/>
              <w:keepLines w:val="0"/>
              <w:rPr>
                <w:color w:val="0066FF"/>
              </w:rPr>
            </w:pPr>
            <w:r w:rsidRPr="001C5E2B">
              <w:t>Patient must be aged 18 years or over</w:t>
            </w:r>
            <w:r>
              <w:t>.</w:t>
            </w:r>
          </w:p>
        </w:tc>
      </w:tr>
      <w:tr w:rsidR="00087D74" w:rsidRPr="0098262F" w14:paraId="039D6CF1" w14:textId="77777777" w:rsidTr="05042C88">
        <w:trPr>
          <w:cantSplit/>
          <w:trHeight w:val="20"/>
        </w:trPr>
        <w:tc>
          <w:tcPr>
            <w:tcW w:w="5000" w:type="pct"/>
            <w:vAlign w:val="center"/>
            <w:hideMark/>
          </w:tcPr>
          <w:p w14:paraId="5D00D2A2" w14:textId="77777777" w:rsidR="00087D74" w:rsidRPr="0098262F" w:rsidRDefault="00087D74" w:rsidP="00D3272B">
            <w:pPr>
              <w:pStyle w:val="TableText0"/>
              <w:keepNext w:val="0"/>
              <w:keepLines w:val="0"/>
            </w:pPr>
            <w:r w:rsidRPr="05042C88">
              <w:rPr>
                <w:b/>
              </w:rPr>
              <w:t xml:space="preserve">Prescribing Instructions: </w:t>
            </w:r>
            <w:r w:rsidRPr="05042C88">
              <w:t>Document and retain in the patient's medical records the qualifying baseline laboratory reading for the purpose of assessing response to treatment under the 'Continuing treatment' restriction.</w:t>
            </w:r>
          </w:p>
        </w:tc>
      </w:tr>
      <w:tr w:rsidR="00087D74" w:rsidRPr="0098262F" w14:paraId="5F816791" w14:textId="77777777" w:rsidTr="05042C88">
        <w:trPr>
          <w:cantSplit/>
          <w:trHeight w:val="20"/>
        </w:trPr>
        <w:tc>
          <w:tcPr>
            <w:tcW w:w="5000" w:type="pct"/>
            <w:vAlign w:val="center"/>
          </w:tcPr>
          <w:p w14:paraId="49691618" w14:textId="77777777" w:rsidR="00087D74" w:rsidRPr="008638D0" w:rsidRDefault="00087D74" w:rsidP="00D3272B">
            <w:pPr>
              <w:pStyle w:val="TableText0"/>
              <w:keepNext w:val="0"/>
              <w:keepLines w:val="0"/>
            </w:pPr>
            <w:r>
              <w:rPr>
                <w:b/>
              </w:rPr>
              <w:t>Notes:</w:t>
            </w:r>
          </w:p>
        </w:tc>
      </w:tr>
      <w:tr w:rsidR="00087D74" w:rsidRPr="0098262F" w14:paraId="773EDD45" w14:textId="77777777" w:rsidTr="05042C88">
        <w:trPr>
          <w:cantSplit/>
          <w:trHeight w:val="20"/>
        </w:trPr>
        <w:tc>
          <w:tcPr>
            <w:tcW w:w="5000" w:type="pct"/>
            <w:vAlign w:val="center"/>
            <w:hideMark/>
          </w:tcPr>
          <w:p w14:paraId="026EFF25" w14:textId="77777777" w:rsidR="00087D74" w:rsidRPr="00BF07D6" w:rsidRDefault="00087D74" w:rsidP="00D3272B">
            <w:pPr>
              <w:pStyle w:val="TableText0"/>
              <w:keepNext w:val="0"/>
              <w:keepLines w:val="0"/>
            </w:pPr>
            <w:r w:rsidRPr="00BF07D6">
              <w:t>Patients may qualify for PBS-subsidised treatment under this restriction once only. For continuing PBS-subsidised treatment, a 'Grandfathered' patient must qualify under the 'Continuing treatment' criteria.</w:t>
            </w:r>
          </w:p>
        </w:tc>
      </w:tr>
      <w:tr w:rsidR="00087D74" w:rsidRPr="0098262F" w14:paraId="5345DF3E" w14:textId="77777777" w:rsidTr="05042C88">
        <w:trPr>
          <w:cantSplit/>
          <w:trHeight w:val="20"/>
        </w:trPr>
        <w:tc>
          <w:tcPr>
            <w:tcW w:w="5000" w:type="pct"/>
            <w:vAlign w:val="center"/>
          </w:tcPr>
          <w:p w14:paraId="41BB8E10" w14:textId="77777777" w:rsidR="00087D74" w:rsidRPr="00BF07D6" w:rsidRDefault="00087D74" w:rsidP="00D3272B">
            <w:pPr>
              <w:pStyle w:val="TableText0"/>
              <w:keepNext w:val="0"/>
              <w:keepLines w:val="0"/>
            </w:pPr>
            <w:r w:rsidRPr="05042C88">
              <w:t>This grandfather restriction will cease to operate from 12 months after the date specified in the clinical criteria.</w:t>
            </w:r>
          </w:p>
        </w:tc>
      </w:tr>
    </w:tbl>
    <w:p w14:paraId="63A50BDB" w14:textId="77777777" w:rsidR="00D4355A" w:rsidRPr="00D4355A" w:rsidRDefault="00D4355A" w:rsidP="00D4355A"/>
    <w:p w14:paraId="00FD8811" w14:textId="4C08B558" w:rsidR="00316DDA" w:rsidRPr="00D100E6" w:rsidRDefault="00AF3788" w:rsidP="00910DA3">
      <w:pPr>
        <w:pStyle w:val="3-BodyText"/>
        <w:spacing w:before="0"/>
      </w:pPr>
      <w:r w:rsidRPr="05042C88">
        <w:t xml:space="preserve">The requested PBS restriction </w:t>
      </w:r>
      <w:r w:rsidR="00230B3C" w:rsidRPr="05042C88">
        <w:t>position</w:t>
      </w:r>
      <w:r w:rsidR="005F583B" w:rsidRPr="05042C88">
        <w:t>ed</w:t>
      </w:r>
      <w:r w:rsidR="00230B3C" w:rsidRPr="05042C88">
        <w:t xml:space="preserve"> </w:t>
      </w:r>
      <w:proofErr w:type="spellStart"/>
      <w:r w:rsidR="00230B3C" w:rsidRPr="05042C88">
        <w:t>elafibranor</w:t>
      </w:r>
      <w:proofErr w:type="spellEnd"/>
      <w:r w:rsidR="00230B3C" w:rsidRPr="05042C88">
        <w:t xml:space="preserve"> as </w:t>
      </w:r>
      <w:r w:rsidR="005F583B" w:rsidRPr="05042C88">
        <w:t xml:space="preserve">a </w:t>
      </w:r>
      <w:r w:rsidR="00230B3C" w:rsidRPr="05042C88">
        <w:t xml:space="preserve">second-line </w:t>
      </w:r>
      <w:r w:rsidR="005F583B" w:rsidRPr="05042C88">
        <w:t xml:space="preserve">treatment </w:t>
      </w:r>
      <w:r w:rsidR="00230B3C" w:rsidRPr="05042C88">
        <w:t>following UDCA</w:t>
      </w:r>
      <w:r w:rsidR="00086E56" w:rsidRPr="05042C88">
        <w:t xml:space="preserve">. </w:t>
      </w:r>
      <w:bookmarkStart w:id="13" w:name="_Ref187846492"/>
      <w:r w:rsidR="00316DDA" w:rsidRPr="05042C88">
        <w:t xml:space="preserve">The submission requested that, whilst </w:t>
      </w:r>
      <w:proofErr w:type="spellStart"/>
      <w:r w:rsidR="00316DDA" w:rsidRPr="05042C88">
        <w:t>elafibranor</w:t>
      </w:r>
      <w:proofErr w:type="spellEnd"/>
      <w:r w:rsidR="00316DDA" w:rsidRPr="05042C88">
        <w:t xml:space="preserve"> has not been specifically studied in a third line setting, </w:t>
      </w:r>
      <w:proofErr w:type="spellStart"/>
      <w:r w:rsidR="00316DDA" w:rsidRPr="05042C88">
        <w:t>elafibranor</w:t>
      </w:r>
      <w:proofErr w:type="spellEnd"/>
      <w:r w:rsidR="00316DDA" w:rsidRPr="05042C88">
        <w:t xml:space="preserve"> should be available on the PBS for patients </w:t>
      </w:r>
      <w:r w:rsidR="00566A66" w:rsidRPr="05042C88">
        <w:t xml:space="preserve">who </w:t>
      </w:r>
      <w:r w:rsidR="00316DDA" w:rsidRPr="05042C88">
        <w:t>have failed treatment with OCA</w:t>
      </w:r>
      <w:r w:rsidR="00A15D23">
        <w:t>,</w:t>
      </w:r>
      <w:r w:rsidR="00316DDA" w:rsidRPr="05042C88">
        <w:t xml:space="preserve"> either due to inadequate response or intolerance, given the absence of alternative treatment options. The clinical benefits in OCA non-responders (third line) were uncertain</w:t>
      </w:r>
      <w:r w:rsidR="00566A66" w:rsidRPr="05042C88">
        <w:t>,</w:t>
      </w:r>
      <w:r w:rsidR="00316DDA" w:rsidRPr="05042C88">
        <w:t xml:space="preserve"> as only 8.1% of patients (n=13) in the ELATIVE trial had previously received treatment with OCA.</w:t>
      </w:r>
      <w:bookmarkEnd w:id="13"/>
      <w:r w:rsidR="00316DDA" w:rsidRPr="05042C88">
        <w:t xml:space="preserve"> </w:t>
      </w:r>
    </w:p>
    <w:p w14:paraId="1EA12AB1" w14:textId="774E1C8B" w:rsidR="00011985" w:rsidRPr="00E2449A" w:rsidRDefault="00011985" w:rsidP="05042C88">
      <w:pPr>
        <w:pStyle w:val="3-BodyText"/>
      </w:pPr>
      <w:bookmarkStart w:id="14" w:name="_Ref193707608"/>
      <w:bookmarkStart w:id="15" w:name="_Hlk182840715"/>
      <w:r w:rsidRPr="00E2449A">
        <w:t xml:space="preserve">The </w:t>
      </w:r>
      <w:r w:rsidR="00D60107" w:rsidRPr="00E2449A">
        <w:t xml:space="preserve">ESC </w:t>
      </w:r>
      <w:r w:rsidR="00A521F1">
        <w:t xml:space="preserve">and DUSC </w:t>
      </w:r>
      <w:r w:rsidR="00D60107" w:rsidRPr="00E2449A">
        <w:t xml:space="preserve">considered that the </w:t>
      </w:r>
      <w:r w:rsidR="00FD4A61" w:rsidRPr="00E2449A">
        <w:t xml:space="preserve">proposed PBS restriction for </w:t>
      </w:r>
      <w:proofErr w:type="spellStart"/>
      <w:r w:rsidR="00FD4A61" w:rsidRPr="00E2449A">
        <w:t>elafibranor</w:t>
      </w:r>
      <w:proofErr w:type="spellEnd"/>
      <w:r w:rsidR="00FD4A61" w:rsidRPr="00E2449A">
        <w:t xml:space="preserve"> should be consistent with that recommended for OCA</w:t>
      </w:r>
      <w:r w:rsidR="00AD69ED" w:rsidRPr="00E2449A">
        <w:t xml:space="preserve"> and </w:t>
      </w:r>
      <w:r w:rsidR="00013109" w:rsidRPr="00E2449A">
        <w:t xml:space="preserve">therefore </w:t>
      </w:r>
      <w:r w:rsidR="00876F3C" w:rsidRPr="00E2449A">
        <w:t>suggested</w:t>
      </w:r>
      <w:r w:rsidR="00AD69ED" w:rsidRPr="00E2449A">
        <w:t xml:space="preserve"> that</w:t>
      </w:r>
      <w:r w:rsidRPr="00E2449A">
        <w:t>:</w:t>
      </w:r>
      <w:bookmarkEnd w:id="14"/>
    </w:p>
    <w:p w14:paraId="0F241FC5" w14:textId="7C8D8033" w:rsidR="00011985" w:rsidRPr="00E2449A" w:rsidRDefault="00626332" w:rsidP="003B77A6">
      <w:pPr>
        <w:pStyle w:val="ListParagraph"/>
        <w:ind w:left="1080"/>
        <w:jc w:val="both"/>
      </w:pPr>
      <w:r w:rsidRPr="00E2449A">
        <w:t>t</w:t>
      </w:r>
      <w:r w:rsidR="0045125B" w:rsidRPr="00E2449A">
        <w:t>he r</w:t>
      </w:r>
      <w:r w:rsidR="00011985" w:rsidRPr="00E2449A">
        <w:t xml:space="preserve">equested Authority Required (STREAMLINED) </w:t>
      </w:r>
      <w:r w:rsidR="00B14697">
        <w:t xml:space="preserve">initial </w:t>
      </w:r>
      <w:r w:rsidR="00407D8D">
        <w:t xml:space="preserve">and grandfather </w:t>
      </w:r>
      <w:r w:rsidR="00011985" w:rsidRPr="00E2449A">
        <w:t>restriction</w:t>
      </w:r>
      <w:r w:rsidR="0045125B" w:rsidRPr="00E2449A">
        <w:t xml:space="preserve"> for </w:t>
      </w:r>
      <w:proofErr w:type="spellStart"/>
      <w:r w:rsidR="0045125B" w:rsidRPr="00E2449A">
        <w:t>elafibranor</w:t>
      </w:r>
      <w:proofErr w:type="spellEnd"/>
      <w:r w:rsidR="0045125B" w:rsidRPr="00E2449A">
        <w:t xml:space="preserve"> </w:t>
      </w:r>
      <w:r w:rsidR="00AD69ED" w:rsidRPr="00E2449A">
        <w:t xml:space="preserve">should be revised to an </w:t>
      </w:r>
      <w:r w:rsidR="00011985" w:rsidRPr="00E2449A">
        <w:t xml:space="preserve">Authority Required </w:t>
      </w:r>
      <w:r w:rsidR="00C56F0A" w:rsidRPr="00E2449A">
        <w:t xml:space="preserve">(telephone/online) </w:t>
      </w:r>
      <w:r w:rsidR="00011985" w:rsidRPr="00E2449A">
        <w:t>restriction.</w:t>
      </w:r>
    </w:p>
    <w:p w14:paraId="40AC7EF5" w14:textId="32A20595" w:rsidR="001611D8" w:rsidRPr="00E2449A" w:rsidRDefault="0045125B" w:rsidP="003B77A6">
      <w:pPr>
        <w:pStyle w:val="ListParagraph"/>
        <w:ind w:left="1080"/>
        <w:jc w:val="both"/>
      </w:pPr>
      <w:r w:rsidRPr="00E2449A">
        <w:t>t</w:t>
      </w:r>
      <w:r w:rsidR="001611D8" w:rsidRPr="00E2449A">
        <w:t xml:space="preserve">he continuing restriction for </w:t>
      </w:r>
      <w:proofErr w:type="spellStart"/>
      <w:r w:rsidR="001611D8" w:rsidRPr="00E2449A">
        <w:t>elafibranor</w:t>
      </w:r>
      <w:proofErr w:type="spellEnd"/>
      <w:r w:rsidR="001611D8" w:rsidRPr="00E2449A">
        <w:t xml:space="preserve"> </w:t>
      </w:r>
      <w:r w:rsidR="00641D56" w:rsidRPr="00E2449A">
        <w:t>should</w:t>
      </w:r>
      <w:r w:rsidR="004D658D" w:rsidRPr="00E2449A">
        <w:t xml:space="preserve"> </w:t>
      </w:r>
      <w:r w:rsidR="001976AF" w:rsidRPr="00E2449A">
        <w:t xml:space="preserve">allow </w:t>
      </w:r>
      <w:r w:rsidR="008D72CC" w:rsidRPr="00E2449A">
        <w:t>prescribing by</w:t>
      </w:r>
      <w:r w:rsidR="001611D8" w:rsidRPr="00E2449A">
        <w:t xml:space="preserve"> nurse practitioner</w:t>
      </w:r>
      <w:r w:rsidR="008D72CC" w:rsidRPr="00E2449A">
        <w:t>s</w:t>
      </w:r>
      <w:r w:rsidR="001611D8" w:rsidRPr="00E2449A">
        <w:t>.</w:t>
      </w:r>
    </w:p>
    <w:p w14:paraId="0009AF1B" w14:textId="5A09E66C" w:rsidR="006E2AE8" w:rsidRPr="00E2449A" w:rsidRDefault="00626332" w:rsidP="003B77A6">
      <w:pPr>
        <w:pStyle w:val="ListParagraph"/>
        <w:ind w:left="1080"/>
        <w:jc w:val="both"/>
      </w:pPr>
      <w:r w:rsidRPr="00E2449A">
        <w:t>a</w:t>
      </w:r>
      <w:r w:rsidR="00860CFF" w:rsidRPr="00E2449A">
        <w:t>lthough t</w:t>
      </w:r>
      <w:r w:rsidR="00E407C8" w:rsidRPr="00E2449A">
        <w:t xml:space="preserve">he initial and grandfather restrictions </w:t>
      </w:r>
      <w:r w:rsidR="00877B2F" w:rsidRPr="00E2449A">
        <w:t xml:space="preserve">proposed </w:t>
      </w:r>
      <w:r w:rsidR="00E407C8" w:rsidRPr="00E2449A">
        <w:t xml:space="preserve">for </w:t>
      </w:r>
      <w:proofErr w:type="spellStart"/>
      <w:r w:rsidR="00E407C8" w:rsidRPr="00E2449A">
        <w:t>elafibranor</w:t>
      </w:r>
      <w:proofErr w:type="spellEnd"/>
      <w:r w:rsidR="00E407C8" w:rsidRPr="00E2449A">
        <w:t xml:space="preserve"> had different clinical criteria compared to OCA in terms of requiring </w:t>
      </w:r>
      <w:r w:rsidR="007769D5" w:rsidRPr="00E2449A">
        <w:t>alkaline phosphatase (</w:t>
      </w:r>
      <w:r w:rsidR="00E407C8" w:rsidRPr="00E2449A">
        <w:t>ALP</w:t>
      </w:r>
      <w:r w:rsidR="007769D5" w:rsidRPr="00E2449A">
        <w:t>)</w:t>
      </w:r>
      <w:r w:rsidR="00E407C8" w:rsidRPr="00E2449A">
        <w:t xml:space="preserve"> </w:t>
      </w:r>
      <w:r w:rsidR="00E407C8" w:rsidRPr="00E2449A">
        <w:rPr>
          <w:b/>
          <w:bCs/>
        </w:rPr>
        <w:t>and</w:t>
      </w:r>
      <w:r w:rsidR="00E407C8" w:rsidRPr="00E2449A">
        <w:t xml:space="preserve"> </w:t>
      </w:r>
      <w:r w:rsidR="007769D5" w:rsidRPr="00E2449A">
        <w:t>total bilirubin (</w:t>
      </w:r>
      <w:r w:rsidR="00E407C8" w:rsidRPr="00E2449A">
        <w:t>TB</w:t>
      </w:r>
      <w:r w:rsidR="007769D5" w:rsidRPr="00E2449A">
        <w:t>)</w:t>
      </w:r>
      <w:r w:rsidR="00E407C8" w:rsidRPr="00E2449A">
        <w:t xml:space="preserve"> levels to be met, rather than ALP </w:t>
      </w:r>
      <w:r w:rsidR="00E407C8" w:rsidRPr="00E2449A">
        <w:rPr>
          <w:b/>
          <w:bCs/>
        </w:rPr>
        <w:t>or</w:t>
      </w:r>
      <w:r w:rsidR="00E407C8" w:rsidRPr="00E2449A">
        <w:t xml:space="preserve"> TB levels to be met</w:t>
      </w:r>
      <w:r w:rsidR="00E92EC4" w:rsidRPr="00E2449A">
        <w:t>, which</w:t>
      </w:r>
      <w:r w:rsidR="00E407C8" w:rsidRPr="00E2449A">
        <w:t xml:space="preserve"> </w:t>
      </w:r>
      <w:r w:rsidR="007060AE" w:rsidRPr="00E2449A">
        <w:t>aligned with the eligibility criteria of the ELATIVE trial</w:t>
      </w:r>
      <w:r w:rsidR="00E92EC4" w:rsidRPr="00E2449A">
        <w:t xml:space="preserve">, </w:t>
      </w:r>
      <w:r w:rsidR="00566A66" w:rsidRPr="00E2449A">
        <w:t xml:space="preserve">it was reasonable for </w:t>
      </w:r>
      <w:r w:rsidR="00BF7E96" w:rsidRPr="00E2449A">
        <w:t>the restriction</w:t>
      </w:r>
      <w:r w:rsidR="001976AF" w:rsidRPr="00E2449A">
        <w:t>s</w:t>
      </w:r>
      <w:r w:rsidR="00BF7E96" w:rsidRPr="00E2449A">
        <w:t xml:space="preserve"> </w:t>
      </w:r>
      <w:r w:rsidR="00566A66" w:rsidRPr="00E2449A">
        <w:t xml:space="preserve">to </w:t>
      </w:r>
      <w:r w:rsidR="00BF7E96" w:rsidRPr="00E2449A">
        <w:t>state ‘or’</w:t>
      </w:r>
      <w:r w:rsidR="00E407C8" w:rsidRPr="00E2449A">
        <w:t>.</w:t>
      </w:r>
    </w:p>
    <w:p w14:paraId="1CBCE8D2" w14:textId="31DCE09C" w:rsidR="00E407C8" w:rsidRPr="00E2449A" w:rsidRDefault="00BF7E96" w:rsidP="003B77A6">
      <w:pPr>
        <w:pStyle w:val="ListParagraph"/>
        <w:ind w:left="1080"/>
        <w:jc w:val="both"/>
      </w:pPr>
      <w:r w:rsidRPr="00E2449A">
        <w:t>although t</w:t>
      </w:r>
      <w:r w:rsidR="00E407C8" w:rsidRPr="00E2449A">
        <w:t xml:space="preserve">he initial and grandfather restrictions for </w:t>
      </w:r>
      <w:proofErr w:type="spellStart"/>
      <w:r w:rsidR="00E407C8" w:rsidRPr="00E2449A">
        <w:t>elafibranor</w:t>
      </w:r>
      <w:proofErr w:type="spellEnd"/>
      <w:r w:rsidR="00E407C8" w:rsidRPr="00E2449A">
        <w:t xml:space="preserve"> had different clinical criteria compared to OCA</w:t>
      </w:r>
      <w:r w:rsidR="007060AE" w:rsidRPr="00E2449A">
        <w:t xml:space="preserve"> in terms of requiring </w:t>
      </w:r>
      <w:r w:rsidR="00E407C8" w:rsidRPr="00E2449A">
        <w:t xml:space="preserve">a TB level </w:t>
      </w:r>
      <w:r w:rsidR="00E407C8" w:rsidRPr="00E2449A">
        <w:rPr>
          <w:b/>
          <w:bCs/>
        </w:rPr>
        <w:t>no more than 2 times</w:t>
      </w:r>
      <w:r w:rsidR="00E407C8" w:rsidRPr="00E2449A">
        <w:t xml:space="preserve"> the </w:t>
      </w:r>
      <w:r w:rsidR="007769D5" w:rsidRPr="00E2449A">
        <w:t>upper limit of normal (</w:t>
      </w:r>
      <w:r w:rsidR="00E407C8" w:rsidRPr="00E2449A">
        <w:t>ULN</w:t>
      </w:r>
      <w:r w:rsidR="007769D5" w:rsidRPr="00E2449A">
        <w:t>)</w:t>
      </w:r>
      <w:r w:rsidR="00E407C8" w:rsidRPr="00E2449A">
        <w:t xml:space="preserve">, despite treatment with </w:t>
      </w:r>
      <w:r w:rsidR="00BA3CA9" w:rsidRPr="00E2449A">
        <w:t>UDCA</w:t>
      </w:r>
      <w:r w:rsidR="00E407C8" w:rsidRPr="00E2449A">
        <w:t xml:space="preserve"> for at least 52 cumulative weeks</w:t>
      </w:r>
      <w:r w:rsidR="007060AE" w:rsidRPr="00E2449A">
        <w:t>,</w:t>
      </w:r>
      <w:r w:rsidR="00E407C8" w:rsidRPr="00E2449A">
        <w:t xml:space="preserve"> rather than </w:t>
      </w:r>
      <w:r w:rsidR="00E407C8" w:rsidRPr="00E2449A">
        <w:rPr>
          <w:b/>
          <w:bCs/>
        </w:rPr>
        <w:t>between 1 to 2 times</w:t>
      </w:r>
      <w:r w:rsidR="00237F46" w:rsidRPr="00E2449A">
        <w:t xml:space="preserve">, which </w:t>
      </w:r>
      <w:r w:rsidR="007060AE" w:rsidRPr="00E2449A">
        <w:t>aligned with the eligibility criteria of the ELATIVE trial</w:t>
      </w:r>
      <w:r w:rsidR="00CC6EE2" w:rsidRPr="00E2449A">
        <w:t>, the restriction</w:t>
      </w:r>
      <w:r w:rsidR="001976AF" w:rsidRPr="00E2449A">
        <w:t>s</w:t>
      </w:r>
      <w:r w:rsidR="00CC6EE2" w:rsidRPr="00E2449A">
        <w:t xml:space="preserve"> should state ‘between 1 to 2 times’</w:t>
      </w:r>
      <w:r w:rsidR="00E407C8" w:rsidRPr="00E2449A">
        <w:t>.</w:t>
      </w:r>
    </w:p>
    <w:p w14:paraId="163C932A" w14:textId="20EDDD63" w:rsidR="00E407C8" w:rsidRPr="00E2449A" w:rsidRDefault="001976AF" w:rsidP="000B4EED">
      <w:pPr>
        <w:pStyle w:val="ListParagraph"/>
        <w:ind w:left="1080"/>
        <w:jc w:val="both"/>
      </w:pPr>
      <w:r w:rsidRPr="00E2449A">
        <w:t>t</w:t>
      </w:r>
      <w:r w:rsidR="00E407C8" w:rsidRPr="00E2449A">
        <w:t xml:space="preserve">he initial and grandfather restrictions for </w:t>
      </w:r>
      <w:proofErr w:type="spellStart"/>
      <w:r w:rsidR="00E407C8" w:rsidRPr="00E2449A">
        <w:t>elafibranor</w:t>
      </w:r>
      <w:proofErr w:type="spellEnd"/>
      <w:r w:rsidR="00E407C8" w:rsidRPr="00E2449A">
        <w:t xml:space="preserve"> </w:t>
      </w:r>
      <w:r w:rsidR="00CC6EE2" w:rsidRPr="00E2449A">
        <w:t>should include the</w:t>
      </w:r>
      <w:r w:rsidR="00E407C8" w:rsidRPr="00E2449A">
        <w:t xml:space="preserve"> clinical criteri</w:t>
      </w:r>
      <w:r w:rsidR="00CC6EE2" w:rsidRPr="00E2449A">
        <w:t>on</w:t>
      </w:r>
      <w:r w:rsidR="00E407C8" w:rsidRPr="00E2449A">
        <w:t>: Patient must not have/be each of: (</w:t>
      </w:r>
      <w:proofErr w:type="spellStart"/>
      <w:r w:rsidR="00E407C8" w:rsidRPr="00E2449A">
        <w:t>i</w:t>
      </w:r>
      <w:proofErr w:type="spellEnd"/>
      <w:r w:rsidR="00E407C8" w:rsidRPr="00E2449A">
        <w:t xml:space="preserve">) severe liver disease, and </w:t>
      </w:r>
      <w:r w:rsidR="000B4EED">
        <w:br/>
      </w:r>
      <w:r w:rsidR="00E407C8" w:rsidRPr="00E2449A">
        <w:t>(ii) immunocompromised.</w:t>
      </w:r>
    </w:p>
    <w:p w14:paraId="2C6EB04F" w14:textId="231E54B5" w:rsidR="00011985" w:rsidRPr="00E2449A" w:rsidRDefault="001976AF" w:rsidP="05042C88">
      <w:pPr>
        <w:pStyle w:val="ListParagraph"/>
        <w:ind w:left="1080"/>
        <w:jc w:val="both"/>
      </w:pPr>
      <w:r w:rsidRPr="00E2449A">
        <w:t>t</w:t>
      </w:r>
      <w:r w:rsidR="00E407C8" w:rsidRPr="00E2449A">
        <w:t xml:space="preserve">he continuing restriction for </w:t>
      </w:r>
      <w:proofErr w:type="spellStart"/>
      <w:r w:rsidR="00E407C8" w:rsidRPr="00E2449A">
        <w:t>elafibranor</w:t>
      </w:r>
      <w:proofErr w:type="spellEnd"/>
      <w:r w:rsidR="00E407C8" w:rsidRPr="00E2449A">
        <w:t xml:space="preserve"> </w:t>
      </w:r>
      <w:r w:rsidR="00013109" w:rsidRPr="00E2449A">
        <w:t>should include the</w:t>
      </w:r>
      <w:r w:rsidR="00E407C8" w:rsidRPr="00E2449A">
        <w:t xml:space="preserve"> clinical criteri</w:t>
      </w:r>
      <w:r w:rsidR="00013109" w:rsidRPr="00E2449A">
        <w:t>on</w:t>
      </w:r>
      <w:r w:rsidR="00E407C8" w:rsidRPr="00E2449A">
        <w:t xml:space="preserve">: Patient must have achieved an adequate response to this drug, defined as having </w:t>
      </w:r>
      <w:r w:rsidR="00E407C8" w:rsidRPr="00E2449A">
        <w:lastRenderedPageBreak/>
        <w:t>at least one of: (</w:t>
      </w:r>
      <w:proofErr w:type="spellStart"/>
      <w:r w:rsidR="00E407C8" w:rsidRPr="00E2449A">
        <w:t>i</w:t>
      </w:r>
      <w:proofErr w:type="spellEnd"/>
      <w:r w:rsidR="00E407C8" w:rsidRPr="00E2449A">
        <w:t>) an ALP level less than 1.67 times the ULN, (ii) a reduction in the ALP reading of at least 15% compared to the baseline level provided with the initial authority application, (iii) a TB level within the normal reference range.</w:t>
      </w:r>
      <w:r w:rsidR="009C7BE6" w:rsidRPr="00E2449A">
        <w:t xml:space="preserve"> The </w:t>
      </w:r>
      <w:r w:rsidR="00FB5F97" w:rsidRPr="00FB5F97">
        <w:t xml:space="preserve">Pre-Sub-Committee Response </w:t>
      </w:r>
      <w:r w:rsidR="00FB5F97">
        <w:t>(</w:t>
      </w:r>
      <w:r w:rsidR="009C7BE6" w:rsidRPr="00E2449A">
        <w:t>PSCR</w:t>
      </w:r>
      <w:r w:rsidR="00FB5F97">
        <w:t>)</w:t>
      </w:r>
      <w:r w:rsidR="009C7BE6" w:rsidRPr="00E2449A">
        <w:t xml:space="preserve"> </w:t>
      </w:r>
      <w:r w:rsidR="00A909E2" w:rsidRPr="00E2449A">
        <w:t>note</w:t>
      </w:r>
      <w:r w:rsidR="00912E74" w:rsidRPr="00E2449A">
        <w:t>d</w:t>
      </w:r>
      <w:r w:rsidR="00A909E2" w:rsidRPr="00E2449A">
        <w:t xml:space="preserve"> that there </w:t>
      </w:r>
      <w:r w:rsidR="00912E74" w:rsidRPr="00E2449A">
        <w:t>i</w:t>
      </w:r>
      <w:r w:rsidR="00A909E2" w:rsidRPr="00E2449A">
        <w:t>s significant intra-patient variability in b</w:t>
      </w:r>
      <w:r w:rsidR="00AD2FBF" w:rsidRPr="00E2449A">
        <w:t>lood tests for liver disease and that there were concerns regarding the reliability of these to assess response but, overall, was amenable to including the continuation criteria as proposed.</w:t>
      </w:r>
    </w:p>
    <w:p w14:paraId="607C0830" w14:textId="7FC8FF4F" w:rsidR="00B66703" w:rsidRPr="00E2449A" w:rsidRDefault="00B66703" w:rsidP="05042C88">
      <w:pPr>
        <w:pStyle w:val="3-BodyText"/>
      </w:pPr>
      <w:bookmarkStart w:id="16" w:name="_Hlk182840793"/>
      <w:bookmarkEnd w:id="15"/>
      <w:r w:rsidRPr="00E2449A">
        <w:t xml:space="preserve">Further, the ESC </w:t>
      </w:r>
      <w:r w:rsidR="00D26938" w:rsidRPr="00E2449A">
        <w:t>considered</w:t>
      </w:r>
      <w:r w:rsidRPr="00E2449A">
        <w:t xml:space="preserve"> that the restriction</w:t>
      </w:r>
      <w:r w:rsidR="001976AF" w:rsidRPr="00E2449A">
        <w:t>s</w:t>
      </w:r>
      <w:r w:rsidRPr="00E2449A">
        <w:t xml:space="preserve"> for </w:t>
      </w:r>
      <w:proofErr w:type="spellStart"/>
      <w:r w:rsidRPr="00E2449A">
        <w:t>elafibranor</w:t>
      </w:r>
      <w:proofErr w:type="spellEnd"/>
      <w:r w:rsidRPr="00E2449A">
        <w:t xml:space="preserve"> should specifically exclude concomitant therapy with OCA. Similarly, </w:t>
      </w:r>
      <w:r w:rsidR="00491704" w:rsidRPr="00E2449A">
        <w:t xml:space="preserve">if </w:t>
      </w:r>
      <w:proofErr w:type="spellStart"/>
      <w:r w:rsidR="00491704" w:rsidRPr="00E2449A">
        <w:t>elafibranor</w:t>
      </w:r>
      <w:proofErr w:type="spellEnd"/>
      <w:r w:rsidR="00491704" w:rsidRPr="00E2449A">
        <w:t xml:space="preserve"> is recommended by</w:t>
      </w:r>
      <w:r w:rsidR="001976AF" w:rsidRPr="00E2449A">
        <w:t xml:space="preserve"> </w:t>
      </w:r>
      <w:r w:rsidR="00491704" w:rsidRPr="00E2449A">
        <w:t xml:space="preserve">the PBAC, </w:t>
      </w:r>
      <w:r w:rsidR="008C6995" w:rsidRPr="00E2449A">
        <w:t xml:space="preserve">flow-on changes to the OCA restriction </w:t>
      </w:r>
      <w:r w:rsidR="00491704" w:rsidRPr="00E2449A">
        <w:t>would</w:t>
      </w:r>
      <w:r w:rsidR="008C6995" w:rsidRPr="00E2449A">
        <w:t xml:space="preserve"> be required to preclude concomitant therapy with </w:t>
      </w:r>
      <w:proofErr w:type="spellStart"/>
      <w:r w:rsidR="008C6995" w:rsidRPr="00E2449A">
        <w:t>elafibranor</w:t>
      </w:r>
      <w:proofErr w:type="spellEnd"/>
      <w:r w:rsidR="008C6995" w:rsidRPr="00E2449A">
        <w:t>.</w:t>
      </w:r>
    </w:p>
    <w:p w14:paraId="62604071" w14:textId="10E808F2" w:rsidR="00824F93" w:rsidRDefault="00761641" w:rsidP="00824F93">
      <w:pPr>
        <w:pStyle w:val="3-BodyText"/>
      </w:pPr>
      <w:r w:rsidRPr="00E2449A">
        <w:t xml:space="preserve">The requested PBS restriction was broader than the </w:t>
      </w:r>
      <w:r w:rsidR="009424F5" w:rsidRPr="00E2449A">
        <w:t xml:space="preserve">clinical </w:t>
      </w:r>
      <w:r w:rsidRPr="00E2449A">
        <w:t xml:space="preserve">evidence presented </w:t>
      </w:r>
      <w:r w:rsidR="009424F5" w:rsidRPr="00E2449A">
        <w:t>by the submission</w:t>
      </w:r>
      <w:r w:rsidRPr="00E2449A">
        <w:t xml:space="preserve">. In particular, the ELATIVE trial </w:t>
      </w:r>
      <w:r w:rsidR="00FF3E5C" w:rsidRPr="00E2449A">
        <w:t xml:space="preserve">excluded </w:t>
      </w:r>
      <w:r w:rsidR="002657FA" w:rsidRPr="00E2449A">
        <w:t>patients</w:t>
      </w:r>
      <w:r w:rsidR="00FF3E5C" w:rsidRPr="00E2449A">
        <w:t xml:space="preserve"> with </w:t>
      </w:r>
      <w:r w:rsidRPr="00E2449A">
        <w:t>a history or presence of other concomitant liver disease, or clinically significant hepatic decompensation.</w:t>
      </w:r>
      <w:r w:rsidR="0078646E" w:rsidRPr="00E2449A">
        <w:t xml:space="preserve"> The ESC </w:t>
      </w:r>
      <w:r w:rsidR="00C778E7">
        <w:t xml:space="preserve">and DUSC </w:t>
      </w:r>
      <w:r w:rsidR="0078646E" w:rsidRPr="00E2449A">
        <w:t xml:space="preserve">considered that </w:t>
      </w:r>
      <w:r w:rsidR="00876F3C" w:rsidRPr="00E2449A">
        <w:t xml:space="preserve">the restriction should </w:t>
      </w:r>
      <w:r w:rsidR="00FE31CE" w:rsidRPr="00E2449A">
        <w:t>include a Caution</w:t>
      </w:r>
      <w:r w:rsidR="003D5874" w:rsidRPr="00E2449A">
        <w:t xml:space="preserve"> </w:t>
      </w:r>
      <w:r w:rsidR="00876F3C" w:rsidRPr="00E2449A">
        <w:t>preclud</w:t>
      </w:r>
      <w:r w:rsidR="003D5874" w:rsidRPr="00E2449A">
        <w:t xml:space="preserve">ing the use of </w:t>
      </w:r>
      <w:proofErr w:type="spellStart"/>
      <w:r w:rsidR="003D5874" w:rsidRPr="00E2449A">
        <w:t>elafibranor</w:t>
      </w:r>
      <w:proofErr w:type="spellEnd"/>
      <w:r w:rsidR="00876F3C" w:rsidRPr="00E2449A">
        <w:t xml:space="preserve"> in patients with a history of these conditions.</w:t>
      </w:r>
    </w:p>
    <w:p w14:paraId="2691F58F" w14:textId="381362FD" w:rsidR="00DA5D72" w:rsidRPr="00DA5D72" w:rsidRDefault="00DA5D72" w:rsidP="00DA5D72">
      <w:pPr>
        <w:pStyle w:val="3-BodyText"/>
        <w:numPr>
          <w:ilvl w:val="0"/>
          <w:numId w:val="0"/>
        </w:numPr>
        <w:ind w:left="720"/>
        <w:rPr>
          <w:i/>
          <w:iCs/>
        </w:rPr>
      </w:pPr>
      <w:r w:rsidRPr="00DA5D72">
        <w:rPr>
          <w:i/>
          <w:iCs/>
        </w:rPr>
        <w:t>For more detail on PBAC’s view, see section 7 PBAC outcome.</w:t>
      </w:r>
    </w:p>
    <w:p w14:paraId="7075B85C" w14:textId="7EE73780" w:rsidR="00B50DB8" w:rsidRPr="0098262F" w:rsidDel="00195452" w:rsidRDefault="00203181" w:rsidP="004E18E9">
      <w:pPr>
        <w:pStyle w:val="2-SectionHeading"/>
      </w:pPr>
      <w:bookmarkStart w:id="17" w:name="_Toc187914747"/>
      <w:bookmarkEnd w:id="16"/>
      <w:r w:rsidRPr="0098262F" w:rsidDel="00195452">
        <w:t xml:space="preserve">Population and </w:t>
      </w:r>
      <w:r w:rsidR="008E0D3C" w:rsidRPr="0098262F" w:rsidDel="00195452">
        <w:t>d</w:t>
      </w:r>
      <w:r w:rsidRPr="0098262F" w:rsidDel="00195452">
        <w:t>isease</w:t>
      </w:r>
      <w:bookmarkEnd w:id="17"/>
    </w:p>
    <w:p w14:paraId="69DE0C03" w14:textId="77777777" w:rsidR="00985F0C" w:rsidRPr="000D540C" w:rsidRDefault="00985F0C" w:rsidP="004E18E9">
      <w:pPr>
        <w:pStyle w:val="3-BodyText"/>
      </w:pPr>
      <w:r>
        <w:t xml:space="preserve">PBC is a rare, progressive, chronic autoimmune disease of the liver </w:t>
      </w:r>
      <w:r w:rsidRPr="00AA5D96">
        <w:t xml:space="preserve">characterised by the slow destruction of small intrahepatic bile ducts. This prevents the flow of bile and other toxins to the intestine, causing them to build up in the liver in a process known as cholestasis, which </w:t>
      </w:r>
      <w:r w:rsidRPr="000D540C">
        <w:t>leads to scarring of the liver (fibrosis) and eventually can progress to cirrhosis, liver failure and death.</w:t>
      </w:r>
    </w:p>
    <w:p w14:paraId="38C60C1F" w14:textId="53CEC53E" w:rsidR="003000E0" w:rsidRDefault="00A36403" w:rsidP="00582CF5">
      <w:pPr>
        <w:pStyle w:val="3-BodyText"/>
      </w:pPr>
      <w:r w:rsidRPr="000D540C">
        <w:t xml:space="preserve">Patients who are symptomatic </w:t>
      </w:r>
      <w:r w:rsidRPr="00C64289">
        <w:t>at diagnosis most commonly present with pruritus (itching) and fatigue</w:t>
      </w:r>
      <w:r>
        <w:t xml:space="preserve"> (</w:t>
      </w:r>
      <w:r w:rsidRPr="0043209E">
        <w:t>29</w:t>
      </w:r>
      <w:r w:rsidR="00E34E90">
        <w:t xml:space="preserve"> to </w:t>
      </w:r>
      <w:r w:rsidRPr="0043209E">
        <w:t>69% and 25</w:t>
      </w:r>
      <w:r w:rsidR="00E34E90">
        <w:t xml:space="preserve"> to </w:t>
      </w:r>
      <w:r w:rsidRPr="0043209E">
        <w:t>76% of patients with PBC, respectively)</w:t>
      </w:r>
      <w:r>
        <w:t>.</w:t>
      </w:r>
      <w:r w:rsidRPr="00582CF5">
        <w:rPr>
          <w:vertAlign w:val="superscript"/>
        </w:rPr>
        <w:footnoteReference w:id="4"/>
      </w:r>
      <w:r w:rsidRPr="00582CF5">
        <w:rPr>
          <w:vertAlign w:val="superscript"/>
        </w:rPr>
        <w:t>,</w:t>
      </w:r>
      <w:r w:rsidRPr="00582CF5">
        <w:rPr>
          <w:vertAlign w:val="superscript"/>
        </w:rPr>
        <w:footnoteReference w:id="5"/>
      </w:r>
      <w:r w:rsidRPr="00582CF5">
        <w:rPr>
          <w:vertAlign w:val="superscript"/>
        </w:rPr>
        <w:t>,</w:t>
      </w:r>
      <w:r w:rsidRPr="00582CF5">
        <w:rPr>
          <w:vertAlign w:val="superscript"/>
        </w:rPr>
        <w:footnoteReference w:id="6"/>
      </w:r>
      <w:r>
        <w:t xml:space="preserve"> </w:t>
      </w:r>
      <w:r w:rsidRPr="00C82BA1">
        <w:t xml:space="preserve">Patients </w:t>
      </w:r>
      <w:r>
        <w:t xml:space="preserve">develop symptoms of liver disease and </w:t>
      </w:r>
      <w:r w:rsidRPr="00C82BA1">
        <w:t xml:space="preserve">may </w:t>
      </w:r>
      <w:r>
        <w:t>a</w:t>
      </w:r>
      <w:r w:rsidRPr="00C82BA1">
        <w:t xml:space="preserve">ccumulate comorbidities as their disease progresses, including osteoporosis, rheumatoid arthritis, </w:t>
      </w:r>
      <w:r w:rsidRPr="008E1106">
        <w:t>thyroid disorders and autoimmune disorders.</w:t>
      </w:r>
      <w:r w:rsidRPr="00582CF5">
        <w:rPr>
          <w:vertAlign w:val="superscript"/>
        </w:rPr>
        <w:footnoteReference w:id="7"/>
      </w:r>
      <w:r w:rsidRPr="00582CF5">
        <w:rPr>
          <w:vertAlign w:val="superscript"/>
        </w:rPr>
        <w:t>,</w:t>
      </w:r>
      <w:r w:rsidRPr="00582CF5">
        <w:rPr>
          <w:vertAlign w:val="superscript"/>
        </w:rPr>
        <w:footnoteReference w:id="8"/>
      </w:r>
      <w:r w:rsidRPr="00582CF5">
        <w:rPr>
          <w:vertAlign w:val="superscript"/>
        </w:rPr>
        <w:t>,</w:t>
      </w:r>
      <w:r w:rsidRPr="00582CF5">
        <w:rPr>
          <w:vertAlign w:val="superscript"/>
        </w:rPr>
        <w:footnoteReference w:id="9"/>
      </w:r>
      <w:r w:rsidRPr="008E1106">
        <w:t xml:space="preserve"> </w:t>
      </w:r>
      <w:r w:rsidR="003000E0">
        <w:t>Progression of PBC can lead to:</w:t>
      </w:r>
    </w:p>
    <w:p w14:paraId="20CBDABA" w14:textId="78CA9826" w:rsidR="003000E0" w:rsidRPr="00A1596B" w:rsidRDefault="003000E0" w:rsidP="05042C88">
      <w:pPr>
        <w:pStyle w:val="ListParagraph"/>
        <w:ind w:left="1080"/>
        <w:jc w:val="both"/>
      </w:pPr>
      <w:r w:rsidRPr="05042C88">
        <w:lastRenderedPageBreak/>
        <w:t>Liver cirrhosis: Up to 15% of patients treated with UDCA developed cirrhosis-associated complications within 15 years.</w:t>
      </w:r>
      <w:r w:rsidRPr="05042C88">
        <w:rPr>
          <w:rStyle w:val="FootnoteReference"/>
        </w:rPr>
        <w:footnoteReference w:id="10"/>
      </w:r>
      <w:r w:rsidRPr="05042C88">
        <w:rPr>
          <w:vertAlign w:val="superscript"/>
        </w:rPr>
        <w:t>,</w:t>
      </w:r>
      <w:r w:rsidRPr="05042C88">
        <w:rPr>
          <w:rStyle w:val="FootnoteReference"/>
        </w:rPr>
        <w:footnoteReference w:id="11"/>
      </w:r>
      <w:r w:rsidRPr="05042C88">
        <w:t xml:space="preserve"> Overall 5-year survival and transplant-free survival is lower in people with cirrhosis </w:t>
      </w:r>
      <w:r w:rsidR="00947C8E" w:rsidRPr="05042C88">
        <w:t>v</w:t>
      </w:r>
      <w:r w:rsidR="00E34E90" w:rsidRPr="05042C88">
        <w:t>ersu</w:t>
      </w:r>
      <w:r w:rsidR="00947C8E" w:rsidRPr="05042C88">
        <w:t>s</w:t>
      </w:r>
      <w:r w:rsidRPr="05042C88">
        <w:t xml:space="preserve"> </w:t>
      </w:r>
      <w:r w:rsidR="002E659C" w:rsidRPr="05042C88">
        <w:t xml:space="preserve">those </w:t>
      </w:r>
      <w:r w:rsidRPr="05042C88">
        <w:t xml:space="preserve">without cirrhosis (80% </w:t>
      </w:r>
      <w:r w:rsidR="00947C8E" w:rsidRPr="05042C88">
        <w:t>vs</w:t>
      </w:r>
      <w:r w:rsidRPr="05042C88">
        <w:t xml:space="preserve"> 93%; p=0.003 and 80% </w:t>
      </w:r>
      <w:r w:rsidR="00947C8E" w:rsidRPr="05042C88">
        <w:t>vs</w:t>
      </w:r>
      <w:r w:rsidRPr="05042C88">
        <w:t xml:space="preserve"> 93%; p=0.002, respectively).</w:t>
      </w:r>
      <w:r w:rsidRPr="05042C88">
        <w:rPr>
          <w:rStyle w:val="FootnoteReference"/>
        </w:rPr>
        <w:footnoteReference w:id="12"/>
      </w:r>
    </w:p>
    <w:p w14:paraId="4792E6C3" w14:textId="6FF1EB43" w:rsidR="003000E0" w:rsidRPr="00E2449A" w:rsidRDefault="003000E0" w:rsidP="0045125B">
      <w:pPr>
        <w:pStyle w:val="ListParagraph"/>
        <w:ind w:left="1080"/>
        <w:jc w:val="both"/>
      </w:pPr>
      <w:r w:rsidRPr="00A1596B">
        <w:t>Hepatocellular carcinoma (HCC): A</w:t>
      </w:r>
      <w:r>
        <w:t xml:space="preserve"> 2020 meta-analysis of 29 cohort studies reported the incidence of HCC in patients with cirrhotic PBC as 15.7 per 1,000 patient-years (n=22,615), compared with 2.68 per 1,000 patient-years in patients with non-cirrhotic PBC.</w:t>
      </w:r>
      <w:r>
        <w:rPr>
          <w:rStyle w:val="FootnoteReference"/>
        </w:rPr>
        <w:footnoteReference w:id="13"/>
      </w:r>
      <w:r>
        <w:t xml:space="preserve"> </w:t>
      </w:r>
      <w:r w:rsidRPr="001C1DFA">
        <w:t xml:space="preserve">Overall 5-year survival </w:t>
      </w:r>
      <w:r>
        <w:t>is</w:t>
      </w:r>
      <w:r w:rsidRPr="001C1DFA">
        <w:t xml:space="preserve"> lower in people with </w:t>
      </w:r>
      <w:r>
        <w:t>HCC</w:t>
      </w:r>
      <w:r w:rsidRPr="001C1DFA">
        <w:t xml:space="preserve"> </w:t>
      </w:r>
      <w:r>
        <w:t>v</w:t>
      </w:r>
      <w:r w:rsidR="00E34E90">
        <w:t>ersu</w:t>
      </w:r>
      <w:r>
        <w:t xml:space="preserve">s </w:t>
      </w:r>
      <w:r w:rsidRPr="00E2449A">
        <w:t xml:space="preserve">PBC only (71.6% </w:t>
      </w:r>
      <w:r w:rsidR="00947C8E" w:rsidRPr="00E2449A">
        <w:t>vs</w:t>
      </w:r>
      <w:r w:rsidRPr="00E2449A">
        <w:t xml:space="preserve"> 91.5%; p=0.003 and 80% </w:t>
      </w:r>
      <w:r w:rsidR="00947C8E" w:rsidRPr="00E2449A">
        <w:t>vs</w:t>
      </w:r>
      <w:r w:rsidRPr="00E2449A">
        <w:t xml:space="preserve"> 93%; p=0.002, respectively).</w:t>
      </w:r>
      <w:r w:rsidRPr="00E2449A">
        <w:rPr>
          <w:rStyle w:val="FootnoteReference"/>
        </w:rPr>
        <w:footnoteReference w:id="14"/>
      </w:r>
    </w:p>
    <w:p w14:paraId="350AB0B4" w14:textId="67319EF0" w:rsidR="003000E0" w:rsidRPr="00E2449A" w:rsidRDefault="0009193A" w:rsidP="004E18E9">
      <w:pPr>
        <w:pStyle w:val="3-BodyText"/>
      </w:pPr>
      <w:r w:rsidRPr="00E2449A">
        <w:t>The submission noted a recent Australian study estimated the prevalence of PBC at 189.0 per million.</w:t>
      </w:r>
      <w:r w:rsidRPr="00E2449A">
        <w:rPr>
          <w:rStyle w:val="FootnoteReference"/>
        </w:rPr>
        <w:footnoteReference w:id="15"/>
      </w:r>
      <w:r w:rsidRPr="00E2449A">
        <w:t xml:space="preserve"> This equate</w:t>
      </w:r>
      <w:r w:rsidR="00CE2596" w:rsidRPr="00E2449A">
        <w:t>s</w:t>
      </w:r>
      <w:r w:rsidRPr="00E2449A">
        <w:t xml:space="preserve"> to 5,035 patients in Australia. In </w:t>
      </w:r>
      <w:r w:rsidR="00220B64" w:rsidRPr="00E2449A">
        <w:t xml:space="preserve">the financial estimates of the </w:t>
      </w:r>
      <w:r w:rsidR="005A3773" w:rsidRPr="00E2449A">
        <w:t>submission,</w:t>
      </w:r>
      <w:r w:rsidRPr="00E2449A">
        <w:t xml:space="preserve"> it was estimated that 5,695 patients </w:t>
      </w:r>
      <w:r w:rsidR="00FB79D6" w:rsidRPr="00E2449A">
        <w:t>were</w:t>
      </w:r>
      <w:r w:rsidRPr="00E2449A">
        <w:t xml:space="preserve"> receiving UDCA for PBC in Australia.</w:t>
      </w:r>
      <w:r w:rsidR="00C269DA">
        <w:t xml:space="preserve"> </w:t>
      </w:r>
      <w:r w:rsidR="000B01B7" w:rsidRPr="00E2449A">
        <w:t>The ESC noted that there was likely to be some off-label usage of UDCA for other cholestatic liver function disorders.</w:t>
      </w:r>
    </w:p>
    <w:p w14:paraId="21FDD135" w14:textId="3E71AE9F" w:rsidR="00894489" w:rsidRPr="00E2449A" w:rsidRDefault="00946330" w:rsidP="004E18E9">
      <w:pPr>
        <w:pStyle w:val="3-BodyText"/>
      </w:pPr>
      <w:r w:rsidRPr="00E2449A">
        <w:t>The first-line recommended treatment is UDCA 1</w:t>
      </w:r>
      <w:r w:rsidR="00E34E90" w:rsidRPr="00E2449A">
        <w:t xml:space="preserve">3 to </w:t>
      </w:r>
      <w:r w:rsidRPr="00E2449A">
        <w:t>15</w:t>
      </w:r>
      <w:r w:rsidR="00E34E90" w:rsidRPr="00E2449A">
        <w:t xml:space="preserve"> </w:t>
      </w:r>
      <w:r w:rsidRPr="00E2449A">
        <w:t xml:space="preserve">mg/day. </w:t>
      </w:r>
      <w:r w:rsidR="00952E6C" w:rsidRPr="00E2449A">
        <w:t>OCA is second-line therapy, either as monotherapy in UDCA intolerant patients or in combination with UDCA</w:t>
      </w:r>
      <w:r w:rsidR="005A70FF" w:rsidRPr="00E2449A">
        <w:t xml:space="preserve"> in patients who have not experience</w:t>
      </w:r>
      <w:r w:rsidR="00E32E1B" w:rsidRPr="00E2449A">
        <w:t>d</w:t>
      </w:r>
      <w:r w:rsidR="005A70FF" w:rsidRPr="00E2449A">
        <w:t xml:space="preserve"> an adequate clinical response after 12 months of UDCA monotherapy. </w:t>
      </w:r>
      <w:r w:rsidR="00E425F7" w:rsidRPr="00E2449A">
        <w:t xml:space="preserve">The submission proposed that </w:t>
      </w:r>
      <w:proofErr w:type="spellStart"/>
      <w:r w:rsidR="00E425F7" w:rsidRPr="00E2449A">
        <w:t>elafibranor</w:t>
      </w:r>
      <w:proofErr w:type="spellEnd"/>
      <w:r w:rsidR="00E425F7" w:rsidRPr="00E2449A">
        <w:t xml:space="preserve"> </w:t>
      </w:r>
      <w:r w:rsidR="007965CF" w:rsidRPr="00E2449A">
        <w:t xml:space="preserve">will be </w:t>
      </w:r>
      <w:r w:rsidR="00E425F7" w:rsidRPr="00E2449A">
        <w:t>used as an alternative to OCA for the treatment of PBC in combination with UDCA in adults with an inadequate response to UDCA, as monotherapy in adults unable to tolerate UDCA, or as a therapeutic alternative for patients treated unsuccessfully with OCA with or without UDCA.</w:t>
      </w:r>
    </w:p>
    <w:p w14:paraId="34F9A011" w14:textId="05941CF9" w:rsidR="002C2775" w:rsidRPr="00E2449A" w:rsidDel="00195452" w:rsidRDefault="00FB31AD" w:rsidP="000C1AAC">
      <w:pPr>
        <w:pStyle w:val="3-BodyText"/>
      </w:pPr>
      <w:proofErr w:type="spellStart"/>
      <w:r w:rsidRPr="00E2449A">
        <w:t>Elafibranor</w:t>
      </w:r>
      <w:proofErr w:type="spellEnd"/>
      <w:r w:rsidRPr="00E2449A">
        <w:t xml:space="preserve"> is a first-in-class, selective activator ligand of peroxisome proliferator-activated receptor alfa (PPARα) and </w:t>
      </w:r>
      <w:r w:rsidR="009C31D9" w:rsidRPr="00E2449A">
        <w:t>peroxisome proliferator-activated receptor delta (</w:t>
      </w:r>
      <w:proofErr w:type="spellStart"/>
      <w:r w:rsidRPr="00E2449A">
        <w:t>PPARδ</w:t>
      </w:r>
      <w:proofErr w:type="spellEnd"/>
      <w:r w:rsidR="009C31D9" w:rsidRPr="00E2449A">
        <w:t>)</w:t>
      </w:r>
      <w:r w:rsidRPr="00E2449A">
        <w:t xml:space="preserve"> (anatomical therapeutic chemical (ATC) classification code: A05AX06).</w:t>
      </w:r>
    </w:p>
    <w:p w14:paraId="1040BA62" w14:textId="329C79A3" w:rsidR="00CA0F06" w:rsidRPr="00CA0F06" w:rsidRDefault="00CA0F06" w:rsidP="00A87CBB">
      <w:pPr>
        <w:pStyle w:val="3-BodyText"/>
        <w:numPr>
          <w:ilvl w:val="0"/>
          <w:numId w:val="0"/>
        </w:numPr>
        <w:ind w:left="720"/>
        <w:rPr>
          <w:i/>
          <w:iCs/>
        </w:rPr>
      </w:pPr>
      <w:r w:rsidRPr="00CA0F06">
        <w:rPr>
          <w:i/>
          <w:iCs/>
        </w:rPr>
        <w:t>For more detail on PBAC’s view, see section 7 PBAC outcome.</w:t>
      </w:r>
    </w:p>
    <w:p w14:paraId="51E5AE96" w14:textId="136A63B1" w:rsidR="00B50DB8" w:rsidRPr="0098262F" w:rsidRDefault="00B50DB8" w:rsidP="004E18E9">
      <w:pPr>
        <w:pStyle w:val="2-SectionHeading"/>
      </w:pPr>
      <w:bookmarkStart w:id="18" w:name="_Toc187914748"/>
      <w:r w:rsidRPr="0098262F">
        <w:lastRenderedPageBreak/>
        <w:t>Comparator</w:t>
      </w:r>
      <w:bookmarkEnd w:id="18"/>
    </w:p>
    <w:p w14:paraId="79E86482" w14:textId="2D2AB79F" w:rsidR="003C7EC6" w:rsidRPr="005D778C" w:rsidRDefault="00173E4D" w:rsidP="00B8540C">
      <w:pPr>
        <w:pStyle w:val="3-BodyText"/>
        <w:rPr>
          <w:i/>
          <w:iCs/>
        </w:rPr>
      </w:pPr>
      <w:r w:rsidRPr="003100F2">
        <w:t xml:space="preserve">The submission nominated </w:t>
      </w:r>
      <w:r w:rsidR="00A15117" w:rsidRPr="003100F2">
        <w:t>OCA</w:t>
      </w:r>
      <w:r w:rsidR="0026694C" w:rsidRPr="003100F2">
        <w:t xml:space="preserve"> </w:t>
      </w:r>
      <w:r w:rsidR="00F03F14">
        <w:t>(+ U</w:t>
      </w:r>
      <w:r w:rsidR="00CA489C">
        <w:t>DCA</w:t>
      </w:r>
      <w:r w:rsidR="00F03F14">
        <w:t xml:space="preserve">) </w:t>
      </w:r>
      <w:r w:rsidRPr="003100F2">
        <w:t>as the main comparator</w:t>
      </w:r>
      <w:r w:rsidR="007B2346">
        <w:t>,</w:t>
      </w:r>
      <w:r w:rsidRPr="003100F2">
        <w:t xml:space="preserve"> </w:t>
      </w:r>
      <w:r w:rsidR="00964AD7">
        <w:t xml:space="preserve">as </w:t>
      </w:r>
      <w:r w:rsidR="00F03F14">
        <w:t>OCA</w:t>
      </w:r>
      <w:r w:rsidR="00964AD7">
        <w:t xml:space="preserve"> is</w:t>
      </w:r>
      <w:r w:rsidRPr="003100F2">
        <w:t xml:space="preserve"> the only second-line therapy for patients with PBC approved in Australia</w:t>
      </w:r>
      <w:r w:rsidR="00D16542">
        <w:t xml:space="preserve"> and funded on the PBS</w:t>
      </w:r>
      <w:r w:rsidRPr="003100F2">
        <w:t>.</w:t>
      </w:r>
      <w:r w:rsidR="005D778C">
        <w:t xml:space="preserve"> </w:t>
      </w:r>
      <w:r w:rsidR="003C7EC6" w:rsidRPr="003100F2">
        <w:t xml:space="preserve">OCA was PBS listed on 1 September 2021. </w:t>
      </w:r>
    </w:p>
    <w:p w14:paraId="51AB3BB8" w14:textId="7259DD9C" w:rsidR="00DB5B37" w:rsidRPr="00DB5B37" w:rsidRDefault="00DB5B37" w:rsidP="05042C88">
      <w:pPr>
        <w:pStyle w:val="3-BodyText"/>
      </w:pPr>
      <w:bookmarkStart w:id="19" w:name="_Ref190269298"/>
      <w:r w:rsidRPr="05042C88">
        <w:t xml:space="preserve">The submission noted that in October 2023, the European Committee for Medicinal Products for Human Use (CHMP) considered that the COBALT trial (study 747-302) had failed to demonstrate the clinical benefit of </w:t>
      </w:r>
      <w:r w:rsidR="00235178" w:rsidRPr="05042C88">
        <w:t>OCA</w:t>
      </w:r>
      <w:r w:rsidRPr="05042C88">
        <w:t xml:space="preserve"> across the spectrum of patients with PBC and considered the request to switch </w:t>
      </w:r>
      <w:r w:rsidR="008C0D97" w:rsidRPr="05042C88">
        <w:t>to</w:t>
      </w:r>
      <w:r w:rsidRPr="05042C88">
        <w:t xml:space="preserve"> full marketing authorisation not acceptable. In June 2024 the EMA recommended revoking conditional market authorisation for OCA as the clinical benefits had not been confirmed and thus the benefits of OCA did not outweigh its risks</w:t>
      </w:r>
      <w:r w:rsidRPr="05042C88">
        <w:rPr>
          <w:i/>
          <w:iCs/>
        </w:rPr>
        <w:t>.</w:t>
      </w:r>
      <w:r w:rsidRPr="05042C88">
        <w:rPr>
          <w:i/>
          <w:iCs/>
          <w:vertAlign w:val="superscript"/>
        </w:rPr>
        <w:footnoteReference w:id="16"/>
      </w:r>
      <w:bookmarkEnd w:id="19"/>
    </w:p>
    <w:p w14:paraId="07A7FCB5" w14:textId="1CB178E8" w:rsidR="00DB5B37" w:rsidRPr="00D100E6" w:rsidRDefault="00DB5B37" w:rsidP="05042C88">
      <w:pPr>
        <w:pStyle w:val="3-BodyText"/>
      </w:pPr>
      <w:bookmarkStart w:id="20" w:name="_Ref190269300"/>
      <w:r w:rsidRPr="05042C88">
        <w:t>The submission also noted that in September 2024 an FD</w:t>
      </w:r>
      <w:r w:rsidR="00AF74BD" w:rsidRPr="05042C88">
        <w:t>A advisory panel</w:t>
      </w:r>
      <w:r w:rsidRPr="05042C88">
        <w:rPr>
          <w:vertAlign w:val="superscript"/>
        </w:rPr>
        <w:footnoteReference w:id="17"/>
      </w:r>
      <w:r w:rsidRPr="05042C88">
        <w:t xml:space="preserve"> voted 10 to 1 against market authorisation for OCA</w:t>
      </w:r>
      <w:r w:rsidR="00AF74BD" w:rsidRPr="05042C88">
        <w:t>,</w:t>
      </w:r>
      <w:r w:rsidRPr="05042C88">
        <w:t xml:space="preserve"> citing concerns about the lack of available data to verify the benefits of </w:t>
      </w:r>
      <w:r w:rsidR="00235178" w:rsidRPr="05042C88">
        <w:t>OCA</w:t>
      </w:r>
      <w:r w:rsidRPr="05042C88">
        <w:t xml:space="preserve"> on clinical outcomes and </w:t>
      </w:r>
      <w:r w:rsidR="008C0D97" w:rsidRPr="05042C88">
        <w:t xml:space="preserve">as </w:t>
      </w:r>
      <w:r w:rsidRPr="05042C88">
        <w:t>it did not have a favourable benefit-risk assessment for use as a second-line treatment. In particular, the panellists noted that the COBALT trial (study 747-302) did not meet its primary endpoint, there was a higher rate of liver transplants in the OCA arm v</w:t>
      </w:r>
      <w:r w:rsidR="00045AEB" w:rsidRPr="05042C88">
        <w:t>ersu</w:t>
      </w:r>
      <w:r w:rsidRPr="05042C88">
        <w:t>s placebo arm and panellists were concerned about safety signals related to hepatotoxicity and decompensation.</w:t>
      </w:r>
      <w:r w:rsidRPr="05042C88">
        <w:rPr>
          <w:vertAlign w:val="superscript"/>
        </w:rPr>
        <w:footnoteReference w:id="18"/>
      </w:r>
      <w:bookmarkEnd w:id="20"/>
    </w:p>
    <w:p w14:paraId="077EE6B8" w14:textId="64B0B495" w:rsidR="00173E4D" w:rsidRPr="00D100E6" w:rsidRDefault="00DB5B37" w:rsidP="05042C88">
      <w:pPr>
        <w:pStyle w:val="3-BodyText"/>
      </w:pPr>
      <w:bookmarkStart w:id="21" w:name="_Ref184658882"/>
      <w:bookmarkStart w:id="22" w:name="_Ref194576572"/>
      <w:r w:rsidRPr="05042C88">
        <w:t xml:space="preserve">The COBALT trial (study 747-302) was a phase </w:t>
      </w:r>
      <w:proofErr w:type="spellStart"/>
      <w:r w:rsidR="003D1EB3" w:rsidRPr="05042C88">
        <w:t>IIIb</w:t>
      </w:r>
      <w:proofErr w:type="spellEnd"/>
      <w:r w:rsidRPr="05042C88">
        <w:t>/</w:t>
      </w:r>
      <w:r w:rsidR="003D1EB3" w:rsidRPr="05042C88">
        <w:t>IV</w:t>
      </w:r>
      <w:r w:rsidRPr="05042C88">
        <w:t>, double-blinded, randomised controlled trial (RCT) comparing OCA 5-10</w:t>
      </w:r>
      <w:r w:rsidR="00611377" w:rsidRPr="05042C88">
        <w:t xml:space="preserve"> </w:t>
      </w:r>
      <w:r w:rsidRPr="05042C88">
        <w:t xml:space="preserve">mg to placebo. The planned sample size was 428 </w:t>
      </w:r>
      <w:r w:rsidR="002657FA" w:rsidRPr="05042C88">
        <w:t>patients</w:t>
      </w:r>
      <w:r w:rsidRPr="05042C88">
        <w:rPr>
          <w:vertAlign w:val="superscript"/>
        </w:rPr>
        <w:footnoteReference w:id="19"/>
      </w:r>
      <w:r w:rsidR="00C23B49" w:rsidRPr="05042C88">
        <w:t>;</w:t>
      </w:r>
      <w:r w:rsidRPr="05042C88">
        <w:t xml:space="preserve"> however</w:t>
      </w:r>
      <w:r w:rsidR="008C0D97" w:rsidRPr="05042C88">
        <w:t>,</w:t>
      </w:r>
      <w:r w:rsidRPr="05042C88">
        <w:t xml:space="preserve"> the trial was terminated early as it “was not feasible to continue the study as designed owing to the impossibility of conducting a placebo-controlled randomised trial of long-term outcomes in the setting of commercially available therapies” (N=334).</w:t>
      </w:r>
      <w:r w:rsidRPr="05042C88">
        <w:rPr>
          <w:vertAlign w:val="superscript"/>
        </w:rPr>
        <w:footnoteReference w:id="20"/>
      </w:r>
      <w:r w:rsidRPr="05042C88">
        <w:t xml:space="preserve"> The primary composite endpoint was time to </w:t>
      </w:r>
      <w:r w:rsidR="00AF74BD" w:rsidRPr="05042C88">
        <w:t>all-ca</w:t>
      </w:r>
      <w:r w:rsidR="00B27558" w:rsidRPr="05042C88">
        <w:t>us</w:t>
      </w:r>
      <w:r w:rsidR="00AF74BD" w:rsidRPr="05042C88">
        <w:t>e mortality</w:t>
      </w:r>
      <w:r w:rsidRPr="05042C88">
        <w:t xml:space="preserve">, liver transplant, </w:t>
      </w:r>
      <w:r w:rsidR="00045AEB" w:rsidRPr="05042C88">
        <w:t>ME</w:t>
      </w:r>
      <w:r w:rsidR="0024750A" w:rsidRPr="05042C88">
        <w:t>LD</w:t>
      </w:r>
      <w:r w:rsidRPr="05042C88">
        <w:t xml:space="preserve"> score ≥</w:t>
      </w:r>
      <w:r w:rsidR="0024750A" w:rsidRPr="05042C88">
        <w:t xml:space="preserve"> </w:t>
      </w:r>
      <w:r w:rsidRPr="05042C88">
        <w:t>15, uncontrolled ascites, or hospitali</w:t>
      </w:r>
      <w:r w:rsidR="00DD68DE" w:rsidRPr="05042C88">
        <w:t>s</w:t>
      </w:r>
      <w:r w:rsidRPr="05042C88">
        <w:t xml:space="preserve">ation </w:t>
      </w:r>
      <w:r w:rsidRPr="05042C88">
        <w:lastRenderedPageBreak/>
        <w:t xml:space="preserve">for hepatic decompensation. There was no </w:t>
      </w:r>
      <w:r w:rsidR="002321F7" w:rsidRPr="05042C88">
        <w:t xml:space="preserve">statistically </w:t>
      </w:r>
      <w:r w:rsidRPr="05042C88">
        <w:t>significant difference in the primary endpoint (hazard ratio</w:t>
      </w:r>
      <w:r w:rsidR="00964AD7" w:rsidRPr="05042C88">
        <w:t xml:space="preserve"> (</w:t>
      </w:r>
      <w:r w:rsidRPr="05042C88">
        <w:t>HR</w:t>
      </w:r>
      <w:r w:rsidR="00964AD7" w:rsidRPr="05042C88">
        <w:t xml:space="preserve">) </w:t>
      </w:r>
      <w:r w:rsidRPr="05042C88">
        <w:t>= 1.01</w:t>
      </w:r>
      <w:r w:rsidR="0024750A" w:rsidRPr="05042C88">
        <w:t>;</w:t>
      </w:r>
      <w:r w:rsidRPr="05042C88">
        <w:t xml:space="preserve"> 95% confidence interval</w:t>
      </w:r>
      <w:r w:rsidR="00964AD7" w:rsidRPr="05042C88">
        <w:t xml:space="preserve"> (</w:t>
      </w:r>
      <w:r w:rsidRPr="05042C88">
        <w:t>CI</w:t>
      </w:r>
      <w:r w:rsidR="00964AD7" w:rsidRPr="05042C88">
        <w:t>)</w:t>
      </w:r>
      <w:r w:rsidRPr="05042C88">
        <w:t>: 0.68, 1.51).</w:t>
      </w:r>
      <w:r w:rsidR="00F42B76" w:rsidRPr="05042C88">
        <w:rPr>
          <w:rStyle w:val="FootnoteReference"/>
        </w:rPr>
        <w:footnoteReference w:id="21"/>
      </w:r>
      <w:r w:rsidRPr="05042C88">
        <w:t xml:space="preserve"> Compared to placebo, more </w:t>
      </w:r>
      <w:r w:rsidR="002657FA" w:rsidRPr="05042C88">
        <w:t>patients</w:t>
      </w:r>
      <w:r w:rsidR="002657FA" w:rsidRPr="05042C88" w:rsidDel="002657FA">
        <w:t xml:space="preserve"> </w:t>
      </w:r>
      <w:r w:rsidRPr="05042C88">
        <w:t xml:space="preserve">died in the OCA arm </w:t>
      </w:r>
      <w:r w:rsidR="0024750A" w:rsidRPr="05042C88">
        <w:t>(</w:t>
      </w:r>
      <w:r w:rsidR="008D6F2F" w:rsidRPr="05042C88">
        <w:t>8.3</w:t>
      </w:r>
      <w:r w:rsidRPr="05042C88">
        <w:t xml:space="preserve">% vs </w:t>
      </w:r>
      <w:r w:rsidR="00933DF3" w:rsidRPr="05042C88">
        <w:t>6.6</w:t>
      </w:r>
      <w:r w:rsidRPr="05042C88">
        <w:t xml:space="preserve">%), more </w:t>
      </w:r>
      <w:r w:rsidR="002657FA" w:rsidRPr="05042C88">
        <w:t>patients</w:t>
      </w:r>
      <w:r w:rsidRPr="05042C88">
        <w:t xml:space="preserve"> received liver transplants </w:t>
      </w:r>
      <w:r w:rsidR="0024750A" w:rsidRPr="05042C88">
        <w:t>(</w:t>
      </w:r>
      <w:r w:rsidR="002D37EA" w:rsidRPr="05042C88">
        <w:t xml:space="preserve">11.9% </w:t>
      </w:r>
      <w:r w:rsidRPr="05042C88">
        <w:t xml:space="preserve">vs </w:t>
      </w:r>
      <w:r w:rsidR="00E45ED8" w:rsidRPr="05042C88">
        <w:t>10.</w:t>
      </w:r>
      <w:r w:rsidR="00A67860" w:rsidRPr="05042C88">
        <w:t>8%</w:t>
      </w:r>
      <w:r w:rsidR="0024750A" w:rsidRPr="05042C88">
        <w:t>)</w:t>
      </w:r>
      <w:r w:rsidRPr="05042C88">
        <w:t xml:space="preserve">, more </w:t>
      </w:r>
      <w:r w:rsidR="002657FA" w:rsidRPr="05042C88">
        <w:t>patients</w:t>
      </w:r>
      <w:r w:rsidRPr="05042C88">
        <w:t xml:space="preserve"> experienced pruritus (</w:t>
      </w:r>
      <w:r w:rsidR="0041785B" w:rsidRPr="05042C88">
        <w:t>78.6</w:t>
      </w:r>
      <w:r w:rsidRPr="05042C88">
        <w:t>% vs 51.2%) and upper abdominal pain (14.</w:t>
      </w:r>
      <w:r w:rsidR="0041785B" w:rsidRPr="05042C88">
        <w:t>9</w:t>
      </w:r>
      <w:r w:rsidRPr="05042C88">
        <w:t>% vs 7.2%), but there were a similar rate of serious adverse events (SAEs</w:t>
      </w:r>
      <w:r w:rsidR="0024750A" w:rsidRPr="05042C88">
        <w:t xml:space="preserve">; </w:t>
      </w:r>
      <w:r w:rsidRPr="05042C88">
        <w:t>31.5% vs 31.9%).</w:t>
      </w:r>
      <w:r w:rsidR="00A67860" w:rsidRPr="05042C88">
        <w:rPr>
          <w:vertAlign w:val="superscript"/>
        </w:rPr>
        <w:footnoteReference w:id="22"/>
      </w:r>
      <w:bookmarkEnd w:id="21"/>
      <w:bookmarkEnd w:id="22"/>
      <w:r w:rsidR="00D47154">
        <w:t xml:space="preserve">It was noted that </w:t>
      </w:r>
      <w:r w:rsidR="00365835">
        <w:t>the COBALT trial was confounded by unblinding and cross-over</w:t>
      </w:r>
      <w:r w:rsidR="00D1660C">
        <w:t xml:space="preserve">, and that </w:t>
      </w:r>
      <w:r w:rsidR="008F7852">
        <w:t>a re-analysis of the COBALT trial data</w:t>
      </w:r>
      <w:r w:rsidR="00570289">
        <w:t>,</w:t>
      </w:r>
      <w:r w:rsidR="00EE6358">
        <w:t xml:space="preserve"> </w:t>
      </w:r>
      <w:r w:rsidR="005F6E2C">
        <w:t>accounting for crossover</w:t>
      </w:r>
      <w:r w:rsidR="00570289">
        <w:t>, remained favourable to OCA.</w:t>
      </w:r>
    </w:p>
    <w:p w14:paraId="7A28C749" w14:textId="6B30A7BA" w:rsidR="0026694C" w:rsidRPr="00173E4D" w:rsidRDefault="0026694C" w:rsidP="0026694C">
      <w:pPr>
        <w:pStyle w:val="3-BodyText"/>
      </w:pPr>
      <w:bookmarkStart w:id="23" w:name="_Hlk182840680"/>
      <w:r w:rsidRPr="05042C88">
        <w:t xml:space="preserve">The submission proposed additional comparators in </w:t>
      </w:r>
      <w:r w:rsidR="00A15117" w:rsidRPr="05042C88">
        <w:t>OCA</w:t>
      </w:r>
      <w:r w:rsidRPr="05042C88">
        <w:t xml:space="preserve"> non-responders or patients </w:t>
      </w:r>
      <w:r w:rsidR="00A43601" w:rsidRPr="05042C88">
        <w:t xml:space="preserve">who are </w:t>
      </w:r>
      <w:r w:rsidRPr="05042C88">
        <w:t xml:space="preserve">intolerant to </w:t>
      </w:r>
      <w:r w:rsidR="00A15117" w:rsidRPr="05042C88">
        <w:t>OCA</w:t>
      </w:r>
      <w:r w:rsidRPr="05042C88">
        <w:t>:</w:t>
      </w:r>
    </w:p>
    <w:p w14:paraId="09723116" w14:textId="1EA5A752" w:rsidR="0026694C" w:rsidRPr="00173E4D" w:rsidRDefault="0026694C" w:rsidP="003B77A6">
      <w:pPr>
        <w:pStyle w:val="ListParagraph"/>
        <w:ind w:left="1080"/>
        <w:jc w:val="both"/>
      </w:pPr>
      <w:r w:rsidRPr="00173E4D">
        <w:t xml:space="preserve">For </w:t>
      </w:r>
      <w:r w:rsidR="00CA489C">
        <w:t>OCA</w:t>
      </w:r>
      <w:r w:rsidR="00CA489C" w:rsidRPr="00173E4D">
        <w:t xml:space="preserve"> </w:t>
      </w:r>
      <w:r w:rsidRPr="00173E4D">
        <w:t>inadequate responders</w:t>
      </w:r>
      <w:r w:rsidR="00A43601">
        <w:t>:</w:t>
      </w:r>
      <w:r w:rsidRPr="00173E4D">
        <w:t xml:space="preserve"> UDCA + placebo</w:t>
      </w:r>
      <w:r w:rsidR="00A43601">
        <w:t xml:space="preserve"> </w:t>
      </w:r>
      <w:r w:rsidR="00A43601" w:rsidRPr="00A43601">
        <w:t>(UDCA monotherapy)</w:t>
      </w:r>
      <w:r w:rsidRPr="00173E4D">
        <w:t>.</w:t>
      </w:r>
    </w:p>
    <w:p w14:paraId="7CD1CC51" w14:textId="1D24F35A" w:rsidR="0026694C" w:rsidRPr="00173E4D" w:rsidRDefault="0026694C" w:rsidP="003B77A6">
      <w:pPr>
        <w:pStyle w:val="ListParagraph"/>
        <w:ind w:left="1080"/>
        <w:jc w:val="both"/>
      </w:pPr>
      <w:r w:rsidRPr="00173E4D">
        <w:t xml:space="preserve">For </w:t>
      </w:r>
      <w:r w:rsidR="00CA489C">
        <w:t xml:space="preserve">OCA </w:t>
      </w:r>
      <w:r w:rsidRPr="00173E4D">
        <w:t>intolerant patients</w:t>
      </w:r>
      <w:r w:rsidR="00A43601">
        <w:t>:</w:t>
      </w:r>
      <w:r w:rsidRPr="00173E4D">
        <w:t xml:space="preserve"> placebo</w:t>
      </w:r>
      <w:r w:rsidR="00A43601">
        <w:t xml:space="preserve"> </w:t>
      </w:r>
      <w:r w:rsidR="00A43601" w:rsidRPr="00A43601">
        <w:t>(or no treatment)</w:t>
      </w:r>
      <w:r w:rsidRPr="00173E4D">
        <w:t>.</w:t>
      </w:r>
    </w:p>
    <w:p w14:paraId="71CA6D38" w14:textId="3D5710F8" w:rsidR="00F72A21" w:rsidRPr="00E2449A" w:rsidRDefault="00D32E34" w:rsidP="0026694C">
      <w:pPr>
        <w:pStyle w:val="3-BodyText"/>
      </w:pPr>
      <w:bookmarkStart w:id="24" w:name="_Hlk182838764"/>
      <w:r w:rsidRPr="00E2449A">
        <w:t xml:space="preserve">The ESC considered that </w:t>
      </w:r>
      <w:r w:rsidR="00F72A21" w:rsidRPr="00E2449A">
        <w:t>OCA was a relevant comparator</w:t>
      </w:r>
      <w:r w:rsidR="006710F9" w:rsidRPr="00E2449A">
        <w:t xml:space="preserve">. Noting that </w:t>
      </w:r>
      <w:proofErr w:type="spellStart"/>
      <w:r w:rsidR="00F72A21" w:rsidRPr="00E2449A">
        <w:t>elafibranor</w:t>
      </w:r>
      <w:proofErr w:type="spellEnd"/>
      <w:r w:rsidR="00F72A21" w:rsidRPr="00E2449A">
        <w:t xml:space="preserve"> </w:t>
      </w:r>
      <w:r w:rsidR="005D778C" w:rsidRPr="00E2449A">
        <w:t>may</w:t>
      </w:r>
      <w:r w:rsidR="00F72A21" w:rsidRPr="00E2449A">
        <w:t xml:space="preserve"> also be used in </w:t>
      </w:r>
      <w:r w:rsidR="006710F9" w:rsidRPr="00E2449A">
        <w:t xml:space="preserve">the </w:t>
      </w:r>
      <w:r w:rsidR="00F72A21" w:rsidRPr="00E2449A">
        <w:t>third</w:t>
      </w:r>
      <w:r w:rsidR="00B21919" w:rsidRPr="00E2449A">
        <w:t xml:space="preserve"> </w:t>
      </w:r>
      <w:r w:rsidR="00F72A21" w:rsidRPr="00E2449A">
        <w:t xml:space="preserve">line </w:t>
      </w:r>
      <w:r w:rsidR="006710F9" w:rsidRPr="00E2449A">
        <w:t xml:space="preserve">setting </w:t>
      </w:r>
      <w:r w:rsidR="00F72A21" w:rsidRPr="00E2449A">
        <w:t>by OCA non-responders or patients intolerant to OCA</w:t>
      </w:r>
      <w:r w:rsidR="006710F9" w:rsidRPr="00E2449A">
        <w:t xml:space="preserve">, </w:t>
      </w:r>
      <w:r w:rsidRPr="00E2449A">
        <w:t xml:space="preserve">the ESC considered that </w:t>
      </w:r>
      <w:r w:rsidR="00F72A21" w:rsidRPr="00E2449A">
        <w:t xml:space="preserve">UDCA monotherapy or no treatment </w:t>
      </w:r>
      <w:r w:rsidR="0016534D" w:rsidRPr="00E2449A">
        <w:t xml:space="preserve">are </w:t>
      </w:r>
      <w:r w:rsidR="00F72A21" w:rsidRPr="00E2449A">
        <w:t xml:space="preserve">also relevant comparators </w:t>
      </w:r>
      <w:r w:rsidR="00CA489C" w:rsidRPr="00E2449A">
        <w:t>in the third line setting</w:t>
      </w:r>
      <w:r w:rsidR="00F72A21" w:rsidRPr="00E2449A">
        <w:t>.</w:t>
      </w:r>
    </w:p>
    <w:bookmarkEnd w:id="23"/>
    <w:bookmarkEnd w:id="24"/>
    <w:p w14:paraId="4CA34163" w14:textId="77777777" w:rsidR="00CA0F06" w:rsidRDefault="00F74A0B" w:rsidP="00CA0F06">
      <w:pPr>
        <w:pStyle w:val="3-BodyText"/>
      </w:pPr>
      <w:r w:rsidRPr="00E2449A">
        <w:t xml:space="preserve">The submission identified </w:t>
      </w:r>
      <w:proofErr w:type="spellStart"/>
      <w:r w:rsidRPr="00E2449A">
        <w:t>seladelpar</w:t>
      </w:r>
      <w:proofErr w:type="spellEnd"/>
      <w:r w:rsidRPr="00E2449A">
        <w:t xml:space="preserve">, a selective </w:t>
      </w:r>
      <w:proofErr w:type="spellStart"/>
      <w:r w:rsidRPr="00E2449A">
        <w:t>PPARδ</w:t>
      </w:r>
      <w:proofErr w:type="spellEnd"/>
      <w:r w:rsidRPr="00E2449A">
        <w:t xml:space="preserve"> agonist </w:t>
      </w:r>
      <w:r w:rsidR="007E39BB" w:rsidRPr="00E2449A">
        <w:t xml:space="preserve">and </w:t>
      </w:r>
      <w:proofErr w:type="spellStart"/>
      <w:r w:rsidR="007E39BB" w:rsidRPr="00E2449A">
        <w:t>saroglitazar</w:t>
      </w:r>
      <w:proofErr w:type="spellEnd"/>
      <w:r w:rsidR="007E39BB" w:rsidRPr="00E2449A">
        <w:t xml:space="preserve">, a PPARα/γ agonist, </w:t>
      </w:r>
      <w:r w:rsidRPr="00E2449A">
        <w:t>as near-market comparator</w:t>
      </w:r>
      <w:r w:rsidR="007E39BB" w:rsidRPr="00E2449A">
        <w:t>s</w:t>
      </w:r>
      <w:r w:rsidR="00432741" w:rsidRPr="00E2449A">
        <w:t>. N</w:t>
      </w:r>
      <w:r w:rsidR="00EE7655" w:rsidRPr="00E2449A">
        <w:t>o clinical comparison</w:t>
      </w:r>
      <w:r w:rsidR="007C38DA" w:rsidRPr="00E2449A">
        <w:t>s</w:t>
      </w:r>
      <w:r w:rsidR="00EE7655" w:rsidRPr="00E2449A">
        <w:t xml:space="preserve"> </w:t>
      </w:r>
      <w:r w:rsidR="00432741" w:rsidRPr="00E2449A">
        <w:t xml:space="preserve">of </w:t>
      </w:r>
      <w:proofErr w:type="spellStart"/>
      <w:r w:rsidR="00432741" w:rsidRPr="00E2449A">
        <w:t>elafibranor</w:t>
      </w:r>
      <w:proofErr w:type="spellEnd"/>
      <w:r w:rsidR="00432741" w:rsidRPr="00E2449A">
        <w:t xml:space="preserve"> to </w:t>
      </w:r>
      <w:proofErr w:type="spellStart"/>
      <w:r w:rsidR="00432741" w:rsidRPr="00E2449A">
        <w:t>sel</w:t>
      </w:r>
      <w:r w:rsidR="00095BAE" w:rsidRPr="00E2449A">
        <w:t>a</w:t>
      </w:r>
      <w:r w:rsidR="00432741" w:rsidRPr="00E2449A">
        <w:t>delpar</w:t>
      </w:r>
      <w:proofErr w:type="spellEnd"/>
      <w:r w:rsidR="00432741" w:rsidRPr="00E2449A">
        <w:t xml:space="preserve"> </w:t>
      </w:r>
      <w:r w:rsidR="007E39BB" w:rsidRPr="00E2449A">
        <w:t xml:space="preserve">or </w:t>
      </w:r>
      <w:proofErr w:type="spellStart"/>
      <w:r w:rsidR="007E39BB" w:rsidRPr="00E2449A">
        <w:t>saroglitazar</w:t>
      </w:r>
      <w:proofErr w:type="spellEnd"/>
      <w:r w:rsidR="007E39BB" w:rsidRPr="00E2449A">
        <w:t xml:space="preserve"> were </w:t>
      </w:r>
      <w:r w:rsidR="00EE7655" w:rsidRPr="00E2449A">
        <w:t>presented</w:t>
      </w:r>
      <w:r w:rsidRPr="00E2449A">
        <w:t xml:space="preserve">. </w:t>
      </w:r>
    </w:p>
    <w:p w14:paraId="13E90FBF" w14:textId="6A835D68" w:rsidR="00CA0F06" w:rsidRPr="00CA0F06" w:rsidRDefault="00CA0F06" w:rsidP="00CA0F06">
      <w:pPr>
        <w:pStyle w:val="3-BodyText"/>
        <w:numPr>
          <w:ilvl w:val="0"/>
          <w:numId w:val="0"/>
        </w:numPr>
        <w:ind w:left="720"/>
        <w:rPr>
          <w:i/>
          <w:iCs/>
        </w:rPr>
      </w:pPr>
      <w:r w:rsidRPr="00CA0F06">
        <w:rPr>
          <w:i/>
          <w:iCs/>
        </w:rPr>
        <w:t>For more detail on PBAC’s view, see section 7 PBAC outcome.</w:t>
      </w:r>
    </w:p>
    <w:p w14:paraId="4C01C92B" w14:textId="77777777" w:rsidR="004A29D1" w:rsidRPr="00407F2D" w:rsidRDefault="004A29D1" w:rsidP="004A29D1">
      <w:pPr>
        <w:pStyle w:val="2-SectionHeading"/>
      </w:pPr>
      <w:bookmarkStart w:id="25" w:name="_Toc187914749"/>
      <w:r>
        <w:t>C</w:t>
      </w:r>
      <w:r w:rsidRPr="00407F2D">
        <w:t>onsideration of the evidence</w:t>
      </w:r>
      <w:bookmarkEnd w:id="25"/>
    </w:p>
    <w:p w14:paraId="7DAF6FD3" w14:textId="77777777" w:rsidR="0003568F" w:rsidRPr="006E1229" w:rsidRDefault="0003568F" w:rsidP="0003568F">
      <w:pPr>
        <w:pStyle w:val="4-SubsectionHeading"/>
      </w:pPr>
      <w:bookmarkStart w:id="26" w:name="_Hlk76375935"/>
      <w:bookmarkStart w:id="27" w:name="_Toc187914750"/>
      <w:r w:rsidRPr="006E1229">
        <w:t>Sponsor hearing</w:t>
      </w:r>
    </w:p>
    <w:p w14:paraId="4E61E68A" w14:textId="02363475" w:rsidR="0003568F" w:rsidRPr="00836F75" w:rsidRDefault="0003568F" w:rsidP="0003568F">
      <w:pPr>
        <w:widowControl w:val="0"/>
        <w:numPr>
          <w:ilvl w:val="1"/>
          <w:numId w:val="1"/>
        </w:numPr>
        <w:spacing w:after="120"/>
        <w:ind w:left="720"/>
        <w:rPr>
          <w:rFonts w:asciiTheme="minorHAnsi" w:hAnsiTheme="minorHAnsi"/>
          <w:bCs/>
          <w:snapToGrid w:val="0"/>
        </w:rPr>
      </w:pPr>
      <w:bookmarkStart w:id="28" w:name="_Hlk76382586"/>
      <w:r w:rsidRPr="00836F75">
        <w:rPr>
          <w:rFonts w:asciiTheme="minorHAnsi" w:hAnsiTheme="minorHAnsi"/>
          <w:bCs/>
          <w:snapToGrid w:val="0"/>
        </w:rPr>
        <w:t>The sponsor requested a hearing for this item.</w:t>
      </w:r>
      <w:r w:rsidR="00C269DA">
        <w:rPr>
          <w:rFonts w:asciiTheme="minorHAnsi" w:hAnsiTheme="minorHAnsi"/>
          <w:bCs/>
          <w:snapToGrid w:val="0"/>
        </w:rPr>
        <w:t xml:space="preserve"> </w:t>
      </w:r>
      <w:r w:rsidRPr="00836F75">
        <w:rPr>
          <w:rFonts w:asciiTheme="minorHAnsi" w:hAnsiTheme="minorHAnsi"/>
          <w:bCs/>
          <w:snapToGrid w:val="0"/>
        </w:rPr>
        <w:t xml:space="preserve">The clinician presented </w:t>
      </w:r>
      <w:r w:rsidR="00992584">
        <w:rPr>
          <w:rFonts w:asciiTheme="minorHAnsi" w:hAnsiTheme="minorHAnsi"/>
          <w:bCs/>
          <w:snapToGrid w:val="0"/>
        </w:rPr>
        <w:t xml:space="preserve">a clinical perspective on the </w:t>
      </w:r>
      <w:r w:rsidR="00A6430A">
        <w:rPr>
          <w:rFonts w:asciiTheme="minorHAnsi" w:hAnsiTheme="minorHAnsi"/>
          <w:bCs/>
          <w:snapToGrid w:val="0"/>
        </w:rPr>
        <w:t xml:space="preserve">available </w:t>
      </w:r>
      <w:r w:rsidR="00992584">
        <w:rPr>
          <w:rFonts w:asciiTheme="minorHAnsi" w:hAnsiTheme="minorHAnsi"/>
          <w:bCs/>
          <w:snapToGrid w:val="0"/>
        </w:rPr>
        <w:t>pharmacological intervention</w:t>
      </w:r>
      <w:r w:rsidR="00BF6CAB">
        <w:rPr>
          <w:rFonts w:asciiTheme="minorHAnsi" w:hAnsiTheme="minorHAnsi"/>
          <w:bCs/>
          <w:snapToGrid w:val="0"/>
        </w:rPr>
        <w:t>s</w:t>
      </w:r>
      <w:r w:rsidR="00C269DA">
        <w:rPr>
          <w:rFonts w:asciiTheme="minorHAnsi" w:hAnsiTheme="minorHAnsi"/>
          <w:bCs/>
          <w:snapToGrid w:val="0"/>
        </w:rPr>
        <w:t xml:space="preserve"> </w:t>
      </w:r>
      <w:r w:rsidR="00992584">
        <w:rPr>
          <w:rFonts w:asciiTheme="minorHAnsi" w:hAnsiTheme="minorHAnsi"/>
          <w:bCs/>
          <w:snapToGrid w:val="0"/>
        </w:rPr>
        <w:t>in PB</w:t>
      </w:r>
      <w:r w:rsidR="004A0614">
        <w:rPr>
          <w:rFonts w:asciiTheme="minorHAnsi" w:hAnsiTheme="minorHAnsi"/>
          <w:bCs/>
          <w:snapToGrid w:val="0"/>
        </w:rPr>
        <w:t>C</w:t>
      </w:r>
      <w:r w:rsidR="000069DD">
        <w:rPr>
          <w:rFonts w:asciiTheme="minorHAnsi" w:hAnsiTheme="minorHAnsi"/>
          <w:bCs/>
          <w:snapToGrid w:val="0"/>
        </w:rPr>
        <w:t>,</w:t>
      </w:r>
      <w:r w:rsidR="00943B78">
        <w:rPr>
          <w:rFonts w:asciiTheme="minorHAnsi" w:hAnsiTheme="minorHAnsi"/>
          <w:bCs/>
          <w:snapToGrid w:val="0"/>
        </w:rPr>
        <w:t xml:space="preserve"> describing current practice</w:t>
      </w:r>
      <w:r w:rsidR="00F60EF8">
        <w:rPr>
          <w:rFonts w:asciiTheme="minorHAnsi" w:hAnsiTheme="minorHAnsi"/>
          <w:bCs/>
          <w:snapToGrid w:val="0"/>
        </w:rPr>
        <w:t xml:space="preserve">, </w:t>
      </w:r>
      <w:r w:rsidR="00943B78">
        <w:rPr>
          <w:rFonts w:asciiTheme="minorHAnsi" w:hAnsiTheme="minorHAnsi"/>
          <w:bCs/>
          <w:snapToGrid w:val="0"/>
        </w:rPr>
        <w:t xml:space="preserve">the place in therapy </w:t>
      </w:r>
      <w:r w:rsidR="0045454E">
        <w:rPr>
          <w:rFonts w:asciiTheme="minorHAnsi" w:hAnsiTheme="minorHAnsi"/>
          <w:bCs/>
          <w:snapToGrid w:val="0"/>
        </w:rPr>
        <w:t xml:space="preserve">for </w:t>
      </w:r>
      <w:proofErr w:type="spellStart"/>
      <w:r w:rsidR="0045454E">
        <w:rPr>
          <w:rFonts w:asciiTheme="minorHAnsi" w:hAnsiTheme="minorHAnsi"/>
          <w:bCs/>
          <w:snapToGrid w:val="0"/>
        </w:rPr>
        <w:t>elafibranor</w:t>
      </w:r>
      <w:proofErr w:type="spellEnd"/>
      <w:r w:rsidR="007E1D89">
        <w:rPr>
          <w:rFonts w:asciiTheme="minorHAnsi" w:hAnsiTheme="minorHAnsi"/>
          <w:bCs/>
          <w:snapToGrid w:val="0"/>
        </w:rPr>
        <w:t xml:space="preserve"> and </w:t>
      </w:r>
      <w:r w:rsidR="00F60EF8">
        <w:rPr>
          <w:rFonts w:asciiTheme="minorHAnsi" w:hAnsiTheme="minorHAnsi"/>
          <w:bCs/>
          <w:snapToGrid w:val="0"/>
        </w:rPr>
        <w:t xml:space="preserve">how the </w:t>
      </w:r>
      <w:r w:rsidRPr="00836F75">
        <w:rPr>
          <w:rFonts w:asciiTheme="minorHAnsi" w:hAnsiTheme="minorHAnsi"/>
          <w:bCs/>
          <w:snapToGrid w:val="0"/>
        </w:rPr>
        <w:t>drug would be used in practice</w:t>
      </w:r>
      <w:r w:rsidR="007E1D89">
        <w:rPr>
          <w:rFonts w:asciiTheme="minorHAnsi" w:hAnsiTheme="minorHAnsi"/>
          <w:bCs/>
          <w:snapToGrid w:val="0"/>
        </w:rPr>
        <w:t>.</w:t>
      </w:r>
      <w:r w:rsidR="00165FFA">
        <w:rPr>
          <w:rFonts w:asciiTheme="minorHAnsi" w:hAnsiTheme="minorHAnsi"/>
          <w:bCs/>
          <w:snapToGrid w:val="0"/>
        </w:rPr>
        <w:t xml:space="preserve"> The clinician noted that up to 40% of patients </w:t>
      </w:r>
      <w:r w:rsidR="00256342">
        <w:rPr>
          <w:rFonts w:asciiTheme="minorHAnsi" w:hAnsiTheme="minorHAnsi"/>
          <w:bCs/>
          <w:snapToGrid w:val="0"/>
        </w:rPr>
        <w:t>will not respond or have intolerances to UDCA. At present the only option for these patients is OCA</w:t>
      </w:r>
      <w:r w:rsidR="00951DB1">
        <w:rPr>
          <w:rFonts w:asciiTheme="minorHAnsi" w:hAnsiTheme="minorHAnsi"/>
          <w:bCs/>
          <w:snapToGrid w:val="0"/>
        </w:rPr>
        <w:t xml:space="preserve">. The clinician noted that </w:t>
      </w:r>
      <w:r w:rsidR="00CF7C58">
        <w:rPr>
          <w:rFonts w:asciiTheme="minorHAnsi" w:hAnsiTheme="minorHAnsi"/>
          <w:bCs/>
          <w:snapToGrid w:val="0"/>
        </w:rPr>
        <w:t xml:space="preserve">uptake of OCA </w:t>
      </w:r>
      <w:r w:rsidR="002D1242">
        <w:rPr>
          <w:rFonts w:asciiTheme="minorHAnsi" w:hAnsiTheme="minorHAnsi"/>
          <w:bCs/>
          <w:snapToGrid w:val="0"/>
        </w:rPr>
        <w:t xml:space="preserve">in these patients </w:t>
      </w:r>
      <w:r w:rsidR="00CF7C58">
        <w:rPr>
          <w:rFonts w:asciiTheme="minorHAnsi" w:hAnsiTheme="minorHAnsi"/>
          <w:bCs/>
          <w:snapToGrid w:val="0"/>
        </w:rPr>
        <w:t xml:space="preserve">has been low and stated that this may be </w:t>
      </w:r>
      <w:r w:rsidR="002D1242">
        <w:rPr>
          <w:rFonts w:asciiTheme="minorHAnsi" w:hAnsiTheme="minorHAnsi"/>
          <w:bCs/>
          <w:snapToGrid w:val="0"/>
        </w:rPr>
        <w:t xml:space="preserve">because </w:t>
      </w:r>
      <w:r w:rsidR="00CF7C58">
        <w:rPr>
          <w:rFonts w:asciiTheme="minorHAnsi" w:hAnsiTheme="minorHAnsi"/>
          <w:bCs/>
          <w:snapToGrid w:val="0"/>
        </w:rPr>
        <w:t xml:space="preserve">OCA </w:t>
      </w:r>
      <w:r w:rsidR="00256342">
        <w:rPr>
          <w:rFonts w:asciiTheme="minorHAnsi" w:hAnsiTheme="minorHAnsi"/>
          <w:bCs/>
          <w:snapToGrid w:val="0"/>
        </w:rPr>
        <w:t>increases pruritus</w:t>
      </w:r>
      <w:r w:rsidR="009876D1">
        <w:rPr>
          <w:rFonts w:asciiTheme="minorHAnsi" w:hAnsiTheme="minorHAnsi"/>
          <w:bCs/>
          <w:snapToGrid w:val="0"/>
        </w:rPr>
        <w:t xml:space="preserve"> and is associated with </w:t>
      </w:r>
      <w:r w:rsidR="00CF7C58">
        <w:rPr>
          <w:rFonts w:asciiTheme="minorHAnsi" w:hAnsiTheme="minorHAnsi"/>
          <w:bCs/>
          <w:snapToGrid w:val="0"/>
        </w:rPr>
        <w:t xml:space="preserve">other </w:t>
      </w:r>
      <w:r w:rsidR="009876D1">
        <w:rPr>
          <w:rFonts w:asciiTheme="minorHAnsi" w:hAnsiTheme="minorHAnsi"/>
          <w:bCs/>
          <w:snapToGrid w:val="0"/>
        </w:rPr>
        <w:t>adverse events such as hypertension</w:t>
      </w:r>
      <w:r w:rsidR="00B156CE">
        <w:rPr>
          <w:rFonts w:asciiTheme="minorHAnsi" w:hAnsiTheme="minorHAnsi"/>
          <w:bCs/>
          <w:snapToGrid w:val="0"/>
        </w:rPr>
        <w:t xml:space="preserve">. The clinician noted that the </w:t>
      </w:r>
      <w:r w:rsidR="00FC1330">
        <w:rPr>
          <w:rFonts w:asciiTheme="minorHAnsi" w:hAnsiTheme="minorHAnsi"/>
          <w:bCs/>
          <w:snapToGrid w:val="0"/>
        </w:rPr>
        <w:t xml:space="preserve">PBS </w:t>
      </w:r>
      <w:r w:rsidR="00B156CE">
        <w:rPr>
          <w:rFonts w:asciiTheme="minorHAnsi" w:hAnsiTheme="minorHAnsi"/>
          <w:bCs/>
          <w:snapToGrid w:val="0"/>
        </w:rPr>
        <w:t xml:space="preserve">listing of </w:t>
      </w:r>
      <w:proofErr w:type="spellStart"/>
      <w:r w:rsidR="00B156CE">
        <w:rPr>
          <w:rFonts w:asciiTheme="minorHAnsi" w:hAnsiTheme="minorHAnsi"/>
          <w:bCs/>
          <w:snapToGrid w:val="0"/>
        </w:rPr>
        <w:t>elafibranor</w:t>
      </w:r>
      <w:proofErr w:type="spellEnd"/>
      <w:r w:rsidR="00B156CE">
        <w:rPr>
          <w:rFonts w:asciiTheme="minorHAnsi" w:hAnsiTheme="minorHAnsi"/>
          <w:bCs/>
          <w:snapToGrid w:val="0"/>
        </w:rPr>
        <w:t xml:space="preserve"> would provide another </w:t>
      </w:r>
      <w:r w:rsidR="00CF7C58">
        <w:rPr>
          <w:rFonts w:asciiTheme="minorHAnsi" w:hAnsiTheme="minorHAnsi"/>
          <w:bCs/>
          <w:snapToGrid w:val="0"/>
        </w:rPr>
        <w:t xml:space="preserve">treatment </w:t>
      </w:r>
      <w:r w:rsidR="00B156CE">
        <w:rPr>
          <w:rFonts w:asciiTheme="minorHAnsi" w:hAnsiTheme="minorHAnsi"/>
          <w:bCs/>
          <w:snapToGrid w:val="0"/>
        </w:rPr>
        <w:t xml:space="preserve">option for </w:t>
      </w:r>
      <w:r w:rsidR="002D1242">
        <w:rPr>
          <w:rFonts w:asciiTheme="minorHAnsi" w:hAnsiTheme="minorHAnsi"/>
          <w:bCs/>
          <w:snapToGrid w:val="0"/>
        </w:rPr>
        <w:t xml:space="preserve">these </w:t>
      </w:r>
      <w:r w:rsidR="00B156CE">
        <w:rPr>
          <w:rFonts w:asciiTheme="minorHAnsi" w:hAnsiTheme="minorHAnsi"/>
          <w:bCs/>
          <w:snapToGrid w:val="0"/>
        </w:rPr>
        <w:t xml:space="preserve">patients and help prevent </w:t>
      </w:r>
      <w:r w:rsidR="007D7DFC">
        <w:rPr>
          <w:rFonts w:asciiTheme="minorHAnsi" w:hAnsiTheme="minorHAnsi"/>
          <w:bCs/>
          <w:snapToGrid w:val="0"/>
        </w:rPr>
        <w:t xml:space="preserve">patients progressing to more severe disease. </w:t>
      </w:r>
      <w:r w:rsidRPr="00836F75">
        <w:rPr>
          <w:rFonts w:asciiTheme="minorHAnsi" w:hAnsiTheme="minorHAnsi"/>
          <w:bCs/>
          <w:snapToGrid w:val="0"/>
        </w:rPr>
        <w:t>The PBAC considered that the hearing was informative.</w:t>
      </w:r>
    </w:p>
    <w:bookmarkEnd w:id="28"/>
    <w:p w14:paraId="0C87BE43" w14:textId="77777777" w:rsidR="0003568F" w:rsidRPr="006E1229" w:rsidRDefault="0003568F" w:rsidP="0003568F">
      <w:pPr>
        <w:pStyle w:val="4-SubsectionHeading"/>
      </w:pPr>
      <w:r w:rsidRPr="006E1229">
        <w:lastRenderedPageBreak/>
        <w:t>Consumer comments</w:t>
      </w:r>
    </w:p>
    <w:p w14:paraId="63762780" w14:textId="32FF7AAD" w:rsidR="00E94A5B" w:rsidRDefault="0003568F" w:rsidP="00290E18">
      <w:pPr>
        <w:widowControl w:val="0"/>
        <w:numPr>
          <w:ilvl w:val="1"/>
          <w:numId w:val="1"/>
        </w:numPr>
        <w:spacing w:after="120"/>
        <w:ind w:left="720"/>
        <w:rPr>
          <w:rFonts w:asciiTheme="minorHAnsi" w:hAnsiTheme="minorHAnsi"/>
          <w:bCs/>
          <w:snapToGrid w:val="0"/>
        </w:rPr>
      </w:pPr>
      <w:bookmarkStart w:id="29" w:name="_Hlk76382618"/>
      <w:r w:rsidRPr="00836F75">
        <w:rPr>
          <w:rFonts w:asciiTheme="minorHAnsi" w:hAnsiTheme="minorHAnsi"/>
          <w:bCs/>
          <w:snapToGrid w:val="0"/>
        </w:rPr>
        <w:t xml:space="preserve">The PBAC noted and welcomed the input from </w:t>
      </w:r>
      <w:r w:rsidR="004F5AF1">
        <w:rPr>
          <w:rFonts w:asciiTheme="minorHAnsi" w:hAnsiTheme="minorHAnsi"/>
          <w:bCs/>
          <w:snapToGrid w:val="0"/>
        </w:rPr>
        <w:t xml:space="preserve">an </w:t>
      </w:r>
      <w:r w:rsidRPr="00836F75">
        <w:rPr>
          <w:rFonts w:asciiTheme="minorHAnsi" w:hAnsiTheme="minorHAnsi"/>
          <w:bCs/>
          <w:snapToGrid w:val="0"/>
        </w:rPr>
        <w:t>individual (</w:t>
      </w:r>
      <w:r w:rsidR="00FA068B">
        <w:rPr>
          <w:rFonts w:asciiTheme="minorHAnsi" w:hAnsiTheme="minorHAnsi"/>
          <w:bCs/>
          <w:snapToGrid w:val="0"/>
        </w:rPr>
        <w:t>1</w:t>
      </w:r>
      <w:r w:rsidRPr="00836F75">
        <w:rPr>
          <w:rFonts w:asciiTheme="minorHAnsi" w:hAnsiTheme="minorHAnsi"/>
          <w:bCs/>
          <w:snapToGrid w:val="0"/>
        </w:rPr>
        <w:t xml:space="preserve">) </w:t>
      </w:r>
      <w:r w:rsidR="00FA068B">
        <w:rPr>
          <w:rFonts w:asciiTheme="minorHAnsi" w:hAnsiTheme="minorHAnsi"/>
          <w:bCs/>
          <w:snapToGrid w:val="0"/>
        </w:rPr>
        <w:t>a</w:t>
      </w:r>
      <w:r w:rsidRPr="00836F75">
        <w:rPr>
          <w:rFonts w:asciiTheme="minorHAnsi" w:hAnsiTheme="minorHAnsi"/>
          <w:bCs/>
          <w:snapToGrid w:val="0"/>
        </w:rPr>
        <w:t xml:space="preserve">nd </w:t>
      </w:r>
      <w:r w:rsidR="004F5AF1">
        <w:rPr>
          <w:rFonts w:asciiTheme="minorHAnsi" w:hAnsiTheme="minorHAnsi"/>
          <w:bCs/>
          <w:snapToGrid w:val="0"/>
        </w:rPr>
        <w:t xml:space="preserve">an </w:t>
      </w:r>
      <w:r w:rsidRPr="00836F75">
        <w:rPr>
          <w:rFonts w:asciiTheme="minorHAnsi" w:hAnsiTheme="minorHAnsi"/>
          <w:bCs/>
          <w:snapToGrid w:val="0"/>
        </w:rPr>
        <w:t>organisation (1) via the Consumer Comments facility on the PBS website.</w:t>
      </w:r>
      <w:r w:rsidR="00C269DA">
        <w:rPr>
          <w:rFonts w:asciiTheme="minorHAnsi" w:hAnsiTheme="minorHAnsi"/>
          <w:bCs/>
          <w:snapToGrid w:val="0"/>
        </w:rPr>
        <w:t xml:space="preserve"> </w:t>
      </w:r>
      <w:r w:rsidRPr="00836F75">
        <w:rPr>
          <w:rFonts w:asciiTheme="minorHAnsi" w:hAnsiTheme="minorHAnsi"/>
          <w:bCs/>
          <w:snapToGrid w:val="0"/>
        </w:rPr>
        <w:t>The comment</w:t>
      </w:r>
      <w:r w:rsidR="00DA0F35">
        <w:rPr>
          <w:rFonts w:asciiTheme="minorHAnsi" w:hAnsiTheme="minorHAnsi"/>
          <w:bCs/>
          <w:snapToGrid w:val="0"/>
        </w:rPr>
        <w:t xml:space="preserve"> supported the listing of </w:t>
      </w:r>
      <w:proofErr w:type="spellStart"/>
      <w:r w:rsidR="00DA0F35">
        <w:rPr>
          <w:rFonts w:asciiTheme="minorHAnsi" w:hAnsiTheme="minorHAnsi"/>
          <w:bCs/>
          <w:snapToGrid w:val="0"/>
        </w:rPr>
        <w:t>elafibranor</w:t>
      </w:r>
      <w:proofErr w:type="spellEnd"/>
      <w:r w:rsidR="00DA0F35">
        <w:rPr>
          <w:rFonts w:asciiTheme="minorHAnsi" w:hAnsiTheme="minorHAnsi"/>
          <w:bCs/>
          <w:snapToGrid w:val="0"/>
        </w:rPr>
        <w:t xml:space="preserve"> on the PBS.</w:t>
      </w:r>
      <w:r w:rsidR="00C269DA">
        <w:rPr>
          <w:rFonts w:asciiTheme="minorHAnsi" w:hAnsiTheme="minorHAnsi"/>
          <w:bCs/>
          <w:snapToGrid w:val="0"/>
        </w:rPr>
        <w:t xml:space="preserve"> </w:t>
      </w:r>
    </w:p>
    <w:p w14:paraId="7E090CFE" w14:textId="66F68D5C" w:rsidR="0003568F" w:rsidRDefault="0003568F" w:rsidP="00290E18">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 xml:space="preserve">The PBAC noted the advice received from </w:t>
      </w:r>
      <w:r w:rsidR="00DC5D60">
        <w:rPr>
          <w:rFonts w:asciiTheme="minorHAnsi" w:hAnsiTheme="minorHAnsi"/>
          <w:bCs/>
          <w:snapToGrid w:val="0"/>
        </w:rPr>
        <w:t>the Liver Foundation</w:t>
      </w:r>
      <w:r w:rsidR="00EA62D1">
        <w:rPr>
          <w:rFonts w:asciiTheme="minorHAnsi" w:hAnsiTheme="minorHAnsi"/>
          <w:bCs/>
          <w:snapToGrid w:val="0"/>
        </w:rPr>
        <w:t xml:space="preserve"> which described </w:t>
      </w:r>
      <w:r w:rsidR="001D6493">
        <w:rPr>
          <w:rFonts w:asciiTheme="minorHAnsi" w:hAnsiTheme="minorHAnsi"/>
          <w:bCs/>
          <w:snapToGrid w:val="0"/>
        </w:rPr>
        <w:t xml:space="preserve">PBC and its symptoms. The Liver Foundation noted the </w:t>
      </w:r>
      <w:r w:rsidR="009665C0">
        <w:rPr>
          <w:rFonts w:asciiTheme="minorHAnsi" w:hAnsiTheme="minorHAnsi"/>
          <w:bCs/>
          <w:snapToGrid w:val="0"/>
        </w:rPr>
        <w:t xml:space="preserve">impact of PBC on quality of life and highlighted the </w:t>
      </w:r>
      <w:r w:rsidR="005A00BE">
        <w:rPr>
          <w:rFonts w:asciiTheme="minorHAnsi" w:hAnsiTheme="minorHAnsi"/>
          <w:bCs/>
          <w:snapToGrid w:val="0"/>
        </w:rPr>
        <w:t xml:space="preserve">impact of </w:t>
      </w:r>
      <w:proofErr w:type="spellStart"/>
      <w:r w:rsidR="005A00BE">
        <w:rPr>
          <w:rFonts w:asciiTheme="minorHAnsi" w:hAnsiTheme="minorHAnsi"/>
          <w:bCs/>
          <w:snapToGrid w:val="0"/>
        </w:rPr>
        <w:t>pruritis</w:t>
      </w:r>
      <w:proofErr w:type="spellEnd"/>
      <w:r w:rsidR="005A00BE">
        <w:rPr>
          <w:rFonts w:asciiTheme="minorHAnsi" w:hAnsiTheme="minorHAnsi"/>
          <w:bCs/>
          <w:snapToGrid w:val="0"/>
        </w:rPr>
        <w:t xml:space="preserve"> </w:t>
      </w:r>
      <w:r w:rsidR="00290E18">
        <w:rPr>
          <w:rFonts w:asciiTheme="minorHAnsi" w:hAnsiTheme="minorHAnsi"/>
          <w:bCs/>
          <w:snapToGrid w:val="0"/>
        </w:rPr>
        <w:t xml:space="preserve">and fatigue </w:t>
      </w:r>
      <w:r w:rsidR="005A00BE">
        <w:rPr>
          <w:rFonts w:asciiTheme="minorHAnsi" w:hAnsiTheme="minorHAnsi"/>
          <w:bCs/>
          <w:snapToGrid w:val="0"/>
        </w:rPr>
        <w:t xml:space="preserve">on patients. The Liver Foundation </w:t>
      </w:r>
      <w:r w:rsidR="000C7AF9">
        <w:rPr>
          <w:rFonts w:asciiTheme="minorHAnsi" w:hAnsiTheme="minorHAnsi"/>
          <w:bCs/>
          <w:snapToGrid w:val="0"/>
        </w:rPr>
        <w:t xml:space="preserve">supported the listing of </w:t>
      </w:r>
      <w:proofErr w:type="spellStart"/>
      <w:r w:rsidR="000C7AF9">
        <w:rPr>
          <w:rFonts w:asciiTheme="minorHAnsi" w:hAnsiTheme="minorHAnsi"/>
          <w:bCs/>
          <w:snapToGrid w:val="0"/>
        </w:rPr>
        <w:t>elafibranor</w:t>
      </w:r>
      <w:proofErr w:type="spellEnd"/>
      <w:r w:rsidR="000C7AF9">
        <w:rPr>
          <w:rFonts w:asciiTheme="minorHAnsi" w:hAnsiTheme="minorHAnsi"/>
          <w:bCs/>
          <w:snapToGrid w:val="0"/>
        </w:rPr>
        <w:t xml:space="preserve"> on the PBS</w:t>
      </w:r>
      <w:r w:rsidR="00290E18">
        <w:rPr>
          <w:rFonts w:asciiTheme="minorHAnsi" w:hAnsiTheme="minorHAnsi"/>
          <w:bCs/>
          <w:snapToGrid w:val="0"/>
        </w:rPr>
        <w:t>.</w:t>
      </w:r>
      <w:r w:rsidR="00C269DA">
        <w:rPr>
          <w:rFonts w:asciiTheme="minorHAnsi" w:hAnsiTheme="minorHAnsi"/>
          <w:bCs/>
          <w:snapToGrid w:val="0"/>
        </w:rPr>
        <w:t xml:space="preserve"> </w:t>
      </w:r>
      <w:bookmarkEnd w:id="26"/>
      <w:bookmarkEnd w:id="29"/>
    </w:p>
    <w:p w14:paraId="24778EA6" w14:textId="41FD1169" w:rsidR="00785588" w:rsidRPr="00C9624D" w:rsidRDefault="00785588" w:rsidP="00785588">
      <w:pPr>
        <w:pStyle w:val="4-SubsectionHeading"/>
        <w:rPr>
          <w:lang w:eastAsia="en-AU"/>
        </w:rPr>
      </w:pPr>
      <w:r w:rsidRPr="00C9624D">
        <w:rPr>
          <w:lang w:eastAsia="en-AU"/>
        </w:rPr>
        <w:t>Clinical trials</w:t>
      </w:r>
      <w:bookmarkEnd w:id="27"/>
    </w:p>
    <w:p w14:paraId="390ACFE2" w14:textId="3D4E4AD0" w:rsidR="00957161" w:rsidRPr="00957161" w:rsidRDefault="0026694C" w:rsidP="002E4F02">
      <w:pPr>
        <w:pStyle w:val="3-BodyText"/>
      </w:pPr>
      <w:r w:rsidRPr="00957161">
        <w:rPr>
          <w:lang w:val="en-US"/>
        </w:rPr>
        <w:t xml:space="preserve">No head-to-head trials comparing </w:t>
      </w:r>
      <w:proofErr w:type="spellStart"/>
      <w:r w:rsidRPr="00957161">
        <w:rPr>
          <w:lang w:val="en-US"/>
        </w:rPr>
        <w:t>elafibranor</w:t>
      </w:r>
      <w:proofErr w:type="spellEnd"/>
      <w:r w:rsidRPr="00957161">
        <w:rPr>
          <w:lang w:val="en-US"/>
        </w:rPr>
        <w:t xml:space="preserve"> and </w:t>
      </w:r>
      <w:r w:rsidR="00A15117">
        <w:rPr>
          <w:lang w:val="en-US"/>
        </w:rPr>
        <w:t>OCA</w:t>
      </w:r>
      <w:r w:rsidR="00957161" w:rsidRPr="00957161">
        <w:rPr>
          <w:lang w:val="en-US"/>
        </w:rPr>
        <w:t xml:space="preserve"> were identified.</w:t>
      </w:r>
    </w:p>
    <w:p w14:paraId="4DE87715" w14:textId="4090087E" w:rsidR="000B319E" w:rsidRPr="000B319E" w:rsidRDefault="000B319E" w:rsidP="000B319E">
      <w:pPr>
        <w:pStyle w:val="3-BodyText"/>
        <w:rPr>
          <w:lang w:val="en-US"/>
        </w:rPr>
      </w:pPr>
      <w:r w:rsidRPr="000B319E">
        <w:rPr>
          <w:lang w:val="en-US"/>
        </w:rPr>
        <w:t>The submission was based on one RCT, the ELATIVE trial</w:t>
      </w:r>
      <w:r w:rsidR="00CA489C">
        <w:rPr>
          <w:lang w:val="en-US"/>
        </w:rPr>
        <w:t xml:space="preserve"> (N=161)</w:t>
      </w:r>
      <w:r w:rsidRPr="000B319E">
        <w:rPr>
          <w:lang w:val="en-US"/>
        </w:rPr>
        <w:t>, comparing:</w:t>
      </w:r>
    </w:p>
    <w:p w14:paraId="6A2D3A9E" w14:textId="74998C2C" w:rsidR="000B319E" w:rsidRPr="000B319E" w:rsidRDefault="000B319E" w:rsidP="0016534D">
      <w:pPr>
        <w:pStyle w:val="ListParagraph"/>
        <w:ind w:left="1080"/>
        <w:jc w:val="both"/>
        <w:rPr>
          <w:lang w:val="en-US"/>
        </w:rPr>
      </w:pPr>
      <w:proofErr w:type="spellStart"/>
      <w:r w:rsidRPr="000B319E">
        <w:rPr>
          <w:lang w:val="en-US"/>
        </w:rPr>
        <w:t>Elafibranor</w:t>
      </w:r>
      <w:proofErr w:type="spellEnd"/>
      <w:r w:rsidRPr="000B319E">
        <w:rPr>
          <w:lang w:val="en-US"/>
        </w:rPr>
        <w:t xml:space="preserve"> + UDCA v</w:t>
      </w:r>
      <w:r w:rsidR="00D32E34">
        <w:rPr>
          <w:lang w:val="en-US"/>
        </w:rPr>
        <w:t>ersu</w:t>
      </w:r>
      <w:r w:rsidRPr="000B319E">
        <w:rPr>
          <w:lang w:val="en-US"/>
        </w:rPr>
        <w:t xml:space="preserve">s </w:t>
      </w:r>
      <w:r w:rsidR="00235178" w:rsidRPr="000B319E">
        <w:rPr>
          <w:lang w:val="en-US"/>
        </w:rPr>
        <w:t xml:space="preserve">placebo </w:t>
      </w:r>
      <w:r w:rsidR="00235178">
        <w:rPr>
          <w:lang w:val="en-US"/>
        </w:rPr>
        <w:t xml:space="preserve">+ </w:t>
      </w:r>
      <w:r w:rsidRPr="000B319E">
        <w:rPr>
          <w:lang w:val="en-US"/>
        </w:rPr>
        <w:t xml:space="preserve">UDCA in </w:t>
      </w:r>
      <w:r w:rsidR="007D3BEB">
        <w:t>patients</w:t>
      </w:r>
      <w:r w:rsidRPr="000B319E">
        <w:rPr>
          <w:lang w:val="en-US"/>
        </w:rPr>
        <w:t xml:space="preserve"> with </w:t>
      </w:r>
      <w:r w:rsidR="000026C8">
        <w:rPr>
          <w:lang w:val="en-US"/>
        </w:rPr>
        <w:t xml:space="preserve">PBC </w:t>
      </w:r>
      <w:r w:rsidRPr="000B319E">
        <w:rPr>
          <w:lang w:val="en-US"/>
        </w:rPr>
        <w:t>an</w:t>
      </w:r>
      <w:r w:rsidR="00B930BA">
        <w:rPr>
          <w:lang w:val="en-US"/>
        </w:rPr>
        <w:t>d an</w:t>
      </w:r>
      <w:r w:rsidRPr="000B319E">
        <w:rPr>
          <w:lang w:val="en-US"/>
        </w:rPr>
        <w:t xml:space="preserve"> inadequate response to UDCA (</w:t>
      </w:r>
      <w:proofErr w:type="spellStart"/>
      <w:r w:rsidRPr="000B319E">
        <w:rPr>
          <w:lang w:val="en-US"/>
        </w:rPr>
        <w:t>elafibranor</w:t>
      </w:r>
      <w:proofErr w:type="spellEnd"/>
      <w:r w:rsidRPr="000B319E">
        <w:rPr>
          <w:lang w:val="en-US"/>
        </w:rPr>
        <w:t xml:space="preserve"> 80 mg: N=102; placebo: N=51), or</w:t>
      </w:r>
    </w:p>
    <w:p w14:paraId="642E9F01" w14:textId="7ACDACDA" w:rsidR="000B319E" w:rsidRPr="000B319E" w:rsidRDefault="000B319E" w:rsidP="0016534D">
      <w:pPr>
        <w:pStyle w:val="ListParagraph"/>
        <w:ind w:left="1080"/>
        <w:jc w:val="both"/>
        <w:rPr>
          <w:lang w:val="en-US"/>
        </w:rPr>
      </w:pPr>
      <w:proofErr w:type="spellStart"/>
      <w:r w:rsidRPr="000B319E">
        <w:rPr>
          <w:lang w:val="en-US"/>
        </w:rPr>
        <w:t>Elafibranor</w:t>
      </w:r>
      <w:proofErr w:type="spellEnd"/>
      <w:r w:rsidRPr="000B319E">
        <w:rPr>
          <w:lang w:val="en-US"/>
        </w:rPr>
        <w:t xml:space="preserve"> v</w:t>
      </w:r>
      <w:r w:rsidR="00D32E34">
        <w:rPr>
          <w:lang w:val="en-US"/>
        </w:rPr>
        <w:t>ersu</w:t>
      </w:r>
      <w:r w:rsidRPr="000B319E">
        <w:rPr>
          <w:lang w:val="en-US"/>
        </w:rPr>
        <w:t xml:space="preserve">s placebo in </w:t>
      </w:r>
      <w:r w:rsidR="007D3BEB">
        <w:t>patients</w:t>
      </w:r>
      <w:r w:rsidRPr="000B319E">
        <w:rPr>
          <w:lang w:val="en-US"/>
        </w:rPr>
        <w:t xml:space="preserve"> with </w:t>
      </w:r>
      <w:r w:rsidR="000026C8">
        <w:rPr>
          <w:lang w:val="en-US"/>
        </w:rPr>
        <w:t xml:space="preserve">PBC </w:t>
      </w:r>
      <w:r w:rsidR="00B930BA">
        <w:rPr>
          <w:lang w:val="en-US"/>
        </w:rPr>
        <w:t xml:space="preserve">and an </w:t>
      </w:r>
      <w:r w:rsidRPr="000B319E">
        <w:rPr>
          <w:lang w:val="en-US"/>
        </w:rPr>
        <w:t>intolerance to UDCA (</w:t>
      </w:r>
      <w:proofErr w:type="spellStart"/>
      <w:r w:rsidRPr="000B319E">
        <w:rPr>
          <w:lang w:val="en-US"/>
        </w:rPr>
        <w:t>elafibranor</w:t>
      </w:r>
      <w:proofErr w:type="spellEnd"/>
      <w:r w:rsidRPr="000B319E">
        <w:rPr>
          <w:lang w:val="en-US"/>
        </w:rPr>
        <w:t xml:space="preserve"> 80 mg: N=6; placebo: N=2).</w:t>
      </w:r>
    </w:p>
    <w:p w14:paraId="163DC05A" w14:textId="034E675F" w:rsidR="000B319E" w:rsidRPr="007214DE" w:rsidRDefault="000B319E" w:rsidP="000B319E">
      <w:pPr>
        <w:pStyle w:val="3-BodyText"/>
        <w:rPr>
          <w:lang w:val="en-US"/>
        </w:rPr>
      </w:pPr>
      <w:r w:rsidRPr="007214DE">
        <w:rPr>
          <w:lang w:val="en-US"/>
        </w:rPr>
        <w:t>The submission was also based on one RCT, the POISE trial</w:t>
      </w:r>
      <w:r w:rsidR="00B930BA">
        <w:rPr>
          <w:lang w:val="en-US"/>
        </w:rPr>
        <w:t xml:space="preserve"> </w:t>
      </w:r>
      <w:r w:rsidR="00B930BA" w:rsidRPr="007214DE">
        <w:rPr>
          <w:lang w:val="en-US"/>
        </w:rPr>
        <w:t xml:space="preserve">(N=217 enrolled, 216 </w:t>
      </w:r>
      <w:proofErr w:type="spellStart"/>
      <w:r w:rsidR="00B930BA" w:rsidRPr="007214DE">
        <w:rPr>
          <w:lang w:val="en-US"/>
        </w:rPr>
        <w:t>randomised</w:t>
      </w:r>
      <w:proofErr w:type="spellEnd"/>
      <w:r w:rsidR="00B930BA" w:rsidRPr="007214DE">
        <w:rPr>
          <w:lang w:val="en-US"/>
        </w:rPr>
        <w:t>)</w:t>
      </w:r>
      <w:r w:rsidRPr="007214DE">
        <w:rPr>
          <w:lang w:val="en-US"/>
        </w:rPr>
        <w:t>, comparing:</w:t>
      </w:r>
    </w:p>
    <w:p w14:paraId="5A09018E" w14:textId="32658906" w:rsidR="000B319E" w:rsidRPr="007214DE" w:rsidRDefault="000B319E" w:rsidP="0016534D">
      <w:pPr>
        <w:pStyle w:val="ListParagraph"/>
        <w:ind w:left="1080"/>
        <w:jc w:val="both"/>
        <w:rPr>
          <w:lang w:val="en-US"/>
        </w:rPr>
      </w:pPr>
      <w:r w:rsidRPr="007214DE">
        <w:rPr>
          <w:lang w:val="en-US"/>
        </w:rPr>
        <w:t>OCA + UDCA v</w:t>
      </w:r>
      <w:r w:rsidR="00D32E34">
        <w:rPr>
          <w:lang w:val="en-US"/>
        </w:rPr>
        <w:t>ersu</w:t>
      </w:r>
      <w:r w:rsidRPr="007214DE">
        <w:rPr>
          <w:lang w:val="en-US"/>
        </w:rPr>
        <w:t xml:space="preserve">s </w:t>
      </w:r>
      <w:r w:rsidR="00235178" w:rsidRPr="007214DE">
        <w:rPr>
          <w:lang w:val="en-US"/>
        </w:rPr>
        <w:t xml:space="preserve">placebo </w:t>
      </w:r>
      <w:r w:rsidR="00235178">
        <w:rPr>
          <w:lang w:val="en-US"/>
        </w:rPr>
        <w:t xml:space="preserve">+ </w:t>
      </w:r>
      <w:r w:rsidRPr="007214DE">
        <w:rPr>
          <w:lang w:val="en-US"/>
        </w:rPr>
        <w:t xml:space="preserve">UDCA in </w:t>
      </w:r>
      <w:r w:rsidR="007D3BEB">
        <w:t>patients</w:t>
      </w:r>
      <w:r w:rsidRPr="007214DE">
        <w:rPr>
          <w:lang w:val="en-US"/>
        </w:rPr>
        <w:t xml:space="preserve"> with </w:t>
      </w:r>
      <w:r w:rsidR="00B930BA">
        <w:rPr>
          <w:lang w:val="en-US"/>
        </w:rPr>
        <w:t xml:space="preserve">PBC and </w:t>
      </w:r>
      <w:r w:rsidRPr="007214DE">
        <w:rPr>
          <w:lang w:val="en-US"/>
        </w:rPr>
        <w:t>an inadequate response to UDCA (OCA 5-10 mg titration: N=65; OCA 10 mg: N=67; placebo: N=68), or</w:t>
      </w:r>
    </w:p>
    <w:p w14:paraId="66E44BD0" w14:textId="2030CA0A" w:rsidR="000B319E" w:rsidRPr="007214DE" w:rsidRDefault="000B319E" w:rsidP="0016534D">
      <w:pPr>
        <w:pStyle w:val="ListParagraph"/>
        <w:ind w:left="1080"/>
        <w:jc w:val="both"/>
      </w:pPr>
      <w:r w:rsidRPr="007214DE">
        <w:rPr>
          <w:lang w:val="en-US"/>
        </w:rPr>
        <w:t>OCA v</w:t>
      </w:r>
      <w:r w:rsidR="00D32E34">
        <w:rPr>
          <w:lang w:val="en-US"/>
        </w:rPr>
        <w:t>ersu</w:t>
      </w:r>
      <w:r w:rsidRPr="007214DE">
        <w:rPr>
          <w:lang w:val="en-US"/>
        </w:rPr>
        <w:t xml:space="preserve">s placebo in </w:t>
      </w:r>
      <w:r w:rsidR="007D3BEB">
        <w:t>patients</w:t>
      </w:r>
      <w:r w:rsidRPr="007214DE">
        <w:rPr>
          <w:lang w:val="en-US"/>
        </w:rPr>
        <w:t xml:space="preserve"> with </w:t>
      </w:r>
      <w:r w:rsidR="00B930BA">
        <w:rPr>
          <w:lang w:val="en-US"/>
        </w:rPr>
        <w:t xml:space="preserve">PBC and an </w:t>
      </w:r>
      <w:r w:rsidRPr="007214DE">
        <w:rPr>
          <w:lang w:val="en-US"/>
        </w:rPr>
        <w:t>intolerance to UDCA (OCA 5-10 mg titration: N=5; OCA 10 mg: N=6; placebo: N=5).</w:t>
      </w:r>
    </w:p>
    <w:p w14:paraId="0E9DF31A" w14:textId="6630B80D" w:rsidR="00957161" w:rsidRPr="00D100E6" w:rsidRDefault="00A43601" w:rsidP="002E4F02">
      <w:pPr>
        <w:pStyle w:val="3-BodyText"/>
      </w:pPr>
      <w:r w:rsidRPr="00D100E6">
        <w:rPr>
          <w:lang w:val="en-US"/>
        </w:rPr>
        <w:t xml:space="preserve">The POISE trial was previously considered by the PBAC in </w:t>
      </w:r>
      <w:r w:rsidR="0016534D" w:rsidRPr="00D100E6">
        <w:rPr>
          <w:lang w:val="en-US"/>
        </w:rPr>
        <w:t xml:space="preserve">the </w:t>
      </w:r>
      <w:r w:rsidRPr="00D100E6">
        <w:rPr>
          <w:lang w:val="en-US"/>
        </w:rPr>
        <w:t xml:space="preserve">submissions for </w:t>
      </w:r>
      <w:r w:rsidR="00A15117" w:rsidRPr="00D100E6">
        <w:rPr>
          <w:lang w:val="en-US"/>
        </w:rPr>
        <w:t>OCA</w:t>
      </w:r>
      <w:r w:rsidRPr="00D100E6">
        <w:rPr>
          <w:lang w:val="en-US"/>
        </w:rPr>
        <w:t>.</w:t>
      </w:r>
    </w:p>
    <w:p w14:paraId="58712A1E" w14:textId="7956028A" w:rsidR="009351F8" w:rsidRPr="009351F8" w:rsidRDefault="009351F8" w:rsidP="05042C88">
      <w:pPr>
        <w:pStyle w:val="3-BodyText"/>
        <w:rPr>
          <w:i/>
          <w:iCs/>
        </w:rPr>
      </w:pPr>
      <w:r w:rsidRPr="05042C88">
        <w:t>The submission conducted pairwise indirect comparison</w:t>
      </w:r>
      <w:r w:rsidR="00E364AD" w:rsidRPr="05042C88">
        <w:t>s</w:t>
      </w:r>
      <w:r w:rsidRPr="05042C88">
        <w:t xml:space="preserve"> of </w:t>
      </w:r>
      <w:proofErr w:type="spellStart"/>
      <w:r w:rsidRPr="05042C88">
        <w:t>elafibranor</w:t>
      </w:r>
      <w:proofErr w:type="spellEnd"/>
      <w:r w:rsidRPr="05042C88">
        <w:t xml:space="preserve"> compared to OCA with placebo as the common comparator.</w:t>
      </w:r>
    </w:p>
    <w:p w14:paraId="481F43B4" w14:textId="07004EDE" w:rsidR="00850B2D" w:rsidRPr="00AA2AA3" w:rsidRDefault="00A43601">
      <w:pPr>
        <w:pStyle w:val="3-BodyText"/>
        <w:rPr>
          <w:i/>
          <w:iCs/>
        </w:rPr>
      </w:pPr>
      <w:r w:rsidRPr="00AA2AA3">
        <w:rPr>
          <w:lang w:val="en-US"/>
        </w:rPr>
        <w:t xml:space="preserve">The submission did not present the </w:t>
      </w:r>
      <w:r w:rsidR="00D500F8" w:rsidRPr="00AA2AA3">
        <w:rPr>
          <w:lang w:val="en-US"/>
        </w:rPr>
        <w:t xml:space="preserve">results of the </w:t>
      </w:r>
      <w:r w:rsidRPr="00AA2AA3">
        <w:rPr>
          <w:lang w:val="en-US"/>
        </w:rPr>
        <w:t>COBALT trial</w:t>
      </w:r>
      <w:r w:rsidR="00312225" w:rsidRPr="00AA2AA3">
        <w:rPr>
          <w:lang w:val="en-US"/>
        </w:rPr>
        <w:t xml:space="preserve"> </w:t>
      </w:r>
      <w:r w:rsidR="00AF74BD">
        <w:rPr>
          <w:lang w:val="en-US"/>
        </w:rPr>
        <w:t xml:space="preserve">for OCA </w:t>
      </w:r>
      <w:r w:rsidR="00312225" w:rsidRPr="00AA2AA3">
        <w:rPr>
          <w:lang w:val="en-US"/>
        </w:rPr>
        <w:t>(see para</w:t>
      </w:r>
      <w:r w:rsidR="0016534D" w:rsidRPr="00AA2AA3">
        <w:rPr>
          <w:lang w:val="en-US"/>
        </w:rPr>
        <w:t>graph</w:t>
      </w:r>
      <w:r w:rsidR="00312225" w:rsidRPr="00AA2AA3">
        <w:rPr>
          <w:lang w:val="en-US"/>
        </w:rPr>
        <w:t xml:space="preserve"> </w:t>
      </w:r>
      <w:r w:rsidR="00ED3291" w:rsidRPr="00AA2AA3">
        <w:rPr>
          <w:lang w:val="en-US"/>
        </w:rPr>
        <w:fldChar w:fldCharType="begin" w:fldLock="1"/>
      </w:r>
      <w:r w:rsidR="00ED3291" w:rsidRPr="00AA2AA3">
        <w:rPr>
          <w:lang w:val="en-US"/>
        </w:rPr>
        <w:instrText xml:space="preserve"> REF _Ref184658882 \r \h </w:instrText>
      </w:r>
      <w:r w:rsidR="00E95EF5" w:rsidRPr="00AA2AA3">
        <w:rPr>
          <w:lang w:val="en-US"/>
        </w:rPr>
        <w:instrText xml:space="preserve"> \* MERGEFORMAT </w:instrText>
      </w:r>
      <w:r w:rsidR="00ED3291" w:rsidRPr="00AA2AA3">
        <w:rPr>
          <w:lang w:val="en-US"/>
        </w:rPr>
      </w:r>
      <w:r w:rsidR="00ED3291" w:rsidRPr="00AA2AA3">
        <w:rPr>
          <w:lang w:val="en-US"/>
        </w:rPr>
        <w:fldChar w:fldCharType="separate"/>
      </w:r>
      <w:r w:rsidR="00D32E34" w:rsidRPr="00AA2AA3">
        <w:rPr>
          <w:lang w:val="en-US"/>
        </w:rPr>
        <w:t>5.4</w:t>
      </w:r>
      <w:r w:rsidR="00ED3291" w:rsidRPr="00AA2AA3">
        <w:rPr>
          <w:lang w:val="en-US"/>
        </w:rPr>
        <w:fldChar w:fldCharType="end"/>
      </w:r>
      <w:r w:rsidR="00900F8D" w:rsidRPr="00AA2AA3">
        <w:rPr>
          <w:lang w:val="en-US"/>
        </w:rPr>
        <w:t>)</w:t>
      </w:r>
      <w:r w:rsidR="00AF74BD">
        <w:rPr>
          <w:lang w:val="en-US"/>
        </w:rPr>
        <w:t>,</w:t>
      </w:r>
      <w:r w:rsidR="00A83587" w:rsidRPr="00AA2AA3">
        <w:rPr>
          <w:lang w:val="en-US"/>
        </w:rPr>
        <w:t xml:space="preserve"> </w:t>
      </w:r>
      <w:r w:rsidR="00837F37" w:rsidRPr="00AA2AA3">
        <w:rPr>
          <w:lang w:val="en-US"/>
        </w:rPr>
        <w:t xml:space="preserve">as there were no comparable outcomes available for </w:t>
      </w:r>
      <w:r w:rsidR="00A83587" w:rsidRPr="00AA2AA3">
        <w:rPr>
          <w:lang w:val="en-US"/>
        </w:rPr>
        <w:t xml:space="preserve">an indirect treatment comparison with </w:t>
      </w:r>
      <w:proofErr w:type="spellStart"/>
      <w:r w:rsidR="00837F37" w:rsidRPr="00AA2AA3">
        <w:rPr>
          <w:lang w:val="en-US"/>
        </w:rPr>
        <w:t>elafibranor</w:t>
      </w:r>
      <w:proofErr w:type="spellEnd"/>
      <w:r w:rsidR="00A83587" w:rsidRPr="00AA2AA3">
        <w:rPr>
          <w:lang w:val="en-US"/>
        </w:rPr>
        <w:t>. However</w:t>
      </w:r>
      <w:r w:rsidR="00AA2AA3" w:rsidRPr="00AA2AA3">
        <w:rPr>
          <w:lang w:val="en-US"/>
        </w:rPr>
        <w:t xml:space="preserve">, </w:t>
      </w:r>
      <w:r w:rsidR="00AA2AA3">
        <w:t>r</w:t>
      </w:r>
      <w:r w:rsidR="003B5F6B" w:rsidRPr="00D100E6">
        <w:t xml:space="preserve">ecruitment </w:t>
      </w:r>
      <w:r w:rsidR="00D32E34">
        <w:t>is</w:t>
      </w:r>
      <w:r w:rsidR="00D32E34" w:rsidRPr="00D100E6">
        <w:t xml:space="preserve"> </w:t>
      </w:r>
      <w:r w:rsidR="003B5F6B" w:rsidRPr="00D100E6">
        <w:t>currently underway for the ELFIDENCE trial</w:t>
      </w:r>
      <w:r w:rsidR="00E15C07" w:rsidRPr="00D100E6">
        <w:t xml:space="preserve">. </w:t>
      </w:r>
      <w:r w:rsidR="007214DE" w:rsidRPr="00D100E6">
        <w:t>The ELFIDENCE trial</w:t>
      </w:r>
      <w:r w:rsidR="00E15C07" w:rsidRPr="00D100E6">
        <w:t xml:space="preserve">, like </w:t>
      </w:r>
      <w:r w:rsidR="007214DE" w:rsidRPr="00D100E6">
        <w:t>the COBALT trial</w:t>
      </w:r>
      <w:r w:rsidR="00E15C07" w:rsidRPr="00D100E6">
        <w:t xml:space="preserve">, is </w:t>
      </w:r>
      <w:r w:rsidR="007214DE" w:rsidRPr="00D100E6">
        <w:t xml:space="preserve">a RCT comparing </w:t>
      </w:r>
      <w:proofErr w:type="spellStart"/>
      <w:r w:rsidR="007214DE" w:rsidRPr="00D100E6">
        <w:t>elafibranor</w:t>
      </w:r>
      <w:proofErr w:type="spellEnd"/>
      <w:r w:rsidR="007214DE" w:rsidRPr="00D100E6">
        <w:t xml:space="preserve"> 80</w:t>
      </w:r>
      <w:r w:rsidR="00AB4DA6">
        <w:t xml:space="preserve"> </w:t>
      </w:r>
      <w:r w:rsidR="007214DE" w:rsidRPr="00D100E6">
        <w:t xml:space="preserve">mg to placebo in </w:t>
      </w:r>
      <w:r w:rsidR="00AB4DA6">
        <w:t>patients</w:t>
      </w:r>
      <w:r w:rsidR="00AB4DA6" w:rsidRPr="00D100E6">
        <w:t xml:space="preserve"> </w:t>
      </w:r>
      <w:r w:rsidR="007214DE" w:rsidRPr="00D100E6">
        <w:t xml:space="preserve">with </w:t>
      </w:r>
      <w:r w:rsidR="00DE5E02" w:rsidRPr="00D100E6">
        <w:t>PBC</w:t>
      </w:r>
      <w:r w:rsidR="007214DE" w:rsidRPr="00D100E6">
        <w:t>.</w:t>
      </w:r>
      <w:r w:rsidR="007214DE" w:rsidRPr="59C70968">
        <w:rPr>
          <w:rStyle w:val="FootnoteReference"/>
          <w:rFonts w:ascii="Arial" w:hAnsi="Arial"/>
          <w:sz w:val="22"/>
        </w:rPr>
        <w:footnoteReference w:id="23"/>
      </w:r>
      <w:r w:rsidR="007214DE" w:rsidRPr="00D100E6">
        <w:t xml:space="preserve"> The</w:t>
      </w:r>
      <w:r w:rsidR="00235178" w:rsidRPr="00D100E6">
        <w:t xml:space="preserve"> primary endpoint is event-free survival (adjudicated disease progression or death</w:t>
      </w:r>
      <w:r w:rsidR="006A0F38">
        <w:t xml:space="preserve">, defined as a composite endpoint of all-cause mortality, liver transplant, hepatic decompensation, change in </w:t>
      </w:r>
      <w:r w:rsidR="00FE6DDE">
        <w:t>MELD</w:t>
      </w:r>
      <w:r w:rsidR="00D32E34">
        <w:t xml:space="preserve"> score</w:t>
      </w:r>
      <w:r w:rsidR="00FE6DDE">
        <w:t xml:space="preserve"> to </w:t>
      </w:r>
      <w:r w:rsidR="00FE6DDE" w:rsidRPr="00AA2AA3">
        <w:rPr>
          <w:rFonts w:cstheme="minorHAnsi"/>
        </w:rPr>
        <w:t>≥</w:t>
      </w:r>
      <w:r w:rsidR="00FE6DDE">
        <w:t xml:space="preserve"> 15 in patients with a baseline MELD </w:t>
      </w:r>
      <w:r w:rsidR="00D32E34">
        <w:t>score</w:t>
      </w:r>
      <w:r w:rsidR="00DF0475">
        <w:t xml:space="preserve"> </w:t>
      </w:r>
      <w:r w:rsidR="00DF0475" w:rsidRPr="00AA2AA3">
        <w:rPr>
          <w:rFonts w:cstheme="minorHAnsi"/>
        </w:rPr>
        <w:t>≤</w:t>
      </w:r>
      <w:r w:rsidR="00DF0475">
        <w:t xml:space="preserve"> 12, and development of </w:t>
      </w:r>
      <w:r w:rsidR="00DF0475">
        <w:lastRenderedPageBreak/>
        <w:t>hepatocellular carcinoma</w:t>
      </w:r>
      <w:r w:rsidR="00235178" w:rsidRPr="00D100E6">
        <w:t>).</w:t>
      </w:r>
      <w:r w:rsidR="00235178" w:rsidRPr="00D100E6">
        <w:rPr>
          <w:rStyle w:val="FootnoteReference"/>
        </w:rPr>
        <w:footnoteReference w:id="24"/>
      </w:r>
      <w:r w:rsidR="00235178" w:rsidRPr="00D100E6">
        <w:t xml:space="preserve"> </w:t>
      </w:r>
      <w:r w:rsidR="007214DE" w:rsidRPr="00D100E6">
        <w:t xml:space="preserve">The expected completion date for the ELFIDENCE trial is May 2029, with the final trial report expected </w:t>
      </w:r>
      <w:r w:rsidR="00D32E34">
        <w:t xml:space="preserve">in </w:t>
      </w:r>
      <w:r w:rsidR="007214DE" w:rsidRPr="00D100E6">
        <w:t>May 2030.</w:t>
      </w:r>
    </w:p>
    <w:p w14:paraId="2B59ABAC" w14:textId="1DA6E434" w:rsidR="00862502" w:rsidRDefault="00A73134">
      <w:pPr>
        <w:pStyle w:val="3-BodyText"/>
      </w:pPr>
      <w:r w:rsidRPr="0098262F">
        <w:t xml:space="preserve">Details of the trials </w:t>
      </w:r>
      <w:r w:rsidRPr="008834DB">
        <w:rPr>
          <w:lang w:val="en-US"/>
        </w:rPr>
        <w:t>presented</w:t>
      </w:r>
      <w:r w:rsidRPr="0098262F">
        <w:t xml:space="preserve"> in the submission are provided in</w:t>
      </w:r>
      <w:r w:rsidR="008834DB">
        <w:t xml:space="preserve"> </w:t>
      </w:r>
      <w:r w:rsidR="00AE0900">
        <w:fldChar w:fldCharType="begin" w:fldLock="1"/>
      </w:r>
      <w:r w:rsidR="00AE0900">
        <w:instrText xml:space="preserve"> REF _Ref184748062 \h </w:instrText>
      </w:r>
      <w:r w:rsidR="00AE0900">
        <w:fldChar w:fldCharType="separate"/>
      </w:r>
      <w:r w:rsidR="002B3034" w:rsidRPr="0098262F">
        <w:t xml:space="preserve">Table </w:t>
      </w:r>
      <w:r w:rsidR="002B3034">
        <w:rPr>
          <w:noProof/>
        </w:rPr>
        <w:t>2</w:t>
      </w:r>
      <w:r w:rsidR="00AE0900">
        <w:fldChar w:fldCharType="end"/>
      </w:r>
      <w:r w:rsidRPr="0098262F">
        <w:t>.</w:t>
      </w:r>
    </w:p>
    <w:p w14:paraId="7DE3A286" w14:textId="34DE2396" w:rsidR="008E0D3C" w:rsidRPr="0098262F" w:rsidRDefault="00696EF9" w:rsidP="002E4F02">
      <w:pPr>
        <w:pStyle w:val="TableFigureHeading"/>
        <w:rPr>
          <w:rStyle w:val="CommentReference"/>
          <w:b/>
          <w:szCs w:val="24"/>
        </w:rPr>
      </w:pPr>
      <w:bookmarkStart w:id="30" w:name="_Ref104803956"/>
      <w:bookmarkStart w:id="31" w:name="_Ref184748062"/>
      <w:r w:rsidRPr="0098262F">
        <w:t xml:space="preserve">Table </w:t>
      </w:r>
      <w:r w:rsidR="00780A90">
        <w:fldChar w:fldCharType="begin" w:fldLock="1"/>
      </w:r>
      <w:r w:rsidR="00780A90">
        <w:instrText xml:space="preserve"> SEQ Table \* ARABIC </w:instrText>
      </w:r>
      <w:r w:rsidR="00780A90">
        <w:fldChar w:fldCharType="separate"/>
      </w:r>
      <w:r w:rsidR="00780A90">
        <w:rPr>
          <w:noProof/>
        </w:rPr>
        <w:t>2</w:t>
      </w:r>
      <w:r w:rsidR="00780A90">
        <w:rPr>
          <w:noProof/>
        </w:rPr>
        <w:fldChar w:fldCharType="end"/>
      </w:r>
      <w:bookmarkEnd w:id="30"/>
      <w:bookmarkEnd w:id="31"/>
      <w:r w:rsidRPr="0098262F">
        <w:t>:</w:t>
      </w:r>
      <w:r w:rsidR="00BC591F" w:rsidRPr="0098262F">
        <w:rPr>
          <w:rStyle w:val="CommentReference"/>
          <w:b/>
          <w:szCs w:val="24"/>
        </w:rPr>
        <w:t xml:space="preserve"> </w:t>
      </w:r>
      <w:r w:rsidR="008E0D3C" w:rsidRPr="0098262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D6884" w:rsidRPr="0098262F" w14:paraId="55BAD477" w14:textId="77777777" w:rsidTr="05042C88">
        <w:trPr>
          <w:cantSplit/>
          <w:tblHeader/>
        </w:trPr>
        <w:tc>
          <w:tcPr>
            <w:tcW w:w="796" w:type="pct"/>
            <w:vAlign w:val="center"/>
          </w:tcPr>
          <w:p w14:paraId="1638845B" w14:textId="77777777" w:rsidR="004D6884" w:rsidRPr="0098262F" w:rsidRDefault="004D6884" w:rsidP="00777D20">
            <w:pPr>
              <w:pStyle w:val="In-tableHeading"/>
              <w:keepNext w:val="0"/>
              <w:keepLines w:val="0"/>
              <w:widowControl w:val="0"/>
              <w:rPr>
                <w:lang w:val="en-AU"/>
              </w:rPr>
            </w:pPr>
            <w:r w:rsidRPr="0098262F">
              <w:rPr>
                <w:lang w:val="en-AU"/>
              </w:rPr>
              <w:t>Trial ID</w:t>
            </w:r>
          </w:p>
        </w:tc>
        <w:tc>
          <w:tcPr>
            <w:tcW w:w="3027" w:type="pct"/>
            <w:vAlign w:val="center"/>
          </w:tcPr>
          <w:p w14:paraId="113A5E65" w14:textId="77777777" w:rsidR="004D6884" w:rsidRPr="0098262F" w:rsidRDefault="004D6884" w:rsidP="00777D20">
            <w:pPr>
              <w:pStyle w:val="In-tableHeading"/>
              <w:keepNext w:val="0"/>
              <w:keepLines w:val="0"/>
              <w:widowControl w:val="0"/>
              <w:rPr>
                <w:lang w:val="en-AU"/>
              </w:rPr>
            </w:pPr>
            <w:r w:rsidRPr="0098262F">
              <w:rPr>
                <w:lang w:val="en-AU"/>
              </w:rPr>
              <w:t>Protocol title/ Publication title</w:t>
            </w:r>
          </w:p>
        </w:tc>
        <w:tc>
          <w:tcPr>
            <w:tcW w:w="1177" w:type="pct"/>
            <w:vAlign w:val="center"/>
          </w:tcPr>
          <w:p w14:paraId="0743F92C" w14:textId="77777777" w:rsidR="004D6884" w:rsidRPr="0098262F" w:rsidRDefault="004D6884" w:rsidP="00777D20">
            <w:pPr>
              <w:pStyle w:val="In-tableHeading"/>
              <w:keepNext w:val="0"/>
              <w:keepLines w:val="0"/>
              <w:widowControl w:val="0"/>
              <w:rPr>
                <w:lang w:val="en-AU"/>
              </w:rPr>
            </w:pPr>
            <w:r w:rsidRPr="0098262F">
              <w:rPr>
                <w:lang w:val="en-AU"/>
              </w:rPr>
              <w:t>Publication citation</w:t>
            </w:r>
          </w:p>
        </w:tc>
      </w:tr>
      <w:tr w:rsidR="004D6884" w:rsidRPr="0098262F" w14:paraId="3FBF70B6" w14:textId="77777777" w:rsidTr="05042C88">
        <w:trPr>
          <w:cantSplit/>
        </w:trPr>
        <w:tc>
          <w:tcPr>
            <w:tcW w:w="796" w:type="pct"/>
            <w:vMerge w:val="restart"/>
          </w:tcPr>
          <w:p w14:paraId="7B75BE01" w14:textId="77777777" w:rsidR="004D6884" w:rsidRDefault="004D6884" w:rsidP="00777D20">
            <w:pPr>
              <w:pStyle w:val="TableText0"/>
              <w:keepNext w:val="0"/>
              <w:keepLines w:val="0"/>
              <w:widowControl w:val="0"/>
            </w:pPr>
            <w:r>
              <w:t>ELATIVE Study</w:t>
            </w:r>
          </w:p>
          <w:p w14:paraId="6F073854" w14:textId="77777777" w:rsidR="004D6884" w:rsidRDefault="004D6884" w:rsidP="00777D20">
            <w:pPr>
              <w:pStyle w:val="TableText0"/>
              <w:keepNext w:val="0"/>
              <w:keepLines w:val="0"/>
              <w:widowControl w:val="0"/>
            </w:pPr>
          </w:p>
          <w:p w14:paraId="0308D40C" w14:textId="77777777" w:rsidR="004D6884" w:rsidRDefault="004D6884" w:rsidP="00777D20">
            <w:pPr>
              <w:pStyle w:val="TableText0"/>
              <w:keepNext w:val="0"/>
              <w:keepLines w:val="0"/>
              <w:widowControl w:val="0"/>
            </w:pPr>
            <w:r>
              <w:t>NCT04526665</w:t>
            </w:r>
          </w:p>
          <w:p w14:paraId="04BB88A2" w14:textId="77777777" w:rsidR="004D6884" w:rsidRDefault="004D6884" w:rsidP="00777D20">
            <w:pPr>
              <w:pStyle w:val="TableText0"/>
              <w:keepNext w:val="0"/>
              <w:keepLines w:val="0"/>
              <w:widowControl w:val="0"/>
            </w:pPr>
          </w:p>
          <w:p w14:paraId="29757224" w14:textId="77777777" w:rsidR="004D6884" w:rsidRDefault="004D6884" w:rsidP="00777D20">
            <w:pPr>
              <w:pStyle w:val="TableText0"/>
              <w:keepNext w:val="0"/>
              <w:keepLines w:val="0"/>
              <w:widowControl w:val="0"/>
            </w:pPr>
            <w:r>
              <w:t>EUCTR2019-004941-34-BE</w:t>
            </w:r>
          </w:p>
          <w:p w14:paraId="19A89DE5" w14:textId="77777777" w:rsidR="004D6884" w:rsidRDefault="004D6884" w:rsidP="00777D20">
            <w:pPr>
              <w:pStyle w:val="TableText0"/>
              <w:keepNext w:val="0"/>
              <w:keepLines w:val="0"/>
              <w:widowControl w:val="0"/>
            </w:pPr>
          </w:p>
          <w:p w14:paraId="74BE2814" w14:textId="77777777" w:rsidR="004D6884" w:rsidRPr="00066884" w:rsidRDefault="004D6884" w:rsidP="00777D20">
            <w:pPr>
              <w:pStyle w:val="TableText0"/>
              <w:keepNext w:val="0"/>
              <w:keepLines w:val="0"/>
              <w:widowControl w:val="0"/>
            </w:pPr>
            <w:r w:rsidRPr="00066884">
              <w:rPr>
                <w:bCs w:val="0"/>
              </w:rPr>
              <w:t>GFT505B-319-1</w:t>
            </w:r>
          </w:p>
        </w:tc>
        <w:tc>
          <w:tcPr>
            <w:tcW w:w="3027" w:type="pct"/>
            <w:tcBorders>
              <w:bottom w:val="nil"/>
            </w:tcBorders>
          </w:tcPr>
          <w:p w14:paraId="3E146D35" w14:textId="77777777" w:rsidR="004D6884" w:rsidRPr="004D3555" w:rsidRDefault="004D6884" w:rsidP="00777D20">
            <w:pPr>
              <w:pStyle w:val="TableText0"/>
              <w:keepNext w:val="0"/>
              <w:keepLines w:val="0"/>
              <w:widowControl w:val="0"/>
            </w:pPr>
            <w:r w:rsidRPr="05042C88">
              <w:t xml:space="preserve">Clinical Study Report: A double-blind, randomized, placebo-controlled study and open-label long term extension to evaluate the efficacy and safety of </w:t>
            </w:r>
            <w:proofErr w:type="spellStart"/>
            <w:r w:rsidRPr="05042C88">
              <w:t>elafibranor</w:t>
            </w:r>
            <w:proofErr w:type="spellEnd"/>
            <w:r w:rsidRPr="05042C88">
              <w:t xml:space="preserve"> 80 mg in patients with primary biliary cholangitis with inadequate response or intolerance to ursodeoxycholic acid. Data cut-off date: 01 June 2023. CSR (Double-blind Period): 31 August 2023.</w:t>
            </w:r>
          </w:p>
          <w:p w14:paraId="30AE55B5" w14:textId="77777777" w:rsidR="004D6884" w:rsidRPr="004D3555" w:rsidRDefault="004D6884" w:rsidP="00777D20">
            <w:pPr>
              <w:pStyle w:val="TableText0"/>
              <w:keepNext w:val="0"/>
              <w:keepLines w:val="0"/>
              <w:widowControl w:val="0"/>
            </w:pPr>
          </w:p>
        </w:tc>
        <w:tc>
          <w:tcPr>
            <w:tcW w:w="1177" w:type="pct"/>
            <w:tcBorders>
              <w:bottom w:val="nil"/>
            </w:tcBorders>
          </w:tcPr>
          <w:p w14:paraId="2B1AD739" w14:textId="77777777" w:rsidR="004D6884" w:rsidRPr="004D3555" w:rsidRDefault="004D6884" w:rsidP="00777D20">
            <w:pPr>
              <w:pStyle w:val="TableText0"/>
              <w:keepNext w:val="0"/>
              <w:keepLines w:val="0"/>
              <w:widowControl w:val="0"/>
            </w:pPr>
            <w:r w:rsidRPr="004D3555">
              <w:t>2023</w:t>
            </w:r>
          </w:p>
        </w:tc>
      </w:tr>
      <w:tr w:rsidR="004D6884" w:rsidRPr="0098262F" w14:paraId="41601A24" w14:textId="77777777" w:rsidTr="0050299F">
        <w:trPr>
          <w:cantSplit/>
        </w:trPr>
        <w:tc>
          <w:tcPr>
            <w:tcW w:w="796" w:type="pct"/>
            <w:vMerge/>
            <w:tcBorders>
              <w:bottom w:val="single" w:sz="4" w:space="0" w:color="auto"/>
            </w:tcBorders>
            <w:vAlign w:val="center"/>
          </w:tcPr>
          <w:p w14:paraId="2E53C924" w14:textId="77777777" w:rsidR="004D6884" w:rsidRPr="00F80041" w:rsidRDefault="004D6884" w:rsidP="00777D20">
            <w:pPr>
              <w:pStyle w:val="TableText0"/>
              <w:keepNext w:val="0"/>
              <w:keepLines w:val="0"/>
              <w:widowControl w:val="0"/>
              <w:rPr>
                <w:bCs w:val="0"/>
                <w:i/>
                <w:iCs/>
              </w:rPr>
            </w:pPr>
          </w:p>
        </w:tc>
        <w:tc>
          <w:tcPr>
            <w:tcW w:w="3027" w:type="pct"/>
            <w:tcBorders>
              <w:top w:val="nil"/>
              <w:bottom w:val="single" w:sz="4" w:space="0" w:color="auto"/>
            </w:tcBorders>
          </w:tcPr>
          <w:p w14:paraId="5F582771" w14:textId="0B02AA96" w:rsidR="004D6884" w:rsidRPr="004D3555" w:rsidRDefault="004D6884" w:rsidP="00777D20">
            <w:pPr>
              <w:pStyle w:val="TableText0"/>
              <w:keepNext w:val="0"/>
              <w:keepLines w:val="0"/>
              <w:widowControl w:val="0"/>
            </w:pPr>
            <w:proofErr w:type="spellStart"/>
            <w:r w:rsidRPr="05042C88">
              <w:t>Kowdley</w:t>
            </w:r>
            <w:proofErr w:type="spellEnd"/>
            <w:r w:rsidRPr="05042C88">
              <w:t xml:space="preserve"> KV, Bowlus CL, Levy C, </w:t>
            </w:r>
            <w:r w:rsidR="00BD706C" w:rsidRPr="05042C88">
              <w:t xml:space="preserve">et al. </w:t>
            </w:r>
            <w:r w:rsidRPr="05042C88">
              <w:t xml:space="preserve">ELATIVE Study Investigators’ Group; ELATIVE Study Investigators' Group. Efficacy and Safety of </w:t>
            </w:r>
            <w:proofErr w:type="spellStart"/>
            <w:r w:rsidRPr="05042C88">
              <w:t>Elafibranor</w:t>
            </w:r>
            <w:proofErr w:type="spellEnd"/>
            <w:r w:rsidRPr="05042C88">
              <w:t xml:space="preserve"> in Primary Biliary Cholangitis.</w:t>
            </w:r>
          </w:p>
          <w:p w14:paraId="53EE1130" w14:textId="77777777" w:rsidR="004D6884" w:rsidRPr="004D3555" w:rsidRDefault="004D6884" w:rsidP="00777D20">
            <w:pPr>
              <w:pStyle w:val="TableText0"/>
              <w:keepNext w:val="0"/>
              <w:keepLines w:val="0"/>
              <w:widowControl w:val="0"/>
            </w:pPr>
          </w:p>
        </w:tc>
        <w:tc>
          <w:tcPr>
            <w:tcW w:w="1177" w:type="pct"/>
            <w:tcBorders>
              <w:top w:val="nil"/>
              <w:bottom w:val="single" w:sz="4" w:space="0" w:color="auto"/>
            </w:tcBorders>
          </w:tcPr>
          <w:p w14:paraId="6F1630EE" w14:textId="77777777" w:rsidR="004D6884" w:rsidRPr="004D3555" w:rsidRDefault="004D6884" w:rsidP="00777D20">
            <w:pPr>
              <w:pStyle w:val="TableText0"/>
              <w:keepNext w:val="0"/>
              <w:keepLines w:val="0"/>
              <w:widowControl w:val="0"/>
            </w:pPr>
            <w:r w:rsidRPr="004D3555">
              <w:rPr>
                <w:i/>
                <w:iCs/>
              </w:rPr>
              <w:t>NEJM</w:t>
            </w:r>
            <w:r w:rsidRPr="004D3555">
              <w:t xml:space="preserve"> 2024; </w:t>
            </w:r>
            <w:r w:rsidRPr="004D3555">
              <w:rPr>
                <w:rStyle w:val="Small"/>
                <w:rFonts w:ascii="Arial Narrow" w:hAnsi="Arial Narrow"/>
              </w:rPr>
              <w:t>390(9):795-805</w:t>
            </w:r>
          </w:p>
        </w:tc>
      </w:tr>
      <w:tr w:rsidR="004D6884" w:rsidRPr="0098262F" w14:paraId="4ED3B2B3" w14:textId="77777777" w:rsidTr="0050299F">
        <w:trPr>
          <w:cantSplit/>
        </w:trPr>
        <w:tc>
          <w:tcPr>
            <w:tcW w:w="796" w:type="pct"/>
            <w:vMerge/>
            <w:tcBorders>
              <w:top w:val="single" w:sz="4" w:space="0" w:color="auto"/>
            </w:tcBorders>
            <w:vAlign w:val="center"/>
          </w:tcPr>
          <w:p w14:paraId="609F18E3" w14:textId="77777777" w:rsidR="004D6884" w:rsidRPr="0098262F" w:rsidRDefault="004D6884" w:rsidP="00777D20">
            <w:pPr>
              <w:pStyle w:val="TableText0"/>
              <w:keepNext w:val="0"/>
              <w:keepLines w:val="0"/>
              <w:widowControl w:val="0"/>
            </w:pPr>
          </w:p>
        </w:tc>
        <w:tc>
          <w:tcPr>
            <w:tcW w:w="3027" w:type="pct"/>
            <w:tcBorders>
              <w:top w:val="single" w:sz="4" w:space="0" w:color="auto"/>
              <w:bottom w:val="nil"/>
            </w:tcBorders>
          </w:tcPr>
          <w:p w14:paraId="528AB0C1" w14:textId="77777777" w:rsidR="004D6884" w:rsidRPr="004D3555"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Bowlus, CL, </w:t>
            </w:r>
            <w:proofErr w:type="spellStart"/>
            <w:r w:rsidRPr="05042C88">
              <w:rPr>
                <w:rStyle w:val="Small"/>
                <w:rFonts w:ascii="Arial Narrow" w:hAnsi="Arial Narrow"/>
              </w:rPr>
              <w:t>Kowdley</w:t>
            </w:r>
            <w:proofErr w:type="spellEnd"/>
            <w:r w:rsidRPr="05042C88">
              <w:rPr>
                <w:rStyle w:val="Small"/>
                <w:rFonts w:ascii="Arial Narrow" w:hAnsi="Arial Narrow"/>
              </w:rPr>
              <w:t xml:space="preserve">, KV, Levy C, et al. Efficacy and safety of </w:t>
            </w:r>
            <w:proofErr w:type="spellStart"/>
            <w:r w:rsidRPr="05042C88">
              <w:rPr>
                <w:rStyle w:val="Small"/>
                <w:rFonts w:ascii="Arial Narrow" w:hAnsi="Arial Narrow"/>
              </w:rPr>
              <w:t>elafibranor</w:t>
            </w:r>
            <w:proofErr w:type="spellEnd"/>
            <w:r w:rsidRPr="05042C88">
              <w:rPr>
                <w:rStyle w:val="Small"/>
                <w:rFonts w:ascii="Arial Narrow" w:hAnsi="Arial Narrow"/>
              </w:rPr>
              <w:t xml:space="preserve"> in primary biliary cholangitis: results from the ELATIVE</w:t>
            </w:r>
            <w:r w:rsidRPr="05042C88">
              <w:rPr>
                <w:rStyle w:val="Small"/>
                <w:rFonts w:ascii="Arial Narrow" w:hAnsi="Arial Narrow"/>
                <w:vertAlign w:val="superscript"/>
              </w:rPr>
              <w:t>TM</w:t>
            </w:r>
            <w:r w:rsidRPr="05042C88">
              <w:rPr>
                <w:rStyle w:val="Small"/>
                <w:rFonts w:ascii="Arial Narrow" w:hAnsi="Arial Narrow"/>
              </w:rPr>
              <w:t xml:space="preserve"> double-blind, randomized, placebo-controlled phase 3 trial.</w:t>
            </w:r>
          </w:p>
          <w:p w14:paraId="2DABB25B" w14:textId="77777777" w:rsidR="004D6884" w:rsidRPr="004D3555" w:rsidRDefault="004D6884" w:rsidP="00777D20">
            <w:pPr>
              <w:pStyle w:val="TableText0"/>
              <w:keepNext w:val="0"/>
              <w:keepLines w:val="0"/>
              <w:widowControl w:val="0"/>
              <w:rPr>
                <w:rStyle w:val="Small"/>
                <w:rFonts w:ascii="Arial Narrow" w:hAnsi="Arial Narrow"/>
              </w:rPr>
            </w:pPr>
          </w:p>
        </w:tc>
        <w:tc>
          <w:tcPr>
            <w:tcW w:w="1177" w:type="pct"/>
            <w:tcBorders>
              <w:top w:val="single" w:sz="4" w:space="0" w:color="auto"/>
              <w:bottom w:val="nil"/>
            </w:tcBorders>
          </w:tcPr>
          <w:p w14:paraId="2EE62985" w14:textId="77777777" w:rsidR="004D6884" w:rsidRPr="004D3555" w:rsidRDefault="004D6884" w:rsidP="00777D20">
            <w:pPr>
              <w:pStyle w:val="TableText0"/>
              <w:keepNext w:val="0"/>
              <w:keepLines w:val="0"/>
              <w:widowControl w:val="0"/>
            </w:pPr>
            <w:r w:rsidRPr="05042C88">
              <w:rPr>
                <w:rStyle w:val="Small"/>
                <w:rFonts w:ascii="Arial Narrow" w:hAnsi="Arial Narrow"/>
                <w:i/>
                <w:iCs/>
              </w:rPr>
              <w:t>Hepatology</w:t>
            </w:r>
            <w:r w:rsidRPr="05042C88">
              <w:rPr>
                <w:rStyle w:val="Small"/>
                <w:rFonts w:ascii="Arial Narrow" w:hAnsi="Arial Narrow"/>
              </w:rPr>
              <w:t xml:space="preserve"> 2024;79:e40-e42.</w:t>
            </w:r>
          </w:p>
        </w:tc>
      </w:tr>
      <w:tr w:rsidR="004D6884" w:rsidRPr="0098262F" w14:paraId="113BFA1E" w14:textId="77777777" w:rsidTr="05042C88">
        <w:trPr>
          <w:cantSplit/>
        </w:trPr>
        <w:tc>
          <w:tcPr>
            <w:tcW w:w="796" w:type="pct"/>
            <w:vMerge/>
            <w:vAlign w:val="center"/>
          </w:tcPr>
          <w:p w14:paraId="2A7B5FA2"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5A10A530" w14:textId="77777777" w:rsidR="004D6884" w:rsidRPr="004D3555"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Bowlus, C; </w:t>
            </w:r>
            <w:proofErr w:type="spellStart"/>
            <w:r w:rsidRPr="05042C88">
              <w:rPr>
                <w:rStyle w:val="Small"/>
                <w:rFonts w:ascii="Arial Narrow" w:hAnsi="Arial Narrow"/>
              </w:rPr>
              <w:t>Kowdley</w:t>
            </w:r>
            <w:proofErr w:type="spellEnd"/>
            <w:r w:rsidRPr="05042C88">
              <w:rPr>
                <w:rStyle w:val="Small"/>
                <w:rFonts w:ascii="Arial Narrow" w:hAnsi="Arial Narrow"/>
              </w:rPr>
              <w:t xml:space="preserve">, K; Levy C. et al. 5007 | Efficacy and safety of </w:t>
            </w:r>
            <w:proofErr w:type="spellStart"/>
            <w:r w:rsidRPr="05042C88">
              <w:rPr>
                <w:rStyle w:val="Small"/>
                <w:rFonts w:ascii="Arial Narrow" w:hAnsi="Arial Narrow"/>
              </w:rPr>
              <w:t>elafibranor</w:t>
            </w:r>
            <w:proofErr w:type="spellEnd"/>
            <w:r w:rsidRPr="05042C88">
              <w:rPr>
                <w:rStyle w:val="Small"/>
                <w:rFonts w:ascii="Arial Narrow" w:hAnsi="Arial Narrow"/>
              </w:rPr>
              <w:t xml:space="preserve"> in primary biliary cholangitis: Results from the ELATIVE™ double-blind, randomized, placebo-controlled phase 3 trial 2023.</w:t>
            </w:r>
          </w:p>
          <w:p w14:paraId="4B9E0C63" w14:textId="77777777" w:rsidR="004D6884" w:rsidRPr="004D3555"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094E05AA" w14:textId="77777777" w:rsidR="004D6884" w:rsidRPr="004D3555" w:rsidRDefault="004D6884" w:rsidP="00777D20">
            <w:pPr>
              <w:pStyle w:val="TableText0"/>
              <w:keepNext w:val="0"/>
              <w:keepLines w:val="0"/>
              <w:widowControl w:val="0"/>
            </w:pPr>
            <w:r w:rsidRPr="004D3555">
              <w:rPr>
                <w:rStyle w:val="Small"/>
                <w:rFonts w:ascii="Arial Narrow" w:hAnsi="Arial Narrow"/>
              </w:rPr>
              <w:t>AASLD 2023</w:t>
            </w:r>
          </w:p>
        </w:tc>
      </w:tr>
      <w:tr w:rsidR="004D6884" w:rsidRPr="0098262F" w14:paraId="5B6A02B2" w14:textId="77777777" w:rsidTr="05042C88">
        <w:trPr>
          <w:cantSplit/>
        </w:trPr>
        <w:tc>
          <w:tcPr>
            <w:tcW w:w="796" w:type="pct"/>
            <w:vMerge/>
            <w:vAlign w:val="center"/>
          </w:tcPr>
          <w:p w14:paraId="44F6FC95"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5244B5FF" w14:textId="77777777" w:rsidR="004D6884" w:rsidRPr="00AB57B1"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Bowlus CL, Levy C, </w:t>
            </w:r>
            <w:proofErr w:type="spellStart"/>
            <w:r w:rsidRPr="05042C88">
              <w:rPr>
                <w:rStyle w:val="Small"/>
                <w:rFonts w:ascii="Arial Narrow" w:hAnsi="Arial Narrow"/>
              </w:rPr>
              <w:t>Akarca</w:t>
            </w:r>
            <w:proofErr w:type="spellEnd"/>
            <w:r w:rsidRPr="05042C88">
              <w:rPr>
                <w:rStyle w:val="Small"/>
                <w:rFonts w:ascii="Arial Narrow" w:hAnsi="Arial Narrow"/>
              </w:rPr>
              <w:t xml:space="preserve"> U, et al. LBP-006 - Efficacy of </w:t>
            </w:r>
            <w:proofErr w:type="spellStart"/>
            <w:r w:rsidRPr="05042C88">
              <w:rPr>
                <w:rStyle w:val="Small"/>
                <w:rFonts w:ascii="Arial Narrow" w:hAnsi="Arial Narrow"/>
              </w:rPr>
              <w:t>elafibranor</w:t>
            </w:r>
            <w:proofErr w:type="spellEnd"/>
            <w:r w:rsidRPr="05042C88">
              <w:rPr>
                <w:rStyle w:val="Small"/>
                <w:rFonts w:ascii="Arial Narrow" w:hAnsi="Arial Narrow"/>
              </w:rPr>
              <w:t xml:space="preserve"> in primary biliary cholangitis: results from the variable double-blind period of ELATIVE®, a randomised, placebo-controlled phase III trial.</w:t>
            </w:r>
          </w:p>
          <w:p w14:paraId="3106D79F" w14:textId="77777777" w:rsidR="004D6884" w:rsidRPr="00AB57B1"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6E8ABC63" w14:textId="77777777" w:rsidR="004D6884" w:rsidRPr="00AB57B1" w:rsidRDefault="004D6884" w:rsidP="00777D20">
            <w:pPr>
              <w:pStyle w:val="TableText0"/>
              <w:keepNext w:val="0"/>
              <w:keepLines w:val="0"/>
              <w:widowControl w:val="0"/>
            </w:pPr>
            <w:r w:rsidRPr="00AB57B1">
              <w:rPr>
                <w:rStyle w:val="Small"/>
                <w:rFonts w:ascii="Arial Narrow" w:hAnsi="Arial Narrow"/>
              </w:rPr>
              <w:t>EASL International Liver Congress, 2024.</w:t>
            </w:r>
          </w:p>
        </w:tc>
      </w:tr>
      <w:tr w:rsidR="004D6884" w:rsidRPr="0098262F" w14:paraId="52CA3D7A" w14:textId="77777777" w:rsidTr="05042C88">
        <w:trPr>
          <w:cantSplit/>
        </w:trPr>
        <w:tc>
          <w:tcPr>
            <w:tcW w:w="796" w:type="pct"/>
            <w:vMerge/>
            <w:vAlign w:val="center"/>
          </w:tcPr>
          <w:p w14:paraId="0CF653B0"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60F5456D" w14:textId="77777777" w:rsidR="004D6884" w:rsidRPr="00AB57B1"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Kremer AE, Levy C, Mayo MJ, et al. LBP-028 - Effect of </w:t>
            </w:r>
            <w:proofErr w:type="spellStart"/>
            <w:r w:rsidRPr="05042C88">
              <w:rPr>
                <w:rStyle w:val="Small"/>
                <w:rFonts w:ascii="Arial Narrow" w:hAnsi="Arial Narrow"/>
              </w:rPr>
              <w:t>elafibranor</w:t>
            </w:r>
            <w:proofErr w:type="spellEnd"/>
            <w:r w:rsidRPr="05042C88">
              <w:rPr>
                <w:rStyle w:val="Small"/>
                <w:rFonts w:ascii="Arial Narrow" w:hAnsi="Arial Narrow"/>
              </w:rPr>
              <w:t xml:space="preserve"> on pruritus in primary biliary cholangitis: symptom severity and quality of life measurements from the phase III ELATIVE® trial.</w:t>
            </w:r>
          </w:p>
          <w:p w14:paraId="3C75532B" w14:textId="77777777" w:rsidR="004D6884" w:rsidRPr="00AB57B1"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7C047A06" w14:textId="77777777" w:rsidR="004D6884" w:rsidRPr="00AB57B1" w:rsidRDefault="004D6884" w:rsidP="00777D20">
            <w:pPr>
              <w:pStyle w:val="TableText0"/>
              <w:keepNext w:val="0"/>
              <w:keepLines w:val="0"/>
              <w:widowControl w:val="0"/>
            </w:pPr>
            <w:r w:rsidRPr="00AB57B1">
              <w:rPr>
                <w:rStyle w:val="Small"/>
                <w:rFonts w:ascii="Arial Narrow" w:hAnsi="Arial Narrow"/>
              </w:rPr>
              <w:t>EASL International Liver Congress, 2024.</w:t>
            </w:r>
          </w:p>
        </w:tc>
      </w:tr>
      <w:tr w:rsidR="004D6884" w:rsidRPr="0098262F" w14:paraId="7A60BCBC" w14:textId="77777777" w:rsidTr="05042C88">
        <w:trPr>
          <w:cantSplit/>
        </w:trPr>
        <w:tc>
          <w:tcPr>
            <w:tcW w:w="796" w:type="pct"/>
            <w:vMerge/>
            <w:vAlign w:val="center"/>
          </w:tcPr>
          <w:p w14:paraId="33A5508E"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68102C41" w14:textId="77777777" w:rsidR="004D6884" w:rsidRPr="00AB57B1"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Mayo MJ, Pedersen M, Tonev D, et al. THU-105 - Improvement in lipid profiles with </w:t>
            </w:r>
            <w:proofErr w:type="spellStart"/>
            <w:r w:rsidRPr="05042C88">
              <w:rPr>
                <w:rStyle w:val="Small"/>
                <w:rFonts w:ascii="Arial Narrow" w:hAnsi="Arial Narrow"/>
              </w:rPr>
              <w:t>elafibranor</w:t>
            </w:r>
            <w:proofErr w:type="spellEnd"/>
            <w:r w:rsidRPr="05042C88">
              <w:rPr>
                <w:rStyle w:val="Small"/>
                <w:rFonts w:ascii="Arial Narrow" w:hAnsi="Arial Narrow"/>
              </w:rPr>
              <w:t xml:space="preserve"> treatment in primary biliary cholangitis during the phase III Elative® trial.</w:t>
            </w:r>
          </w:p>
          <w:p w14:paraId="4F7E9D31" w14:textId="77777777" w:rsidR="004D6884" w:rsidRPr="00AB57B1"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47614A00" w14:textId="77777777" w:rsidR="004D6884" w:rsidRPr="00AB57B1" w:rsidRDefault="004D6884" w:rsidP="00777D20">
            <w:pPr>
              <w:pStyle w:val="TableText0"/>
              <w:keepNext w:val="0"/>
              <w:keepLines w:val="0"/>
              <w:widowControl w:val="0"/>
            </w:pPr>
            <w:r w:rsidRPr="00AB57B1">
              <w:rPr>
                <w:rStyle w:val="Small"/>
                <w:rFonts w:ascii="Arial Narrow" w:hAnsi="Arial Narrow"/>
              </w:rPr>
              <w:t>EASL International Liver Congress, 2024.</w:t>
            </w:r>
          </w:p>
        </w:tc>
      </w:tr>
      <w:tr w:rsidR="004D6884" w:rsidRPr="0098262F" w14:paraId="4FA7EC38" w14:textId="77777777" w:rsidTr="0050299F">
        <w:trPr>
          <w:cantSplit/>
        </w:trPr>
        <w:tc>
          <w:tcPr>
            <w:tcW w:w="796" w:type="pct"/>
            <w:vMerge/>
            <w:tcBorders>
              <w:bottom w:val="single" w:sz="4" w:space="0" w:color="auto"/>
            </w:tcBorders>
            <w:vAlign w:val="center"/>
          </w:tcPr>
          <w:p w14:paraId="6C357739" w14:textId="77777777" w:rsidR="004D6884" w:rsidRPr="0098262F" w:rsidRDefault="004D6884" w:rsidP="00777D20">
            <w:pPr>
              <w:pStyle w:val="TableText0"/>
              <w:keepNext w:val="0"/>
              <w:keepLines w:val="0"/>
              <w:widowControl w:val="0"/>
            </w:pPr>
          </w:p>
        </w:tc>
        <w:tc>
          <w:tcPr>
            <w:tcW w:w="3027" w:type="pct"/>
            <w:tcBorders>
              <w:top w:val="nil"/>
              <w:bottom w:val="single" w:sz="4" w:space="0" w:color="auto"/>
            </w:tcBorders>
          </w:tcPr>
          <w:p w14:paraId="5A9F610C" w14:textId="2756E712" w:rsidR="004D6884" w:rsidRPr="00AB57B1" w:rsidRDefault="004D6884" w:rsidP="00777D20">
            <w:pPr>
              <w:pStyle w:val="TableText0"/>
              <w:keepNext w:val="0"/>
              <w:keepLines w:val="0"/>
              <w:widowControl w:val="0"/>
              <w:rPr>
                <w:rStyle w:val="Small"/>
                <w:rFonts w:ascii="Arial Narrow" w:hAnsi="Arial Narrow"/>
              </w:rPr>
            </w:pPr>
            <w:r w:rsidRPr="00807FD7">
              <w:rPr>
                <w:rStyle w:val="Small"/>
                <w:rFonts w:ascii="Arial Narrow" w:hAnsi="Arial Narrow"/>
                <w:lang w:val="it-IT"/>
              </w:rPr>
              <w:t xml:space="preserve">Sonderup M, Calvaruso V, Antunes N, et al. </w:t>
            </w:r>
            <w:r w:rsidRPr="00AB57B1">
              <w:rPr>
                <w:rStyle w:val="Small"/>
                <w:rFonts w:ascii="Arial Narrow" w:hAnsi="Arial Narrow"/>
              </w:rPr>
              <w:t xml:space="preserve">OS-016 - </w:t>
            </w:r>
            <w:proofErr w:type="spellStart"/>
            <w:r w:rsidRPr="00AB57B1">
              <w:rPr>
                <w:rStyle w:val="Small"/>
                <w:rFonts w:ascii="Arial Narrow" w:hAnsi="Arial Narrow"/>
              </w:rPr>
              <w:t>Elafibranor</w:t>
            </w:r>
            <w:proofErr w:type="spellEnd"/>
            <w:r w:rsidRPr="00AB57B1">
              <w:rPr>
                <w:rStyle w:val="Small"/>
                <w:rFonts w:ascii="Arial Narrow" w:hAnsi="Arial Narrow"/>
              </w:rPr>
              <w:t xml:space="preserve"> efficacy in primary biliary cholangitis according to biochemical response criteria in the phase III ELATIVE® trial</w:t>
            </w:r>
            <w:r>
              <w:rPr>
                <w:rStyle w:val="Small"/>
                <w:rFonts w:ascii="Arial Narrow" w:hAnsi="Arial Narrow"/>
              </w:rPr>
              <w:t>.</w:t>
            </w:r>
          </w:p>
        </w:tc>
        <w:tc>
          <w:tcPr>
            <w:tcW w:w="1177" w:type="pct"/>
            <w:tcBorders>
              <w:top w:val="nil"/>
              <w:bottom w:val="single" w:sz="4" w:space="0" w:color="auto"/>
            </w:tcBorders>
          </w:tcPr>
          <w:p w14:paraId="2F5AF64E" w14:textId="77777777" w:rsidR="004D6884" w:rsidRPr="00AB57B1" w:rsidRDefault="004D6884" w:rsidP="00777D20">
            <w:pPr>
              <w:pStyle w:val="TableText0"/>
              <w:keepNext w:val="0"/>
              <w:keepLines w:val="0"/>
              <w:widowControl w:val="0"/>
            </w:pPr>
            <w:r w:rsidRPr="00AB57B1">
              <w:rPr>
                <w:rStyle w:val="Small"/>
                <w:rFonts w:ascii="Arial Narrow" w:hAnsi="Arial Narrow"/>
              </w:rPr>
              <w:t>EASL International Liver Congress, 2024.</w:t>
            </w:r>
          </w:p>
        </w:tc>
      </w:tr>
      <w:tr w:rsidR="004D6884" w:rsidRPr="0098262F" w14:paraId="5ACE4D2F" w14:textId="77777777" w:rsidTr="05042C88">
        <w:trPr>
          <w:cantSplit/>
        </w:trPr>
        <w:tc>
          <w:tcPr>
            <w:tcW w:w="796" w:type="pct"/>
            <w:vMerge w:val="restart"/>
          </w:tcPr>
          <w:p w14:paraId="781E1108" w14:textId="77777777" w:rsidR="004D6884" w:rsidRDefault="004D6884" w:rsidP="00777D20">
            <w:pPr>
              <w:pStyle w:val="TableText0"/>
              <w:keepNext w:val="0"/>
              <w:keepLines w:val="0"/>
              <w:widowControl w:val="0"/>
            </w:pPr>
            <w:r>
              <w:t>POISE</w:t>
            </w:r>
          </w:p>
          <w:p w14:paraId="3480674D" w14:textId="77777777" w:rsidR="004D6884" w:rsidRDefault="004D6884" w:rsidP="00777D20">
            <w:pPr>
              <w:pStyle w:val="TableText0"/>
              <w:keepNext w:val="0"/>
              <w:keepLines w:val="0"/>
              <w:widowControl w:val="0"/>
            </w:pPr>
          </w:p>
          <w:p w14:paraId="2C548E2C" w14:textId="77777777" w:rsidR="00BD706C" w:rsidRDefault="00BD706C" w:rsidP="00777D20">
            <w:pPr>
              <w:pStyle w:val="TableText0"/>
              <w:keepNext w:val="0"/>
              <w:keepLines w:val="0"/>
              <w:widowControl w:val="0"/>
              <w:rPr>
                <w:rStyle w:val="Small"/>
                <w:rFonts w:ascii="Arial Narrow" w:hAnsi="Arial Narrow"/>
              </w:rPr>
            </w:pPr>
          </w:p>
          <w:p w14:paraId="3D07D781" w14:textId="28505188" w:rsidR="004D6884" w:rsidRPr="001A3B1F" w:rsidRDefault="004D6884" w:rsidP="00777D20">
            <w:pPr>
              <w:pStyle w:val="TableText0"/>
              <w:keepNext w:val="0"/>
              <w:keepLines w:val="0"/>
              <w:widowControl w:val="0"/>
              <w:rPr>
                <w:rStyle w:val="Small"/>
                <w:rFonts w:ascii="Arial Narrow" w:hAnsi="Arial Narrow"/>
              </w:rPr>
            </w:pPr>
            <w:r w:rsidRPr="001A3B1F">
              <w:rPr>
                <w:rStyle w:val="Small"/>
                <w:rFonts w:ascii="Arial Narrow" w:hAnsi="Arial Narrow"/>
              </w:rPr>
              <w:t>NCT01473524</w:t>
            </w:r>
          </w:p>
          <w:p w14:paraId="70E3443B" w14:textId="77777777" w:rsidR="004D6884" w:rsidRPr="0098262F" w:rsidRDefault="004D6884" w:rsidP="00777D20">
            <w:pPr>
              <w:pStyle w:val="TableText0"/>
              <w:keepNext w:val="0"/>
              <w:keepLines w:val="0"/>
              <w:widowControl w:val="0"/>
            </w:pPr>
          </w:p>
        </w:tc>
        <w:tc>
          <w:tcPr>
            <w:tcW w:w="3027" w:type="pct"/>
            <w:tcBorders>
              <w:bottom w:val="nil"/>
            </w:tcBorders>
          </w:tcPr>
          <w:p w14:paraId="59BD7981" w14:textId="01E17DC5" w:rsidR="004D6884" w:rsidRPr="003D3BBB" w:rsidRDefault="004D6884" w:rsidP="00777D20">
            <w:pPr>
              <w:pStyle w:val="TableText0"/>
              <w:keepNext w:val="0"/>
              <w:keepLines w:val="0"/>
              <w:widowControl w:val="0"/>
            </w:pPr>
            <w:r w:rsidRPr="003D3BBB">
              <w:rPr>
                <w:rStyle w:val="Small"/>
                <w:rFonts w:ascii="Arial Narrow" w:hAnsi="Arial Narrow"/>
              </w:rPr>
              <w:t xml:space="preserve">Nevens F, Andreone P, Mazzella G, </w:t>
            </w:r>
            <w:r w:rsidR="00BD706C">
              <w:rPr>
                <w:rStyle w:val="Small"/>
                <w:rFonts w:ascii="Arial Narrow" w:hAnsi="Arial Narrow"/>
              </w:rPr>
              <w:t>e</w:t>
            </w:r>
            <w:r w:rsidR="00BD706C">
              <w:rPr>
                <w:rStyle w:val="Small"/>
              </w:rPr>
              <w:t xml:space="preserve">t al. </w:t>
            </w:r>
            <w:r w:rsidRPr="003D3BBB">
              <w:rPr>
                <w:rStyle w:val="Small"/>
                <w:rFonts w:ascii="Arial Narrow" w:hAnsi="Arial Narrow"/>
              </w:rPr>
              <w:t xml:space="preserve">POISE Study Group. A Placebo-Controlled Trial of </w:t>
            </w:r>
            <w:proofErr w:type="spellStart"/>
            <w:r w:rsidRPr="003D3BBB">
              <w:rPr>
                <w:rStyle w:val="Small"/>
                <w:rFonts w:ascii="Arial Narrow" w:hAnsi="Arial Narrow"/>
              </w:rPr>
              <w:t>Obeticholic</w:t>
            </w:r>
            <w:proofErr w:type="spellEnd"/>
            <w:r w:rsidRPr="003D3BBB">
              <w:rPr>
                <w:rStyle w:val="Small"/>
                <w:rFonts w:ascii="Arial Narrow" w:hAnsi="Arial Narrow"/>
              </w:rPr>
              <w:t xml:space="preserve"> Acid in Primary Biliary Cholangitis. </w:t>
            </w:r>
          </w:p>
        </w:tc>
        <w:tc>
          <w:tcPr>
            <w:tcW w:w="1177" w:type="pct"/>
            <w:tcBorders>
              <w:bottom w:val="nil"/>
            </w:tcBorders>
          </w:tcPr>
          <w:p w14:paraId="54EB1D42" w14:textId="77777777" w:rsidR="004D6884" w:rsidRPr="003D3BBB" w:rsidRDefault="004D6884" w:rsidP="00777D20">
            <w:pPr>
              <w:pStyle w:val="TableText0"/>
              <w:keepNext w:val="0"/>
              <w:keepLines w:val="0"/>
              <w:widowControl w:val="0"/>
            </w:pPr>
            <w:r w:rsidRPr="003D3BBB">
              <w:rPr>
                <w:rStyle w:val="Small"/>
                <w:rFonts w:ascii="Arial Narrow" w:hAnsi="Arial Narrow"/>
                <w:i/>
                <w:iCs/>
              </w:rPr>
              <w:t>NEJM</w:t>
            </w:r>
            <w:r w:rsidRPr="003D3BBB">
              <w:rPr>
                <w:rStyle w:val="Small"/>
                <w:rFonts w:ascii="Arial Narrow" w:hAnsi="Arial Narrow"/>
              </w:rPr>
              <w:t xml:space="preserve"> 2016;</w:t>
            </w:r>
            <w:r>
              <w:rPr>
                <w:rStyle w:val="Small"/>
                <w:rFonts w:ascii="Arial Narrow" w:hAnsi="Arial Narrow"/>
              </w:rPr>
              <w:t xml:space="preserve"> </w:t>
            </w:r>
            <w:r w:rsidRPr="003D3BBB">
              <w:rPr>
                <w:rStyle w:val="Small"/>
                <w:rFonts w:ascii="Arial Narrow" w:hAnsi="Arial Narrow"/>
              </w:rPr>
              <w:t>375(7):631-43.</w:t>
            </w:r>
          </w:p>
        </w:tc>
      </w:tr>
      <w:tr w:rsidR="004D6884" w:rsidRPr="0098262F" w14:paraId="275A176A" w14:textId="77777777" w:rsidTr="05042C88">
        <w:trPr>
          <w:cantSplit/>
        </w:trPr>
        <w:tc>
          <w:tcPr>
            <w:tcW w:w="796" w:type="pct"/>
            <w:vMerge/>
            <w:vAlign w:val="center"/>
          </w:tcPr>
          <w:p w14:paraId="3773E69B"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5D9F0317" w14:textId="77777777" w:rsidR="00BD706C" w:rsidRPr="00807FD7" w:rsidRDefault="00BD706C" w:rsidP="00777D20">
            <w:pPr>
              <w:pStyle w:val="TableText0"/>
              <w:keepNext w:val="0"/>
              <w:keepLines w:val="0"/>
              <w:widowControl w:val="0"/>
              <w:rPr>
                <w:rStyle w:val="Small"/>
                <w:rFonts w:ascii="Arial Narrow" w:hAnsi="Arial Narrow"/>
                <w:lang w:val="it-IT"/>
              </w:rPr>
            </w:pPr>
          </w:p>
          <w:p w14:paraId="74629CAD" w14:textId="74042226" w:rsidR="004D6884" w:rsidRPr="003D3BBB" w:rsidRDefault="004D6884" w:rsidP="00777D20">
            <w:pPr>
              <w:pStyle w:val="TableText0"/>
              <w:keepNext w:val="0"/>
              <w:keepLines w:val="0"/>
              <w:widowControl w:val="0"/>
              <w:rPr>
                <w:rStyle w:val="Small"/>
                <w:rFonts w:ascii="Arial Narrow" w:hAnsi="Arial Narrow"/>
              </w:rPr>
            </w:pPr>
            <w:r w:rsidRPr="00807FD7">
              <w:rPr>
                <w:rStyle w:val="Small"/>
                <w:rFonts w:ascii="Arial Narrow" w:hAnsi="Arial Narrow"/>
                <w:lang w:val="it-IT"/>
              </w:rPr>
              <w:t xml:space="preserve">Andreone P, Floreani A, Invernizzi P, et al. </w:t>
            </w:r>
            <w:r w:rsidRPr="003D3BBB">
              <w:rPr>
                <w:rStyle w:val="Small"/>
                <w:rFonts w:ascii="Arial Narrow" w:hAnsi="Arial Narrow"/>
              </w:rPr>
              <w:t xml:space="preserve">Durable response in the markers of cholestasis through 24 months of open-label extension with </w:t>
            </w:r>
            <w:proofErr w:type="spellStart"/>
            <w:r w:rsidRPr="003D3BBB">
              <w:rPr>
                <w:rStyle w:val="Small"/>
                <w:rFonts w:ascii="Arial Narrow" w:hAnsi="Arial Narrow"/>
              </w:rPr>
              <w:t>obeticholic</w:t>
            </w:r>
            <w:proofErr w:type="spellEnd"/>
            <w:r w:rsidRPr="003D3BBB">
              <w:rPr>
                <w:rStyle w:val="Small"/>
                <w:rFonts w:ascii="Arial Narrow" w:hAnsi="Arial Narrow"/>
              </w:rPr>
              <w:t xml:space="preserve"> acid in Italian patients with primary biliary cholangitis. </w:t>
            </w:r>
          </w:p>
          <w:p w14:paraId="062186EC" w14:textId="77777777" w:rsidR="004D6884" w:rsidRPr="003D3BBB" w:rsidRDefault="004D6884" w:rsidP="00777D20">
            <w:pPr>
              <w:pStyle w:val="TableText0"/>
              <w:keepNext w:val="0"/>
              <w:keepLines w:val="0"/>
              <w:widowControl w:val="0"/>
            </w:pPr>
          </w:p>
        </w:tc>
        <w:tc>
          <w:tcPr>
            <w:tcW w:w="1177" w:type="pct"/>
            <w:tcBorders>
              <w:top w:val="nil"/>
              <w:bottom w:val="nil"/>
            </w:tcBorders>
          </w:tcPr>
          <w:p w14:paraId="2F3DE519" w14:textId="77777777" w:rsidR="00BD706C" w:rsidRDefault="00BD706C" w:rsidP="00777D20">
            <w:pPr>
              <w:pStyle w:val="TableText0"/>
              <w:keepNext w:val="0"/>
              <w:keepLines w:val="0"/>
              <w:widowControl w:val="0"/>
              <w:rPr>
                <w:rStyle w:val="Small"/>
                <w:rFonts w:ascii="Arial Narrow" w:hAnsi="Arial Narrow"/>
                <w:i/>
                <w:iCs/>
              </w:rPr>
            </w:pPr>
          </w:p>
          <w:p w14:paraId="4F41B8C4" w14:textId="3A1769AD" w:rsidR="004D6884" w:rsidRPr="003D3BBB" w:rsidRDefault="004D6884" w:rsidP="00777D20">
            <w:pPr>
              <w:pStyle w:val="TableText0"/>
              <w:keepNext w:val="0"/>
              <w:keepLines w:val="0"/>
              <w:widowControl w:val="0"/>
            </w:pPr>
            <w:r w:rsidRPr="05042C88">
              <w:rPr>
                <w:rStyle w:val="Small"/>
                <w:rFonts w:ascii="Arial Narrow" w:hAnsi="Arial Narrow"/>
                <w:i/>
                <w:iCs/>
              </w:rPr>
              <w:t>Digestive and liver disease</w:t>
            </w:r>
            <w:r w:rsidRPr="05042C88">
              <w:rPr>
                <w:rStyle w:val="Small"/>
                <w:rFonts w:ascii="Arial Narrow" w:hAnsi="Arial Narrow"/>
              </w:rPr>
              <w:t xml:space="preserve"> 2017;49:e21.</w:t>
            </w:r>
          </w:p>
        </w:tc>
      </w:tr>
      <w:tr w:rsidR="004D6884" w:rsidRPr="0098262F" w14:paraId="5AB0073C" w14:textId="77777777" w:rsidTr="05042C88">
        <w:trPr>
          <w:cantSplit/>
        </w:trPr>
        <w:tc>
          <w:tcPr>
            <w:tcW w:w="796" w:type="pct"/>
            <w:vMerge/>
            <w:vAlign w:val="center"/>
          </w:tcPr>
          <w:p w14:paraId="4640F9AD"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45B73638" w14:textId="77777777" w:rsidR="004D6884" w:rsidRPr="003D3BBB" w:rsidRDefault="004D6884" w:rsidP="00777D20">
            <w:pPr>
              <w:pStyle w:val="TableText0"/>
              <w:keepNext w:val="0"/>
              <w:keepLines w:val="0"/>
              <w:widowControl w:val="0"/>
              <w:rPr>
                <w:rStyle w:val="Small"/>
                <w:rFonts w:ascii="Arial Narrow" w:hAnsi="Arial Narrow"/>
              </w:rPr>
            </w:pPr>
            <w:r w:rsidRPr="00807FD7">
              <w:rPr>
                <w:rStyle w:val="Small"/>
                <w:rFonts w:ascii="Arial Narrow" w:hAnsi="Arial Narrow"/>
                <w:lang w:val="it-IT"/>
              </w:rPr>
              <w:t xml:space="preserve">Andreone P, Floreani A, Invernizzi P, et al. </w:t>
            </w:r>
            <w:r w:rsidRPr="003D3BBB">
              <w:rPr>
                <w:rStyle w:val="Small"/>
                <w:rFonts w:ascii="Arial Narrow" w:hAnsi="Arial Narrow"/>
              </w:rPr>
              <w:t xml:space="preserve">Durable response in the markers of cholestasis through 36 months of open-label extension with </w:t>
            </w:r>
            <w:proofErr w:type="spellStart"/>
            <w:r w:rsidRPr="003D3BBB">
              <w:rPr>
                <w:rStyle w:val="Small"/>
                <w:rFonts w:ascii="Arial Narrow" w:hAnsi="Arial Narrow"/>
              </w:rPr>
              <w:t>obeticholic</w:t>
            </w:r>
            <w:proofErr w:type="spellEnd"/>
            <w:r w:rsidRPr="003D3BBB">
              <w:rPr>
                <w:rStyle w:val="Small"/>
                <w:rFonts w:ascii="Arial Narrow" w:hAnsi="Arial Narrow"/>
              </w:rPr>
              <w:t xml:space="preserve"> acid in Italian patients with primary biliary cholangitis. </w:t>
            </w:r>
          </w:p>
          <w:p w14:paraId="20A7CA0D" w14:textId="77777777" w:rsidR="004D6884" w:rsidRPr="003D3BBB" w:rsidRDefault="004D6884" w:rsidP="00777D20">
            <w:pPr>
              <w:pStyle w:val="TableText0"/>
              <w:keepNext w:val="0"/>
              <w:keepLines w:val="0"/>
              <w:widowControl w:val="0"/>
            </w:pPr>
          </w:p>
        </w:tc>
        <w:tc>
          <w:tcPr>
            <w:tcW w:w="1177" w:type="pct"/>
            <w:tcBorders>
              <w:top w:val="nil"/>
              <w:bottom w:val="nil"/>
            </w:tcBorders>
          </w:tcPr>
          <w:p w14:paraId="5FFF280B" w14:textId="77777777" w:rsidR="004D6884" w:rsidRPr="003D3BBB" w:rsidRDefault="004D6884" w:rsidP="00777D20">
            <w:pPr>
              <w:pStyle w:val="TableText0"/>
              <w:keepNext w:val="0"/>
              <w:keepLines w:val="0"/>
              <w:widowControl w:val="0"/>
            </w:pPr>
            <w:r w:rsidRPr="05042C88">
              <w:rPr>
                <w:rStyle w:val="Small"/>
                <w:rFonts w:ascii="Arial Narrow" w:hAnsi="Arial Narrow"/>
                <w:i/>
                <w:iCs/>
              </w:rPr>
              <w:t>Digestive and liver disease</w:t>
            </w:r>
            <w:r w:rsidRPr="05042C88">
              <w:rPr>
                <w:rStyle w:val="Small"/>
                <w:rFonts w:ascii="Arial Narrow" w:hAnsi="Arial Narrow"/>
              </w:rPr>
              <w:t xml:space="preserve"> 2018;50:26.</w:t>
            </w:r>
          </w:p>
        </w:tc>
      </w:tr>
      <w:tr w:rsidR="004D6884" w:rsidRPr="00807FD7" w14:paraId="7E5646DE" w14:textId="77777777" w:rsidTr="05042C88">
        <w:trPr>
          <w:cantSplit/>
        </w:trPr>
        <w:tc>
          <w:tcPr>
            <w:tcW w:w="796" w:type="pct"/>
            <w:vMerge/>
            <w:vAlign w:val="center"/>
          </w:tcPr>
          <w:p w14:paraId="2E126F73"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144A62C6" w14:textId="77777777" w:rsidR="004D6884" w:rsidRPr="003D3BBB" w:rsidRDefault="004D6884" w:rsidP="00777D20">
            <w:pPr>
              <w:pStyle w:val="TableText0"/>
              <w:keepNext w:val="0"/>
              <w:keepLines w:val="0"/>
              <w:widowControl w:val="0"/>
              <w:rPr>
                <w:rStyle w:val="Small"/>
                <w:rFonts w:ascii="Arial Narrow" w:hAnsi="Arial Narrow"/>
              </w:rPr>
            </w:pPr>
            <w:r w:rsidRPr="003D3BBB">
              <w:rPr>
                <w:rStyle w:val="Small"/>
                <w:rFonts w:ascii="Arial Narrow" w:hAnsi="Arial Narrow"/>
              </w:rPr>
              <w:t xml:space="preserve">Bowlus C, Trauner M, Liberman A, et al. Long-Term Efficacy and Safety of </w:t>
            </w:r>
            <w:proofErr w:type="spellStart"/>
            <w:r w:rsidRPr="003D3BBB">
              <w:rPr>
                <w:rStyle w:val="Small"/>
                <w:rFonts w:ascii="Arial Narrow" w:hAnsi="Arial Narrow"/>
              </w:rPr>
              <w:t>Obeticholic</w:t>
            </w:r>
            <w:proofErr w:type="spellEnd"/>
            <w:r w:rsidRPr="003D3BBB">
              <w:rPr>
                <w:rStyle w:val="Small"/>
                <w:rFonts w:ascii="Arial Narrow" w:hAnsi="Arial Narrow"/>
              </w:rPr>
              <w:t xml:space="preserve"> Acid in Patients with PBC from POISE Grouped by Risk of Disease Progression. </w:t>
            </w:r>
          </w:p>
          <w:p w14:paraId="04BC1129" w14:textId="77777777" w:rsidR="004D6884" w:rsidRPr="003D3BBB" w:rsidRDefault="004D6884" w:rsidP="00777D20">
            <w:pPr>
              <w:pStyle w:val="TableText0"/>
              <w:keepNext w:val="0"/>
              <w:keepLines w:val="0"/>
              <w:widowControl w:val="0"/>
            </w:pPr>
          </w:p>
        </w:tc>
        <w:tc>
          <w:tcPr>
            <w:tcW w:w="1177" w:type="pct"/>
            <w:tcBorders>
              <w:top w:val="nil"/>
              <w:bottom w:val="nil"/>
            </w:tcBorders>
          </w:tcPr>
          <w:p w14:paraId="3DEB1375" w14:textId="77777777" w:rsidR="004D6884" w:rsidRPr="00807FD7" w:rsidRDefault="004D6884" w:rsidP="00777D20">
            <w:pPr>
              <w:pStyle w:val="TableText0"/>
              <w:keepNext w:val="0"/>
              <w:keepLines w:val="0"/>
              <w:widowControl w:val="0"/>
              <w:rPr>
                <w:lang w:val="it-IT"/>
              </w:rPr>
            </w:pPr>
            <w:r w:rsidRPr="00807FD7">
              <w:rPr>
                <w:rStyle w:val="Small"/>
                <w:rFonts w:ascii="Arial Narrow" w:hAnsi="Arial Narrow"/>
                <w:i/>
                <w:iCs/>
                <w:lang w:val="it-IT"/>
              </w:rPr>
              <w:t>Zeitschrift fur Gastroenterologie</w:t>
            </w:r>
            <w:r w:rsidRPr="00807FD7">
              <w:rPr>
                <w:rStyle w:val="Small"/>
                <w:rFonts w:ascii="Arial Narrow" w:hAnsi="Arial Narrow"/>
                <w:lang w:val="it-IT"/>
              </w:rPr>
              <w:t xml:space="preserve"> 2021;59(1):e14-e15.</w:t>
            </w:r>
          </w:p>
        </w:tc>
      </w:tr>
      <w:tr w:rsidR="004D6884" w:rsidRPr="0098262F" w14:paraId="11082BC4" w14:textId="77777777" w:rsidTr="05042C88">
        <w:trPr>
          <w:cantSplit/>
        </w:trPr>
        <w:tc>
          <w:tcPr>
            <w:tcW w:w="796" w:type="pct"/>
            <w:vMerge/>
            <w:vAlign w:val="center"/>
          </w:tcPr>
          <w:p w14:paraId="4EE9AAE8" w14:textId="77777777" w:rsidR="004D6884" w:rsidRPr="00807FD7" w:rsidRDefault="004D6884" w:rsidP="00777D20">
            <w:pPr>
              <w:pStyle w:val="TableText0"/>
              <w:keepNext w:val="0"/>
              <w:keepLines w:val="0"/>
              <w:widowControl w:val="0"/>
              <w:rPr>
                <w:lang w:val="it-IT"/>
              </w:rPr>
            </w:pPr>
          </w:p>
        </w:tc>
        <w:tc>
          <w:tcPr>
            <w:tcW w:w="3027" w:type="pct"/>
            <w:tcBorders>
              <w:top w:val="nil"/>
              <w:bottom w:val="nil"/>
            </w:tcBorders>
          </w:tcPr>
          <w:p w14:paraId="754E74A6"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Bowlus CL, </w:t>
            </w:r>
            <w:proofErr w:type="spellStart"/>
            <w:r w:rsidRPr="05042C88">
              <w:rPr>
                <w:rStyle w:val="Small"/>
                <w:rFonts w:ascii="Arial Narrow" w:hAnsi="Arial Narrow"/>
              </w:rPr>
              <w:t>Pockros</w:t>
            </w:r>
            <w:proofErr w:type="spellEnd"/>
            <w:r w:rsidRPr="05042C88">
              <w:rPr>
                <w:rStyle w:val="Small"/>
                <w:rFonts w:ascii="Arial Narrow" w:hAnsi="Arial Narrow"/>
              </w:rPr>
              <w:t xml:space="preserve"> PJ, Kremer AE, et al. Three years of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(OCA) Therapy Results in Histological Improvements in Patients with Primary Biliary Cholangitis: further Analysis of the POISE Biopsy </w:t>
            </w:r>
            <w:proofErr w:type="spellStart"/>
            <w:r w:rsidRPr="05042C88">
              <w:rPr>
                <w:rStyle w:val="Small"/>
                <w:rFonts w:ascii="Arial Narrow" w:hAnsi="Arial Narrow"/>
              </w:rPr>
              <w:t>Substudy</w:t>
            </w:r>
            <w:proofErr w:type="spellEnd"/>
            <w:r w:rsidRPr="05042C88">
              <w:rPr>
                <w:rStyle w:val="Small"/>
                <w:rFonts w:ascii="Arial Narrow" w:hAnsi="Arial Narrow"/>
              </w:rPr>
              <w:t xml:space="preserve">. </w:t>
            </w:r>
          </w:p>
          <w:p w14:paraId="5DDDF37F" w14:textId="77777777" w:rsidR="004D6884" w:rsidRPr="003D3BBB" w:rsidRDefault="004D6884" w:rsidP="00777D20">
            <w:pPr>
              <w:pStyle w:val="TableText0"/>
              <w:keepNext w:val="0"/>
              <w:keepLines w:val="0"/>
              <w:widowControl w:val="0"/>
            </w:pPr>
          </w:p>
        </w:tc>
        <w:tc>
          <w:tcPr>
            <w:tcW w:w="1177" w:type="pct"/>
            <w:tcBorders>
              <w:top w:val="nil"/>
              <w:bottom w:val="nil"/>
            </w:tcBorders>
          </w:tcPr>
          <w:p w14:paraId="26D33E42" w14:textId="77777777" w:rsidR="004D6884" w:rsidRPr="003D3BBB" w:rsidRDefault="004D6884" w:rsidP="00777D20">
            <w:pPr>
              <w:pStyle w:val="TableText0"/>
              <w:keepNext w:val="0"/>
              <w:keepLines w:val="0"/>
              <w:widowControl w:val="0"/>
            </w:pPr>
            <w:proofErr w:type="spellStart"/>
            <w:r w:rsidRPr="05042C88">
              <w:rPr>
                <w:rStyle w:val="Small"/>
                <w:rFonts w:ascii="Arial Narrow" w:hAnsi="Arial Narrow"/>
                <w:i/>
                <w:iCs/>
              </w:rPr>
              <w:t>Zeitschrift</w:t>
            </w:r>
            <w:proofErr w:type="spellEnd"/>
            <w:r w:rsidRPr="05042C88">
              <w:rPr>
                <w:rStyle w:val="Small"/>
                <w:rFonts w:ascii="Arial Narrow" w:hAnsi="Arial Narrow"/>
                <w:i/>
                <w:iCs/>
              </w:rPr>
              <w:t xml:space="preserve"> fur </w:t>
            </w:r>
            <w:proofErr w:type="spellStart"/>
            <w:r w:rsidRPr="05042C88">
              <w:rPr>
                <w:rStyle w:val="Small"/>
                <w:rFonts w:ascii="Arial Narrow" w:hAnsi="Arial Narrow"/>
                <w:i/>
                <w:iCs/>
              </w:rPr>
              <w:t>Gastroenterologie</w:t>
            </w:r>
            <w:proofErr w:type="spellEnd"/>
            <w:r w:rsidRPr="05042C88">
              <w:rPr>
                <w:rStyle w:val="Small"/>
                <w:rFonts w:ascii="Arial Narrow" w:hAnsi="Arial Narrow"/>
              </w:rPr>
              <w:t xml:space="preserve"> 2019;57:e9.</w:t>
            </w:r>
          </w:p>
        </w:tc>
      </w:tr>
      <w:tr w:rsidR="004D6884" w:rsidRPr="0098262F" w14:paraId="165C20BE" w14:textId="77777777" w:rsidTr="0050299F">
        <w:trPr>
          <w:cantSplit/>
        </w:trPr>
        <w:tc>
          <w:tcPr>
            <w:tcW w:w="796" w:type="pct"/>
            <w:vMerge/>
            <w:tcBorders>
              <w:bottom w:val="single" w:sz="4" w:space="0" w:color="auto"/>
            </w:tcBorders>
            <w:vAlign w:val="center"/>
          </w:tcPr>
          <w:p w14:paraId="0183C41E" w14:textId="77777777" w:rsidR="004D6884" w:rsidRPr="0098262F" w:rsidRDefault="004D6884" w:rsidP="00777D20">
            <w:pPr>
              <w:pStyle w:val="TableText0"/>
              <w:keepNext w:val="0"/>
              <w:keepLines w:val="0"/>
              <w:widowControl w:val="0"/>
            </w:pPr>
          </w:p>
        </w:tc>
        <w:tc>
          <w:tcPr>
            <w:tcW w:w="3027" w:type="pct"/>
            <w:tcBorders>
              <w:top w:val="nil"/>
              <w:bottom w:val="single" w:sz="4" w:space="0" w:color="auto"/>
            </w:tcBorders>
          </w:tcPr>
          <w:p w14:paraId="37075212"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Bowlus CL, </w:t>
            </w:r>
            <w:proofErr w:type="spellStart"/>
            <w:r w:rsidRPr="05042C88">
              <w:rPr>
                <w:rStyle w:val="Small"/>
                <w:rFonts w:ascii="Arial Narrow" w:hAnsi="Arial Narrow"/>
              </w:rPr>
              <w:t>Pockros</w:t>
            </w:r>
            <w:proofErr w:type="spellEnd"/>
            <w:r w:rsidRPr="05042C88">
              <w:rPr>
                <w:rStyle w:val="Small"/>
                <w:rFonts w:ascii="Arial Narrow" w:hAnsi="Arial Narrow"/>
              </w:rPr>
              <w:t xml:space="preserve"> PJ, Kremer AE, et al. Long-Term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Therapy Improves Histological Endpoints in Patients With Primary Biliary Cholangitis. </w:t>
            </w:r>
          </w:p>
          <w:p w14:paraId="2EE44599" w14:textId="77777777" w:rsidR="004D6884" w:rsidRPr="003D3BBB" w:rsidRDefault="004D6884" w:rsidP="00777D20">
            <w:pPr>
              <w:pStyle w:val="TableText0"/>
              <w:keepNext w:val="0"/>
              <w:keepLines w:val="0"/>
              <w:widowControl w:val="0"/>
            </w:pPr>
          </w:p>
        </w:tc>
        <w:tc>
          <w:tcPr>
            <w:tcW w:w="1177" w:type="pct"/>
            <w:tcBorders>
              <w:top w:val="nil"/>
              <w:bottom w:val="single" w:sz="4" w:space="0" w:color="auto"/>
            </w:tcBorders>
          </w:tcPr>
          <w:p w14:paraId="064EC159" w14:textId="77777777" w:rsidR="004D6884" w:rsidRPr="003D3BBB" w:rsidRDefault="004D6884" w:rsidP="00777D20">
            <w:pPr>
              <w:pStyle w:val="TableText0"/>
              <w:keepNext w:val="0"/>
              <w:keepLines w:val="0"/>
              <w:widowControl w:val="0"/>
            </w:pPr>
            <w:r w:rsidRPr="05042C88">
              <w:rPr>
                <w:rStyle w:val="Small"/>
                <w:rFonts w:ascii="Arial Narrow" w:hAnsi="Arial Narrow"/>
                <w:i/>
                <w:iCs/>
              </w:rPr>
              <w:t>Clinical gastroenterology and hepatology</w:t>
            </w:r>
            <w:r w:rsidRPr="05042C88">
              <w:rPr>
                <w:rStyle w:val="Small"/>
                <w:rFonts w:ascii="Arial Narrow" w:hAnsi="Arial Narrow"/>
              </w:rPr>
              <w:t xml:space="preserve"> 2020;18:1170</w:t>
            </w:r>
            <w:r w:rsidRPr="05042C88">
              <w:rPr>
                <w:rStyle w:val="Small"/>
                <w:rFonts w:ascii="Cambria Math" w:hAnsi="Cambria Math" w:cs="Cambria Math"/>
              </w:rPr>
              <w:t>‐</w:t>
            </w:r>
            <w:r w:rsidRPr="05042C88">
              <w:rPr>
                <w:rStyle w:val="Small"/>
                <w:rFonts w:ascii="Arial Narrow" w:hAnsi="Arial Narrow"/>
              </w:rPr>
              <w:t>1178.e6.</w:t>
            </w:r>
          </w:p>
        </w:tc>
      </w:tr>
      <w:tr w:rsidR="004D6884" w:rsidRPr="0098262F" w14:paraId="4482BB38" w14:textId="77777777" w:rsidTr="0050299F">
        <w:trPr>
          <w:cantSplit/>
        </w:trPr>
        <w:tc>
          <w:tcPr>
            <w:tcW w:w="796" w:type="pct"/>
            <w:vMerge/>
            <w:tcBorders>
              <w:top w:val="single" w:sz="4" w:space="0" w:color="auto"/>
            </w:tcBorders>
            <w:vAlign w:val="center"/>
          </w:tcPr>
          <w:p w14:paraId="6760CF58" w14:textId="77777777" w:rsidR="004D6884" w:rsidRPr="0098262F" w:rsidRDefault="004D6884" w:rsidP="00777D20">
            <w:pPr>
              <w:pStyle w:val="TableText0"/>
              <w:keepNext w:val="0"/>
              <w:keepLines w:val="0"/>
              <w:widowControl w:val="0"/>
            </w:pPr>
          </w:p>
        </w:tc>
        <w:tc>
          <w:tcPr>
            <w:tcW w:w="3027" w:type="pct"/>
            <w:tcBorders>
              <w:top w:val="single" w:sz="4" w:space="0" w:color="auto"/>
              <w:bottom w:val="nil"/>
            </w:tcBorders>
          </w:tcPr>
          <w:p w14:paraId="07FF5743" w14:textId="77777777" w:rsidR="004D6884"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Bowlus CL, Trauner M, Liberman A, et al. Long-term efficacy and safety of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in patients with PBC from the POISE trial grouped biochemically by risk of disease progression.</w:t>
            </w:r>
          </w:p>
          <w:p w14:paraId="69C35538" w14:textId="77777777" w:rsidR="004D6884" w:rsidRPr="003D3BBB" w:rsidRDefault="004D6884" w:rsidP="00777D20">
            <w:pPr>
              <w:pStyle w:val="TableText0"/>
              <w:keepNext w:val="0"/>
              <w:keepLines w:val="0"/>
              <w:widowControl w:val="0"/>
            </w:pPr>
          </w:p>
        </w:tc>
        <w:tc>
          <w:tcPr>
            <w:tcW w:w="1177" w:type="pct"/>
            <w:tcBorders>
              <w:top w:val="single" w:sz="4" w:space="0" w:color="auto"/>
              <w:bottom w:val="nil"/>
            </w:tcBorders>
          </w:tcPr>
          <w:p w14:paraId="05A921CF" w14:textId="77777777" w:rsidR="004D6884" w:rsidRPr="003D3BBB" w:rsidRDefault="004D6884" w:rsidP="00777D20">
            <w:pPr>
              <w:pStyle w:val="TableText0"/>
              <w:keepNext w:val="0"/>
              <w:keepLines w:val="0"/>
              <w:widowControl w:val="0"/>
            </w:pPr>
            <w:r w:rsidRPr="004946EB">
              <w:rPr>
                <w:rStyle w:val="Small"/>
                <w:rFonts w:ascii="Arial Narrow" w:hAnsi="Arial Narrow"/>
                <w:i/>
                <w:iCs/>
              </w:rPr>
              <w:t>Digestive and Liver Disease</w:t>
            </w:r>
            <w:r w:rsidRPr="003D3BBB">
              <w:rPr>
                <w:rStyle w:val="Small"/>
                <w:rFonts w:ascii="Arial Narrow" w:hAnsi="Arial Narrow"/>
              </w:rPr>
              <w:t xml:space="preserve"> 2021;53(Supplement 1):</w:t>
            </w:r>
            <w:r>
              <w:rPr>
                <w:rStyle w:val="Small"/>
                <w:rFonts w:ascii="Arial Narrow" w:hAnsi="Arial Narrow"/>
              </w:rPr>
              <w:t xml:space="preserve"> </w:t>
            </w:r>
            <w:r w:rsidRPr="003D3BBB">
              <w:rPr>
                <w:rStyle w:val="Small"/>
                <w:rFonts w:ascii="Arial Narrow" w:hAnsi="Arial Narrow"/>
              </w:rPr>
              <w:t>S18.</w:t>
            </w:r>
          </w:p>
        </w:tc>
      </w:tr>
      <w:tr w:rsidR="004D6884" w:rsidRPr="0098262F" w14:paraId="1DF448FC" w14:textId="77777777" w:rsidTr="05042C88">
        <w:trPr>
          <w:cantSplit/>
        </w:trPr>
        <w:tc>
          <w:tcPr>
            <w:tcW w:w="796" w:type="pct"/>
            <w:vMerge/>
            <w:vAlign w:val="center"/>
          </w:tcPr>
          <w:p w14:paraId="665535F3"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6E03869D" w14:textId="77777777" w:rsidR="004D6884" w:rsidRPr="003D3BBB" w:rsidRDefault="004D6884" w:rsidP="00777D20">
            <w:pPr>
              <w:pStyle w:val="TableText0"/>
              <w:keepNext w:val="0"/>
              <w:keepLines w:val="0"/>
              <w:widowControl w:val="0"/>
              <w:rPr>
                <w:rStyle w:val="Small"/>
                <w:rFonts w:ascii="Arial Narrow" w:hAnsi="Arial Narrow"/>
              </w:rPr>
            </w:pPr>
            <w:r w:rsidRPr="003D3BBB">
              <w:rPr>
                <w:rStyle w:val="Small"/>
                <w:rFonts w:ascii="Arial Narrow" w:hAnsi="Arial Narrow"/>
              </w:rPr>
              <w:t xml:space="preserve">Carbone M, Harms MH, Lammers WJ, et al. Clinical application of the GLOBE and United Kingdom-primary biliary cholangitis risk scores in a trial cohort of patients with primary biliary cholangitis. </w:t>
            </w:r>
          </w:p>
          <w:p w14:paraId="18501EFD" w14:textId="77777777" w:rsidR="004D6884" w:rsidRPr="003D3BBB" w:rsidRDefault="004D6884" w:rsidP="00777D20">
            <w:pPr>
              <w:pStyle w:val="TableText0"/>
              <w:keepNext w:val="0"/>
              <w:keepLines w:val="0"/>
              <w:widowControl w:val="0"/>
            </w:pPr>
          </w:p>
        </w:tc>
        <w:tc>
          <w:tcPr>
            <w:tcW w:w="1177" w:type="pct"/>
            <w:tcBorders>
              <w:top w:val="nil"/>
              <w:bottom w:val="nil"/>
            </w:tcBorders>
          </w:tcPr>
          <w:p w14:paraId="54C17D64" w14:textId="77777777" w:rsidR="004D6884" w:rsidRPr="003D3BBB" w:rsidRDefault="004D6884" w:rsidP="00777D20">
            <w:pPr>
              <w:pStyle w:val="TableText0"/>
              <w:keepNext w:val="0"/>
              <w:keepLines w:val="0"/>
              <w:widowControl w:val="0"/>
            </w:pPr>
            <w:r w:rsidRPr="05042C88">
              <w:rPr>
                <w:rStyle w:val="Small"/>
                <w:rFonts w:ascii="Arial Narrow" w:hAnsi="Arial Narrow"/>
                <w:i/>
                <w:iCs/>
              </w:rPr>
              <w:t>Hepatology Communications</w:t>
            </w:r>
            <w:r w:rsidRPr="05042C88">
              <w:rPr>
                <w:rStyle w:val="Small"/>
                <w:rFonts w:ascii="Arial Narrow" w:hAnsi="Arial Narrow"/>
              </w:rPr>
              <w:t xml:space="preserve"> 2018;2:683-692.</w:t>
            </w:r>
          </w:p>
        </w:tc>
      </w:tr>
      <w:tr w:rsidR="004D6884" w:rsidRPr="0098262F" w14:paraId="5D6C408F" w14:textId="77777777" w:rsidTr="05042C88">
        <w:trPr>
          <w:cantSplit/>
        </w:trPr>
        <w:tc>
          <w:tcPr>
            <w:tcW w:w="796" w:type="pct"/>
            <w:vMerge/>
            <w:vAlign w:val="center"/>
          </w:tcPr>
          <w:p w14:paraId="3FA0B55A"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135A1451" w14:textId="04110C9B"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Floreani A, Bowlus CL, Trauner M, et al. Long-Term Efficacy And Safety Of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In Patients With P</w:t>
            </w:r>
            <w:r w:rsidR="001D60C3" w:rsidRPr="05042C88">
              <w:rPr>
                <w:rStyle w:val="Small"/>
                <w:rFonts w:ascii="Arial Narrow" w:hAnsi="Arial Narrow"/>
              </w:rPr>
              <w:t>BC</w:t>
            </w:r>
            <w:r w:rsidRPr="05042C88">
              <w:rPr>
                <w:rStyle w:val="Small"/>
                <w:rFonts w:ascii="Arial Narrow" w:hAnsi="Arial Narrow"/>
              </w:rPr>
              <w:t xml:space="preserve"> From The Poise Trial Grouped Biochemically By Risk Of Disease Progression. </w:t>
            </w:r>
          </w:p>
          <w:p w14:paraId="01CA1A02"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41546324" w14:textId="77777777" w:rsidR="004D6884" w:rsidRPr="003D3BBB" w:rsidRDefault="004D6884" w:rsidP="00777D20">
            <w:pPr>
              <w:pStyle w:val="TableText0"/>
              <w:keepNext w:val="0"/>
              <w:keepLines w:val="0"/>
              <w:widowControl w:val="0"/>
            </w:pPr>
            <w:r w:rsidRPr="05042C88">
              <w:rPr>
                <w:rStyle w:val="Small"/>
                <w:rFonts w:ascii="Arial Narrow" w:hAnsi="Arial Narrow"/>
                <w:i/>
                <w:iCs/>
              </w:rPr>
              <w:t>Digestive and Liver Disease</w:t>
            </w:r>
            <w:r w:rsidRPr="05042C88">
              <w:rPr>
                <w:rStyle w:val="Small"/>
                <w:rFonts w:ascii="Arial Narrow" w:hAnsi="Arial Narrow"/>
              </w:rPr>
              <w:t xml:space="preserve"> 2021;53(Supplement 3):S109.</w:t>
            </w:r>
          </w:p>
        </w:tc>
      </w:tr>
      <w:tr w:rsidR="004D6884" w:rsidRPr="0098262F" w14:paraId="3E77D68F" w14:textId="77777777" w:rsidTr="05042C88">
        <w:trPr>
          <w:cantSplit/>
        </w:trPr>
        <w:tc>
          <w:tcPr>
            <w:tcW w:w="796" w:type="pct"/>
            <w:vMerge/>
            <w:vAlign w:val="center"/>
          </w:tcPr>
          <w:p w14:paraId="1CF58EAF"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136F9629" w14:textId="77777777" w:rsidR="004D6884" w:rsidRPr="003D3BBB" w:rsidRDefault="004D6884" w:rsidP="05042C88">
            <w:pPr>
              <w:pStyle w:val="TableText0"/>
              <w:keepNext w:val="0"/>
              <w:keepLines w:val="0"/>
              <w:widowControl w:val="0"/>
              <w:rPr>
                <w:rStyle w:val="Small"/>
                <w:rFonts w:ascii="Arial Narrow" w:hAnsi="Arial Narrow"/>
              </w:rPr>
            </w:pPr>
            <w:proofErr w:type="spellStart"/>
            <w:r w:rsidRPr="05042C88">
              <w:rPr>
                <w:rStyle w:val="Small"/>
                <w:rFonts w:ascii="Arial Narrow" w:hAnsi="Arial Narrow"/>
              </w:rPr>
              <w:t>Halilbasic</w:t>
            </w:r>
            <w:proofErr w:type="spellEnd"/>
            <w:r w:rsidRPr="05042C88">
              <w:rPr>
                <w:rStyle w:val="Small"/>
                <w:rFonts w:ascii="Arial Narrow" w:hAnsi="Arial Narrow"/>
              </w:rPr>
              <w:t xml:space="preserve"> E, Hofer H, Munda P, et al. Durable response in the markers of cholestasis through 18 months of open-label extension with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in Austrian and German patients with primary biliary cholangitis. </w:t>
            </w:r>
          </w:p>
          <w:p w14:paraId="3AE05A6B"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4BF98533" w14:textId="77777777" w:rsidR="004D6884" w:rsidRPr="003D3BBB" w:rsidRDefault="004D6884" w:rsidP="00777D20">
            <w:pPr>
              <w:pStyle w:val="TableText0"/>
              <w:keepNext w:val="0"/>
              <w:keepLines w:val="0"/>
              <w:widowControl w:val="0"/>
            </w:pPr>
            <w:proofErr w:type="spellStart"/>
            <w:r w:rsidRPr="05042C88">
              <w:rPr>
                <w:rStyle w:val="Small"/>
                <w:rFonts w:ascii="Arial Narrow" w:hAnsi="Arial Narrow"/>
                <w:i/>
                <w:iCs/>
              </w:rPr>
              <w:t>Zeitschrift</w:t>
            </w:r>
            <w:proofErr w:type="spellEnd"/>
            <w:r w:rsidRPr="05042C88">
              <w:rPr>
                <w:rStyle w:val="Small"/>
                <w:rFonts w:ascii="Arial Narrow" w:hAnsi="Arial Narrow"/>
                <w:i/>
                <w:iCs/>
              </w:rPr>
              <w:t xml:space="preserve"> fur </w:t>
            </w:r>
            <w:proofErr w:type="spellStart"/>
            <w:r w:rsidRPr="05042C88">
              <w:rPr>
                <w:rStyle w:val="Small"/>
                <w:rFonts w:ascii="Arial Narrow" w:hAnsi="Arial Narrow"/>
                <w:i/>
                <w:iCs/>
              </w:rPr>
              <w:t>Gastroenterologie</w:t>
            </w:r>
            <w:proofErr w:type="spellEnd"/>
            <w:r w:rsidRPr="05042C88">
              <w:rPr>
                <w:rStyle w:val="Small"/>
                <w:rFonts w:ascii="Arial Narrow" w:hAnsi="Arial Narrow"/>
              </w:rPr>
              <w:t xml:space="preserve"> 2017;55.</w:t>
            </w:r>
          </w:p>
        </w:tc>
      </w:tr>
      <w:tr w:rsidR="004D6884" w:rsidRPr="0098262F" w14:paraId="24CD0E0C" w14:textId="77777777" w:rsidTr="05042C88">
        <w:trPr>
          <w:cantSplit/>
        </w:trPr>
        <w:tc>
          <w:tcPr>
            <w:tcW w:w="796" w:type="pct"/>
            <w:vMerge/>
            <w:vAlign w:val="center"/>
          </w:tcPr>
          <w:p w14:paraId="166F0E68"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3D88792F" w14:textId="77777777" w:rsidR="004D6884" w:rsidRPr="003D3BBB" w:rsidRDefault="004D6884" w:rsidP="05042C88">
            <w:pPr>
              <w:pStyle w:val="TableText0"/>
              <w:keepNext w:val="0"/>
              <w:keepLines w:val="0"/>
              <w:widowControl w:val="0"/>
              <w:rPr>
                <w:rStyle w:val="Small"/>
                <w:rFonts w:ascii="Arial Narrow" w:hAnsi="Arial Narrow"/>
              </w:rPr>
            </w:pPr>
            <w:proofErr w:type="spellStart"/>
            <w:r w:rsidRPr="05042C88">
              <w:rPr>
                <w:rStyle w:val="Small"/>
                <w:rFonts w:ascii="Arial Narrow" w:hAnsi="Arial Narrow"/>
              </w:rPr>
              <w:t>Halilbasic</w:t>
            </w:r>
            <w:proofErr w:type="spellEnd"/>
            <w:r w:rsidRPr="05042C88">
              <w:rPr>
                <w:rStyle w:val="Small"/>
                <w:rFonts w:ascii="Arial Narrow" w:hAnsi="Arial Narrow"/>
              </w:rPr>
              <w:t xml:space="preserve"> E, Zoller H, Munda P, et al. Durable response in the markers of cholestasis through 36 months of open-label extension with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in Austrian and German patients with primary biliary cholangitis. </w:t>
            </w:r>
          </w:p>
          <w:p w14:paraId="379DCBE7"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3BA42FDD" w14:textId="77777777" w:rsidR="004D6884" w:rsidRPr="003D3BBB" w:rsidRDefault="004D6884" w:rsidP="00777D20">
            <w:pPr>
              <w:pStyle w:val="TableText0"/>
              <w:keepNext w:val="0"/>
              <w:keepLines w:val="0"/>
              <w:widowControl w:val="0"/>
            </w:pPr>
            <w:proofErr w:type="spellStart"/>
            <w:r w:rsidRPr="05042C88">
              <w:rPr>
                <w:rStyle w:val="Small"/>
                <w:rFonts w:ascii="Arial Narrow" w:hAnsi="Arial Narrow"/>
                <w:i/>
                <w:iCs/>
              </w:rPr>
              <w:t>Zeitschrift</w:t>
            </w:r>
            <w:proofErr w:type="spellEnd"/>
            <w:r w:rsidRPr="05042C88">
              <w:rPr>
                <w:rStyle w:val="Small"/>
                <w:rFonts w:ascii="Arial Narrow" w:hAnsi="Arial Narrow"/>
                <w:i/>
                <w:iCs/>
              </w:rPr>
              <w:t xml:space="preserve"> fur </w:t>
            </w:r>
            <w:proofErr w:type="spellStart"/>
            <w:r w:rsidRPr="05042C88">
              <w:rPr>
                <w:rStyle w:val="Small"/>
                <w:rFonts w:ascii="Arial Narrow" w:hAnsi="Arial Narrow"/>
                <w:i/>
                <w:iCs/>
              </w:rPr>
              <w:t>Gastroenterologie</w:t>
            </w:r>
            <w:proofErr w:type="spellEnd"/>
            <w:r w:rsidRPr="05042C88">
              <w:rPr>
                <w:rStyle w:val="Small"/>
                <w:rFonts w:ascii="Arial Narrow" w:hAnsi="Arial Narrow"/>
              </w:rPr>
              <w:t xml:space="preserve"> 2018;56:e47.</w:t>
            </w:r>
          </w:p>
        </w:tc>
      </w:tr>
      <w:tr w:rsidR="004D6884" w:rsidRPr="0098262F" w14:paraId="3AAEF322" w14:textId="77777777" w:rsidTr="05042C88">
        <w:trPr>
          <w:cantSplit/>
        </w:trPr>
        <w:tc>
          <w:tcPr>
            <w:tcW w:w="796" w:type="pct"/>
            <w:vMerge/>
            <w:vAlign w:val="center"/>
          </w:tcPr>
          <w:p w14:paraId="69A0B740"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55A30ABC"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Hirschfield G, Carbone M, Jones D, et al. Durability of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response in PBC patients who did not achieve poise trial criteria.</w:t>
            </w:r>
          </w:p>
          <w:p w14:paraId="6ADFAB21"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21B51337" w14:textId="77777777" w:rsidR="004D6884" w:rsidRPr="003D3BBB" w:rsidRDefault="004D6884" w:rsidP="00777D20">
            <w:pPr>
              <w:pStyle w:val="TableText0"/>
              <w:keepNext w:val="0"/>
              <w:keepLines w:val="0"/>
              <w:widowControl w:val="0"/>
            </w:pPr>
            <w:r w:rsidRPr="009E6B7D">
              <w:rPr>
                <w:rStyle w:val="Small"/>
                <w:rFonts w:ascii="Arial Narrow" w:hAnsi="Arial Narrow"/>
                <w:i/>
                <w:iCs/>
              </w:rPr>
              <w:t>Gut</w:t>
            </w:r>
            <w:r w:rsidRPr="003D3BBB">
              <w:rPr>
                <w:rStyle w:val="Small"/>
                <w:rFonts w:ascii="Arial Narrow" w:hAnsi="Arial Narrow"/>
              </w:rPr>
              <w:t xml:space="preserve"> 2021;70(SUPPL 1):</w:t>
            </w:r>
            <w:r>
              <w:rPr>
                <w:rStyle w:val="Small"/>
                <w:rFonts w:ascii="Arial Narrow" w:hAnsi="Arial Narrow"/>
              </w:rPr>
              <w:t xml:space="preserve"> </w:t>
            </w:r>
            <w:r w:rsidRPr="003D3BBB">
              <w:rPr>
                <w:rStyle w:val="Small"/>
                <w:rFonts w:ascii="Arial Narrow" w:hAnsi="Arial Narrow"/>
              </w:rPr>
              <w:t>A13</w:t>
            </w:r>
            <w:r>
              <w:rPr>
                <w:rStyle w:val="Small"/>
                <w:rFonts w:ascii="Arial Narrow" w:hAnsi="Arial Narrow"/>
              </w:rPr>
              <w:t>.</w:t>
            </w:r>
          </w:p>
        </w:tc>
      </w:tr>
      <w:tr w:rsidR="004D6884" w:rsidRPr="0098262F" w14:paraId="1AEB5004" w14:textId="77777777" w:rsidTr="05042C88">
        <w:trPr>
          <w:cantSplit/>
        </w:trPr>
        <w:tc>
          <w:tcPr>
            <w:tcW w:w="796" w:type="pct"/>
            <w:vMerge/>
            <w:vAlign w:val="center"/>
          </w:tcPr>
          <w:p w14:paraId="64B22422"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212122D1"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Jones D, Carbone M, Mells G, et al. Predicted risk of end stage liver disease utilizing the UK-PBC risk score in PBC patients.</w:t>
            </w:r>
          </w:p>
          <w:p w14:paraId="0F416613"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5AF59894" w14:textId="77777777" w:rsidR="004D6884" w:rsidRPr="003D3BBB" w:rsidRDefault="004D6884" w:rsidP="00777D20">
            <w:pPr>
              <w:pStyle w:val="TableText0"/>
              <w:keepNext w:val="0"/>
              <w:keepLines w:val="0"/>
              <w:widowControl w:val="0"/>
            </w:pPr>
            <w:r w:rsidRPr="009E6B7D">
              <w:rPr>
                <w:rStyle w:val="Small"/>
                <w:rFonts w:ascii="Arial Narrow" w:hAnsi="Arial Narrow"/>
                <w:i/>
                <w:iCs/>
              </w:rPr>
              <w:t>Gut</w:t>
            </w:r>
            <w:r w:rsidRPr="003D3BBB">
              <w:rPr>
                <w:rStyle w:val="Small"/>
                <w:rFonts w:ascii="Arial Narrow" w:hAnsi="Arial Narrow"/>
              </w:rPr>
              <w:t xml:space="preserve"> 2021;70(SUPPL 1):</w:t>
            </w:r>
            <w:r>
              <w:rPr>
                <w:rStyle w:val="Small"/>
                <w:rFonts w:ascii="Arial Narrow" w:hAnsi="Arial Narrow"/>
              </w:rPr>
              <w:t xml:space="preserve"> </w:t>
            </w:r>
            <w:r w:rsidRPr="003D3BBB">
              <w:rPr>
                <w:rStyle w:val="Small"/>
                <w:rFonts w:ascii="Arial Narrow" w:hAnsi="Arial Narrow"/>
              </w:rPr>
              <w:t>A153-A154.</w:t>
            </w:r>
          </w:p>
        </w:tc>
      </w:tr>
      <w:tr w:rsidR="004D6884" w:rsidRPr="0098262F" w14:paraId="11B3C7E3" w14:textId="77777777" w:rsidTr="05042C88">
        <w:trPr>
          <w:cantSplit/>
        </w:trPr>
        <w:tc>
          <w:tcPr>
            <w:tcW w:w="796" w:type="pct"/>
            <w:vMerge/>
            <w:vAlign w:val="center"/>
          </w:tcPr>
          <w:p w14:paraId="506972A8"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786082A0"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Pares A, Shiffman M, Vargas V, et al. Reduction and stabilization of bilirubin with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treatment in patients with primary biliary cholangitis.</w:t>
            </w:r>
          </w:p>
          <w:p w14:paraId="29802E09"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3572D720" w14:textId="77777777" w:rsidR="004D6884" w:rsidRPr="003D3BBB" w:rsidRDefault="004D6884" w:rsidP="00777D20">
            <w:pPr>
              <w:pStyle w:val="TableText0"/>
              <w:keepNext w:val="0"/>
              <w:keepLines w:val="0"/>
              <w:widowControl w:val="0"/>
            </w:pPr>
            <w:r w:rsidRPr="05042C88">
              <w:rPr>
                <w:rStyle w:val="Small"/>
                <w:rFonts w:ascii="Arial Narrow" w:hAnsi="Arial Narrow"/>
                <w:i/>
                <w:iCs/>
              </w:rPr>
              <w:t>Liver International</w:t>
            </w:r>
            <w:r w:rsidRPr="05042C88">
              <w:rPr>
                <w:rStyle w:val="Small"/>
                <w:rFonts w:ascii="Arial Narrow" w:hAnsi="Arial Narrow"/>
              </w:rPr>
              <w:t xml:space="preserve"> 2020;40:1121-1129.</w:t>
            </w:r>
          </w:p>
        </w:tc>
      </w:tr>
      <w:tr w:rsidR="004D6884" w:rsidRPr="0098262F" w14:paraId="498A7DEA" w14:textId="77777777" w:rsidTr="05042C88">
        <w:trPr>
          <w:cantSplit/>
        </w:trPr>
        <w:tc>
          <w:tcPr>
            <w:tcW w:w="796" w:type="pct"/>
            <w:vMerge/>
            <w:vAlign w:val="center"/>
          </w:tcPr>
          <w:p w14:paraId="3907FA1A" w14:textId="77777777" w:rsidR="004D6884" w:rsidRPr="0098262F" w:rsidRDefault="004D6884" w:rsidP="00777D20">
            <w:pPr>
              <w:pStyle w:val="TableText0"/>
              <w:keepNext w:val="0"/>
              <w:keepLines w:val="0"/>
              <w:widowControl w:val="0"/>
            </w:pPr>
          </w:p>
        </w:tc>
        <w:tc>
          <w:tcPr>
            <w:tcW w:w="3027" w:type="pct"/>
            <w:tcBorders>
              <w:top w:val="nil"/>
              <w:bottom w:val="nil"/>
            </w:tcBorders>
          </w:tcPr>
          <w:p w14:paraId="0212787D"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Trauner M, Nevens F, Shiffman ML, et al. Long-term efficacy and safety of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for patients with primary biliary cholangitis: 3-year results of an international open-label extension study. </w:t>
            </w:r>
          </w:p>
          <w:p w14:paraId="19A4FA00" w14:textId="77777777" w:rsidR="004D6884" w:rsidRPr="003D3BBB" w:rsidRDefault="004D6884" w:rsidP="00777D20">
            <w:pPr>
              <w:pStyle w:val="TableText0"/>
              <w:keepNext w:val="0"/>
              <w:keepLines w:val="0"/>
              <w:widowControl w:val="0"/>
              <w:rPr>
                <w:rStyle w:val="Small"/>
                <w:rFonts w:ascii="Arial Narrow" w:hAnsi="Arial Narrow"/>
              </w:rPr>
            </w:pPr>
          </w:p>
        </w:tc>
        <w:tc>
          <w:tcPr>
            <w:tcW w:w="1177" w:type="pct"/>
            <w:tcBorders>
              <w:top w:val="nil"/>
              <w:bottom w:val="nil"/>
            </w:tcBorders>
          </w:tcPr>
          <w:p w14:paraId="69179A62" w14:textId="77777777" w:rsidR="004D6884" w:rsidRPr="003D3BBB" w:rsidRDefault="004D6884" w:rsidP="00777D20">
            <w:pPr>
              <w:pStyle w:val="TableText0"/>
              <w:keepNext w:val="0"/>
              <w:keepLines w:val="0"/>
              <w:widowControl w:val="0"/>
            </w:pPr>
            <w:r w:rsidRPr="05042C88">
              <w:rPr>
                <w:rStyle w:val="Small"/>
                <w:rFonts w:ascii="Arial Narrow" w:hAnsi="Arial Narrow"/>
                <w:i/>
                <w:iCs/>
              </w:rPr>
              <w:t>The Lancet. Gastroenterology &amp; hepatology</w:t>
            </w:r>
            <w:r w:rsidRPr="05042C88">
              <w:rPr>
                <w:rStyle w:val="Small"/>
                <w:rFonts w:ascii="Arial Narrow" w:hAnsi="Arial Narrow"/>
              </w:rPr>
              <w:t xml:space="preserve"> 2019;4:445</w:t>
            </w:r>
            <w:r w:rsidRPr="05042C88">
              <w:rPr>
                <w:rStyle w:val="Small"/>
                <w:rFonts w:ascii="Cambria Math" w:hAnsi="Cambria Math" w:cs="Cambria Math"/>
              </w:rPr>
              <w:t>‐</w:t>
            </w:r>
            <w:r w:rsidRPr="05042C88">
              <w:rPr>
                <w:rStyle w:val="Small"/>
                <w:rFonts w:ascii="Arial Narrow" w:hAnsi="Arial Narrow"/>
              </w:rPr>
              <w:t>453.</w:t>
            </w:r>
          </w:p>
        </w:tc>
      </w:tr>
      <w:tr w:rsidR="004D6884" w:rsidRPr="0098262F" w14:paraId="7B695020" w14:textId="77777777" w:rsidTr="05042C88">
        <w:trPr>
          <w:cantSplit/>
        </w:trPr>
        <w:tc>
          <w:tcPr>
            <w:tcW w:w="796" w:type="pct"/>
            <w:vMerge/>
            <w:vAlign w:val="center"/>
          </w:tcPr>
          <w:p w14:paraId="610D4B74" w14:textId="77777777" w:rsidR="004D6884" w:rsidRPr="0098262F" w:rsidRDefault="004D6884" w:rsidP="00777D20">
            <w:pPr>
              <w:pStyle w:val="TableText0"/>
              <w:keepNext w:val="0"/>
              <w:keepLines w:val="0"/>
              <w:widowControl w:val="0"/>
            </w:pPr>
          </w:p>
        </w:tc>
        <w:tc>
          <w:tcPr>
            <w:tcW w:w="3027" w:type="pct"/>
            <w:tcBorders>
              <w:top w:val="nil"/>
              <w:bottom w:val="single" w:sz="4" w:space="0" w:color="auto"/>
            </w:tcBorders>
          </w:tcPr>
          <w:p w14:paraId="56148BFD" w14:textId="77777777" w:rsidR="004D6884" w:rsidRPr="003D3BBB" w:rsidRDefault="004D6884" w:rsidP="05042C88">
            <w:pPr>
              <w:pStyle w:val="TableText0"/>
              <w:keepNext w:val="0"/>
              <w:keepLines w:val="0"/>
              <w:widowControl w:val="0"/>
              <w:rPr>
                <w:rStyle w:val="Small"/>
                <w:rFonts w:ascii="Arial Narrow" w:hAnsi="Arial Narrow"/>
              </w:rPr>
            </w:pPr>
            <w:r w:rsidRPr="05042C88">
              <w:rPr>
                <w:rStyle w:val="Small"/>
                <w:rFonts w:ascii="Arial Narrow" w:hAnsi="Arial Narrow"/>
              </w:rPr>
              <w:t xml:space="preserve">Bonder A, Wheeler D, Nair R, et al. Effect Of </w:t>
            </w:r>
            <w:proofErr w:type="spellStart"/>
            <w:r w:rsidRPr="05042C88">
              <w:rPr>
                <w:rStyle w:val="Small"/>
                <w:rFonts w:ascii="Arial Narrow" w:hAnsi="Arial Narrow"/>
              </w:rPr>
              <w:t>Obeticholic</w:t>
            </w:r>
            <w:proofErr w:type="spellEnd"/>
            <w:r w:rsidRPr="05042C88">
              <w:rPr>
                <w:rStyle w:val="Small"/>
                <w:rFonts w:ascii="Arial Narrow" w:hAnsi="Arial Narrow"/>
              </w:rPr>
              <w:t xml:space="preserve"> Acid On Prognostic Thresholds Of Gamma-Glutamyl Transferase And Alkaline Phosphatase Levels: Sub-Analysis Of The Phase 3 Poise Trial In Primary Biliary Cholangitis. </w:t>
            </w:r>
          </w:p>
        </w:tc>
        <w:tc>
          <w:tcPr>
            <w:tcW w:w="1177" w:type="pct"/>
            <w:tcBorders>
              <w:top w:val="nil"/>
              <w:bottom w:val="single" w:sz="4" w:space="0" w:color="auto"/>
            </w:tcBorders>
          </w:tcPr>
          <w:p w14:paraId="6D4B437F" w14:textId="77777777" w:rsidR="004D6884" w:rsidRPr="003D3BBB" w:rsidRDefault="004D6884" w:rsidP="00777D20">
            <w:pPr>
              <w:pStyle w:val="TableText0"/>
              <w:keepNext w:val="0"/>
              <w:keepLines w:val="0"/>
              <w:widowControl w:val="0"/>
            </w:pPr>
            <w:r w:rsidRPr="05042C88">
              <w:rPr>
                <w:rStyle w:val="Small"/>
                <w:rFonts w:ascii="Arial Narrow" w:hAnsi="Arial Narrow"/>
                <w:i/>
                <w:iCs/>
              </w:rPr>
              <w:t>Hepatology</w:t>
            </w:r>
            <w:r w:rsidRPr="05042C88">
              <w:rPr>
                <w:rStyle w:val="Small"/>
                <w:rFonts w:ascii="Arial Narrow" w:hAnsi="Arial Narrow"/>
              </w:rPr>
              <w:t xml:space="preserve"> 2023;78:S2047-S2048.</w:t>
            </w:r>
          </w:p>
        </w:tc>
      </w:tr>
    </w:tbl>
    <w:p w14:paraId="51D8173A" w14:textId="1F15AB46" w:rsidR="008E0D3C" w:rsidRPr="0098262F" w:rsidRDefault="004D6884" w:rsidP="00EC5836">
      <w:pPr>
        <w:pStyle w:val="FooterTableFigure"/>
        <w:rPr>
          <w:sz w:val="20"/>
        </w:rPr>
      </w:pPr>
      <w:r w:rsidRPr="0098262F">
        <w:t>Source:</w:t>
      </w:r>
      <w:r>
        <w:t xml:space="preserve"> Table 2-3 and Table 2-4, pp62-64 of the submission</w:t>
      </w:r>
      <w:r w:rsidRPr="0098262F">
        <w:t>.</w:t>
      </w:r>
    </w:p>
    <w:p w14:paraId="1DD06D7D" w14:textId="4139CAC5" w:rsidR="007F1017" w:rsidRPr="00982C4C" w:rsidRDefault="008F120A" w:rsidP="00EC5836">
      <w:pPr>
        <w:pStyle w:val="3-BodyText"/>
      </w:pPr>
      <w:r w:rsidRPr="00982C4C">
        <w:t>The key features of the randomised trials are summarised in</w:t>
      </w:r>
      <w:r w:rsidR="00D6076E" w:rsidRPr="00982C4C">
        <w:t xml:space="preserve"> </w:t>
      </w:r>
      <w:r w:rsidR="00D6076E" w:rsidRPr="00982C4C">
        <w:fldChar w:fldCharType="begin" w:fldLock="1"/>
      </w:r>
      <w:r w:rsidR="00D6076E" w:rsidRPr="00982C4C">
        <w:instrText xml:space="preserve"> REF _Ref104804098 \h  \* MERGEFORMAT </w:instrText>
      </w:r>
      <w:r w:rsidR="00D6076E" w:rsidRPr="00982C4C">
        <w:fldChar w:fldCharType="separate"/>
      </w:r>
      <w:r w:rsidR="002B3034" w:rsidRPr="002B3034">
        <w:t>Table 3</w:t>
      </w:r>
      <w:r w:rsidR="00D6076E" w:rsidRPr="00982C4C">
        <w:fldChar w:fldCharType="end"/>
      </w:r>
      <w:r w:rsidRPr="00982C4C">
        <w:t>.</w:t>
      </w:r>
    </w:p>
    <w:p w14:paraId="355E2F15" w14:textId="07E5DBE9" w:rsidR="007F1017" w:rsidRPr="0098262F" w:rsidRDefault="00696EF9" w:rsidP="00D6076E">
      <w:pPr>
        <w:pStyle w:val="Caption"/>
        <w:rPr>
          <w:rStyle w:val="CommentReference"/>
          <w:rFonts w:eastAsiaTheme="majorEastAsia" w:cstheme="majorBidi"/>
          <w:b/>
          <w:szCs w:val="24"/>
        </w:rPr>
      </w:pPr>
      <w:bookmarkStart w:id="32"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780A90">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32"/>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r w:rsidR="000816D9">
        <w:rPr>
          <w:rStyle w:val="CommentReference"/>
          <w:rFonts w:eastAsiaTheme="majorEastAsia" w:cstheme="majorBidi"/>
          <w:b/>
          <w:szCs w:val="24"/>
        </w:rPr>
        <w:t xml:space="preserve"> </w:t>
      </w:r>
      <w:r w:rsidR="000816D9" w:rsidRPr="0098262F">
        <w:rPr>
          <w:rStyle w:val="CommentReference"/>
          <w:b/>
          <w:szCs w:val="24"/>
        </w:rPr>
        <w:t>–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1"/>
        <w:gridCol w:w="330"/>
        <w:gridCol w:w="778"/>
        <w:gridCol w:w="772"/>
        <w:gridCol w:w="1939"/>
        <w:gridCol w:w="3189"/>
        <w:gridCol w:w="1278"/>
      </w:tblGrid>
      <w:tr w:rsidR="005A1525" w:rsidRPr="0098262F" w14:paraId="53DD7CC6" w14:textId="77777777" w:rsidTr="05042C88">
        <w:trPr>
          <w:cantSplit/>
          <w:tblHeader/>
        </w:trPr>
        <w:tc>
          <w:tcPr>
            <w:tcW w:w="405" w:type="pct"/>
            <w:shd w:val="clear" w:color="auto" w:fill="auto"/>
            <w:vAlign w:val="center"/>
          </w:tcPr>
          <w:p w14:paraId="794116BC" w14:textId="77777777" w:rsidR="007F1017" w:rsidRPr="0098262F" w:rsidRDefault="007F1017" w:rsidP="001E34DF">
            <w:pPr>
              <w:pStyle w:val="In-tableHeading"/>
              <w:rPr>
                <w:lang w:val="en-AU"/>
              </w:rPr>
            </w:pPr>
            <w:r w:rsidRPr="0098262F">
              <w:rPr>
                <w:lang w:val="en-AU"/>
              </w:rPr>
              <w:t>Trial</w:t>
            </w:r>
          </w:p>
        </w:tc>
        <w:tc>
          <w:tcPr>
            <w:tcW w:w="183" w:type="pct"/>
            <w:shd w:val="clear" w:color="auto" w:fill="auto"/>
            <w:vAlign w:val="center"/>
          </w:tcPr>
          <w:p w14:paraId="51122FE5" w14:textId="77777777" w:rsidR="007F1017" w:rsidRPr="0098262F" w:rsidRDefault="007F1017" w:rsidP="00EC5836">
            <w:pPr>
              <w:pStyle w:val="In-tableHeading"/>
              <w:jc w:val="center"/>
              <w:rPr>
                <w:lang w:val="en-AU"/>
              </w:rPr>
            </w:pPr>
            <w:r w:rsidRPr="0098262F">
              <w:rPr>
                <w:lang w:val="en-AU"/>
              </w:rPr>
              <w:t>N</w:t>
            </w:r>
          </w:p>
        </w:tc>
        <w:tc>
          <w:tcPr>
            <w:tcW w:w="454" w:type="pct"/>
            <w:shd w:val="clear" w:color="auto" w:fill="auto"/>
            <w:vAlign w:val="center"/>
          </w:tcPr>
          <w:p w14:paraId="41C438EF" w14:textId="77777777" w:rsidR="007F1017" w:rsidRPr="0098262F" w:rsidRDefault="007F1017" w:rsidP="00EC5836">
            <w:pPr>
              <w:pStyle w:val="In-tableHeading"/>
              <w:jc w:val="center"/>
              <w:rPr>
                <w:lang w:val="en-AU"/>
              </w:rPr>
            </w:pPr>
            <w:r w:rsidRPr="0098262F">
              <w:rPr>
                <w:lang w:val="en-AU"/>
              </w:rPr>
              <w:t>Design/ duration</w:t>
            </w:r>
          </w:p>
        </w:tc>
        <w:tc>
          <w:tcPr>
            <w:tcW w:w="451" w:type="pct"/>
            <w:shd w:val="clear" w:color="auto" w:fill="auto"/>
            <w:vAlign w:val="center"/>
          </w:tcPr>
          <w:p w14:paraId="1FC91360" w14:textId="77777777" w:rsidR="007F1017" w:rsidRPr="0098262F" w:rsidRDefault="007F1017" w:rsidP="00EC5836">
            <w:pPr>
              <w:pStyle w:val="In-tableHeading"/>
              <w:jc w:val="center"/>
              <w:rPr>
                <w:lang w:val="en-AU"/>
              </w:rPr>
            </w:pPr>
            <w:r w:rsidRPr="0098262F">
              <w:rPr>
                <w:lang w:val="en-AU"/>
              </w:rPr>
              <w:t>Risk of bias</w:t>
            </w:r>
          </w:p>
        </w:tc>
        <w:tc>
          <w:tcPr>
            <w:tcW w:w="1098" w:type="pct"/>
            <w:shd w:val="clear" w:color="auto" w:fill="auto"/>
            <w:vAlign w:val="center"/>
          </w:tcPr>
          <w:p w14:paraId="7FF90896" w14:textId="77777777" w:rsidR="007F1017" w:rsidRPr="0098262F" w:rsidRDefault="007F1017" w:rsidP="00EC5836">
            <w:pPr>
              <w:pStyle w:val="In-tableHeading"/>
              <w:jc w:val="center"/>
              <w:rPr>
                <w:lang w:val="en-AU"/>
              </w:rPr>
            </w:pPr>
            <w:r w:rsidRPr="0098262F">
              <w:rPr>
                <w:lang w:val="en-AU"/>
              </w:rPr>
              <w:t>Patient population</w:t>
            </w:r>
          </w:p>
        </w:tc>
        <w:tc>
          <w:tcPr>
            <w:tcW w:w="1791" w:type="pct"/>
            <w:shd w:val="clear" w:color="auto" w:fill="auto"/>
            <w:vAlign w:val="center"/>
          </w:tcPr>
          <w:p w14:paraId="0FCB63F9" w14:textId="15C8BBDB" w:rsidR="007F1017" w:rsidRPr="0098262F" w:rsidRDefault="007F1017" w:rsidP="00EC5836">
            <w:pPr>
              <w:pStyle w:val="In-tableHeading"/>
              <w:jc w:val="center"/>
              <w:rPr>
                <w:lang w:val="en-AU"/>
              </w:rPr>
            </w:pPr>
            <w:r w:rsidRPr="0098262F">
              <w:rPr>
                <w:lang w:val="en-AU"/>
              </w:rPr>
              <w:t>Outcomes</w:t>
            </w:r>
          </w:p>
        </w:tc>
        <w:tc>
          <w:tcPr>
            <w:tcW w:w="618" w:type="pct"/>
            <w:shd w:val="clear" w:color="auto" w:fill="auto"/>
            <w:vAlign w:val="center"/>
          </w:tcPr>
          <w:p w14:paraId="08C6F624" w14:textId="77777777" w:rsidR="007F1017" w:rsidRPr="0098262F" w:rsidRDefault="007F1017" w:rsidP="00EC5836">
            <w:pPr>
              <w:pStyle w:val="In-tableHeading"/>
              <w:jc w:val="center"/>
              <w:rPr>
                <w:lang w:val="en-AU"/>
              </w:rPr>
            </w:pPr>
            <w:r w:rsidRPr="0098262F">
              <w:rPr>
                <w:lang w:val="en-AU"/>
              </w:rPr>
              <w:t>Use in modelled evaluation</w:t>
            </w:r>
          </w:p>
        </w:tc>
      </w:tr>
      <w:tr w:rsidR="007F1017" w:rsidRPr="0098262F" w14:paraId="2A03CD4B" w14:textId="77777777" w:rsidTr="05042C88">
        <w:trPr>
          <w:cantSplit/>
        </w:trPr>
        <w:tc>
          <w:tcPr>
            <w:tcW w:w="5000" w:type="pct"/>
            <w:gridSpan w:val="7"/>
            <w:shd w:val="clear" w:color="auto" w:fill="auto"/>
            <w:vAlign w:val="center"/>
          </w:tcPr>
          <w:p w14:paraId="73088C85" w14:textId="58AF3A84" w:rsidR="007F1017" w:rsidRPr="0098262F" w:rsidRDefault="000816D9" w:rsidP="00EC5836">
            <w:pPr>
              <w:pStyle w:val="In-tableHeading"/>
              <w:rPr>
                <w:lang w:val="en-AU"/>
              </w:rPr>
            </w:pPr>
            <w:r>
              <w:rPr>
                <w:lang w:val="en-AU"/>
              </w:rPr>
              <w:t>ELA</w:t>
            </w:r>
            <w:r w:rsidR="00A43601">
              <w:rPr>
                <w:lang w:val="en-AU"/>
              </w:rPr>
              <w:t xml:space="preserve"> </w:t>
            </w:r>
            <w:r w:rsidR="008524FC" w:rsidRPr="00A43601">
              <w:rPr>
                <w:lang w:val="en-AU"/>
              </w:rPr>
              <w:t xml:space="preserve">+ UDCA vs UDCA+ placebo for UDCA inadequate responders or </w:t>
            </w:r>
            <w:r w:rsidR="008524FC">
              <w:rPr>
                <w:lang w:val="en-AU"/>
              </w:rPr>
              <w:t>ELA</w:t>
            </w:r>
            <w:r w:rsidR="008524FC" w:rsidRPr="00A43601">
              <w:rPr>
                <w:lang w:val="en-AU"/>
              </w:rPr>
              <w:t xml:space="preserve"> vs placebo for UDCA intolerant</w:t>
            </w:r>
          </w:p>
        </w:tc>
      </w:tr>
      <w:tr w:rsidR="005A1525" w:rsidRPr="0098262F" w14:paraId="4EE88DCB" w14:textId="77777777" w:rsidTr="05042C88">
        <w:trPr>
          <w:cantSplit/>
        </w:trPr>
        <w:tc>
          <w:tcPr>
            <w:tcW w:w="405" w:type="pct"/>
            <w:shd w:val="clear" w:color="auto" w:fill="auto"/>
            <w:vAlign w:val="center"/>
          </w:tcPr>
          <w:p w14:paraId="6EE77D33" w14:textId="0D3D392A" w:rsidR="007F1017" w:rsidRPr="0098262F" w:rsidRDefault="000816D9" w:rsidP="00EC5836">
            <w:pPr>
              <w:pStyle w:val="TableText0"/>
            </w:pPr>
            <w:r>
              <w:t>ELATIVE</w:t>
            </w:r>
          </w:p>
        </w:tc>
        <w:tc>
          <w:tcPr>
            <w:tcW w:w="183" w:type="pct"/>
            <w:shd w:val="clear" w:color="auto" w:fill="auto"/>
            <w:vAlign w:val="center"/>
          </w:tcPr>
          <w:p w14:paraId="41BB0E41" w14:textId="493006BE" w:rsidR="007F1017" w:rsidRPr="0098262F" w:rsidRDefault="00AC6C62" w:rsidP="00EC5836">
            <w:pPr>
              <w:pStyle w:val="TableText0"/>
              <w:jc w:val="center"/>
            </w:pPr>
            <w:r>
              <w:t>161</w:t>
            </w:r>
          </w:p>
        </w:tc>
        <w:tc>
          <w:tcPr>
            <w:tcW w:w="454" w:type="pct"/>
            <w:shd w:val="clear" w:color="auto" w:fill="auto"/>
            <w:vAlign w:val="center"/>
          </w:tcPr>
          <w:p w14:paraId="401EAFDA" w14:textId="217D4859" w:rsidR="007F1017" w:rsidRPr="0098262F" w:rsidRDefault="007F1017" w:rsidP="00EC5836">
            <w:pPr>
              <w:pStyle w:val="TableText0"/>
              <w:jc w:val="center"/>
            </w:pPr>
            <w:r w:rsidRPr="0098262F">
              <w:t>R, DB</w:t>
            </w:r>
            <w:r w:rsidR="009E7259">
              <w:t xml:space="preserve"> </w:t>
            </w:r>
            <w:r w:rsidR="009E7259" w:rsidRPr="00531F41">
              <w:rPr>
                <w:i/>
                <w:vertAlign w:val="superscript"/>
              </w:rPr>
              <w:t>a</w:t>
            </w:r>
          </w:p>
          <w:p w14:paraId="744D08AC" w14:textId="5E4D3075" w:rsidR="007F1017" w:rsidRPr="0098262F" w:rsidRDefault="006E1A8B" w:rsidP="00EC5836">
            <w:pPr>
              <w:pStyle w:val="TableText0"/>
              <w:jc w:val="center"/>
            </w:pPr>
            <w:r>
              <w:t>52-104 weeks</w:t>
            </w:r>
          </w:p>
        </w:tc>
        <w:tc>
          <w:tcPr>
            <w:tcW w:w="451" w:type="pct"/>
            <w:shd w:val="clear" w:color="auto" w:fill="auto"/>
            <w:vAlign w:val="center"/>
          </w:tcPr>
          <w:p w14:paraId="4A529D74" w14:textId="4CC61BBC" w:rsidR="007F1017" w:rsidRPr="00FD5098" w:rsidRDefault="00E17908" w:rsidP="00EC5836">
            <w:pPr>
              <w:pStyle w:val="TableText0"/>
              <w:jc w:val="center"/>
              <w:rPr>
                <w:iCs/>
              </w:rPr>
            </w:pPr>
            <w:r w:rsidRPr="00FD5098">
              <w:rPr>
                <w:iCs/>
              </w:rPr>
              <w:t>Low/</w:t>
            </w:r>
            <w:r w:rsidR="00C3547F" w:rsidRPr="00FD5098">
              <w:rPr>
                <w:iCs/>
              </w:rPr>
              <w:t xml:space="preserve"> </w:t>
            </w:r>
            <w:r w:rsidRPr="00FD5098">
              <w:rPr>
                <w:iCs/>
              </w:rPr>
              <w:t>Moderate</w:t>
            </w:r>
            <w:r w:rsidR="00531F41" w:rsidRPr="00FD5098">
              <w:rPr>
                <w:iCs/>
              </w:rPr>
              <w:t xml:space="preserve"> </w:t>
            </w:r>
          </w:p>
        </w:tc>
        <w:tc>
          <w:tcPr>
            <w:tcW w:w="1098" w:type="pct"/>
            <w:shd w:val="clear" w:color="auto" w:fill="auto"/>
            <w:vAlign w:val="center"/>
          </w:tcPr>
          <w:p w14:paraId="4729FD6C" w14:textId="6089944A" w:rsidR="007E666A" w:rsidRPr="00FD5098" w:rsidRDefault="00E83BC9" w:rsidP="002C6BBF">
            <w:pPr>
              <w:pStyle w:val="TableText0"/>
              <w:rPr>
                <w:rFonts w:cstheme="minorHAnsi"/>
                <w:iCs/>
                <w:szCs w:val="18"/>
              </w:rPr>
            </w:pPr>
            <w:r w:rsidRPr="00FD5098">
              <w:rPr>
                <w:iCs/>
              </w:rPr>
              <w:t>Aged 18-75 years</w:t>
            </w:r>
            <w:r w:rsidR="007E666A" w:rsidRPr="00FD5098">
              <w:rPr>
                <w:iCs/>
              </w:rPr>
              <w:t xml:space="preserve">, </w:t>
            </w:r>
            <w:r w:rsidRPr="00FD5098">
              <w:rPr>
                <w:iCs/>
              </w:rPr>
              <w:t xml:space="preserve">PBC, ALP </w:t>
            </w:r>
            <w:r w:rsidRPr="00FD5098">
              <w:rPr>
                <w:rFonts w:cstheme="minorHAnsi"/>
                <w:iCs/>
                <w:szCs w:val="18"/>
              </w:rPr>
              <w:t xml:space="preserve">≥ 1.67 x ULN </w:t>
            </w:r>
            <w:r w:rsidR="001C15AD" w:rsidRPr="00FD5098">
              <w:rPr>
                <w:rFonts w:cstheme="minorHAnsi"/>
                <w:iCs/>
                <w:szCs w:val="18"/>
                <w:u w:val="single"/>
              </w:rPr>
              <w:t>and</w:t>
            </w:r>
            <w:r w:rsidR="001C15AD" w:rsidRPr="00FD5098">
              <w:rPr>
                <w:rFonts w:cstheme="minorHAnsi"/>
                <w:iCs/>
                <w:szCs w:val="18"/>
              </w:rPr>
              <w:t xml:space="preserve"> </w:t>
            </w:r>
            <w:r w:rsidRPr="00FD5098">
              <w:rPr>
                <w:rFonts w:cstheme="minorHAnsi"/>
                <w:iCs/>
                <w:szCs w:val="18"/>
              </w:rPr>
              <w:t xml:space="preserve">TB </w:t>
            </w:r>
            <w:r w:rsidRPr="00FD5098">
              <w:rPr>
                <w:rFonts w:cs="Calibri"/>
                <w:iCs/>
                <w:szCs w:val="18"/>
              </w:rPr>
              <w:t>≤</w:t>
            </w:r>
            <w:r w:rsidRPr="00FD5098">
              <w:rPr>
                <w:rFonts w:cstheme="minorHAnsi"/>
                <w:iCs/>
                <w:szCs w:val="18"/>
              </w:rPr>
              <w:t> 2 x ULN.</w:t>
            </w:r>
          </w:p>
          <w:p w14:paraId="52BFEA57" w14:textId="77777777" w:rsidR="007E666A" w:rsidRPr="00FD5098" w:rsidRDefault="007E666A" w:rsidP="002C6BBF">
            <w:pPr>
              <w:pStyle w:val="TableText0"/>
              <w:rPr>
                <w:iCs/>
              </w:rPr>
            </w:pPr>
          </w:p>
          <w:p w14:paraId="5E6F456D" w14:textId="32C1E020" w:rsidR="007F1017" w:rsidRPr="00FD5098" w:rsidRDefault="007E666A" w:rsidP="002C6BBF">
            <w:pPr>
              <w:pStyle w:val="TableText0"/>
              <w:rPr>
                <w:iCs/>
              </w:rPr>
            </w:pPr>
            <w:r w:rsidRPr="00FD5098">
              <w:rPr>
                <w:iCs/>
              </w:rPr>
              <w:t>E</w:t>
            </w:r>
            <w:r w:rsidR="00E83BC9" w:rsidRPr="00FD5098">
              <w:rPr>
                <w:rFonts w:cstheme="minorHAnsi"/>
                <w:iCs/>
                <w:szCs w:val="18"/>
              </w:rPr>
              <w:t>xcluded if they had clinically significant hepatic decompensation.</w:t>
            </w:r>
          </w:p>
        </w:tc>
        <w:tc>
          <w:tcPr>
            <w:tcW w:w="1791" w:type="pct"/>
            <w:shd w:val="clear" w:color="auto" w:fill="auto"/>
            <w:vAlign w:val="center"/>
          </w:tcPr>
          <w:p w14:paraId="2DB3DAD9" w14:textId="4BB05048" w:rsidR="005A1525" w:rsidRDefault="005A1525" w:rsidP="05042C88">
            <w:pPr>
              <w:pStyle w:val="TableText0"/>
              <w:rPr>
                <w:vertAlign w:val="superscript"/>
              </w:rPr>
            </w:pPr>
            <w:r w:rsidRPr="05042C88">
              <w:t xml:space="preserve">Primary: </w:t>
            </w:r>
            <w:r w:rsidR="00690DE6" w:rsidRPr="05042C88">
              <w:t xml:space="preserve">Cholestasis </w:t>
            </w:r>
            <w:proofErr w:type="spellStart"/>
            <w:r w:rsidR="00690DE6" w:rsidRPr="05042C88">
              <w:t>response</w:t>
            </w:r>
            <w:r w:rsidR="00531F41" w:rsidRPr="05042C88">
              <w:rPr>
                <w:vertAlign w:val="superscript"/>
              </w:rPr>
              <w:t>b</w:t>
            </w:r>
            <w:proofErr w:type="spellEnd"/>
          </w:p>
          <w:p w14:paraId="63777DB7" w14:textId="493F9145" w:rsidR="007F1017" w:rsidRDefault="005C3AF5" w:rsidP="002C6BBF">
            <w:pPr>
              <w:pStyle w:val="TableText0"/>
            </w:pPr>
            <w:r w:rsidRPr="05042C88">
              <w:t>Key s</w:t>
            </w:r>
            <w:r w:rsidR="005A1525" w:rsidRPr="05042C88">
              <w:t xml:space="preserve">econdary: </w:t>
            </w:r>
            <w:r w:rsidR="006D6355" w:rsidRPr="05042C88">
              <w:t xml:space="preserve">ALP </w:t>
            </w:r>
            <w:proofErr w:type="spellStart"/>
            <w:r w:rsidR="006D6355" w:rsidRPr="05042C88">
              <w:t>normalisation</w:t>
            </w:r>
            <w:r w:rsidR="00531F41" w:rsidRPr="05042C88">
              <w:rPr>
                <w:vertAlign w:val="superscript"/>
              </w:rPr>
              <w:t>c</w:t>
            </w:r>
            <w:proofErr w:type="spellEnd"/>
            <w:r w:rsidR="006D6355" w:rsidRPr="05042C88">
              <w:t>, change in PBC WI</w:t>
            </w:r>
            <w:r w:rsidR="008D0F5C" w:rsidRPr="05042C88">
              <w:t>-</w:t>
            </w:r>
            <w:r w:rsidR="006D6355" w:rsidRPr="05042C88">
              <w:t>NRS score</w:t>
            </w:r>
            <w:r w:rsidR="00C6679D" w:rsidRPr="05042C88">
              <w:rPr>
                <w:vertAlign w:val="superscript"/>
              </w:rPr>
              <w:t>d</w:t>
            </w:r>
            <w:r w:rsidR="006D6355" w:rsidRPr="05042C88">
              <w:t xml:space="preserve"> in patients with baseline PBC Worst Itch NRS score ≥4.</w:t>
            </w:r>
          </w:p>
          <w:p w14:paraId="6D4D6E42" w14:textId="7D80749B" w:rsidR="005C3AF5" w:rsidRDefault="005A1525" w:rsidP="002C6BBF">
            <w:pPr>
              <w:pStyle w:val="TableText0"/>
            </w:pPr>
            <w:r w:rsidRPr="05042C88">
              <w:t>Other</w:t>
            </w:r>
            <w:r w:rsidR="005C3AF5" w:rsidRPr="05042C88">
              <w:t xml:space="preserve"> secondary</w:t>
            </w:r>
            <w:r w:rsidRPr="05042C88">
              <w:t xml:space="preserve">: Change in ALP, ALP response rates, 5-D </w:t>
            </w:r>
            <w:r w:rsidR="00E25E1E" w:rsidRPr="05042C88">
              <w:t>I</w:t>
            </w:r>
            <w:r w:rsidRPr="05042C88">
              <w:t xml:space="preserve">tch </w:t>
            </w:r>
            <w:proofErr w:type="spellStart"/>
            <w:r w:rsidR="00E25E1E" w:rsidRPr="05042C88">
              <w:t>S</w:t>
            </w:r>
            <w:r w:rsidRPr="05042C88">
              <w:t>cale</w:t>
            </w:r>
            <w:r w:rsidR="00C6679D" w:rsidRPr="05042C88">
              <w:rPr>
                <w:vertAlign w:val="superscript"/>
              </w:rPr>
              <w:t>e</w:t>
            </w:r>
            <w:proofErr w:type="spellEnd"/>
            <w:r w:rsidR="00F5308E" w:rsidRPr="05042C88">
              <w:t>,</w:t>
            </w:r>
            <w:r w:rsidRPr="05042C88">
              <w:t xml:space="preserve"> PBC-40</w:t>
            </w:r>
            <w:r w:rsidR="00C6679D" w:rsidRPr="05042C88">
              <w:rPr>
                <w:vertAlign w:val="superscript"/>
              </w:rPr>
              <w:t>f</w:t>
            </w:r>
            <w:r w:rsidRPr="05042C88">
              <w:t>, EQ-5D-5L VAS</w:t>
            </w:r>
            <w:r w:rsidR="005C3AF5" w:rsidRPr="05042C88">
              <w:t>.</w:t>
            </w:r>
          </w:p>
          <w:p w14:paraId="3779D7AC" w14:textId="77777777" w:rsidR="005A1525" w:rsidRDefault="005C3AF5" w:rsidP="002C6BBF">
            <w:pPr>
              <w:pStyle w:val="TableText0"/>
            </w:pPr>
            <w:r>
              <w:t xml:space="preserve">Exploratory: PBC-40 </w:t>
            </w:r>
            <w:r w:rsidR="00164049">
              <w:t>I</w:t>
            </w:r>
            <w:r>
              <w:t xml:space="preserve">tch </w:t>
            </w:r>
            <w:r w:rsidR="00164049">
              <w:t>D</w:t>
            </w:r>
            <w:r>
              <w:t>omain score.</w:t>
            </w:r>
          </w:p>
          <w:p w14:paraId="6DC76214" w14:textId="1CBAB341" w:rsidR="00FB052F" w:rsidRPr="0098262F" w:rsidRDefault="00FB052F" w:rsidP="002C6BBF">
            <w:pPr>
              <w:pStyle w:val="TableText0"/>
            </w:pPr>
            <w:r>
              <w:t>Safety: TEAE</w:t>
            </w:r>
            <w:r w:rsidR="0026338A">
              <w:t>s, AESIs, and discontinuations.</w:t>
            </w:r>
          </w:p>
        </w:tc>
        <w:tc>
          <w:tcPr>
            <w:tcW w:w="618" w:type="pct"/>
            <w:shd w:val="clear" w:color="auto" w:fill="auto"/>
            <w:vAlign w:val="center"/>
          </w:tcPr>
          <w:p w14:paraId="150A804C" w14:textId="42D9E426" w:rsidR="007F1017" w:rsidRPr="00FD5098" w:rsidRDefault="00466A7D" w:rsidP="00EC5836">
            <w:pPr>
              <w:pStyle w:val="TableText0"/>
              <w:jc w:val="center"/>
            </w:pPr>
            <w:r w:rsidRPr="00FD5098">
              <w:t>Patient-level data on ALP</w:t>
            </w:r>
            <w:r w:rsidR="007C37B9" w:rsidRPr="00FD5098">
              <w:t xml:space="preserve"> and TB, </w:t>
            </w:r>
            <w:r w:rsidR="00F73860" w:rsidRPr="00FD5098">
              <w:t>drug exposure days</w:t>
            </w:r>
            <w:r w:rsidR="007C37B9" w:rsidRPr="00FD5098">
              <w:t>,</w:t>
            </w:r>
            <w:r w:rsidR="00F73860" w:rsidRPr="00FD5098">
              <w:t xml:space="preserve"> </w:t>
            </w:r>
            <w:r w:rsidR="005F59B7" w:rsidRPr="00FD5098">
              <w:t>all-cause discontinuations,</w:t>
            </w:r>
            <w:r w:rsidR="007C37B9" w:rsidRPr="00FD5098">
              <w:t xml:space="preserve"> PBC-40 itch domain</w:t>
            </w:r>
            <w:r w:rsidR="00AD4987" w:rsidRPr="00FD5098">
              <w:t>, TEAEs</w:t>
            </w:r>
          </w:p>
        </w:tc>
      </w:tr>
      <w:tr w:rsidR="00A43601" w:rsidRPr="0098262F" w14:paraId="6451D8D2" w14:textId="77777777" w:rsidTr="05042C88">
        <w:trPr>
          <w:cantSplit/>
          <w:trHeight w:val="70"/>
        </w:trPr>
        <w:tc>
          <w:tcPr>
            <w:tcW w:w="5000" w:type="pct"/>
            <w:gridSpan w:val="7"/>
            <w:shd w:val="clear" w:color="auto" w:fill="auto"/>
            <w:vAlign w:val="center"/>
          </w:tcPr>
          <w:p w14:paraId="43851A61" w14:textId="4D72D938" w:rsidR="00A43601" w:rsidRPr="0098262F" w:rsidRDefault="00A43601" w:rsidP="00777D20">
            <w:pPr>
              <w:pStyle w:val="In-tableHeading"/>
              <w:rPr>
                <w:lang w:val="en-AU"/>
              </w:rPr>
            </w:pPr>
            <w:r w:rsidRPr="00A43601">
              <w:rPr>
                <w:lang w:val="en-AU"/>
              </w:rPr>
              <w:t>OCA + UDCA vs UDCA+ placebo for UDCA inadequate responders or OCA vs placebo for UDCA intolerant</w:t>
            </w:r>
          </w:p>
        </w:tc>
      </w:tr>
      <w:tr w:rsidR="005A1525" w:rsidRPr="0098262F" w14:paraId="13A6895C" w14:textId="77777777" w:rsidTr="05042C88">
        <w:trPr>
          <w:cantSplit/>
        </w:trPr>
        <w:tc>
          <w:tcPr>
            <w:tcW w:w="405" w:type="pct"/>
            <w:shd w:val="clear" w:color="auto" w:fill="auto"/>
            <w:vAlign w:val="center"/>
          </w:tcPr>
          <w:p w14:paraId="4A9488B3" w14:textId="6091147C" w:rsidR="007F1017" w:rsidRPr="0098262F" w:rsidRDefault="000816D9" w:rsidP="00EC5836">
            <w:pPr>
              <w:pStyle w:val="TableText0"/>
            </w:pPr>
            <w:r w:rsidRPr="000816D9">
              <w:t>POISE</w:t>
            </w:r>
          </w:p>
        </w:tc>
        <w:tc>
          <w:tcPr>
            <w:tcW w:w="183" w:type="pct"/>
            <w:shd w:val="clear" w:color="auto" w:fill="auto"/>
            <w:vAlign w:val="center"/>
          </w:tcPr>
          <w:p w14:paraId="3F4D20B5" w14:textId="5519FD9C" w:rsidR="007F1017" w:rsidRPr="0098262F" w:rsidRDefault="000816D9" w:rsidP="00EC5836">
            <w:pPr>
              <w:pStyle w:val="TableText0"/>
              <w:jc w:val="center"/>
            </w:pPr>
            <w:r>
              <w:t>217</w:t>
            </w:r>
          </w:p>
        </w:tc>
        <w:tc>
          <w:tcPr>
            <w:tcW w:w="454" w:type="pct"/>
            <w:shd w:val="clear" w:color="auto" w:fill="auto"/>
            <w:vAlign w:val="center"/>
          </w:tcPr>
          <w:p w14:paraId="0CEC85E4" w14:textId="0AB9C272" w:rsidR="007F1017" w:rsidRPr="0098262F" w:rsidRDefault="007F1017" w:rsidP="00EC5836">
            <w:pPr>
              <w:pStyle w:val="TableText0"/>
              <w:jc w:val="center"/>
            </w:pPr>
            <w:r w:rsidRPr="0098262F">
              <w:t xml:space="preserve">R, </w:t>
            </w:r>
            <w:r w:rsidR="000816D9">
              <w:t>DB</w:t>
            </w:r>
            <w:r w:rsidR="009E7259">
              <w:t xml:space="preserve"> </w:t>
            </w:r>
            <w:r w:rsidR="00C6679D" w:rsidRPr="00C6679D">
              <w:rPr>
                <w:vertAlign w:val="superscript"/>
              </w:rPr>
              <w:t>g</w:t>
            </w:r>
          </w:p>
          <w:p w14:paraId="68D92FE7" w14:textId="6A75DA3F" w:rsidR="007F1017" w:rsidRPr="0098262F" w:rsidRDefault="000816D9" w:rsidP="05042C88">
            <w:pPr>
              <w:pStyle w:val="TableText0"/>
              <w:jc w:val="center"/>
            </w:pPr>
            <w:r w:rsidRPr="05042C88">
              <w:t>12</w:t>
            </w:r>
            <w:r w:rsidR="007F1017" w:rsidRPr="05042C88">
              <w:t xml:space="preserve"> </w:t>
            </w:r>
            <w:proofErr w:type="spellStart"/>
            <w:r w:rsidR="007F1017" w:rsidRPr="05042C88">
              <w:t>mths</w:t>
            </w:r>
            <w:proofErr w:type="spellEnd"/>
          </w:p>
        </w:tc>
        <w:tc>
          <w:tcPr>
            <w:tcW w:w="451" w:type="pct"/>
            <w:shd w:val="clear" w:color="auto" w:fill="auto"/>
            <w:vAlign w:val="center"/>
          </w:tcPr>
          <w:p w14:paraId="6F0F93F8" w14:textId="6760A170" w:rsidR="007F1017" w:rsidRPr="00FD5098" w:rsidRDefault="000816D9" w:rsidP="00EC5836">
            <w:pPr>
              <w:pStyle w:val="TableText0"/>
              <w:jc w:val="center"/>
              <w:rPr>
                <w:iCs/>
              </w:rPr>
            </w:pPr>
            <w:r w:rsidRPr="00FD5098">
              <w:rPr>
                <w:iCs/>
              </w:rPr>
              <w:t>Moderate</w:t>
            </w:r>
          </w:p>
        </w:tc>
        <w:tc>
          <w:tcPr>
            <w:tcW w:w="1098" w:type="pct"/>
            <w:shd w:val="clear" w:color="auto" w:fill="auto"/>
            <w:vAlign w:val="center"/>
          </w:tcPr>
          <w:p w14:paraId="51C3565B" w14:textId="2B9AD528" w:rsidR="001139BC" w:rsidRDefault="00736D82" w:rsidP="002C6BBF">
            <w:pPr>
              <w:pStyle w:val="TableText0"/>
              <w:rPr>
                <w:rFonts w:cstheme="minorHAnsi"/>
                <w:szCs w:val="18"/>
              </w:rPr>
            </w:pPr>
            <w:r>
              <w:t>Aged ≥18 years, PBC,</w:t>
            </w:r>
            <w:r w:rsidR="00FF1079">
              <w:t xml:space="preserve"> </w:t>
            </w:r>
            <w:r>
              <w:t xml:space="preserve">ALP </w:t>
            </w:r>
            <w:r w:rsidRPr="00391C46">
              <w:rPr>
                <w:rFonts w:cstheme="minorHAnsi"/>
                <w:szCs w:val="18"/>
              </w:rPr>
              <w:t>≥ 1.67</w:t>
            </w:r>
            <w:r>
              <w:rPr>
                <w:rFonts w:cstheme="minorHAnsi"/>
                <w:szCs w:val="18"/>
              </w:rPr>
              <w:t xml:space="preserve"> </w:t>
            </w:r>
            <w:r w:rsidRPr="00391C46">
              <w:rPr>
                <w:rFonts w:cstheme="minorHAnsi"/>
                <w:szCs w:val="18"/>
              </w:rPr>
              <w:t>x ULN</w:t>
            </w:r>
            <w:r>
              <w:rPr>
                <w:rFonts w:cstheme="minorHAnsi"/>
                <w:szCs w:val="18"/>
              </w:rPr>
              <w:t xml:space="preserve"> </w:t>
            </w:r>
            <w:r w:rsidRPr="001C15AD">
              <w:rPr>
                <w:rFonts w:cstheme="minorHAnsi"/>
                <w:szCs w:val="18"/>
                <w:u w:val="single"/>
              </w:rPr>
              <w:t>or</w:t>
            </w:r>
            <w:r>
              <w:rPr>
                <w:rFonts w:cstheme="minorHAnsi"/>
                <w:szCs w:val="18"/>
              </w:rPr>
              <w:t xml:space="preserve"> TB</w:t>
            </w:r>
            <w:r w:rsidRPr="00391C46">
              <w:rPr>
                <w:rFonts w:cstheme="minorHAnsi"/>
                <w:szCs w:val="18"/>
              </w:rPr>
              <w:t xml:space="preserve"> &lt; 2</w:t>
            </w:r>
            <w:r>
              <w:rPr>
                <w:rFonts w:cstheme="minorHAnsi"/>
                <w:szCs w:val="18"/>
              </w:rPr>
              <w:t xml:space="preserve"> </w:t>
            </w:r>
            <w:r w:rsidRPr="00391C46">
              <w:rPr>
                <w:rFonts w:cstheme="minorHAnsi"/>
                <w:szCs w:val="18"/>
              </w:rPr>
              <w:t>x ULN</w:t>
            </w:r>
            <w:r>
              <w:rPr>
                <w:rFonts w:cstheme="minorHAnsi"/>
                <w:szCs w:val="18"/>
              </w:rPr>
              <w:t>.</w:t>
            </w:r>
          </w:p>
          <w:p w14:paraId="09938BC2" w14:textId="77777777" w:rsidR="001139BC" w:rsidRDefault="001139BC" w:rsidP="002C6BBF">
            <w:pPr>
              <w:pStyle w:val="TableText0"/>
              <w:rPr>
                <w:rFonts w:cstheme="minorHAnsi"/>
                <w:szCs w:val="18"/>
              </w:rPr>
            </w:pPr>
          </w:p>
          <w:p w14:paraId="43AC963E" w14:textId="4B07AE81" w:rsidR="007F1017" w:rsidRPr="0098262F" w:rsidRDefault="001139BC" w:rsidP="002C6BBF">
            <w:pPr>
              <w:pStyle w:val="TableText0"/>
            </w:pPr>
            <w:r>
              <w:rPr>
                <w:rFonts w:cstheme="minorHAnsi"/>
                <w:szCs w:val="18"/>
              </w:rPr>
              <w:t>E</w:t>
            </w:r>
            <w:r w:rsidR="00736D82">
              <w:rPr>
                <w:rFonts w:cstheme="minorHAnsi"/>
                <w:szCs w:val="18"/>
              </w:rPr>
              <w:t xml:space="preserve">xcluded if they had </w:t>
            </w:r>
            <w:r w:rsidR="00736D82" w:rsidRPr="00C10421">
              <w:t>clinically significant hepatic decompensation</w:t>
            </w:r>
            <w:r w:rsidR="00736D82">
              <w:t xml:space="preserve">, or </w:t>
            </w:r>
            <w:r w:rsidR="00736D82" w:rsidRPr="00CB4CE9">
              <w:t xml:space="preserve">severe pruritus requiring current or prior systemic </w:t>
            </w:r>
            <w:r w:rsidR="00736D82" w:rsidRPr="00FD35EB">
              <w:t>treatment</w:t>
            </w:r>
          </w:p>
        </w:tc>
        <w:tc>
          <w:tcPr>
            <w:tcW w:w="1791" w:type="pct"/>
            <w:shd w:val="clear" w:color="auto" w:fill="auto"/>
            <w:vAlign w:val="center"/>
          </w:tcPr>
          <w:p w14:paraId="6F6BC61D" w14:textId="73A82A43" w:rsidR="005C3AF5" w:rsidRDefault="004D5DBD" w:rsidP="05042C88">
            <w:pPr>
              <w:pStyle w:val="TableText0"/>
              <w:rPr>
                <w:vertAlign w:val="superscript"/>
              </w:rPr>
            </w:pPr>
            <w:r w:rsidRPr="05042C88">
              <w:t xml:space="preserve">Cholestasis </w:t>
            </w:r>
            <w:proofErr w:type="spellStart"/>
            <w:r w:rsidRPr="05042C88">
              <w:t>response</w:t>
            </w:r>
            <w:r w:rsidR="0030063D" w:rsidRPr="05042C88">
              <w:rPr>
                <w:vertAlign w:val="superscript"/>
              </w:rPr>
              <w:t>b</w:t>
            </w:r>
            <w:proofErr w:type="spellEnd"/>
          </w:p>
          <w:p w14:paraId="12D4A4BB" w14:textId="261723A6" w:rsidR="00F5308E" w:rsidRDefault="005C3AF5" w:rsidP="002C6BBF">
            <w:pPr>
              <w:pStyle w:val="TableText0"/>
            </w:pPr>
            <w:r w:rsidRPr="05042C88">
              <w:t>Secondary:</w:t>
            </w:r>
            <w:r w:rsidRPr="05042C88">
              <w:rPr>
                <w:vertAlign w:val="superscript"/>
              </w:rPr>
              <w:t xml:space="preserve"> </w:t>
            </w:r>
            <w:r w:rsidR="000816D9" w:rsidRPr="05042C88">
              <w:t xml:space="preserve">ALP </w:t>
            </w:r>
            <w:proofErr w:type="spellStart"/>
            <w:r w:rsidR="00727553" w:rsidRPr="05042C88">
              <w:t>normalisation</w:t>
            </w:r>
            <w:r w:rsidR="0030063D" w:rsidRPr="05042C88">
              <w:rPr>
                <w:vertAlign w:val="superscript"/>
              </w:rPr>
              <w:t>c</w:t>
            </w:r>
            <w:proofErr w:type="spellEnd"/>
            <w:r w:rsidR="00727553" w:rsidRPr="05042C88">
              <w:t>;</w:t>
            </w:r>
            <w:r w:rsidR="00F5308E" w:rsidRPr="05042C88">
              <w:t xml:space="preserve"> change in ALP, ALP response rates, 5-D </w:t>
            </w:r>
            <w:r w:rsidR="00164049" w:rsidRPr="05042C88">
              <w:t>I</w:t>
            </w:r>
            <w:r w:rsidR="00F5308E" w:rsidRPr="05042C88">
              <w:t xml:space="preserve">tch </w:t>
            </w:r>
            <w:proofErr w:type="spellStart"/>
            <w:r w:rsidR="00164049" w:rsidRPr="05042C88">
              <w:t>S</w:t>
            </w:r>
            <w:r w:rsidR="00F5308E" w:rsidRPr="05042C88">
              <w:t>cale</w:t>
            </w:r>
            <w:r w:rsidR="00C6679D" w:rsidRPr="05042C88">
              <w:rPr>
                <w:vertAlign w:val="superscript"/>
              </w:rPr>
              <w:t>e</w:t>
            </w:r>
            <w:proofErr w:type="spellEnd"/>
            <w:r w:rsidR="00F5308E" w:rsidRPr="05042C88">
              <w:t>; PBC-40</w:t>
            </w:r>
            <w:r w:rsidR="00C6679D" w:rsidRPr="05042C88">
              <w:rPr>
                <w:vertAlign w:val="superscript"/>
              </w:rPr>
              <w:t>f</w:t>
            </w:r>
            <w:r w:rsidR="00E3029A" w:rsidRPr="05042C88">
              <w:t>.</w:t>
            </w:r>
          </w:p>
          <w:p w14:paraId="323AE528" w14:textId="77777777" w:rsidR="007F1017" w:rsidRDefault="00F5308E" w:rsidP="002C6BBF">
            <w:pPr>
              <w:pStyle w:val="TableText0"/>
            </w:pPr>
            <w:r>
              <w:t xml:space="preserve">Exploratory: PBC-40 </w:t>
            </w:r>
            <w:r w:rsidR="00164049">
              <w:t>I</w:t>
            </w:r>
            <w:r>
              <w:t xml:space="preserve">tch </w:t>
            </w:r>
            <w:r w:rsidR="00164049">
              <w:t>D</w:t>
            </w:r>
            <w:r>
              <w:t>omain score.</w:t>
            </w:r>
          </w:p>
          <w:p w14:paraId="4F0C99D2" w14:textId="1875FFEF" w:rsidR="0026338A" w:rsidRPr="0098262F" w:rsidRDefault="0026338A" w:rsidP="002C6BBF">
            <w:pPr>
              <w:pStyle w:val="TableText0"/>
            </w:pPr>
            <w:r>
              <w:t>Safety: TEAEs, AESIs, and discontinuations.</w:t>
            </w:r>
          </w:p>
        </w:tc>
        <w:tc>
          <w:tcPr>
            <w:tcW w:w="618" w:type="pct"/>
            <w:shd w:val="clear" w:color="auto" w:fill="auto"/>
            <w:vAlign w:val="center"/>
          </w:tcPr>
          <w:p w14:paraId="3175EA34" w14:textId="2D7BF4DE" w:rsidR="007F1017" w:rsidRPr="00FD5098" w:rsidRDefault="00A36EA7" w:rsidP="00EC5836">
            <w:pPr>
              <w:pStyle w:val="TableText0"/>
              <w:jc w:val="center"/>
            </w:pPr>
            <w:r w:rsidRPr="00FD5098">
              <w:t xml:space="preserve">Indirect comparison </w:t>
            </w:r>
            <w:r w:rsidR="007F6C6E" w:rsidRPr="00FD5098">
              <w:t>of cholestasis response, all-cause discontinuations</w:t>
            </w:r>
            <w:r w:rsidR="00AD4987" w:rsidRPr="00FD5098">
              <w:t xml:space="preserve">, </w:t>
            </w:r>
            <w:r w:rsidR="0032504E" w:rsidRPr="00FD5098">
              <w:t xml:space="preserve">pruritus </w:t>
            </w:r>
            <w:r w:rsidR="00AD4987" w:rsidRPr="00FD5098">
              <w:t>TEAE</w:t>
            </w:r>
            <w:r w:rsidR="0032504E" w:rsidRPr="00FD5098">
              <w:t>s</w:t>
            </w:r>
            <w:r w:rsidR="007F6C6E" w:rsidRPr="00FD5098">
              <w:t xml:space="preserve"> and PBC-40 Itch Domain</w:t>
            </w:r>
          </w:p>
        </w:tc>
      </w:tr>
    </w:tbl>
    <w:p w14:paraId="560080D2" w14:textId="0BA3B5B3" w:rsidR="00045017" w:rsidRPr="00FD5098" w:rsidRDefault="00045017" w:rsidP="00EC5836">
      <w:pPr>
        <w:pStyle w:val="FooterTableFigure"/>
      </w:pPr>
      <w:r w:rsidRPr="00FD5098">
        <w:t xml:space="preserve">Source: </w:t>
      </w:r>
      <w:r w:rsidR="004F061A" w:rsidRPr="00FD5098">
        <w:t>Compiled during the evaluation based on</w:t>
      </w:r>
      <w:r w:rsidR="00BE7DF6" w:rsidRPr="00FD5098">
        <w:t xml:space="preserve"> </w:t>
      </w:r>
      <w:r w:rsidR="00854054" w:rsidRPr="00FD5098">
        <w:t>pp65-</w:t>
      </w:r>
      <w:r w:rsidR="00B778E9" w:rsidRPr="00FD5098">
        <w:t>81 of the submission.</w:t>
      </w:r>
    </w:p>
    <w:p w14:paraId="0712B803" w14:textId="3512756D" w:rsidR="008524FC" w:rsidRDefault="00B71809" w:rsidP="00EC5836">
      <w:pPr>
        <w:pStyle w:val="FooterTableFigure"/>
      </w:pPr>
      <w:r w:rsidRPr="05042C88">
        <w:rPr>
          <w:rFonts w:eastAsiaTheme="majorEastAsia"/>
        </w:rPr>
        <w:t xml:space="preserve">AESI: adverse events of special interest; </w:t>
      </w:r>
      <w:r w:rsidR="008524FC" w:rsidRPr="05042C88">
        <w:t>ALP= Alkaline phosphatase;</w:t>
      </w:r>
      <w:r w:rsidR="003F2052" w:rsidRPr="05042C88">
        <w:t xml:space="preserve"> DB = double blind; </w:t>
      </w:r>
      <w:r w:rsidR="008524FC" w:rsidRPr="05042C88">
        <w:t xml:space="preserve">ELA= </w:t>
      </w:r>
      <w:proofErr w:type="spellStart"/>
      <w:r w:rsidR="008524FC" w:rsidRPr="05042C88">
        <w:t>elafibranor</w:t>
      </w:r>
      <w:proofErr w:type="spellEnd"/>
      <w:r w:rsidR="008524FC" w:rsidRPr="05042C88">
        <w:t xml:space="preserve">; OCA = </w:t>
      </w:r>
      <w:proofErr w:type="spellStart"/>
      <w:r w:rsidR="008524FC" w:rsidRPr="05042C88">
        <w:t>obeticholic</w:t>
      </w:r>
      <w:proofErr w:type="spellEnd"/>
      <w:r w:rsidR="008524FC" w:rsidRPr="05042C88">
        <w:t xml:space="preserve"> acid; PBC= Primary biliary cholangitis; R = randomised; TB= total bilirubin; </w:t>
      </w:r>
      <w:r w:rsidR="00CD0B82" w:rsidRPr="05042C88">
        <w:rPr>
          <w:rFonts w:eastAsiaTheme="majorEastAsia"/>
        </w:rPr>
        <w:t xml:space="preserve">TEAE= Treatment-emergent adverse event; </w:t>
      </w:r>
      <w:r w:rsidR="008524FC" w:rsidRPr="05042C88">
        <w:t>UDCA= Ursodeoxycholic acid; ULN= Upper limit of normal; WI-NRS= Worst Itch Numeric Rating Scale.</w:t>
      </w:r>
    </w:p>
    <w:p w14:paraId="0CDEBC82" w14:textId="753A19DC" w:rsidR="00531F41" w:rsidRDefault="00531F41" w:rsidP="00DA74A4">
      <w:pPr>
        <w:pStyle w:val="FooterTableFigure"/>
      </w:pPr>
      <w:r w:rsidRPr="003F2052">
        <w:rPr>
          <w:vertAlign w:val="superscript"/>
        </w:rPr>
        <w:t>a</w:t>
      </w:r>
      <w:r>
        <w:t xml:space="preserve"> </w:t>
      </w:r>
      <w:r w:rsidR="003F2052">
        <w:t>Stratified</w:t>
      </w:r>
      <w:r>
        <w:t xml:space="preserve"> by</w:t>
      </w:r>
      <w:r w:rsidR="00DA74A4">
        <w:t xml:space="preserve"> </w:t>
      </w:r>
      <w:r w:rsidR="003F2052">
        <w:t>b</w:t>
      </w:r>
      <w:r w:rsidR="00DA74A4">
        <w:t>aseline ALP and total bilirubin (ALP &gt;3 x ULN or TB &gt;ULN)</w:t>
      </w:r>
      <w:r w:rsidR="003F2052">
        <w:t xml:space="preserve">; and WI-NRS </w:t>
      </w:r>
      <w:r w:rsidR="00DA74A4">
        <w:t>≥4 (averaged over the 14 days preceding baseline)</w:t>
      </w:r>
    </w:p>
    <w:p w14:paraId="3E3EA9D0" w14:textId="3B4E1061" w:rsidR="00A21E22" w:rsidRDefault="003F2052" w:rsidP="00EC5836">
      <w:pPr>
        <w:pStyle w:val="FooterTableFigure"/>
      </w:pPr>
      <w:r w:rsidRPr="003F2052">
        <w:rPr>
          <w:vertAlign w:val="superscript"/>
        </w:rPr>
        <w:t>b</w:t>
      </w:r>
      <w:r w:rsidR="00531F41">
        <w:t xml:space="preserve"> </w:t>
      </w:r>
      <w:r w:rsidR="00A21E22">
        <w:t>A</w:t>
      </w:r>
      <w:r w:rsidR="00A21E22" w:rsidRPr="00A21E22">
        <w:t>chieving ALP &lt;1.67 x ULN and TB ≤ULN and ALP decrease of ≥15%.</w:t>
      </w:r>
    </w:p>
    <w:p w14:paraId="2514ABDB" w14:textId="0B4F486D" w:rsidR="003F2052" w:rsidRDefault="003F2052" w:rsidP="00EC5836">
      <w:pPr>
        <w:pStyle w:val="FooterTableFigure"/>
      </w:pPr>
      <w:r w:rsidRPr="003F2052">
        <w:rPr>
          <w:vertAlign w:val="superscript"/>
        </w:rPr>
        <w:t>c</w:t>
      </w:r>
      <w:r>
        <w:t xml:space="preserve"> ALP </w:t>
      </w:r>
      <w:r w:rsidRPr="00A21E22">
        <w:t>≤ULN</w:t>
      </w:r>
      <w:r>
        <w:t>.</w:t>
      </w:r>
    </w:p>
    <w:p w14:paraId="24D487EB" w14:textId="0F5B369C" w:rsidR="00C6679D" w:rsidRDefault="00C6679D" w:rsidP="00C6679D">
      <w:pPr>
        <w:pStyle w:val="FooterTableFigure"/>
      </w:pPr>
      <w:r>
        <w:rPr>
          <w:vertAlign w:val="superscript"/>
        </w:rPr>
        <w:t xml:space="preserve">d </w:t>
      </w:r>
      <w:r w:rsidRPr="00F93517">
        <w:t xml:space="preserve">The PBC WI-NRS asks </w:t>
      </w:r>
      <w:r w:rsidR="00AB4DA6">
        <w:t>patients</w:t>
      </w:r>
      <w:r w:rsidR="00AB4DA6" w:rsidRPr="00F93517">
        <w:t xml:space="preserve"> </w:t>
      </w:r>
      <w:r w:rsidRPr="00F93517">
        <w:t>to rate their worst itch over the past 24 hours on a scale ranging from zero (no itch) to 10 (worst itch imaginable).</w:t>
      </w:r>
    </w:p>
    <w:p w14:paraId="4D358698" w14:textId="7D68D6BA" w:rsidR="00C6679D" w:rsidRDefault="00C6679D" w:rsidP="00C6679D">
      <w:pPr>
        <w:pStyle w:val="FooterTableFigure"/>
      </w:pPr>
      <w:r w:rsidRPr="05042C88">
        <w:rPr>
          <w:vertAlign w:val="superscript"/>
        </w:rPr>
        <w:t>e</w:t>
      </w:r>
      <w:r w:rsidRPr="05042C88">
        <w:t xml:space="preserve"> The 5-D Itch Scale comprises of five domains, each accounting for five points: duration, degree, direction, disability and distribution. Scores can range from five (no pruritus) to 25 (most severe pruritus).</w:t>
      </w:r>
    </w:p>
    <w:p w14:paraId="011A6D6F" w14:textId="00EED592" w:rsidR="00C6679D" w:rsidRPr="006D5D47" w:rsidRDefault="00C6679D" w:rsidP="00C6679D">
      <w:pPr>
        <w:pStyle w:val="FooterTableFigure"/>
      </w:pPr>
      <w:r w:rsidRPr="05042C88">
        <w:rPr>
          <w:vertAlign w:val="superscript"/>
        </w:rPr>
        <w:t>f</w:t>
      </w:r>
      <w:r w:rsidRPr="05042C88">
        <w:t xml:space="preserve"> The PBC-40 comprises of 40 questions that evaluate </w:t>
      </w:r>
      <w:r w:rsidR="00AB4DA6" w:rsidRPr="05042C88">
        <w:t xml:space="preserve">patients’ </w:t>
      </w:r>
      <w:r w:rsidRPr="05042C88">
        <w:t xml:space="preserve">experience across 6 domains: fatigue, emotional impact, social impact, cognitive function, general symptoms and itch. Each question is scored from 1 to 5 (5-point Likert Scale), then summed to give a total domain score. High scores represent high impact, and low scores low impact of PBC on quality of life. </w:t>
      </w:r>
    </w:p>
    <w:p w14:paraId="1218406B" w14:textId="1D1B7FAA" w:rsidR="0030063D" w:rsidRPr="0098262F" w:rsidRDefault="00C6679D" w:rsidP="00F6252E">
      <w:pPr>
        <w:pStyle w:val="FooterTableFigure"/>
        <w:rPr>
          <w:sz w:val="20"/>
        </w:rPr>
      </w:pPr>
      <w:r>
        <w:rPr>
          <w:vertAlign w:val="superscript"/>
        </w:rPr>
        <w:t>g</w:t>
      </w:r>
      <w:r w:rsidR="00F6252E">
        <w:t xml:space="preserve"> Stratified by Paris 1 risk criteria (ALP ≥ 3 x ULN or AST ≥ 2 x ULN or bilirubin &gt; ULN); and the use or non-use of UDCA prior to the POISE trial.</w:t>
      </w:r>
    </w:p>
    <w:p w14:paraId="300CD473" w14:textId="5745CCBB" w:rsidR="005E5DAA" w:rsidRPr="00E2449A" w:rsidRDefault="00036010" w:rsidP="00B2673F">
      <w:pPr>
        <w:pStyle w:val="3-BodyText"/>
      </w:pPr>
      <w:bookmarkStart w:id="33" w:name="_Ref184673530"/>
      <w:r w:rsidRPr="00E2449A">
        <w:t xml:space="preserve">The </w:t>
      </w:r>
      <w:r w:rsidR="00A11A2A" w:rsidRPr="00E2449A">
        <w:t xml:space="preserve">ESC considered that the </w:t>
      </w:r>
      <w:r w:rsidRPr="00E2449A">
        <w:t>ELATIVE trial had a low risk of bias for the primary endpoint (cholestasis response) and first secondary endpoint (ALP normalisation)</w:t>
      </w:r>
      <w:r w:rsidR="008033CF" w:rsidRPr="00E2449A">
        <w:t xml:space="preserve"> as they were analysed using the intent-to-treat population</w:t>
      </w:r>
      <w:r w:rsidR="00B912F9" w:rsidRPr="00E2449A">
        <w:t>.</w:t>
      </w:r>
      <w:r w:rsidR="00B778E9" w:rsidRPr="00E2449A">
        <w:t xml:space="preserve"> </w:t>
      </w:r>
      <w:r w:rsidR="00B912F9" w:rsidRPr="00E2449A">
        <w:t xml:space="preserve">However, </w:t>
      </w:r>
      <w:r w:rsidR="00A11A2A" w:rsidRPr="00E2449A">
        <w:t xml:space="preserve">the ESC considered that </w:t>
      </w:r>
      <w:r w:rsidR="00B912F9" w:rsidRPr="00E2449A">
        <w:t>there was a</w:t>
      </w:r>
      <w:r w:rsidRPr="00E2449A">
        <w:t xml:space="preserve"> moderate risk of bias for the secondary endpoints </w:t>
      </w:r>
      <w:r w:rsidR="000D0D07" w:rsidRPr="00E2449A">
        <w:t xml:space="preserve">regarding pruritus </w:t>
      </w:r>
      <w:r w:rsidR="00C51AE8" w:rsidRPr="00E2449A">
        <w:lastRenderedPageBreak/>
        <w:t>(</w:t>
      </w:r>
      <w:r w:rsidR="00B92E2D" w:rsidRPr="00E2449A">
        <w:t xml:space="preserve">e.g. </w:t>
      </w:r>
      <w:r w:rsidR="00C51AE8" w:rsidRPr="00E2449A">
        <w:t xml:space="preserve">PBC </w:t>
      </w:r>
      <w:r w:rsidR="00425FE3" w:rsidRPr="00E2449A">
        <w:t>Worst Itch Numeric</w:t>
      </w:r>
      <w:r w:rsidR="00FB6544" w:rsidRPr="00E2449A">
        <w:t>al</w:t>
      </w:r>
      <w:r w:rsidR="00425FE3" w:rsidRPr="00E2449A">
        <w:t xml:space="preserve"> Rating Scale (</w:t>
      </w:r>
      <w:r w:rsidR="00C51AE8" w:rsidRPr="00E2449A">
        <w:t>WI-NRS</w:t>
      </w:r>
      <w:r w:rsidR="00425FE3" w:rsidRPr="00E2449A">
        <w:t>)</w:t>
      </w:r>
      <w:r w:rsidR="00C51AE8" w:rsidRPr="00E2449A">
        <w:t xml:space="preserve"> score</w:t>
      </w:r>
      <w:r w:rsidR="00B92E2D" w:rsidRPr="00E2449A">
        <w:t xml:space="preserve">, 5-D </w:t>
      </w:r>
      <w:r w:rsidR="0021445B" w:rsidRPr="00E2449A">
        <w:t>I</w:t>
      </w:r>
      <w:r w:rsidR="00B92E2D" w:rsidRPr="00E2449A">
        <w:t xml:space="preserve">tch </w:t>
      </w:r>
      <w:r w:rsidR="00164049" w:rsidRPr="00E2449A">
        <w:t xml:space="preserve">Scale </w:t>
      </w:r>
      <w:r w:rsidR="0021445B" w:rsidRPr="00E2449A">
        <w:t>score</w:t>
      </w:r>
      <w:r w:rsidR="0086558F" w:rsidRPr="00E2449A">
        <w:t>, and PBC-40 Itch Domain score</w:t>
      </w:r>
      <w:r w:rsidR="00C51AE8" w:rsidRPr="00E2449A">
        <w:t>)</w:t>
      </w:r>
      <w:r w:rsidR="005E5DAA" w:rsidRPr="00E2449A">
        <w:t xml:space="preserve"> </w:t>
      </w:r>
      <w:r w:rsidR="00CF348F" w:rsidRPr="00E2449A">
        <w:t>as</w:t>
      </w:r>
      <w:r w:rsidR="005E5DAA" w:rsidRPr="00E2449A">
        <w:t>:</w:t>
      </w:r>
      <w:r w:rsidR="00C51AE8" w:rsidRPr="00E2449A">
        <w:t xml:space="preserve"> </w:t>
      </w:r>
    </w:p>
    <w:p w14:paraId="48C9CAF6" w14:textId="1C5689D2" w:rsidR="005E5DAA" w:rsidRPr="00E2449A" w:rsidRDefault="00A11A2A" w:rsidP="006A40EC">
      <w:pPr>
        <w:pStyle w:val="ListParagraph"/>
        <w:ind w:left="1080"/>
        <w:jc w:val="both"/>
      </w:pPr>
      <w:r w:rsidRPr="00E2449A">
        <w:t>t</w:t>
      </w:r>
      <w:r w:rsidR="00696583" w:rsidRPr="00E2449A">
        <w:t xml:space="preserve">hese endpoints </w:t>
      </w:r>
      <w:r w:rsidR="00F8400B" w:rsidRPr="00E2449A">
        <w:t xml:space="preserve">were analysed </w:t>
      </w:r>
      <w:r w:rsidR="00696583" w:rsidRPr="00E2449A">
        <w:t xml:space="preserve">using the </w:t>
      </w:r>
      <w:r w:rsidR="00E85900" w:rsidRPr="00E2449A">
        <w:t>P</w:t>
      </w:r>
      <w:r w:rsidR="00696583" w:rsidRPr="00E2449A">
        <w:t>ruritus</w:t>
      </w:r>
      <w:r w:rsidR="00F6531A" w:rsidRPr="00E2449A">
        <w:t xml:space="preserve"> Intent-to-treat (</w:t>
      </w:r>
      <w:r w:rsidR="00696583" w:rsidRPr="00E2449A">
        <w:t>ITT</w:t>
      </w:r>
      <w:r w:rsidR="00F6531A" w:rsidRPr="00E2449A">
        <w:t>)</w:t>
      </w:r>
      <w:r w:rsidR="00696583" w:rsidRPr="00E2449A">
        <w:t xml:space="preserve"> analysis set (</w:t>
      </w:r>
      <w:r w:rsidR="00AB4DA6" w:rsidRPr="00E2449A">
        <w:t xml:space="preserve">patients </w:t>
      </w:r>
      <w:r w:rsidR="00696583" w:rsidRPr="00E2449A">
        <w:t xml:space="preserve">with baseline PBC WI-NRS score ≥4). The results were not generalisable to the whole </w:t>
      </w:r>
      <w:r w:rsidR="00AF74BD" w:rsidRPr="00E2449A">
        <w:t xml:space="preserve">ITT or </w:t>
      </w:r>
      <w:r w:rsidR="00696583" w:rsidRPr="00E2449A">
        <w:t xml:space="preserve">PBC population due to the exclusion of </w:t>
      </w:r>
      <w:r w:rsidR="00AB4DA6" w:rsidRPr="00E2449A">
        <w:t xml:space="preserve">patients </w:t>
      </w:r>
      <w:r w:rsidR="00696583" w:rsidRPr="00E2449A">
        <w:t>with PBC WI-NRS score &lt;4.</w:t>
      </w:r>
    </w:p>
    <w:p w14:paraId="07803F91" w14:textId="31DE55EB" w:rsidR="00036010" w:rsidRPr="00E2449A" w:rsidRDefault="00A11A2A" w:rsidP="006A40EC">
      <w:pPr>
        <w:pStyle w:val="ListParagraph"/>
        <w:ind w:left="1080"/>
        <w:jc w:val="both"/>
      </w:pPr>
      <w:r w:rsidRPr="00E2449A">
        <w:t>p</w:t>
      </w:r>
      <w:r w:rsidR="0040063E" w:rsidRPr="00E2449A">
        <w:t xml:space="preserve">ruritus </w:t>
      </w:r>
      <w:r w:rsidR="00C51AE8" w:rsidRPr="00E2449A">
        <w:t xml:space="preserve">scores for </w:t>
      </w:r>
      <w:r w:rsidR="00AB4DA6" w:rsidRPr="00E2449A">
        <w:t xml:space="preserve">patients </w:t>
      </w:r>
      <w:r w:rsidR="00C51AE8" w:rsidRPr="00E2449A">
        <w:t xml:space="preserve">who stopped the study treatment </w:t>
      </w:r>
      <w:r w:rsidR="003974A8" w:rsidRPr="00E2449A">
        <w:t xml:space="preserve">prematurely </w:t>
      </w:r>
      <w:r w:rsidR="00C51AE8" w:rsidRPr="00E2449A">
        <w:t xml:space="preserve">or took a rescue therapy for pruritus prior to Week 52 assessment were considered as missing. The data was analysed using a Mixed Model for Repeated Measures (MMRM) and missing values were assumed to be missing at random. The treatment effect may be overestimated as these </w:t>
      </w:r>
      <w:r w:rsidR="00AB4DA6" w:rsidRPr="00E2449A">
        <w:t xml:space="preserve">patients </w:t>
      </w:r>
      <w:r w:rsidR="00C51AE8" w:rsidRPr="00E2449A">
        <w:t xml:space="preserve">may have had </w:t>
      </w:r>
      <w:r w:rsidR="00DF0475" w:rsidRPr="00E2449A">
        <w:t xml:space="preserve">worse </w:t>
      </w:r>
      <w:r w:rsidR="00A01EBC" w:rsidRPr="00E2449A">
        <w:t xml:space="preserve">pruritus </w:t>
      </w:r>
      <w:r w:rsidR="00C51AE8" w:rsidRPr="00E2449A">
        <w:t>score</w:t>
      </w:r>
      <w:r w:rsidR="00AF2488" w:rsidRPr="00E2449A">
        <w:t>s</w:t>
      </w:r>
      <w:r w:rsidR="00C51AE8" w:rsidRPr="00E2449A">
        <w:t xml:space="preserve"> as they discontinued</w:t>
      </w:r>
      <w:r w:rsidR="00AF74BD" w:rsidRPr="00E2449A">
        <w:t>,</w:t>
      </w:r>
      <w:r w:rsidR="00C51AE8" w:rsidRPr="00E2449A">
        <w:t xml:space="preserve"> or took rescue therapy due to severe pruritus</w:t>
      </w:r>
      <w:r w:rsidR="00D82604" w:rsidRPr="00E2449A">
        <w:t xml:space="preserve">, </w:t>
      </w:r>
      <w:r w:rsidR="00F645D2" w:rsidRPr="00E2449A">
        <w:t xml:space="preserve">thus were </w:t>
      </w:r>
      <w:bookmarkEnd w:id="33"/>
      <w:r w:rsidR="00B22501" w:rsidRPr="00E2449A">
        <w:t>not missing at random</w:t>
      </w:r>
      <w:r w:rsidR="00D82604" w:rsidRPr="00E2449A">
        <w:t>.</w:t>
      </w:r>
    </w:p>
    <w:p w14:paraId="1ECABF57" w14:textId="0F71AD3C" w:rsidR="009847DE" w:rsidRPr="00E2449A" w:rsidRDefault="009847DE" w:rsidP="00EC5836">
      <w:pPr>
        <w:pStyle w:val="3-BodyText"/>
      </w:pPr>
      <w:r w:rsidRPr="00E2449A">
        <w:t>The PBAC previously considered the unblinding due to the occurrence of pruritus introduced a moderate potential for bias in the POISE trial (para</w:t>
      </w:r>
      <w:r w:rsidR="006A40EC" w:rsidRPr="00E2449A">
        <w:t>graph</w:t>
      </w:r>
      <w:r w:rsidRPr="00E2449A">
        <w:t xml:space="preserve"> 6.9, </w:t>
      </w:r>
      <w:proofErr w:type="spellStart"/>
      <w:r w:rsidRPr="00E2449A">
        <w:t>obeticholic</w:t>
      </w:r>
      <w:proofErr w:type="spellEnd"/>
      <w:r w:rsidRPr="00E2449A">
        <w:t xml:space="preserve"> acid</w:t>
      </w:r>
      <w:r w:rsidR="00E73E9A" w:rsidRPr="00E2449A">
        <w:t>,</w:t>
      </w:r>
      <w:r w:rsidRPr="00E2449A">
        <w:t xml:space="preserve"> </w:t>
      </w:r>
      <w:r w:rsidR="00E73E9A" w:rsidRPr="00E2449A">
        <w:t>Public Summary Document (</w:t>
      </w:r>
      <w:r w:rsidRPr="00E2449A">
        <w:t>PSD</w:t>
      </w:r>
      <w:r w:rsidR="00E73E9A" w:rsidRPr="00E2449A">
        <w:t>)</w:t>
      </w:r>
      <w:r w:rsidRPr="00E2449A">
        <w:t>, November 2018</w:t>
      </w:r>
      <w:r w:rsidR="008B4CBB" w:rsidRPr="00E2449A">
        <w:t xml:space="preserve"> PBAC meeting</w:t>
      </w:r>
      <w:r w:rsidRPr="00E2449A">
        <w:t>).</w:t>
      </w:r>
    </w:p>
    <w:p w14:paraId="384935A8" w14:textId="472EFB91" w:rsidR="00DC7155" w:rsidRPr="00E2449A" w:rsidRDefault="00DC7155" w:rsidP="00DC7155">
      <w:pPr>
        <w:pStyle w:val="3-BodyText"/>
      </w:pPr>
      <w:bookmarkStart w:id="34" w:name="_Ref184673533"/>
      <w:r w:rsidRPr="00E2449A">
        <w:t>T</w:t>
      </w:r>
      <w:r w:rsidR="00A11A2A" w:rsidRPr="00E2449A">
        <w:t>he ESC noted that t</w:t>
      </w:r>
      <w:r w:rsidRPr="00E2449A">
        <w:t>here were differences across the ELATIVE and POISE trials</w:t>
      </w:r>
      <w:r w:rsidR="0027296D" w:rsidRPr="00E2449A">
        <w:t>, which affect</w:t>
      </w:r>
      <w:r w:rsidR="0097646A" w:rsidRPr="00E2449A">
        <w:t>ed</w:t>
      </w:r>
      <w:r w:rsidR="0027296D" w:rsidRPr="00E2449A">
        <w:t xml:space="preserve"> the assumption of transitivity, including</w:t>
      </w:r>
      <w:r w:rsidRPr="00E2449A">
        <w:t>:</w:t>
      </w:r>
      <w:bookmarkEnd w:id="34"/>
    </w:p>
    <w:p w14:paraId="5E8EC415" w14:textId="350E9855" w:rsidR="001C15AD" w:rsidRPr="00E2449A" w:rsidRDefault="00A11A2A" w:rsidP="006A40EC">
      <w:pPr>
        <w:pStyle w:val="ListParagraph"/>
        <w:ind w:left="1080"/>
        <w:jc w:val="both"/>
      </w:pPr>
      <w:r w:rsidRPr="00E2449A">
        <w:t>t</w:t>
      </w:r>
      <w:r w:rsidR="001C15AD" w:rsidRPr="00E2449A">
        <w:t xml:space="preserve">he POISE trial required for patients to have an ALP level or a TB level </w:t>
      </w:r>
      <w:r w:rsidR="00F21EEC" w:rsidRPr="00E2449A">
        <w:t xml:space="preserve">to meet </w:t>
      </w:r>
      <w:r w:rsidR="001C15AD" w:rsidRPr="00E2449A">
        <w:t xml:space="preserve">a threshold, </w:t>
      </w:r>
      <w:r w:rsidR="00F21EEC" w:rsidRPr="00E2449A">
        <w:t xml:space="preserve">while the ELATIVE trial required </w:t>
      </w:r>
      <w:r w:rsidR="001C15AD" w:rsidRPr="00E2449A">
        <w:t xml:space="preserve">both ALP and TB </w:t>
      </w:r>
      <w:r w:rsidR="00F21EEC" w:rsidRPr="00E2449A">
        <w:t xml:space="preserve">to </w:t>
      </w:r>
      <w:r w:rsidR="001C15AD" w:rsidRPr="00E2449A">
        <w:t xml:space="preserve">meet the threshold. </w:t>
      </w:r>
    </w:p>
    <w:p w14:paraId="63A3BD05" w14:textId="0BF6BDA3" w:rsidR="00DC7155" w:rsidRPr="00E2449A" w:rsidRDefault="00A11A2A" w:rsidP="006A40EC">
      <w:pPr>
        <w:pStyle w:val="ListParagraph"/>
        <w:ind w:left="1080"/>
        <w:jc w:val="both"/>
      </w:pPr>
      <w:r w:rsidRPr="00E2449A">
        <w:t>t</w:t>
      </w:r>
      <w:r w:rsidR="00DC7155" w:rsidRPr="00E2449A">
        <w:t xml:space="preserve">he POISE trial excluded </w:t>
      </w:r>
      <w:r w:rsidR="00AB4DA6" w:rsidRPr="00E2449A">
        <w:t>patients</w:t>
      </w:r>
      <w:r w:rsidR="00DC7155" w:rsidRPr="00E2449A">
        <w:t xml:space="preserve"> with severe pruritus,</w:t>
      </w:r>
      <w:r w:rsidR="00F21EEC" w:rsidRPr="00E2449A">
        <w:t xml:space="preserve"> while</w:t>
      </w:r>
      <w:r w:rsidR="00DC7155" w:rsidRPr="00E2449A">
        <w:t xml:space="preserve"> the ELATIVE trial did not exclude these </w:t>
      </w:r>
      <w:r w:rsidR="00AB4DA6" w:rsidRPr="00E2449A">
        <w:t>patients</w:t>
      </w:r>
      <w:r w:rsidR="00DC7155" w:rsidRPr="00E2449A">
        <w:t>.</w:t>
      </w:r>
    </w:p>
    <w:p w14:paraId="702927DF" w14:textId="13D5D801" w:rsidR="007A12BE" w:rsidRPr="00E2449A" w:rsidRDefault="00A11A2A" w:rsidP="006A40EC">
      <w:pPr>
        <w:pStyle w:val="ListParagraph"/>
        <w:ind w:left="1080"/>
        <w:jc w:val="both"/>
      </w:pPr>
      <w:r w:rsidRPr="00E2449A">
        <w:t>p</w:t>
      </w:r>
      <w:r w:rsidR="00F67E2B" w:rsidRPr="00E2449A">
        <w:t>a</w:t>
      </w:r>
      <w:r w:rsidR="00AB4DA6" w:rsidRPr="00E2449A">
        <w:t>tients</w:t>
      </w:r>
      <w:r w:rsidR="00F67E2B" w:rsidRPr="00E2449A">
        <w:t xml:space="preserve"> in the </w:t>
      </w:r>
      <w:proofErr w:type="spellStart"/>
      <w:r w:rsidR="00F67E2B" w:rsidRPr="00E2449A">
        <w:t>elafibranor</w:t>
      </w:r>
      <w:proofErr w:type="spellEnd"/>
      <w:r w:rsidR="00F67E2B" w:rsidRPr="00E2449A">
        <w:t xml:space="preserve"> arm</w:t>
      </w:r>
      <w:r w:rsidR="00CD171A" w:rsidRPr="00E2449A">
        <w:t xml:space="preserve"> </w:t>
      </w:r>
      <w:r w:rsidR="00F67E2B" w:rsidRPr="00E2449A">
        <w:t xml:space="preserve">were less likely to receive </w:t>
      </w:r>
      <w:r w:rsidR="002A4020" w:rsidRPr="00E2449A">
        <w:t>concomitant medication</w:t>
      </w:r>
      <w:r w:rsidR="000729DD" w:rsidRPr="00E2449A">
        <w:t xml:space="preserve"> during the trial</w:t>
      </w:r>
      <w:r w:rsidR="002A4020" w:rsidRPr="00E2449A">
        <w:t xml:space="preserve"> for pruritus </w:t>
      </w:r>
      <w:r w:rsidR="00F67E2B" w:rsidRPr="00E2449A">
        <w:t xml:space="preserve">compared to </w:t>
      </w:r>
      <w:r w:rsidR="00AB4DA6" w:rsidRPr="00E2449A">
        <w:t xml:space="preserve">patients </w:t>
      </w:r>
      <w:r w:rsidR="00F67E2B" w:rsidRPr="00E2449A">
        <w:t>in the placebo arm</w:t>
      </w:r>
      <w:r w:rsidR="000D409A" w:rsidRPr="00E2449A">
        <w:t xml:space="preserve"> in the ELATIVE trial</w:t>
      </w:r>
      <w:r w:rsidR="00F67E2B" w:rsidRPr="00E2449A">
        <w:t xml:space="preserve"> (13.0% vs 22.6%). </w:t>
      </w:r>
      <w:r w:rsidR="00CD171A" w:rsidRPr="00E2449A">
        <w:t xml:space="preserve">In contrast, </w:t>
      </w:r>
      <w:r w:rsidR="00AB4DA6" w:rsidRPr="00E2449A">
        <w:t xml:space="preserve">patients </w:t>
      </w:r>
      <w:r w:rsidR="00CD171A" w:rsidRPr="00E2449A">
        <w:t>in the OCA 5-10</w:t>
      </w:r>
      <w:r w:rsidR="00E44682" w:rsidRPr="00E2449A">
        <w:t xml:space="preserve"> </w:t>
      </w:r>
      <w:r w:rsidR="00CD171A" w:rsidRPr="00E2449A">
        <w:t>mg arm</w:t>
      </w:r>
      <w:r w:rsidR="002A4020" w:rsidRPr="00E2449A">
        <w:t xml:space="preserve"> and </w:t>
      </w:r>
      <w:r w:rsidR="00CD171A" w:rsidRPr="00E2449A">
        <w:t>the OCA 10</w:t>
      </w:r>
      <w:r w:rsidR="00E44682" w:rsidRPr="00E2449A">
        <w:t xml:space="preserve"> </w:t>
      </w:r>
      <w:r w:rsidR="00CD171A" w:rsidRPr="00E2449A">
        <w:t xml:space="preserve">mg arm </w:t>
      </w:r>
      <w:r w:rsidR="000D409A" w:rsidRPr="00E2449A">
        <w:t xml:space="preserve">were more likely to receive </w:t>
      </w:r>
      <w:r w:rsidR="00B70CDB" w:rsidRPr="00E2449A">
        <w:t xml:space="preserve">concomitant medication </w:t>
      </w:r>
      <w:r w:rsidR="0079633C" w:rsidRPr="00E2449A">
        <w:t xml:space="preserve">during the trial </w:t>
      </w:r>
      <w:r w:rsidR="00B70CDB" w:rsidRPr="00E2449A">
        <w:t xml:space="preserve">for pruritus </w:t>
      </w:r>
      <w:r w:rsidR="00CD171A" w:rsidRPr="00E2449A">
        <w:t xml:space="preserve">compared to the placebo arm </w:t>
      </w:r>
      <w:r w:rsidR="00B70CDB" w:rsidRPr="00E2449A">
        <w:t xml:space="preserve">in the POISE trial </w:t>
      </w:r>
      <w:r w:rsidR="00CD171A" w:rsidRPr="00E2449A">
        <w:t>(</w:t>
      </w:r>
      <w:r w:rsidR="002A4020" w:rsidRPr="00E2449A">
        <w:t xml:space="preserve">15.7% vs 19.2% vs </w:t>
      </w:r>
      <w:r w:rsidR="00CD171A" w:rsidRPr="00E2449A">
        <w:t>9.6%)</w:t>
      </w:r>
      <w:r w:rsidR="00B70CDB" w:rsidRPr="00E2449A">
        <w:t>.</w:t>
      </w:r>
      <w:r w:rsidR="00CD171A" w:rsidRPr="00E2449A">
        <w:t xml:space="preserve"> </w:t>
      </w:r>
      <w:r w:rsidR="007A12BE" w:rsidRPr="00E2449A">
        <w:t xml:space="preserve">The lower use of concomitant medication for pruritus in the placebo arm in the POISE trial compared to the ELATIVE trial may reflect that the POISE trial excluded </w:t>
      </w:r>
      <w:r w:rsidR="00AB4DA6" w:rsidRPr="00E2449A">
        <w:t xml:space="preserve">patients </w:t>
      </w:r>
      <w:r w:rsidR="007A12BE" w:rsidRPr="00E2449A">
        <w:t>with severe pruritus.</w:t>
      </w:r>
    </w:p>
    <w:p w14:paraId="1901095F" w14:textId="6E17E8F0" w:rsidR="00DC7155" w:rsidRPr="00E2449A" w:rsidRDefault="00A11A2A" w:rsidP="006A40EC">
      <w:pPr>
        <w:pStyle w:val="ListParagraph"/>
        <w:ind w:left="1080"/>
        <w:jc w:val="both"/>
      </w:pPr>
      <w:r w:rsidRPr="00E2449A">
        <w:t>t</w:t>
      </w:r>
      <w:r w:rsidR="00DC7155" w:rsidRPr="00E2449A">
        <w:t>here was a slightly higher discontinuation rate in the POISE trial (</w:t>
      </w:r>
      <w:r w:rsidR="00C70A2B" w:rsidRPr="00E2449A">
        <w:t xml:space="preserve">OCA 5-10 mg: </w:t>
      </w:r>
      <w:r w:rsidR="00DC7155" w:rsidRPr="00E2449A">
        <w:t>9.9%</w:t>
      </w:r>
      <w:r w:rsidRPr="00E2449A">
        <w:t>;</w:t>
      </w:r>
      <w:r w:rsidR="00DC7155" w:rsidRPr="00E2449A">
        <w:t xml:space="preserve"> </w:t>
      </w:r>
      <w:r w:rsidR="00C70A2B" w:rsidRPr="00E2449A">
        <w:t xml:space="preserve">OCA 10 mg: </w:t>
      </w:r>
      <w:r w:rsidR="00DC7155" w:rsidRPr="00E2449A">
        <w:t>12.3%</w:t>
      </w:r>
      <w:r w:rsidRPr="00E2449A">
        <w:t>;</w:t>
      </w:r>
      <w:r w:rsidR="00DC7155" w:rsidRPr="00E2449A">
        <w:t xml:space="preserve"> </w:t>
      </w:r>
      <w:r w:rsidR="00C70A2B" w:rsidRPr="00E2449A">
        <w:t xml:space="preserve">placebo: </w:t>
      </w:r>
      <w:r w:rsidR="00DC7155" w:rsidRPr="00E2449A">
        <w:t>4.1%) compared to the ELATIVE trial (</w:t>
      </w:r>
      <w:proofErr w:type="spellStart"/>
      <w:r w:rsidR="00C70A2B" w:rsidRPr="00E2449A">
        <w:t>elafibranor</w:t>
      </w:r>
      <w:proofErr w:type="spellEnd"/>
      <w:r w:rsidR="00C70A2B" w:rsidRPr="00E2449A">
        <w:t xml:space="preserve">: </w:t>
      </w:r>
      <w:r w:rsidR="00DC7155" w:rsidRPr="00E2449A">
        <w:t>8.3%</w:t>
      </w:r>
      <w:r w:rsidRPr="00E2449A">
        <w:t>;</w:t>
      </w:r>
      <w:r w:rsidR="00C70A2B" w:rsidRPr="00E2449A">
        <w:t xml:space="preserve"> placebo: </w:t>
      </w:r>
      <w:r w:rsidR="00DC7155" w:rsidRPr="00E2449A">
        <w:t>7.5%).</w:t>
      </w:r>
    </w:p>
    <w:p w14:paraId="50EB290A" w14:textId="793C2127" w:rsidR="00184638" w:rsidRPr="00E2449A" w:rsidRDefault="00184638" w:rsidP="00184638">
      <w:pPr>
        <w:pStyle w:val="3-BodyText"/>
      </w:pPr>
      <w:r w:rsidRPr="00E2449A">
        <w:t xml:space="preserve">The key primary outcome was the same in </w:t>
      </w:r>
      <w:r w:rsidR="00A11A2A" w:rsidRPr="00E2449A">
        <w:t xml:space="preserve">the </w:t>
      </w:r>
      <w:r w:rsidRPr="00E2449A">
        <w:t>ELATIVE and POISE trials</w:t>
      </w:r>
      <w:r w:rsidR="00E44682" w:rsidRPr="00E2449A">
        <w:t xml:space="preserve">, with </w:t>
      </w:r>
      <w:r w:rsidRPr="00E2449A">
        <w:t xml:space="preserve">cholestasis response </w:t>
      </w:r>
      <w:r w:rsidR="00E44682" w:rsidRPr="00E2449A">
        <w:t xml:space="preserve">being </w:t>
      </w:r>
      <w:r w:rsidRPr="00E2449A">
        <w:t>assessed as achieving ALP &lt;</w:t>
      </w:r>
      <w:r w:rsidR="00E44682" w:rsidRPr="00E2449A">
        <w:t xml:space="preserve"> </w:t>
      </w:r>
      <w:r w:rsidRPr="00E2449A">
        <w:t>1.67 x ULN</w:t>
      </w:r>
      <w:r w:rsidR="00E44682" w:rsidRPr="00E2449A">
        <w:t>,</w:t>
      </w:r>
      <w:r w:rsidR="00C269DA">
        <w:t xml:space="preserve"> </w:t>
      </w:r>
      <w:r w:rsidR="00BC73B6" w:rsidRPr="00E2449A">
        <w:t xml:space="preserve">a decrease </w:t>
      </w:r>
      <w:r w:rsidR="00E44682" w:rsidRPr="00E2449A">
        <w:t xml:space="preserve">in ALP of </w:t>
      </w:r>
      <w:r w:rsidR="00BC73B6" w:rsidRPr="00E2449A">
        <w:t xml:space="preserve">≥ 15% </w:t>
      </w:r>
      <w:r w:rsidR="007D46B3" w:rsidRPr="00E2449A">
        <w:t>and</w:t>
      </w:r>
      <w:r w:rsidR="00BC73B6" w:rsidRPr="00E2449A">
        <w:t xml:space="preserve"> </w:t>
      </w:r>
      <w:r w:rsidRPr="00E2449A">
        <w:t>TB ≤</w:t>
      </w:r>
      <w:r w:rsidR="00E44682" w:rsidRPr="00E2449A">
        <w:t xml:space="preserve"> </w:t>
      </w:r>
      <w:r w:rsidRPr="00E2449A">
        <w:t>ULN. Arguments in support of this surrogate outcome included:</w:t>
      </w:r>
    </w:p>
    <w:p w14:paraId="689248A9" w14:textId="3992E5D9" w:rsidR="00184638" w:rsidRPr="00E2449A" w:rsidRDefault="00184638" w:rsidP="0076531E">
      <w:pPr>
        <w:pStyle w:val="ListParagraph"/>
        <w:ind w:left="1080"/>
        <w:jc w:val="both"/>
      </w:pPr>
      <w:r w:rsidRPr="00E2449A">
        <w:t xml:space="preserve">Complications associated with PBC progression such as cirrhosis and liver failure take a long time to develop and clinical trials of novel PBC therapies would require a prolonged follow-up period to demonstrate a reduction in these outcomes. It is </w:t>
      </w:r>
      <w:r w:rsidRPr="00E2449A">
        <w:lastRenderedPageBreak/>
        <w:t>also difficult to recruit a large enough study population of patients with advanced PBC (i.e. the patients most likely to experience these complications) to provide sufficient statistical power for a clinical trial, as PBC is a rare disease.</w:t>
      </w:r>
    </w:p>
    <w:p w14:paraId="4EFA680A" w14:textId="2744F676" w:rsidR="00184638" w:rsidRPr="00E2449A" w:rsidRDefault="00184638" w:rsidP="05042C88">
      <w:pPr>
        <w:pStyle w:val="ListParagraph"/>
        <w:ind w:left="1080"/>
        <w:jc w:val="both"/>
      </w:pPr>
      <w:r w:rsidRPr="00E2449A">
        <w:t xml:space="preserve">The PBAC </w:t>
      </w:r>
      <w:r w:rsidR="00357F76" w:rsidRPr="00E2449A">
        <w:t xml:space="preserve">had previously </w:t>
      </w:r>
      <w:r w:rsidRPr="00E2449A">
        <w:t xml:space="preserve">considered that the use of biochemical markers to monitor disease progression in PBC </w:t>
      </w:r>
      <w:r w:rsidR="007D46B3" w:rsidRPr="00E2449A">
        <w:t>had been</w:t>
      </w:r>
      <w:r w:rsidRPr="00E2449A">
        <w:t xml:space="preserve"> validated, with </w:t>
      </w:r>
      <w:r w:rsidR="00F6531A" w:rsidRPr="00E2449A">
        <w:t>European Association for the Study of the Liver (</w:t>
      </w:r>
      <w:r w:rsidRPr="00E2449A">
        <w:t>EASL</w:t>
      </w:r>
      <w:r w:rsidR="00F6531A" w:rsidRPr="00E2449A">
        <w:t>)</w:t>
      </w:r>
      <w:r w:rsidRPr="00E2449A">
        <w:t xml:space="preserve"> Guidelines indicating that levels of ALP and total bilirubin correlate with disease severity and progression to fibrosis and cirrhosis (para</w:t>
      </w:r>
      <w:r w:rsidR="0076531E" w:rsidRPr="00E2449A">
        <w:t>graph</w:t>
      </w:r>
      <w:r w:rsidRPr="00E2449A">
        <w:t xml:space="preserve"> 6.13, </w:t>
      </w:r>
      <w:proofErr w:type="spellStart"/>
      <w:r w:rsidRPr="00E2449A">
        <w:t>obeticholic</w:t>
      </w:r>
      <w:proofErr w:type="spellEnd"/>
      <w:r w:rsidRPr="00E2449A">
        <w:t xml:space="preserve"> acid, PSD, November 2018</w:t>
      </w:r>
      <w:r w:rsidR="007D3E3D" w:rsidRPr="00E2449A">
        <w:t xml:space="preserve"> PBAC meeting</w:t>
      </w:r>
      <w:r w:rsidRPr="00E2449A">
        <w:t>).</w:t>
      </w:r>
      <w:r w:rsidR="00E9123A" w:rsidRPr="00E2449A">
        <w:t xml:space="preserve"> </w:t>
      </w:r>
      <w:r w:rsidR="00DD7828" w:rsidRPr="00E2449A">
        <w:t>T</w:t>
      </w:r>
      <w:r w:rsidR="00E9123A" w:rsidRPr="00E2449A">
        <w:t xml:space="preserve">he ESC noted that </w:t>
      </w:r>
      <w:r w:rsidR="00014E30" w:rsidRPr="00E2449A">
        <w:t xml:space="preserve">the relationship of these surrogate endpoints </w:t>
      </w:r>
      <w:r w:rsidR="00826D8C" w:rsidRPr="00E2449A">
        <w:t>to disease progression and patient outcomes was uncertain given</w:t>
      </w:r>
      <w:r w:rsidR="00E9123A" w:rsidRPr="00E2449A">
        <w:t xml:space="preserve"> the results of the COBALT trial</w:t>
      </w:r>
      <w:r w:rsidR="00DD7828" w:rsidRPr="00E2449A">
        <w:t>; however</w:t>
      </w:r>
      <w:r w:rsidR="00E9123A" w:rsidRPr="00E2449A">
        <w:t xml:space="preserve">, </w:t>
      </w:r>
      <w:r w:rsidR="00826D8C" w:rsidRPr="00E2449A">
        <w:t xml:space="preserve">the ESC did </w:t>
      </w:r>
      <w:r w:rsidR="00DD7828" w:rsidRPr="00E2449A">
        <w:t>consider</w:t>
      </w:r>
      <w:r w:rsidR="00826D8C" w:rsidRPr="00E2449A">
        <w:t xml:space="preserve"> </w:t>
      </w:r>
      <w:r w:rsidR="00E9123A" w:rsidRPr="00E2449A">
        <w:t xml:space="preserve">that there </w:t>
      </w:r>
      <w:r w:rsidR="00DD7828" w:rsidRPr="00E2449A">
        <w:t>could be</w:t>
      </w:r>
      <w:r w:rsidR="00E9123A" w:rsidRPr="00E2449A">
        <w:t xml:space="preserve"> other potential causes for the COBALT trial results</w:t>
      </w:r>
      <w:r w:rsidR="00400583" w:rsidRPr="00E2449A">
        <w:t xml:space="preserve"> (see paragraph</w:t>
      </w:r>
      <w:r w:rsidR="00B442FD">
        <w:t xml:space="preserve"> </w:t>
      </w:r>
      <w:r w:rsidR="00B442FD">
        <w:fldChar w:fldCharType="begin" w:fldLock="1"/>
      </w:r>
      <w:r w:rsidR="00B442FD">
        <w:instrText xml:space="preserve"> REF _Ref190599136 \r \h </w:instrText>
      </w:r>
      <w:r w:rsidR="00B442FD">
        <w:fldChar w:fldCharType="separate"/>
      </w:r>
      <w:r w:rsidR="00A56EA5">
        <w:t>6.16</w:t>
      </w:r>
      <w:r w:rsidR="00B442FD">
        <w:fldChar w:fldCharType="end"/>
      </w:r>
      <w:r w:rsidR="00400583" w:rsidRPr="00E2449A">
        <w:t>)</w:t>
      </w:r>
      <w:r w:rsidR="00E9123A" w:rsidRPr="00E2449A">
        <w:t>.</w:t>
      </w:r>
    </w:p>
    <w:p w14:paraId="77763001" w14:textId="71AC7231" w:rsidR="00184638" w:rsidRPr="00E2449A" w:rsidRDefault="00184638" w:rsidP="05042C88">
      <w:pPr>
        <w:pStyle w:val="ListParagraph"/>
        <w:ind w:left="1080"/>
        <w:jc w:val="both"/>
      </w:pPr>
      <w:r w:rsidRPr="00E2449A">
        <w:t>The FDA: 1) granted accelerated approval for OCA based on a significant reduction in ALP and bilirubin levels demonstrated in the POISE trial in 2016;</w:t>
      </w:r>
      <w:r w:rsidRPr="00E2449A">
        <w:rPr>
          <w:rStyle w:val="FootnoteReference"/>
        </w:rPr>
        <w:footnoteReference w:id="25"/>
      </w:r>
      <w:r w:rsidRPr="00E2449A">
        <w:t xml:space="preserve"> and 2) granted </w:t>
      </w:r>
      <w:proofErr w:type="spellStart"/>
      <w:r w:rsidRPr="00E2449A">
        <w:t>elafibranor</w:t>
      </w:r>
      <w:proofErr w:type="spellEnd"/>
      <w:r w:rsidRPr="00E2449A">
        <w:t xml:space="preserve"> a Breakthrough Therapy Designation based on surrogate endpoint data from the Phase II </w:t>
      </w:r>
      <w:proofErr w:type="spellStart"/>
      <w:r w:rsidRPr="00E2449A">
        <w:t>Elafibranor</w:t>
      </w:r>
      <w:proofErr w:type="spellEnd"/>
      <w:r w:rsidRPr="00E2449A">
        <w:t xml:space="preserve"> Trial in PBC, with Orphan Drug Designation granted by the FDA and EMA soon after. The FDA granted accelerated approval for </w:t>
      </w:r>
      <w:proofErr w:type="spellStart"/>
      <w:r w:rsidRPr="00E2449A">
        <w:t>elafibranor</w:t>
      </w:r>
      <w:proofErr w:type="spellEnd"/>
      <w:r w:rsidRPr="00E2449A">
        <w:t xml:space="preserve">, </w:t>
      </w:r>
      <w:r w:rsidR="00590380" w:rsidRPr="00E2449A">
        <w:t xml:space="preserve">conditional on </w:t>
      </w:r>
      <w:r w:rsidRPr="00E2449A">
        <w:t xml:space="preserve">efficacy </w:t>
      </w:r>
      <w:r w:rsidR="00590380" w:rsidRPr="00E2449A">
        <w:t>being</w:t>
      </w:r>
      <w:r w:rsidRPr="00E2449A">
        <w:t xml:space="preserve"> demonstrated using a composite endpoint of all-cause mortality, liver transplant, hepatic decompensation, change in MELD </w:t>
      </w:r>
      <w:r w:rsidR="00A92D88" w:rsidRPr="00E2449A">
        <w:t>score</w:t>
      </w:r>
      <w:r w:rsidRPr="00E2449A">
        <w:t xml:space="preserve"> to ≥</w:t>
      </w:r>
      <w:r w:rsidR="004804B3" w:rsidRPr="00E2449A">
        <w:t xml:space="preserve"> </w:t>
      </w:r>
      <w:r w:rsidRPr="00E2449A">
        <w:t xml:space="preserve">15 in </w:t>
      </w:r>
      <w:r w:rsidR="00AB4DA6" w:rsidRPr="00E2449A">
        <w:t xml:space="preserve">patients </w:t>
      </w:r>
      <w:r w:rsidRPr="00E2449A">
        <w:t xml:space="preserve">with baseline MELD </w:t>
      </w:r>
      <w:r w:rsidR="00495E24" w:rsidRPr="00E2449A">
        <w:t xml:space="preserve">score </w:t>
      </w:r>
      <w:r w:rsidRPr="00E2449A">
        <w:t>≤</w:t>
      </w:r>
      <w:r w:rsidR="004804B3" w:rsidRPr="00E2449A">
        <w:t xml:space="preserve"> </w:t>
      </w:r>
      <w:r w:rsidRPr="00E2449A">
        <w:t>12, and development of HCC</w:t>
      </w:r>
      <w:r w:rsidR="009F33EE" w:rsidRPr="00E2449A">
        <w:t>.</w:t>
      </w:r>
      <w:r w:rsidRPr="00E2449A">
        <w:rPr>
          <w:rStyle w:val="FootnoteReference"/>
        </w:rPr>
        <w:footnoteReference w:id="26"/>
      </w:r>
    </w:p>
    <w:p w14:paraId="0C1C978B" w14:textId="206A6544" w:rsidR="00184638" w:rsidRPr="00E2449A" w:rsidRDefault="00184638" w:rsidP="0076531E">
      <w:pPr>
        <w:pStyle w:val="ListParagraph"/>
        <w:ind w:left="1080"/>
        <w:jc w:val="both"/>
      </w:pPr>
      <w:r w:rsidRPr="00E2449A">
        <w:t xml:space="preserve">Lammers et al. (2014), </w:t>
      </w:r>
      <w:r w:rsidR="00501B0F">
        <w:t xml:space="preserve">in </w:t>
      </w:r>
      <w:r w:rsidRPr="00E2449A">
        <w:t xml:space="preserve">a meta-analysis of studies involving 4,845 </w:t>
      </w:r>
      <w:r w:rsidR="00AB4DA6" w:rsidRPr="00E2449A">
        <w:t xml:space="preserve">patients </w:t>
      </w:r>
      <w:r w:rsidRPr="00E2449A">
        <w:t>primarily treated with UDCA across North America and Europe, found that ALP and bilirubin were strongly associated with clinical outcomes. Levels of both ALP and bilirubin, measured at study enrolment and each year for five years, were strongly associated with clinical outcomes, with combined assessment of both ALP and bilirubin levels being the strongest predictor of transplant-free survival duration.</w:t>
      </w:r>
    </w:p>
    <w:p w14:paraId="0D0A81E1" w14:textId="50285B61" w:rsidR="00184638" w:rsidRPr="00E2449A" w:rsidRDefault="00184638" w:rsidP="05042C88">
      <w:pPr>
        <w:pStyle w:val="3-BodyText"/>
      </w:pPr>
      <w:bookmarkStart w:id="35" w:name="_Ref187314346"/>
      <w:bookmarkStart w:id="36" w:name="_Ref190599136"/>
      <w:r w:rsidRPr="00E2449A">
        <w:t xml:space="preserve">A surrogate marker's correlation with disease progression does not necessarily mean that a medicine affecting the surrogate marker will affect disease progression. The PBAC guidelines consider a multi-trial meta-regression or a </w:t>
      </w:r>
      <w:r w:rsidR="00E9123A" w:rsidRPr="00E2449A">
        <w:t xml:space="preserve">randomised </w:t>
      </w:r>
      <w:r w:rsidRPr="00E2449A">
        <w:t>trial to be the strongest evidence of a relationship between a surrogate endpoint and a clinical outcome (PBAC Guidelines</w:t>
      </w:r>
      <w:r w:rsidR="00E367DA" w:rsidRPr="00E2449A">
        <w:t xml:space="preserve"> v5.0</w:t>
      </w:r>
      <w:r w:rsidRPr="00E2449A">
        <w:t>, Appendix 5). The COBALT trial found a significantly larger decrease in ALP in the OCA arm (-156.4 U/L</w:t>
      </w:r>
      <w:r w:rsidR="00B563DA" w:rsidRPr="00E2449A">
        <w:t>;</w:t>
      </w:r>
      <w:r w:rsidRPr="00E2449A">
        <w:t xml:space="preserve"> </w:t>
      </w:r>
      <w:r w:rsidR="00F6531A" w:rsidRPr="00E2449A">
        <w:t>standard error</w:t>
      </w:r>
      <w:r w:rsidR="00B563DA" w:rsidRPr="00E2449A">
        <w:t xml:space="preserve"> (</w:t>
      </w:r>
      <w:r w:rsidRPr="00E2449A">
        <w:t>SE</w:t>
      </w:r>
      <w:r w:rsidR="00B563DA" w:rsidRPr="00E2449A">
        <w:t xml:space="preserve">) </w:t>
      </w:r>
      <w:r w:rsidRPr="00E2449A">
        <w:t>=</w:t>
      </w:r>
      <w:r w:rsidR="00B563DA" w:rsidRPr="00E2449A">
        <w:t xml:space="preserve"> </w:t>
      </w:r>
      <w:r w:rsidRPr="00E2449A">
        <w:t>14.93</w:t>
      </w:r>
      <w:r w:rsidR="00B563DA" w:rsidRPr="00E2449A">
        <w:t>;</w:t>
      </w:r>
      <w:r w:rsidR="00AF2AD0" w:rsidRPr="00E2449A">
        <w:t xml:space="preserve"> N</w:t>
      </w:r>
      <w:r w:rsidR="00B563DA" w:rsidRPr="00E2449A">
        <w:t xml:space="preserve"> </w:t>
      </w:r>
      <w:r w:rsidR="00AF2AD0" w:rsidRPr="00E2449A">
        <w:t>=</w:t>
      </w:r>
      <w:r w:rsidR="00B563DA" w:rsidRPr="00E2449A">
        <w:t xml:space="preserve"> </w:t>
      </w:r>
      <w:r w:rsidR="00F17C1D" w:rsidRPr="00E2449A">
        <w:t>98</w:t>
      </w:r>
      <w:r w:rsidRPr="00E2449A">
        <w:t>) than in the placebo arm</w:t>
      </w:r>
      <w:r w:rsidR="002B52F7">
        <w:t xml:space="preserve"> </w:t>
      </w:r>
      <w:r w:rsidRPr="00E2449A">
        <w:t>(-113.1 U/L</w:t>
      </w:r>
      <w:r w:rsidR="00B563DA" w:rsidRPr="00E2449A">
        <w:t>;</w:t>
      </w:r>
      <w:r w:rsidRPr="00E2449A">
        <w:t xml:space="preserve"> SE = 14.6</w:t>
      </w:r>
      <w:r w:rsidR="00B563DA" w:rsidRPr="00E2449A">
        <w:t>;</w:t>
      </w:r>
      <w:r w:rsidR="00F17C1D" w:rsidRPr="00E2449A">
        <w:t xml:space="preserve"> </w:t>
      </w:r>
      <w:r w:rsidR="00821660" w:rsidRPr="00E2449A">
        <w:t>p = 0.0394</w:t>
      </w:r>
      <w:r w:rsidR="005D34CF" w:rsidRPr="00E2449A">
        <w:rPr>
          <w:rStyle w:val="FootnoteReference"/>
        </w:rPr>
        <w:footnoteReference w:id="27"/>
      </w:r>
      <w:r w:rsidR="00821660" w:rsidRPr="00E2449A">
        <w:t>; N = 102</w:t>
      </w:r>
      <w:r w:rsidRPr="00E2449A">
        <w:t xml:space="preserve">) and </w:t>
      </w:r>
      <w:r w:rsidR="00036B2A" w:rsidRPr="00E2449A">
        <w:t xml:space="preserve">a </w:t>
      </w:r>
      <w:r w:rsidRPr="00E2449A">
        <w:t>non-significant smaller increase in TB in the OCA arm (0.30 mg/DL</w:t>
      </w:r>
      <w:r w:rsidR="00D62208" w:rsidRPr="00E2449A">
        <w:t>;</w:t>
      </w:r>
      <w:r w:rsidRPr="00E2449A">
        <w:t xml:space="preserve"> SE = 0.141</w:t>
      </w:r>
      <w:r w:rsidR="00D62208" w:rsidRPr="00E2449A">
        <w:t>;</w:t>
      </w:r>
      <w:r w:rsidR="008A61B5" w:rsidRPr="00E2449A">
        <w:t xml:space="preserve"> N</w:t>
      </w:r>
      <w:r w:rsidR="00D62208" w:rsidRPr="00E2449A">
        <w:t xml:space="preserve"> </w:t>
      </w:r>
      <w:r w:rsidR="008A61B5" w:rsidRPr="00E2449A">
        <w:t>=</w:t>
      </w:r>
      <w:r w:rsidR="00D62208" w:rsidRPr="00E2449A">
        <w:t xml:space="preserve"> </w:t>
      </w:r>
      <w:r w:rsidR="00511FB9" w:rsidRPr="00E2449A">
        <w:t>97</w:t>
      </w:r>
      <w:r w:rsidRPr="00E2449A">
        <w:t xml:space="preserve">) than </w:t>
      </w:r>
      <w:r w:rsidRPr="00E2449A">
        <w:lastRenderedPageBreak/>
        <w:t>in the placebo arm (0.63 mg/DL</w:t>
      </w:r>
      <w:r w:rsidR="00D62208" w:rsidRPr="00E2449A">
        <w:t>;</w:t>
      </w:r>
      <w:r w:rsidRPr="00E2449A">
        <w:t xml:space="preserve"> SE = 0.138</w:t>
      </w:r>
      <w:r w:rsidR="00D62208" w:rsidRPr="00E2449A">
        <w:t>;</w:t>
      </w:r>
      <w:r w:rsidR="00261492" w:rsidRPr="00E2449A">
        <w:t xml:space="preserve">p </w:t>
      </w:r>
      <w:r w:rsidRPr="00E2449A">
        <w:t>=</w:t>
      </w:r>
      <w:r w:rsidR="00261492" w:rsidRPr="00E2449A">
        <w:t xml:space="preserve"> </w:t>
      </w:r>
      <w:r w:rsidRPr="00E2449A">
        <w:t>0.09</w:t>
      </w:r>
      <w:r w:rsidR="002368F6" w:rsidRPr="00E2449A">
        <w:t>60</w:t>
      </w:r>
      <w:r w:rsidR="002368F6" w:rsidRPr="00E2449A">
        <w:rPr>
          <w:rStyle w:val="FootnoteReference"/>
        </w:rPr>
        <w:footnoteReference w:id="28"/>
      </w:r>
      <w:r w:rsidR="00261492" w:rsidRPr="00E2449A">
        <w:t>; N = 101</w:t>
      </w:r>
      <w:r w:rsidRPr="00E2449A">
        <w:t>)</w:t>
      </w:r>
      <w:r w:rsidR="00511FB9" w:rsidRPr="00E2449A">
        <w:t xml:space="preserve"> at 24 months</w:t>
      </w:r>
      <w:r w:rsidRPr="00E2449A">
        <w:t>, but the COBALT trial did not find a decrease in the primary composite endpoint (HR</w:t>
      </w:r>
      <w:r w:rsidR="00261492" w:rsidRPr="00E2449A">
        <w:t xml:space="preserve"> </w:t>
      </w:r>
      <w:r w:rsidRPr="00E2449A">
        <w:t>= 1.01; 95% C</w:t>
      </w:r>
      <w:r w:rsidR="00261492" w:rsidRPr="00E2449A">
        <w:t>I:</w:t>
      </w:r>
      <w:r w:rsidRPr="00E2449A">
        <w:t xml:space="preserve"> 0.68</w:t>
      </w:r>
      <w:r w:rsidR="00261492" w:rsidRPr="00E2449A">
        <w:t xml:space="preserve">, </w:t>
      </w:r>
      <w:r w:rsidRPr="00E2449A">
        <w:t>1.51).</w:t>
      </w:r>
      <w:r w:rsidRPr="00E2449A">
        <w:rPr>
          <w:vertAlign w:val="superscript"/>
        </w:rPr>
        <w:footnoteReference w:id="29"/>
      </w:r>
      <w:r w:rsidRPr="00E2449A">
        <w:rPr>
          <w:vertAlign w:val="superscript"/>
        </w:rPr>
        <w:t>,</w:t>
      </w:r>
      <w:r w:rsidRPr="00E2449A">
        <w:rPr>
          <w:rStyle w:val="FootnoteReference"/>
        </w:rPr>
        <w:footnoteReference w:id="30"/>
      </w:r>
      <w:r w:rsidRPr="00E2449A">
        <w:rPr>
          <w:vertAlign w:val="superscript"/>
        </w:rPr>
        <w:t xml:space="preserve"> </w:t>
      </w:r>
      <w:r w:rsidRPr="00E2449A">
        <w:t xml:space="preserve">Consequently, </w:t>
      </w:r>
      <w:r w:rsidR="00FC2A98" w:rsidRPr="00E2449A">
        <w:t xml:space="preserve">cholestasis response and ALP </w:t>
      </w:r>
      <w:r w:rsidRPr="00E2449A">
        <w:t>may not be adequate surrogate</w:t>
      </w:r>
      <w:r w:rsidR="00FC2A98" w:rsidRPr="00E2449A">
        <w:t>s</w:t>
      </w:r>
      <w:r w:rsidRPr="00E2449A">
        <w:t xml:space="preserve"> for disease progression in PBC.</w:t>
      </w:r>
      <w:bookmarkEnd w:id="35"/>
      <w:r w:rsidR="007C3A04" w:rsidRPr="00E2449A">
        <w:t xml:space="preserve"> On the other hand, the COBALT trial was confounded by </w:t>
      </w:r>
      <w:r w:rsidR="0015384D" w:rsidRPr="00E2449A">
        <w:t>unblinding and cross-over, especially in the placebo arm</w:t>
      </w:r>
      <w:r w:rsidR="00FB6A7A" w:rsidRPr="00E2449A">
        <w:t xml:space="preserve">, which may </w:t>
      </w:r>
      <w:r w:rsidR="000D75A7" w:rsidRPr="00E2449A">
        <w:t>have had an effect on the</w:t>
      </w:r>
      <w:r w:rsidR="00FB6A7A" w:rsidRPr="00E2449A">
        <w:t xml:space="preserve"> results</w:t>
      </w:r>
      <w:r w:rsidR="0015384D" w:rsidRPr="00E2449A">
        <w:t xml:space="preserve">. Using real-world evidence </w:t>
      </w:r>
      <w:r w:rsidR="00FB6A7A" w:rsidRPr="00E2449A">
        <w:t>has been suggested as</w:t>
      </w:r>
      <w:r w:rsidR="0015384D" w:rsidRPr="00E2449A">
        <w:t xml:space="preserve"> a potential solution</w:t>
      </w:r>
      <w:r w:rsidR="00FB6A7A" w:rsidRPr="00E2449A">
        <w:t>.</w:t>
      </w:r>
      <w:r w:rsidR="00DF505F" w:rsidRPr="00E2449A">
        <w:rPr>
          <w:rStyle w:val="FootnoteReference"/>
        </w:rPr>
        <w:footnoteReference w:id="31"/>
      </w:r>
      <w:r w:rsidR="0015384D" w:rsidRPr="00E2449A">
        <w:t xml:space="preserve"> </w:t>
      </w:r>
      <w:r w:rsidR="00FB6A7A" w:rsidRPr="00E2449A">
        <w:t xml:space="preserve">The observational HEROES PBC study (NCT05292872, Study 747-405) </w:t>
      </w:r>
      <w:r w:rsidR="0015384D" w:rsidRPr="00E2449A">
        <w:t>found that OCA significantly improved clinical outcomes</w:t>
      </w:r>
      <w:r w:rsidR="00FB6A7A" w:rsidRPr="00E2449A">
        <w:rPr>
          <w:rStyle w:val="FootnoteReference"/>
        </w:rPr>
        <w:footnoteReference w:id="32"/>
      </w:r>
      <w:r w:rsidR="00610C73" w:rsidRPr="00E2449A">
        <w:t>;</w:t>
      </w:r>
      <w:r w:rsidR="0015384D" w:rsidRPr="00E2449A">
        <w:t xml:space="preserve"> however</w:t>
      </w:r>
      <w:r w:rsidR="00610C73" w:rsidRPr="00E2449A">
        <w:t>,</w:t>
      </w:r>
      <w:r w:rsidR="0015384D" w:rsidRPr="00E2449A">
        <w:t xml:space="preserve"> the </w:t>
      </w:r>
      <w:r w:rsidR="00DF505F" w:rsidRPr="00E2449A">
        <w:t>FDA advisory panel</w:t>
      </w:r>
      <w:r w:rsidR="0015384D" w:rsidRPr="00E2449A">
        <w:t xml:space="preserve"> considered the analysis methodologically flawed.</w:t>
      </w:r>
      <w:r w:rsidR="006D0AB0" w:rsidRPr="00E2449A">
        <w:rPr>
          <w:rStyle w:val="FootnoteReference"/>
        </w:rPr>
        <w:footnoteReference w:id="33"/>
      </w:r>
      <w:bookmarkEnd w:id="36"/>
    </w:p>
    <w:p w14:paraId="67253B06" w14:textId="6CA9C5C9" w:rsidR="00184638" w:rsidRPr="00E2449A" w:rsidRDefault="00184638" w:rsidP="00184638">
      <w:pPr>
        <w:pStyle w:val="3-BodyText"/>
      </w:pPr>
      <w:r w:rsidRPr="00E2449A">
        <w:t>The</w:t>
      </w:r>
      <w:r w:rsidR="00EB22DF" w:rsidRPr="00E2449A">
        <w:t xml:space="preserve"> ESC</w:t>
      </w:r>
      <w:r w:rsidR="00EA22E3" w:rsidRPr="00E2449A">
        <w:t xml:space="preserve">, noting that the submission claimed that </w:t>
      </w:r>
      <w:proofErr w:type="spellStart"/>
      <w:r w:rsidR="00EA22E3" w:rsidRPr="00E2449A">
        <w:t>elafibranor</w:t>
      </w:r>
      <w:proofErr w:type="spellEnd"/>
      <w:r w:rsidR="00EA22E3" w:rsidRPr="00E2449A">
        <w:t xml:space="preserve"> was non-inferior compared to OCA in terms of effectiveness,</w:t>
      </w:r>
      <w:r w:rsidR="00EB22DF" w:rsidRPr="00E2449A">
        <w:t xml:space="preserve"> </w:t>
      </w:r>
      <w:r w:rsidR="005C65B0" w:rsidRPr="00E2449A">
        <w:t xml:space="preserve">considered </w:t>
      </w:r>
      <w:r w:rsidR="00EB22DF" w:rsidRPr="00E2449A">
        <w:t>that the</w:t>
      </w:r>
      <w:r w:rsidRPr="00E2449A">
        <w:t xml:space="preserve"> </w:t>
      </w:r>
      <w:r w:rsidR="005C65B0" w:rsidRPr="00E2449A">
        <w:t xml:space="preserve">lack of </w:t>
      </w:r>
      <w:r w:rsidRPr="00E2449A">
        <w:t>propose</w:t>
      </w:r>
      <w:r w:rsidR="005C65B0" w:rsidRPr="00E2449A">
        <w:t>d</w:t>
      </w:r>
      <w:r w:rsidRPr="00E2449A">
        <w:t xml:space="preserve"> minimum clinically important difference</w:t>
      </w:r>
      <w:r w:rsidR="00EB22DF" w:rsidRPr="00E2449A">
        <w:t>s</w:t>
      </w:r>
      <w:r w:rsidRPr="00E2449A">
        <w:t xml:space="preserve"> (MCID</w:t>
      </w:r>
      <w:r w:rsidR="00EB22DF" w:rsidRPr="00E2449A">
        <w:t>s</w:t>
      </w:r>
      <w:r w:rsidRPr="00E2449A">
        <w:t>)</w:t>
      </w:r>
      <w:r w:rsidR="005C65B0" w:rsidRPr="00E2449A">
        <w:t xml:space="preserve"> and </w:t>
      </w:r>
      <w:r w:rsidR="00B12EDF" w:rsidRPr="00E2449A">
        <w:t>define</w:t>
      </w:r>
      <w:r w:rsidR="005C65B0" w:rsidRPr="00E2449A">
        <w:t>d</w:t>
      </w:r>
      <w:r w:rsidR="00B12EDF" w:rsidRPr="00E2449A">
        <w:t xml:space="preserve"> non-inferiority </w:t>
      </w:r>
      <w:r w:rsidR="00E3568C" w:rsidRPr="00E2449A">
        <w:t>margins</w:t>
      </w:r>
      <w:r w:rsidR="005C65B0" w:rsidRPr="00E2449A">
        <w:t xml:space="preserve"> was inappropriate</w:t>
      </w:r>
      <w:r w:rsidR="00E3568C" w:rsidRPr="00E2449A">
        <w:t>.</w:t>
      </w:r>
      <w:r w:rsidRPr="00E2449A">
        <w:t xml:space="preserve"> </w:t>
      </w:r>
    </w:p>
    <w:p w14:paraId="1A564E6B" w14:textId="388B414A" w:rsidR="00184638" w:rsidRPr="00E2449A" w:rsidRDefault="00184638" w:rsidP="00184638">
      <w:pPr>
        <w:pStyle w:val="3-BodyText"/>
      </w:pPr>
      <w:r w:rsidRPr="00E2449A">
        <w:t xml:space="preserve">The submission also did not define what would </w:t>
      </w:r>
      <w:r w:rsidR="002006C9" w:rsidRPr="00E2449A">
        <w:t>be</w:t>
      </w:r>
      <w:r w:rsidRPr="00E2449A">
        <w:t xml:space="preserve"> a clinically meaningful change in the surrogate endpoints or patient-relevant outcomes</w:t>
      </w:r>
      <w:r w:rsidR="00E3568C" w:rsidRPr="00E2449A">
        <w:t>;</w:t>
      </w:r>
      <w:r w:rsidRPr="00E2449A">
        <w:t xml:space="preserve"> however</w:t>
      </w:r>
      <w:r w:rsidR="00E3568C" w:rsidRPr="00E2449A">
        <w:t>,</w:t>
      </w:r>
      <w:r w:rsidRPr="00E2449A">
        <w:t xml:space="preserve"> according to the published literature:</w:t>
      </w:r>
    </w:p>
    <w:p w14:paraId="7C0B0E4C" w14:textId="7F6B7DBA" w:rsidR="00184638" w:rsidRPr="00E2449A" w:rsidRDefault="00184638" w:rsidP="05042C88">
      <w:pPr>
        <w:pStyle w:val="ListParagraph"/>
        <w:ind w:left="1080"/>
        <w:jc w:val="both"/>
      </w:pPr>
      <w:r w:rsidRPr="00E2449A">
        <w:t xml:space="preserve">Vernon et al (2021) used anchor-based methods to confirm what would be a clinically meaningful change in the WI-NRS using phase </w:t>
      </w:r>
      <w:r w:rsidR="00EF5E09" w:rsidRPr="00E2449A">
        <w:t xml:space="preserve">III </w:t>
      </w:r>
      <w:r w:rsidRPr="00E2449A">
        <w:t xml:space="preserve">trial </w:t>
      </w:r>
      <w:r w:rsidR="00AB4DA6" w:rsidRPr="00E2449A">
        <w:t>patients</w:t>
      </w:r>
      <w:r w:rsidRPr="00E2449A">
        <w:t xml:space="preserve">. A change of ≥ 3 points in the WI-NRS </w:t>
      </w:r>
      <w:r w:rsidR="00567AD2" w:rsidRPr="00E2449A">
        <w:t>was</w:t>
      </w:r>
      <w:r w:rsidRPr="00E2449A">
        <w:t xml:space="preserve"> considered clinically meaningful.</w:t>
      </w:r>
      <w:r w:rsidR="00A97247" w:rsidRPr="00E2449A">
        <w:rPr>
          <w:rFonts w:eastAsiaTheme="majorEastAsia"/>
          <w:vertAlign w:val="superscript"/>
        </w:rPr>
        <w:footnoteReference w:id="34"/>
      </w:r>
    </w:p>
    <w:p w14:paraId="39F0BB32" w14:textId="19B1D8D9" w:rsidR="008444D7" w:rsidRPr="00E2449A" w:rsidRDefault="00184638" w:rsidP="05042C88">
      <w:pPr>
        <w:pStyle w:val="ListParagraph"/>
        <w:ind w:left="1080"/>
        <w:jc w:val="both"/>
      </w:pPr>
      <w:r w:rsidRPr="00E2449A">
        <w:t xml:space="preserve">Kraft et al (2023) pooled data from </w:t>
      </w:r>
      <w:r w:rsidR="00EF5E09" w:rsidRPr="00E2449A">
        <w:t>p</w:t>
      </w:r>
      <w:r w:rsidRPr="00E2449A">
        <w:t xml:space="preserve">hase </w:t>
      </w:r>
      <w:r w:rsidR="00EF5E09" w:rsidRPr="00E2449A">
        <w:t xml:space="preserve">III </w:t>
      </w:r>
      <w:r w:rsidRPr="00E2449A">
        <w:t xml:space="preserve">clinical trials and estimated that a change of ≥ 5 points in the 5-D Itch </w:t>
      </w:r>
      <w:r w:rsidR="00164049" w:rsidRPr="00E2449A">
        <w:t>S</w:t>
      </w:r>
      <w:r w:rsidRPr="00E2449A">
        <w:t xml:space="preserve">cale </w:t>
      </w:r>
      <w:r w:rsidR="00B71D63" w:rsidRPr="00E2449A">
        <w:t>was</w:t>
      </w:r>
      <w:r w:rsidRPr="00E2449A">
        <w:t xml:space="preserve"> considered clinically meaningful.</w:t>
      </w:r>
      <w:r w:rsidR="003D1574" w:rsidRPr="00E2449A">
        <w:rPr>
          <w:rStyle w:val="FootnoteReference"/>
          <w:rFonts w:eastAsiaTheme="majorEastAsia"/>
        </w:rPr>
        <w:footnoteReference w:id="35"/>
      </w:r>
    </w:p>
    <w:p w14:paraId="749ACF0A" w14:textId="69429F0E" w:rsidR="008317BD" w:rsidRPr="00E2449A" w:rsidRDefault="008317BD" w:rsidP="008317BD">
      <w:pPr>
        <w:pStyle w:val="3-BodyText"/>
      </w:pPr>
      <w:r w:rsidRPr="00E2449A">
        <w:t xml:space="preserve">The clinical significance of changes in the </w:t>
      </w:r>
      <w:r w:rsidR="00E9123A" w:rsidRPr="00E2449A">
        <w:t xml:space="preserve">exploratory outcome of </w:t>
      </w:r>
      <w:r w:rsidRPr="00E2449A">
        <w:t xml:space="preserve">PBC-40 Itch domain </w:t>
      </w:r>
      <w:r w:rsidR="00001156" w:rsidRPr="00E2449A">
        <w:t xml:space="preserve">was </w:t>
      </w:r>
      <w:r w:rsidRPr="00E2449A">
        <w:t>unknown.</w:t>
      </w:r>
    </w:p>
    <w:p w14:paraId="17D7F4E0" w14:textId="77777777" w:rsidR="004A29D1" w:rsidRPr="00C9624D" w:rsidRDefault="004A29D1" w:rsidP="004A29D1">
      <w:pPr>
        <w:pStyle w:val="4-SubsectionHeading"/>
        <w:rPr>
          <w:lang w:eastAsia="en-AU"/>
        </w:rPr>
      </w:pPr>
      <w:bookmarkStart w:id="37" w:name="_Toc22897641"/>
      <w:bookmarkStart w:id="38" w:name="_Toc187914751"/>
      <w:r w:rsidRPr="00C9624D">
        <w:rPr>
          <w:lang w:eastAsia="en-AU"/>
        </w:rPr>
        <w:lastRenderedPageBreak/>
        <w:t>Comparative effectiveness</w:t>
      </w:r>
      <w:bookmarkEnd w:id="37"/>
      <w:bookmarkEnd w:id="38"/>
    </w:p>
    <w:p w14:paraId="313E139B" w14:textId="76C64BFC" w:rsidR="00B34FE2" w:rsidRPr="004301DF" w:rsidRDefault="00CA5DBF" w:rsidP="00777D20">
      <w:pPr>
        <w:pStyle w:val="3-BodyText"/>
      </w:pPr>
      <w:r>
        <w:fldChar w:fldCharType="begin" w:fldLock="1"/>
      </w:r>
      <w:r>
        <w:instrText xml:space="preserve"> REF _Ref184669443 \h </w:instrText>
      </w:r>
      <w:r>
        <w:fldChar w:fldCharType="separate"/>
      </w:r>
      <w:r w:rsidR="002B3034" w:rsidRPr="0098262F">
        <w:t xml:space="preserve">Table </w:t>
      </w:r>
      <w:r w:rsidR="002B3034">
        <w:rPr>
          <w:noProof/>
        </w:rPr>
        <w:t>4</w:t>
      </w:r>
      <w:r>
        <w:fldChar w:fldCharType="end"/>
      </w:r>
      <w:r>
        <w:t xml:space="preserve"> </w:t>
      </w:r>
      <w:r w:rsidR="004301DF" w:rsidRPr="004301DF">
        <w:t xml:space="preserve">presents the primary endpoint (cholestasis response) </w:t>
      </w:r>
      <w:r w:rsidR="00966213">
        <w:t>and key secondary endpoint (</w:t>
      </w:r>
      <w:r w:rsidR="00E6447F" w:rsidRPr="00E6447F">
        <w:t>ALP</w:t>
      </w:r>
      <w:r w:rsidR="00896544">
        <w:t xml:space="preserve"> normalisation</w:t>
      </w:r>
      <w:r w:rsidR="00E6447F">
        <w:t xml:space="preserve">) </w:t>
      </w:r>
      <w:r w:rsidR="00896544">
        <w:t>at 52 weeks in</w:t>
      </w:r>
      <w:r w:rsidR="004301DF" w:rsidRPr="004301DF">
        <w:t xml:space="preserve"> the ELATIVE trial</w:t>
      </w:r>
      <w:r w:rsidR="00896544">
        <w:t xml:space="preserve"> (ITT </w:t>
      </w:r>
      <w:r w:rsidR="001A3215">
        <w:t>analysis set</w:t>
      </w:r>
      <w:r w:rsidR="00896544">
        <w:t>)</w:t>
      </w:r>
      <w:r w:rsidR="004301DF" w:rsidRPr="004301DF">
        <w:t>.</w:t>
      </w:r>
    </w:p>
    <w:p w14:paraId="312F0965" w14:textId="53411052" w:rsidR="005D26B4" w:rsidRPr="0098262F" w:rsidRDefault="00D6076E" w:rsidP="00D6076E">
      <w:pPr>
        <w:pStyle w:val="TableFigureHeading"/>
        <w:rPr>
          <w:rStyle w:val="CommentReference"/>
          <w:b/>
          <w:szCs w:val="24"/>
        </w:rPr>
      </w:pPr>
      <w:bookmarkStart w:id="39" w:name="_Ref184669443"/>
      <w:r w:rsidRPr="0098262F">
        <w:t xml:space="preserve">Table </w:t>
      </w:r>
      <w:r w:rsidR="00780A90">
        <w:fldChar w:fldCharType="begin" w:fldLock="1"/>
      </w:r>
      <w:r w:rsidR="00780A90">
        <w:instrText xml:space="preserve"> SEQ Table \* ARABIC </w:instrText>
      </w:r>
      <w:r w:rsidR="00780A90">
        <w:fldChar w:fldCharType="separate"/>
      </w:r>
      <w:r w:rsidR="00780A90">
        <w:rPr>
          <w:noProof/>
        </w:rPr>
        <w:t>4</w:t>
      </w:r>
      <w:r w:rsidR="00780A90">
        <w:rPr>
          <w:noProof/>
        </w:rPr>
        <w:fldChar w:fldCharType="end"/>
      </w:r>
      <w:bookmarkEnd w:id="39"/>
      <w:r w:rsidRPr="0098262F">
        <w:t>:</w:t>
      </w:r>
      <w:r w:rsidR="005D26B4" w:rsidRPr="0098262F">
        <w:rPr>
          <w:rStyle w:val="CommentReference"/>
          <w:b/>
          <w:szCs w:val="24"/>
        </w:rPr>
        <w:t xml:space="preserve"> </w:t>
      </w:r>
      <w:r w:rsidR="001A68C7" w:rsidRPr="001A68C7">
        <w:rPr>
          <w:rStyle w:val="CommentReference"/>
          <w:b/>
          <w:szCs w:val="24"/>
        </w:rPr>
        <w:t>Results of primary endpoint</w:t>
      </w:r>
      <w:r w:rsidR="00896544">
        <w:rPr>
          <w:rStyle w:val="CommentReference"/>
          <w:b/>
          <w:szCs w:val="24"/>
        </w:rPr>
        <w:t xml:space="preserve"> (</w:t>
      </w:r>
      <w:r w:rsidR="001A68C7" w:rsidRPr="001A68C7">
        <w:rPr>
          <w:rStyle w:val="CommentReference"/>
          <w:b/>
          <w:szCs w:val="24"/>
        </w:rPr>
        <w:t>cholestasis response</w:t>
      </w:r>
      <w:r w:rsidR="00896544">
        <w:rPr>
          <w:rStyle w:val="CommentReference"/>
          <w:b/>
          <w:szCs w:val="24"/>
        </w:rPr>
        <w:t xml:space="preserve">) and key secondary endpoint (ALP normalisation) at 52 weeks </w:t>
      </w:r>
      <w:r w:rsidR="001A68C7" w:rsidRPr="001A68C7">
        <w:rPr>
          <w:rStyle w:val="CommentReference"/>
          <w:b/>
          <w:szCs w:val="24"/>
        </w:rPr>
        <w:t xml:space="preserve">in the ELATIVE </w:t>
      </w:r>
      <w:r w:rsidR="00CA7AF8">
        <w:rPr>
          <w:rStyle w:val="CommentReference"/>
          <w:b/>
          <w:szCs w:val="24"/>
        </w:rPr>
        <w:t xml:space="preserve">and POISE trials </w:t>
      </w:r>
      <w:r w:rsidR="001A68C7" w:rsidRPr="001A68C7">
        <w:rPr>
          <w:rStyle w:val="CommentReference"/>
          <w:b/>
          <w:szCs w:val="24"/>
        </w:rPr>
        <w:t>(ITT)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080"/>
        <w:gridCol w:w="1080"/>
        <w:gridCol w:w="1320"/>
        <w:gridCol w:w="1320"/>
        <w:gridCol w:w="1320"/>
        <w:gridCol w:w="1342"/>
      </w:tblGrid>
      <w:tr w:rsidR="00260730" w:rsidRPr="0098262F" w14:paraId="2C6BC2A7" w14:textId="77777777" w:rsidTr="00260730">
        <w:trPr>
          <w:cantSplit/>
          <w:tblHeader/>
        </w:trPr>
        <w:tc>
          <w:tcPr>
            <w:tcW w:w="862" w:type="pct"/>
            <w:tcMar>
              <w:left w:w="20" w:type="dxa"/>
              <w:right w:w="20" w:type="dxa"/>
            </w:tcMar>
            <w:vAlign w:val="center"/>
          </w:tcPr>
          <w:p w14:paraId="38B4F48D" w14:textId="7AA8F6CC" w:rsidR="00923F7E" w:rsidRPr="00610C73" w:rsidRDefault="00923F7E" w:rsidP="004F1E59">
            <w:pPr>
              <w:pStyle w:val="In-tableHeading"/>
              <w:rPr>
                <w:lang w:val="en-AU"/>
              </w:rPr>
            </w:pPr>
          </w:p>
        </w:tc>
        <w:tc>
          <w:tcPr>
            <w:tcW w:w="599" w:type="pct"/>
            <w:tcMar>
              <w:left w:w="20" w:type="dxa"/>
              <w:right w:w="20" w:type="dxa"/>
            </w:tcMar>
            <w:vAlign w:val="center"/>
          </w:tcPr>
          <w:p w14:paraId="465CA0C3" w14:textId="24B80E98" w:rsidR="00923F7E" w:rsidRPr="00610C73" w:rsidRDefault="00923F7E" w:rsidP="004F1E59">
            <w:pPr>
              <w:pStyle w:val="In-tableHeading"/>
              <w:jc w:val="center"/>
            </w:pPr>
            <w:proofErr w:type="spellStart"/>
            <w:r w:rsidRPr="00610C73">
              <w:t>Elafibranor</w:t>
            </w:r>
            <w:proofErr w:type="spellEnd"/>
          </w:p>
          <w:p w14:paraId="111690D4" w14:textId="22BF7558" w:rsidR="00923F7E" w:rsidRPr="00260730" w:rsidRDefault="00923F7E" w:rsidP="00260730">
            <w:pPr>
              <w:pStyle w:val="In-tableHeading"/>
              <w:jc w:val="center"/>
            </w:pPr>
            <w:r w:rsidRPr="00610C73">
              <w:t>n/N (%)</w:t>
            </w:r>
          </w:p>
        </w:tc>
        <w:tc>
          <w:tcPr>
            <w:tcW w:w="599" w:type="pct"/>
            <w:tcMar>
              <w:left w:w="20" w:type="dxa"/>
              <w:right w:w="20" w:type="dxa"/>
            </w:tcMar>
            <w:vAlign w:val="center"/>
          </w:tcPr>
          <w:p w14:paraId="2C48CD7E" w14:textId="77777777" w:rsidR="00923F7E" w:rsidRPr="00610C73" w:rsidRDefault="00923F7E" w:rsidP="004F1E59">
            <w:pPr>
              <w:pStyle w:val="In-tableHeading"/>
              <w:jc w:val="center"/>
            </w:pPr>
            <w:r w:rsidRPr="00610C73">
              <w:t>Placebo</w:t>
            </w:r>
          </w:p>
          <w:p w14:paraId="29BED30F" w14:textId="2439F7F1" w:rsidR="00923F7E" w:rsidRPr="00260730" w:rsidRDefault="00923F7E" w:rsidP="00260730">
            <w:pPr>
              <w:pStyle w:val="In-tableHeading"/>
              <w:jc w:val="center"/>
            </w:pPr>
            <w:r w:rsidRPr="00610C73">
              <w:t>n/N (%)</w:t>
            </w:r>
          </w:p>
        </w:tc>
        <w:tc>
          <w:tcPr>
            <w:tcW w:w="732" w:type="pct"/>
            <w:tcMar>
              <w:left w:w="20" w:type="dxa"/>
              <w:right w:w="20" w:type="dxa"/>
            </w:tcMar>
            <w:vAlign w:val="center"/>
          </w:tcPr>
          <w:p w14:paraId="4403B692" w14:textId="2B56B205" w:rsidR="00923F7E" w:rsidRPr="00610C73" w:rsidRDefault="00923F7E" w:rsidP="00677F62">
            <w:pPr>
              <w:pStyle w:val="In-tableHeading"/>
              <w:jc w:val="center"/>
            </w:pPr>
            <w:r w:rsidRPr="00610C73">
              <w:t>Unadjusted RR (95% CI)</w:t>
            </w:r>
          </w:p>
        </w:tc>
        <w:tc>
          <w:tcPr>
            <w:tcW w:w="732" w:type="pct"/>
            <w:tcMar>
              <w:left w:w="20" w:type="dxa"/>
              <w:right w:w="20" w:type="dxa"/>
            </w:tcMar>
            <w:vAlign w:val="center"/>
          </w:tcPr>
          <w:p w14:paraId="59ECED9D" w14:textId="6A616A47" w:rsidR="00923F7E" w:rsidRPr="00610C73" w:rsidRDefault="00923F7E" w:rsidP="00677F62">
            <w:pPr>
              <w:pStyle w:val="In-tableHeading"/>
              <w:jc w:val="center"/>
            </w:pPr>
            <w:r w:rsidRPr="00610C73">
              <w:t>Unadjusted RD (95% CI)</w:t>
            </w:r>
          </w:p>
        </w:tc>
        <w:tc>
          <w:tcPr>
            <w:tcW w:w="732" w:type="pct"/>
            <w:tcMar>
              <w:left w:w="20" w:type="dxa"/>
              <w:right w:w="20" w:type="dxa"/>
            </w:tcMar>
            <w:vAlign w:val="center"/>
          </w:tcPr>
          <w:p w14:paraId="6797E565" w14:textId="129F0999" w:rsidR="00923F7E" w:rsidRPr="00610C73" w:rsidRDefault="00212BBF" w:rsidP="00677F62">
            <w:pPr>
              <w:pStyle w:val="In-tableHeading"/>
              <w:jc w:val="center"/>
            </w:pPr>
            <w:r w:rsidRPr="00610C73">
              <w:t>OR</w:t>
            </w:r>
          </w:p>
          <w:p w14:paraId="156E622F" w14:textId="494836F9" w:rsidR="00923F7E" w:rsidRPr="00610C73" w:rsidRDefault="00923F7E" w:rsidP="00677F62">
            <w:pPr>
              <w:pStyle w:val="In-tableHeading"/>
              <w:jc w:val="center"/>
            </w:pPr>
            <w:r w:rsidRPr="00610C73">
              <w:t>(95% CI)</w:t>
            </w:r>
          </w:p>
        </w:tc>
        <w:tc>
          <w:tcPr>
            <w:tcW w:w="744" w:type="pct"/>
            <w:tcMar>
              <w:left w:w="20" w:type="dxa"/>
              <w:right w:w="20" w:type="dxa"/>
            </w:tcMar>
            <w:vAlign w:val="center"/>
          </w:tcPr>
          <w:p w14:paraId="18B3A937" w14:textId="1A82BFB9" w:rsidR="00923F7E" w:rsidRPr="00610C73" w:rsidRDefault="00923F7E" w:rsidP="004F1E59">
            <w:pPr>
              <w:pStyle w:val="In-tableHeading"/>
              <w:jc w:val="center"/>
              <w:rPr>
                <w:lang w:val="en-AU"/>
              </w:rPr>
            </w:pPr>
            <w:r w:rsidRPr="00610C73">
              <w:t>Cochran</w:t>
            </w:r>
            <w:r w:rsidR="00D90DAC">
              <w:t>-</w:t>
            </w:r>
            <w:r w:rsidRPr="00610C73">
              <w:t>Mantel</w:t>
            </w:r>
            <w:r w:rsidR="00D90DAC">
              <w:t>-</w:t>
            </w:r>
            <w:r w:rsidRPr="00610C73">
              <w:t xml:space="preserve">Haenszel test </w:t>
            </w:r>
            <w:r w:rsidR="00D90DAC">
              <w:br/>
            </w:r>
            <w:r w:rsidRPr="00610C73">
              <w:t>p-value</w:t>
            </w:r>
          </w:p>
        </w:tc>
      </w:tr>
      <w:tr w:rsidR="00260730" w:rsidRPr="0098262F" w14:paraId="214AA93C" w14:textId="77777777" w:rsidTr="00260730">
        <w:trPr>
          <w:cantSplit/>
        </w:trPr>
        <w:tc>
          <w:tcPr>
            <w:tcW w:w="862" w:type="pct"/>
            <w:tcMar>
              <w:left w:w="20" w:type="dxa"/>
              <w:right w:w="20" w:type="dxa"/>
            </w:tcMar>
            <w:vAlign w:val="center"/>
          </w:tcPr>
          <w:p w14:paraId="3D174E98" w14:textId="2DD8899D" w:rsidR="00923F7E" w:rsidRPr="00610C73" w:rsidRDefault="00923F7E" w:rsidP="00966213">
            <w:pPr>
              <w:pStyle w:val="TableText0"/>
            </w:pPr>
            <w:r w:rsidRPr="00610C73">
              <w:t xml:space="preserve">Cholestasis response </w:t>
            </w:r>
            <w:r w:rsidRPr="00610C73">
              <w:rPr>
                <w:vertAlign w:val="superscript"/>
              </w:rPr>
              <w:t>a</w:t>
            </w:r>
          </w:p>
        </w:tc>
        <w:tc>
          <w:tcPr>
            <w:tcW w:w="599" w:type="pct"/>
            <w:tcMar>
              <w:left w:w="20" w:type="dxa"/>
              <w:right w:w="20" w:type="dxa"/>
            </w:tcMar>
            <w:vAlign w:val="center"/>
          </w:tcPr>
          <w:p w14:paraId="422EF376" w14:textId="36A72B8A" w:rsidR="00923F7E" w:rsidRPr="00610C73" w:rsidRDefault="00923F7E" w:rsidP="00966213">
            <w:pPr>
              <w:pStyle w:val="TableText0"/>
              <w:jc w:val="center"/>
            </w:pPr>
            <w:r w:rsidRPr="00610C73">
              <w:t>55/108 (50.9)</w:t>
            </w:r>
          </w:p>
        </w:tc>
        <w:tc>
          <w:tcPr>
            <w:tcW w:w="599" w:type="pct"/>
            <w:tcMar>
              <w:left w:w="20" w:type="dxa"/>
              <w:right w:w="20" w:type="dxa"/>
            </w:tcMar>
            <w:vAlign w:val="center"/>
          </w:tcPr>
          <w:p w14:paraId="1E3ED255" w14:textId="5A332713" w:rsidR="00923F7E" w:rsidRPr="00610C73" w:rsidRDefault="00923F7E" w:rsidP="00966213">
            <w:pPr>
              <w:pStyle w:val="TableText0"/>
              <w:jc w:val="center"/>
            </w:pPr>
            <w:r w:rsidRPr="00610C73">
              <w:t>2/53 (3.8)</w:t>
            </w:r>
          </w:p>
        </w:tc>
        <w:tc>
          <w:tcPr>
            <w:tcW w:w="732" w:type="pct"/>
            <w:tcMar>
              <w:left w:w="20" w:type="dxa"/>
              <w:right w:w="20" w:type="dxa"/>
            </w:tcMar>
          </w:tcPr>
          <w:p w14:paraId="1F99D177" w14:textId="77777777" w:rsidR="00923F7E" w:rsidRPr="00610C73" w:rsidRDefault="00923F7E" w:rsidP="00966213">
            <w:pPr>
              <w:pStyle w:val="TableText0"/>
              <w:jc w:val="center"/>
            </w:pPr>
            <w:r w:rsidRPr="00610C73">
              <w:t>13.5</w:t>
            </w:r>
          </w:p>
          <w:p w14:paraId="0A967999" w14:textId="2859FF09" w:rsidR="00923F7E" w:rsidRPr="00610C73" w:rsidRDefault="00923F7E" w:rsidP="00966213">
            <w:pPr>
              <w:pStyle w:val="TableText0"/>
              <w:jc w:val="center"/>
            </w:pPr>
            <w:r w:rsidRPr="00610C73">
              <w:t>(3.4, 53.2)</w:t>
            </w:r>
          </w:p>
        </w:tc>
        <w:tc>
          <w:tcPr>
            <w:tcW w:w="732" w:type="pct"/>
            <w:tcMar>
              <w:left w:w="20" w:type="dxa"/>
              <w:right w:w="20" w:type="dxa"/>
            </w:tcMar>
          </w:tcPr>
          <w:p w14:paraId="239CF17D" w14:textId="77777777" w:rsidR="00923F7E" w:rsidRPr="00610C73" w:rsidRDefault="00923F7E" w:rsidP="00966213">
            <w:pPr>
              <w:pStyle w:val="TableText0"/>
              <w:jc w:val="center"/>
            </w:pPr>
            <w:r w:rsidRPr="00610C73">
              <w:t>47.2%</w:t>
            </w:r>
          </w:p>
          <w:p w14:paraId="3A47AE25" w14:textId="34E2F81E" w:rsidR="00923F7E" w:rsidRPr="00610C73" w:rsidRDefault="00923F7E" w:rsidP="00966213">
            <w:pPr>
              <w:pStyle w:val="TableText0"/>
              <w:jc w:val="center"/>
            </w:pPr>
            <w:r w:rsidRPr="00610C73">
              <w:t>(36.4, 57.9)</w:t>
            </w:r>
          </w:p>
        </w:tc>
        <w:tc>
          <w:tcPr>
            <w:tcW w:w="732" w:type="pct"/>
            <w:tcMar>
              <w:left w:w="20" w:type="dxa"/>
              <w:right w:w="20" w:type="dxa"/>
            </w:tcMar>
            <w:vAlign w:val="center"/>
          </w:tcPr>
          <w:p w14:paraId="3BDCC2E6" w14:textId="7A3FE9CD" w:rsidR="00923F7E" w:rsidRPr="00610C73" w:rsidRDefault="00923F7E" w:rsidP="00966213">
            <w:pPr>
              <w:pStyle w:val="TableText0"/>
              <w:jc w:val="center"/>
              <w:rPr>
                <w:b/>
                <w:bCs w:val="0"/>
              </w:rPr>
            </w:pPr>
            <w:r w:rsidRPr="00610C73">
              <w:rPr>
                <w:b/>
                <w:bCs w:val="0"/>
              </w:rPr>
              <w:t>37.6</w:t>
            </w:r>
          </w:p>
          <w:p w14:paraId="1FB1FDFD" w14:textId="06CE854E" w:rsidR="00923F7E" w:rsidRPr="00610C73" w:rsidRDefault="00923F7E" w:rsidP="00966213">
            <w:pPr>
              <w:pStyle w:val="TableText0"/>
              <w:jc w:val="center"/>
            </w:pPr>
            <w:r w:rsidRPr="00610C73">
              <w:rPr>
                <w:b/>
                <w:bCs w:val="0"/>
              </w:rPr>
              <w:t>(7.6, 302.2)</w:t>
            </w:r>
          </w:p>
        </w:tc>
        <w:tc>
          <w:tcPr>
            <w:tcW w:w="744" w:type="pct"/>
            <w:tcMar>
              <w:left w:w="20" w:type="dxa"/>
              <w:right w:w="20" w:type="dxa"/>
            </w:tcMar>
            <w:vAlign w:val="center"/>
          </w:tcPr>
          <w:p w14:paraId="6B17BFE6" w14:textId="7E5B32F6" w:rsidR="00923F7E" w:rsidRPr="00610C73" w:rsidRDefault="00923F7E" w:rsidP="00923F7E">
            <w:pPr>
              <w:pStyle w:val="TableText0"/>
              <w:jc w:val="center"/>
            </w:pPr>
            <w:r w:rsidRPr="00610C73">
              <w:rPr>
                <w:b/>
                <w:bCs w:val="0"/>
              </w:rPr>
              <w:t>&lt;0.0001</w:t>
            </w:r>
          </w:p>
        </w:tc>
      </w:tr>
      <w:tr w:rsidR="00260730" w:rsidRPr="0098262F" w14:paraId="26B12CB2" w14:textId="77777777" w:rsidTr="00260730">
        <w:trPr>
          <w:cantSplit/>
        </w:trPr>
        <w:tc>
          <w:tcPr>
            <w:tcW w:w="862" w:type="pct"/>
            <w:tcMar>
              <w:left w:w="20" w:type="dxa"/>
              <w:right w:w="20" w:type="dxa"/>
            </w:tcMar>
            <w:vAlign w:val="center"/>
          </w:tcPr>
          <w:p w14:paraId="484B2662" w14:textId="6C6FA65A" w:rsidR="00923F7E" w:rsidRPr="00610C73" w:rsidRDefault="00923F7E" w:rsidP="00B94CD0">
            <w:pPr>
              <w:pStyle w:val="TableText0"/>
            </w:pPr>
            <w:r w:rsidRPr="00610C73">
              <w:t xml:space="preserve">ALP normalisation </w:t>
            </w:r>
            <w:r w:rsidRPr="00610C73">
              <w:rPr>
                <w:vertAlign w:val="superscript"/>
              </w:rPr>
              <w:t>b</w:t>
            </w:r>
          </w:p>
        </w:tc>
        <w:tc>
          <w:tcPr>
            <w:tcW w:w="599" w:type="pct"/>
            <w:tcMar>
              <w:left w:w="20" w:type="dxa"/>
              <w:right w:w="20" w:type="dxa"/>
            </w:tcMar>
            <w:vAlign w:val="center"/>
          </w:tcPr>
          <w:p w14:paraId="060C514D" w14:textId="2685E0DE" w:rsidR="00923F7E" w:rsidRPr="00610C73" w:rsidRDefault="00923F7E" w:rsidP="00B94CD0">
            <w:pPr>
              <w:pStyle w:val="TableText0"/>
              <w:jc w:val="center"/>
            </w:pPr>
            <w:r w:rsidRPr="00610C73">
              <w:t>16/108 (14.8)</w:t>
            </w:r>
          </w:p>
        </w:tc>
        <w:tc>
          <w:tcPr>
            <w:tcW w:w="599" w:type="pct"/>
            <w:tcMar>
              <w:left w:w="20" w:type="dxa"/>
              <w:right w:w="20" w:type="dxa"/>
            </w:tcMar>
            <w:vAlign w:val="center"/>
          </w:tcPr>
          <w:p w14:paraId="2197A654" w14:textId="10A4F306" w:rsidR="00923F7E" w:rsidRPr="00610C73" w:rsidRDefault="00923F7E" w:rsidP="00B94CD0">
            <w:pPr>
              <w:pStyle w:val="TableText0"/>
              <w:jc w:val="center"/>
            </w:pPr>
            <w:r w:rsidRPr="00610C73">
              <w:t>0</w:t>
            </w:r>
          </w:p>
        </w:tc>
        <w:tc>
          <w:tcPr>
            <w:tcW w:w="732" w:type="pct"/>
            <w:tcMar>
              <w:left w:w="20" w:type="dxa"/>
              <w:right w:w="20" w:type="dxa"/>
            </w:tcMar>
          </w:tcPr>
          <w:p w14:paraId="6FD0AA13" w14:textId="64C01643" w:rsidR="00923F7E" w:rsidRPr="00610C73" w:rsidRDefault="00923F7E" w:rsidP="00B94CD0">
            <w:pPr>
              <w:pStyle w:val="TableText0"/>
              <w:jc w:val="center"/>
            </w:pPr>
            <w:r w:rsidRPr="00610C73">
              <w:t>-</w:t>
            </w:r>
          </w:p>
        </w:tc>
        <w:tc>
          <w:tcPr>
            <w:tcW w:w="732" w:type="pct"/>
            <w:tcMar>
              <w:left w:w="20" w:type="dxa"/>
              <w:right w:w="20" w:type="dxa"/>
            </w:tcMar>
          </w:tcPr>
          <w:p w14:paraId="535658A4" w14:textId="77777777" w:rsidR="00923F7E" w:rsidRPr="00610C73" w:rsidRDefault="00923F7E" w:rsidP="00B94CD0">
            <w:pPr>
              <w:pStyle w:val="TableText0"/>
              <w:jc w:val="center"/>
            </w:pPr>
            <w:r w:rsidRPr="00610C73">
              <w:t>14.8%</w:t>
            </w:r>
          </w:p>
          <w:p w14:paraId="2C95DE6A" w14:textId="21828377" w:rsidR="00923F7E" w:rsidRPr="00610C73" w:rsidRDefault="00923F7E" w:rsidP="00B94CD0">
            <w:pPr>
              <w:pStyle w:val="TableText0"/>
              <w:jc w:val="center"/>
            </w:pPr>
            <w:r w:rsidRPr="00610C73">
              <w:t>(8.1, 21.5)</w:t>
            </w:r>
          </w:p>
        </w:tc>
        <w:tc>
          <w:tcPr>
            <w:tcW w:w="732" w:type="pct"/>
            <w:tcMar>
              <w:left w:w="20" w:type="dxa"/>
              <w:right w:w="20" w:type="dxa"/>
            </w:tcMar>
          </w:tcPr>
          <w:p w14:paraId="144DD355" w14:textId="00F958A9" w:rsidR="00923F7E" w:rsidRPr="00610C73" w:rsidRDefault="00923F7E" w:rsidP="00B94CD0">
            <w:pPr>
              <w:pStyle w:val="TableText0"/>
              <w:jc w:val="center"/>
              <w:rPr>
                <w:b/>
                <w:bCs w:val="0"/>
              </w:rPr>
            </w:pPr>
            <w:r w:rsidRPr="00610C73">
              <w:rPr>
                <w:b/>
                <w:bCs w:val="0"/>
              </w:rPr>
              <w:t>∞</w:t>
            </w:r>
          </w:p>
          <w:p w14:paraId="728553F9" w14:textId="5CA07FA5" w:rsidR="00923F7E" w:rsidRPr="00610C73" w:rsidRDefault="00923F7E" w:rsidP="00B94CD0">
            <w:pPr>
              <w:pStyle w:val="TableText0"/>
              <w:jc w:val="center"/>
            </w:pPr>
            <w:r w:rsidRPr="00610C73">
              <w:rPr>
                <w:b/>
                <w:bCs w:val="0"/>
              </w:rPr>
              <w:t>(2.8, ∞)</w:t>
            </w:r>
          </w:p>
        </w:tc>
        <w:tc>
          <w:tcPr>
            <w:tcW w:w="744" w:type="pct"/>
            <w:tcMar>
              <w:left w:w="20" w:type="dxa"/>
              <w:right w:w="20" w:type="dxa"/>
            </w:tcMar>
            <w:vAlign w:val="center"/>
          </w:tcPr>
          <w:p w14:paraId="51D4B690" w14:textId="67D28692" w:rsidR="00923F7E" w:rsidRPr="00610C73" w:rsidRDefault="00923F7E" w:rsidP="00923F7E">
            <w:pPr>
              <w:pStyle w:val="TableText0"/>
              <w:jc w:val="center"/>
            </w:pPr>
            <w:r w:rsidRPr="00610C73">
              <w:rPr>
                <w:b/>
                <w:bCs w:val="0"/>
              </w:rPr>
              <w:t>0.002</w:t>
            </w:r>
          </w:p>
        </w:tc>
      </w:tr>
    </w:tbl>
    <w:p w14:paraId="4C36144F" w14:textId="6A5E3C72" w:rsidR="00292AAA" w:rsidRPr="00F2075E" w:rsidRDefault="00292AAA" w:rsidP="00292AAA">
      <w:pPr>
        <w:pStyle w:val="FooterTableFigure"/>
        <w:rPr>
          <w:i/>
          <w:iCs/>
        </w:rPr>
      </w:pPr>
      <w:r w:rsidRPr="008C5F8D">
        <w:rPr>
          <w:lang w:val="en-GB"/>
        </w:rPr>
        <w:t>Source: Figure 2-7</w:t>
      </w:r>
      <w:r w:rsidR="005E43E7">
        <w:rPr>
          <w:lang w:val="en-GB"/>
        </w:rPr>
        <w:t xml:space="preserve"> and Figure 2-8</w:t>
      </w:r>
      <w:r w:rsidRPr="008C5F8D">
        <w:rPr>
          <w:lang w:val="en-GB"/>
        </w:rPr>
        <w:t>, p87</w:t>
      </w:r>
      <w:r w:rsidR="005E43E7">
        <w:rPr>
          <w:lang w:val="en-GB"/>
        </w:rPr>
        <w:t>-88</w:t>
      </w:r>
      <w:r w:rsidRPr="008C5F8D">
        <w:rPr>
          <w:lang w:val="en-GB"/>
        </w:rPr>
        <w:t xml:space="preserve"> of the submission</w:t>
      </w:r>
      <w:r w:rsidRPr="00C213A5">
        <w:rPr>
          <w:i/>
          <w:iCs/>
        </w:rPr>
        <w:t>.</w:t>
      </w:r>
    </w:p>
    <w:p w14:paraId="588E44DD" w14:textId="310DA78B" w:rsidR="00742D4E" w:rsidRDefault="00742D4E" w:rsidP="00742D4E">
      <w:pPr>
        <w:pStyle w:val="FooterTableFigure"/>
        <w:rPr>
          <w:lang w:val="en-GB"/>
        </w:rPr>
      </w:pPr>
      <w:r w:rsidRPr="008C5F8D">
        <w:rPr>
          <w:b/>
          <w:bCs/>
          <w:lang w:val="en-GB"/>
        </w:rPr>
        <w:t xml:space="preserve">Bold </w:t>
      </w:r>
      <w:r w:rsidRPr="008C5F8D">
        <w:rPr>
          <w:lang w:val="en-GB"/>
        </w:rPr>
        <w:t>indicates statistical significance.</w:t>
      </w:r>
    </w:p>
    <w:p w14:paraId="64F4C61F" w14:textId="5A9AC280" w:rsidR="00742D4E" w:rsidRDefault="00742D4E" w:rsidP="00742D4E">
      <w:pPr>
        <w:pStyle w:val="FooterTableFigure"/>
      </w:pPr>
      <w:r w:rsidRPr="008C5F8D">
        <w:t xml:space="preserve">ALP= alkaline phosphatase; CI= confidence interval; </w:t>
      </w:r>
      <w:r>
        <w:t xml:space="preserve">ITT= Intent-to-treat; </w:t>
      </w:r>
      <w:r w:rsidR="00212BBF">
        <w:t xml:space="preserve">OR = odds ratio; </w:t>
      </w:r>
      <w:r w:rsidR="00677F62">
        <w:rPr>
          <w:lang w:val="en-GB"/>
        </w:rPr>
        <w:t xml:space="preserve">RD = risk difference; RR= relative risk; </w:t>
      </w:r>
      <w:r w:rsidRPr="008C5F8D">
        <w:t>ULN=upper limit of normal.</w:t>
      </w:r>
    </w:p>
    <w:p w14:paraId="636547C1" w14:textId="03CEEA19" w:rsidR="005552DF" w:rsidRDefault="005552DF" w:rsidP="05042C88">
      <w:pPr>
        <w:pStyle w:val="FooterTableFigure"/>
        <w:rPr>
          <w:rFonts w:eastAsia="Calibri"/>
        </w:rPr>
      </w:pPr>
      <w:r w:rsidRPr="05042C88">
        <w:rPr>
          <w:rFonts w:eastAsia="Calibri"/>
          <w:vertAlign w:val="superscript"/>
        </w:rPr>
        <w:t>a</w:t>
      </w:r>
      <w:r w:rsidRPr="05042C88">
        <w:rPr>
          <w:rFonts w:eastAsia="Calibri"/>
        </w:rPr>
        <w:t xml:space="preserve"> ALP &lt; 1.67x ULN, total bilirubin ≤ ULN, and ALP decrease of ≥ 15% from baseline.</w:t>
      </w:r>
    </w:p>
    <w:p w14:paraId="0525802C" w14:textId="42CD502D" w:rsidR="00742D4E" w:rsidRPr="00742D4E" w:rsidRDefault="00742D4E" w:rsidP="00D86231">
      <w:pPr>
        <w:pStyle w:val="FooterTableFigure"/>
        <w:rPr>
          <w:rFonts w:eastAsia="Calibri"/>
        </w:rPr>
      </w:pPr>
      <w:r>
        <w:rPr>
          <w:rFonts w:eastAsia="Calibri"/>
          <w:vertAlign w:val="superscript"/>
        </w:rPr>
        <w:t>b</w:t>
      </w:r>
      <w:r>
        <w:rPr>
          <w:rFonts w:eastAsia="Calibri"/>
        </w:rPr>
        <w:t xml:space="preserve"> ALP</w:t>
      </w:r>
      <w:r w:rsidR="002F09A4" w:rsidRPr="002F09A4">
        <w:rPr>
          <w:rFonts w:eastAsia="Calibri"/>
        </w:rPr>
        <w:t xml:space="preserve"> ≤ ULN</w:t>
      </w:r>
    </w:p>
    <w:p w14:paraId="55933663" w14:textId="04ABC4AC" w:rsidR="00FC6314" w:rsidRPr="00E2449A" w:rsidRDefault="00FC6314" w:rsidP="00FC6314">
      <w:pPr>
        <w:pStyle w:val="3-BodyText"/>
      </w:pPr>
      <w:r w:rsidRPr="00E2449A">
        <w:t xml:space="preserve">In the ELATIVE trial, the proportion of </w:t>
      </w:r>
      <w:r w:rsidR="00AB4DA6" w:rsidRPr="00E2449A">
        <w:t xml:space="preserve">patients </w:t>
      </w:r>
      <w:r w:rsidRPr="00E2449A">
        <w:t xml:space="preserve">with cholestasis response was significantly higher in the </w:t>
      </w:r>
      <w:proofErr w:type="spellStart"/>
      <w:r w:rsidRPr="00E2449A">
        <w:t>elafibranor</w:t>
      </w:r>
      <w:proofErr w:type="spellEnd"/>
      <w:r w:rsidRPr="00E2449A">
        <w:t xml:space="preserve"> arm (50.9%) than the placebo arm (3.8%) at </w:t>
      </w:r>
      <w:r w:rsidR="00EA22E3" w:rsidRPr="00E2449A">
        <w:t xml:space="preserve">Week </w:t>
      </w:r>
      <w:r w:rsidRPr="00E2449A">
        <w:t>52 (</w:t>
      </w:r>
      <w:r w:rsidR="00F6531A" w:rsidRPr="00E2449A">
        <w:t>odds ratio</w:t>
      </w:r>
      <w:r w:rsidR="00212BBF" w:rsidRPr="00E2449A">
        <w:t xml:space="preserve"> (</w:t>
      </w:r>
      <w:r w:rsidRPr="00E2449A">
        <w:t>OR</w:t>
      </w:r>
      <w:r w:rsidR="00212BBF" w:rsidRPr="00E2449A">
        <w:t>)</w:t>
      </w:r>
      <w:r w:rsidRPr="00E2449A">
        <w:t xml:space="preserve"> = 37.6; 95% CI: 7.6, 302.2).</w:t>
      </w:r>
    </w:p>
    <w:p w14:paraId="499BE1B6" w14:textId="36817783" w:rsidR="00966A31" w:rsidRPr="00E2449A" w:rsidRDefault="00966A31" w:rsidP="00FC6314">
      <w:pPr>
        <w:pStyle w:val="3-BodyText"/>
      </w:pPr>
      <w:r w:rsidRPr="00E2449A">
        <w:t xml:space="preserve">In the ELATIVE trial, the proportion of </w:t>
      </w:r>
      <w:r w:rsidR="00AB4DA6" w:rsidRPr="00E2449A">
        <w:t xml:space="preserve">patients </w:t>
      </w:r>
      <w:r w:rsidRPr="00E2449A">
        <w:t xml:space="preserve">achieving ALP normalisation was significantly higher in the </w:t>
      </w:r>
      <w:proofErr w:type="spellStart"/>
      <w:r w:rsidRPr="00E2449A">
        <w:t>elafibranor</w:t>
      </w:r>
      <w:proofErr w:type="spellEnd"/>
      <w:r w:rsidRPr="00E2449A">
        <w:t xml:space="preserve"> arm (14.8%) than the placebo arm (0%) at </w:t>
      </w:r>
      <w:r w:rsidR="00EA22E3" w:rsidRPr="00E2449A">
        <w:t xml:space="preserve">Week </w:t>
      </w:r>
      <w:r w:rsidRPr="00E2449A">
        <w:t>52 (p&lt;0.002)</w:t>
      </w:r>
      <w:r w:rsidR="00322BC6" w:rsidRPr="00E2449A">
        <w:t>; however, the ESC noted that</w:t>
      </w:r>
      <w:r w:rsidR="00E302A2" w:rsidRPr="00E2449A">
        <w:t xml:space="preserve"> the</w:t>
      </w:r>
      <w:r w:rsidR="00322BC6" w:rsidRPr="00E2449A">
        <w:t xml:space="preserve"> </w:t>
      </w:r>
      <w:r w:rsidR="000D01CF" w:rsidRPr="00E2449A">
        <w:t xml:space="preserve">overall incidence </w:t>
      </w:r>
      <w:r w:rsidR="00587BAC" w:rsidRPr="00E2449A">
        <w:t xml:space="preserve">ALP normalisation </w:t>
      </w:r>
      <w:r w:rsidR="000D01CF" w:rsidRPr="00E2449A">
        <w:t xml:space="preserve">in the </w:t>
      </w:r>
      <w:proofErr w:type="spellStart"/>
      <w:r w:rsidR="000D01CF" w:rsidRPr="00E2449A">
        <w:t>elafibranor</w:t>
      </w:r>
      <w:proofErr w:type="spellEnd"/>
      <w:r w:rsidR="000D01CF" w:rsidRPr="00E2449A">
        <w:t xml:space="preserve"> arm was low (14.8%)</w:t>
      </w:r>
      <w:r w:rsidRPr="00E2449A">
        <w:t>.</w:t>
      </w:r>
    </w:p>
    <w:p w14:paraId="29511D65" w14:textId="03D7B3AD" w:rsidR="00033E3C" w:rsidRPr="00E2449A" w:rsidRDefault="00033E3C" w:rsidP="00FC6314">
      <w:pPr>
        <w:pStyle w:val="3-BodyText"/>
      </w:pPr>
      <w:r w:rsidRPr="00E2449A">
        <w:t>It was uncertain whether cholestasis response and ALP normalisation</w:t>
      </w:r>
      <w:r w:rsidR="00896C54" w:rsidRPr="00E2449A">
        <w:t xml:space="preserve"> would</w:t>
      </w:r>
      <w:r w:rsidRPr="00E2449A">
        <w:t xml:space="preserve"> translate to </w:t>
      </w:r>
      <w:r w:rsidR="00B723C9" w:rsidRPr="00E2449A">
        <w:t>benefits in</w:t>
      </w:r>
      <w:r w:rsidRPr="00E2449A">
        <w:t xml:space="preserve"> </w:t>
      </w:r>
      <w:r w:rsidR="00217EB9" w:rsidRPr="00E2449A">
        <w:t xml:space="preserve">patient-relevant or clinically relevant </w:t>
      </w:r>
      <w:r w:rsidRPr="00E2449A">
        <w:t>outcomes.</w:t>
      </w:r>
    </w:p>
    <w:p w14:paraId="548467DD" w14:textId="4EDFA19F" w:rsidR="007D3067" w:rsidRPr="00E2449A" w:rsidRDefault="00582F7D" w:rsidP="007D3067">
      <w:pPr>
        <w:pStyle w:val="3-BodyText"/>
      </w:pPr>
      <w:r w:rsidRPr="00E2449A">
        <w:fldChar w:fldCharType="begin" w:fldLock="1"/>
      </w:r>
      <w:r w:rsidRPr="00E2449A">
        <w:instrText xml:space="preserve"> REF _Ref184670928 \h </w:instrText>
      </w:r>
      <w:r w:rsidR="00E2449A" w:rsidRPr="00E2449A">
        <w:instrText xml:space="preserve"> \* MERGEFORMAT </w:instrText>
      </w:r>
      <w:r w:rsidRPr="00E2449A">
        <w:fldChar w:fldCharType="separate"/>
      </w:r>
      <w:r w:rsidR="002B3034" w:rsidRPr="00E2449A">
        <w:t xml:space="preserve">Table </w:t>
      </w:r>
      <w:r w:rsidR="002B3034" w:rsidRPr="00E2449A">
        <w:rPr>
          <w:noProof/>
        </w:rPr>
        <w:t>5</w:t>
      </w:r>
      <w:r w:rsidRPr="00E2449A">
        <w:fldChar w:fldCharType="end"/>
      </w:r>
      <w:r w:rsidRPr="00E2449A">
        <w:t xml:space="preserve"> </w:t>
      </w:r>
      <w:r w:rsidR="00033E3C" w:rsidRPr="00E2449A">
        <w:t xml:space="preserve">presents the </w:t>
      </w:r>
      <w:r w:rsidRPr="00E2449A">
        <w:t>key secondary (change in PBC WI-NRS score</w:t>
      </w:r>
      <w:r w:rsidR="00033E3C" w:rsidRPr="00E2449A">
        <w:t xml:space="preserve"> </w:t>
      </w:r>
      <w:r w:rsidRPr="00E2449A">
        <w:t>at 24 and 52 weeks), other secondary (</w:t>
      </w:r>
      <w:r w:rsidR="00EB228B" w:rsidRPr="00E2449A">
        <w:t xml:space="preserve">change in 5-D </w:t>
      </w:r>
      <w:r w:rsidR="00164049" w:rsidRPr="00E2449A">
        <w:t>I</w:t>
      </w:r>
      <w:r w:rsidR="00EB228B" w:rsidRPr="00E2449A">
        <w:t xml:space="preserve">tch </w:t>
      </w:r>
      <w:r w:rsidR="00164049" w:rsidRPr="00E2449A">
        <w:t xml:space="preserve">Scale </w:t>
      </w:r>
      <w:r w:rsidR="00EB228B" w:rsidRPr="00E2449A">
        <w:t>score at 52 weeks</w:t>
      </w:r>
      <w:r w:rsidR="00550DC3" w:rsidRPr="00E2449A">
        <w:t xml:space="preserve">) and exploratory endpoints (PBC-40 itch domain at 52 weeks) </w:t>
      </w:r>
      <w:r w:rsidR="00CF25AA" w:rsidRPr="00E2449A">
        <w:t xml:space="preserve">from </w:t>
      </w:r>
      <w:r w:rsidR="00033E3C" w:rsidRPr="00E2449A">
        <w:t>the ELATIVE trial (</w:t>
      </w:r>
      <w:r w:rsidR="001A3215" w:rsidRPr="00E2449A">
        <w:t>P</w:t>
      </w:r>
      <w:r w:rsidR="00550DC3" w:rsidRPr="00E2449A">
        <w:t xml:space="preserve">ruritus </w:t>
      </w:r>
      <w:r w:rsidR="005443FD" w:rsidRPr="00E2449A">
        <w:t xml:space="preserve">ITT </w:t>
      </w:r>
      <w:r w:rsidR="001A3215" w:rsidRPr="00E2449A">
        <w:t xml:space="preserve">analysis set and </w:t>
      </w:r>
      <w:r w:rsidR="00550DC3" w:rsidRPr="00E2449A">
        <w:t xml:space="preserve">ITT </w:t>
      </w:r>
      <w:r w:rsidR="001A3215" w:rsidRPr="00E2449A">
        <w:t>analysis set</w:t>
      </w:r>
      <w:r w:rsidR="00033E3C" w:rsidRPr="00E2449A">
        <w:t>).</w:t>
      </w:r>
    </w:p>
    <w:p w14:paraId="1C2F58FD" w14:textId="252BF5DD" w:rsidR="007D3067" w:rsidRPr="008C5F8D" w:rsidRDefault="007D3067" w:rsidP="007D3067">
      <w:pPr>
        <w:pStyle w:val="Caption"/>
      </w:pPr>
      <w:bookmarkStart w:id="40" w:name="_Ref184670928"/>
      <w:r w:rsidRPr="0098262F">
        <w:lastRenderedPageBreak/>
        <w:t xml:space="preserve">Table </w:t>
      </w:r>
      <w:r w:rsidR="00780A90">
        <w:fldChar w:fldCharType="begin" w:fldLock="1"/>
      </w:r>
      <w:r w:rsidR="00780A90">
        <w:instrText xml:space="preserve"> SEQ Table \* ARABIC </w:instrText>
      </w:r>
      <w:r w:rsidR="00780A90">
        <w:fldChar w:fldCharType="separate"/>
      </w:r>
      <w:r w:rsidR="00780A90">
        <w:rPr>
          <w:noProof/>
        </w:rPr>
        <w:t>5</w:t>
      </w:r>
      <w:r w:rsidR="00780A90">
        <w:rPr>
          <w:noProof/>
        </w:rPr>
        <w:fldChar w:fldCharType="end"/>
      </w:r>
      <w:bookmarkEnd w:id="40"/>
      <w:r w:rsidRPr="0098262F">
        <w:t>:</w:t>
      </w:r>
      <w:r w:rsidRPr="0098262F">
        <w:rPr>
          <w:rStyle w:val="CommentReference"/>
          <w:b/>
          <w:szCs w:val="24"/>
        </w:rPr>
        <w:t xml:space="preserve"> </w:t>
      </w:r>
      <w:r w:rsidR="00BC39FF">
        <w:rPr>
          <w:rStyle w:val="CommentReference"/>
          <w:b/>
          <w:szCs w:val="24"/>
        </w:rPr>
        <w:t>Key s</w:t>
      </w:r>
      <w:r w:rsidRPr="008C5F8D">
        <w:t>econdary</w:t>
      </w:r>
      <w:r w:rsidR="00BC39FF">
        <w:t xml:space="preserve">, other secondary and </w:t>
      </w:r>
      <w:r w:rsidR="00565E1F">
        <w:t xml:space="preserve">exploratory </w:t>
      </w:r>
      <w:r w:rsidRPr="008C5F8D">
        <w:t>endpoint</w:t>
      </w:r>
      <w:r>
        <w:t>s</w:t>
      </w:r>
      <w:r w:rsidRPr="008C5F8D">
        <w:t xml:space="preserve"> of change in pruritus in the ELATIVE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47"/>
        <w:gridCol w:w="759"/>
        <w:gridCol w:w="827"/>
        <w:gridCol w:w="830"/>
        <w:gridCol w:w="776"/>
        <w:gridCol w:w="846"/>
        <w:gridCol w:w="864"/>
        <w:gridCol w:w="1010"/>
        <w:gridCol w:w="658"/>
      </w:tblGrid>
      <w:tr w:rsidR="00E31013" w:rsidRPr="00CF3AA0" w14:paraId="3141F77A" w14:textId="77777777" w:rsidTr="05042C88">
        <w:trPr>
          <w:tblHeader/>
        </w:trPr>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31D4E9" w14:textId="77777777" w:rsidR="004B4DEB" w:rsidRPr="00CF3AA0" w:rsidRDefault="004B4DEB" w:rsidP="00D7750E">
            <w:pPr>
              <w:pStyle w:val="In-tableHeading"/>
              <w:jc w:val="center"/>
            </w:pPr>
            <w:r w:rsidRPr="00CF3AA0">
              <w:t>Trial ID</w:t>
            </w:r>
          </w:p>
        </w:tc>
        <w:tc>
          <w:tcPr>
            <w:tcW w:w="1349" w:type="pct"/>
            <w:gridSpan w:val="3"/>
            <w:tcBorders>
              <w:top w:val="single" w:sz="4" w:space="0" w:color="auto"/>
              <w:left w:val="single" w:sz="4" w:space="0" w:color="auto"/>
              <w:bottom w:val="single" w:sz="4" w:space="0" w:color="auto"/>
              <w:right w:val="single" w:sz="4" w:space="0" w:color="auto"/>
            </w:tcBorders>
            <w:vAlign w:val="center"/>
            <w:hideMark/>
          </w:tcPr>
          <w:p w14:paraId="65C1E148" w14:textId="7F512322" w:rsidR="004B4DEB" w:rsidRPr="00CF3AA0" w:rsidRDefault="00D7750E" w:rsidP="00D7750E">
            <w:pPr>
              <w:pStyle w:val="In-tableHeading"/>
              <w:jc w:val="center"/>
            </w:pPr>
            <w:proofErr w:type="spellStart"/>
            <w:r w:rsidRPr="00CF3AA0">
              <w:t>Elafibranor</w:t>
            </w:r>
            <w:proofErr w:type="spellEnd"/>
          </w:p>
        </w:tc>
        <w:tc>
          <w:tcPr>
            <w:tcW w:w="1387" w:type="pct"/>
            <w:gridSpan w:val="3"/>
            <w:tcBorders>
              <w:top w:val="single" w:sz="4" w:space="0" w:color="auto"/>
              <w:left w:val="single" w:sz="4" w:space="0" w:color="auto"/>
              <w:bottom w:val="single" w:sz="4" w:space="0" w:color="auto"/>
              <w:right w:val="single" w:sz="4" w:space="0" w:color="auto"/>
            </w:tcBorders>
            <w:vAlign w:val="center"/>
            <w:hideMark/>
          </w:tcPr>
          <w:p w14:paraId="59EC840F" w14:textId="77777777" w:rsidR="004B4DEB" w:rsidRPr="00CF3AA0" w:rsidRDefault="004B4DEB" w:rsidP="00D7750E">
            <w:pPr>
              <w:pStyle w:val="In-tableHeading"/>
              <w:jc w:val="center"/>
            </w:pPr>
            <w:r w:rsidRPr="00CF3AA0">
              <w:t>Placebo</w:t>
            </w:r>
          </w:p>
        </w:tc>
        <w:tc>
          <w:tcPr>
            <w:tcW w:w="563" w:type="pct"/>
            <w:vMerge w:val="restart"/>
            <w:tcBorders>
              <w:top w:val="single" w:sz="4" w:space="0" w:color="auto"/>
              <w:left w:val="single" w:sz="4" w:space="0" w:color="auto"/>
              <w:bottom w:val="single" w:sz="4" w:space="0" w:color="auto"/>
              <w:right w:val="single" w:sz="4" w:space="0" w:color="auto"/>
            </w:tcBorders>
            <w:vAlign w:val="center"/>
            <w:hideMark/>
          </w:tcPr>
          <w:p w14:paraId="61932BC8" w14:textId="53D4825F" w:rsidR="004B4DEB" w:rsidRPr="00CF3AA0" w:rsidRDefault="004B4DEB" w:rsidP="00D7750E">
            <w:pPr>
              <w:pStyle w:val="In-tableHeading"/>
              <w:jc w:val="center"/>
            </w:pPr>
            <w:r w:rsidRPr="00CF3AA0">
              <w:t>LS Mean difference (95% CI)</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66038CEB" w14:textId="77777777" w:rsidR="004B4DEB" w:rsidRPr="00CF3AA0" w:rsidRDefault="004B4DEB" w:rsidP="00D7750E">
            <w:pPr>
              <w:pStyle w:val="In-tableHeading"/>
              <w:jc w:val="center"/>
            </w:pPr>
            <w:r w:rsidRPr="00CF3AA0">
              <w:t>P-value</w:t>
            </w:r>
          </w:p>
        </w:tc>
      </w:tr>
      <w:tr w:rsidR="00E31013" w:rsidRPr="00CF3AA0" w14:paraId="37E7E7FA" w14:textId="77777777" w:rsidTr="05042C88">
        <w:tc>
          <w:tcPr>
            <w:tcW w:w="1360" w:type="pct"/>
            <w:vMerge/>
            <w:vAlign w:val="center"/>
            <w:hideMark/>
          </w:tcPr>
          <w:p w14:paraId="4ABFD092" w14:textId="77777777" w:rsidR="004B4DEB" w:rsidRPr="00CF3AA0" w:rsidRDefault="004B4DEB" w:rsidP="00777D20">
            <w:pPr>
              <w:pStyle w:val="TableText0"/>
              <w:rPr>
                <w:highlight w:val="yellow"/>
              </w:rPr>
            </w:pPr>
          </w:p>
        </w:tc>
        <w:tc>
          <w:tcPr>
            <w:tcW w:w="424" w:type="pct"/>
            <w:tcBorders>
              <w:top w:val="single" w:sz="4" w:space="0" w:color="auto"/>
              <w:left w:val="single" w:sz="4" w:space="0" w:color="auto"/>
              <w:bottom w:val="single" w:sz="4" w:space="0" w:color="auto"/>
              <w:right w:val="single" w:sz="4" w:space="0" w:color="auto"/>
            </w:tcBorders>
            <w:vAlign w:val="center"/>
            <w:hideMark/>
          </w:tcPr>
          <w:p w14:paraId="3BB1554B" w14:textId="77777777" w:rsidR="004B4DEB" w:rsidRPr="00CF3AA0" w:rsidRDefault="004B4DEB" w:rsidP="00D7750E">
            <w:pPr>
              <w:pStyle w:val="In-tableHeading"/>
              <w:jc w:val="center"/>
            </w:pPr>
            <w:r w:rsidRPr="00CF3AA0">
              <w:t>Mean baseline (SD)</w:t>
            </w:r>
          </w:p>
        </w:tc>
        <w:tc>
          <w:tcPr>
            <w:tcW w:w="462" w:type="pct"/>
            <w:tcBorders>
              <w:top w:val="single" w:sz="4" w:space="0" w:color="auto"/>
              <w:left w:val="single" w:sz="4" w:space="0" w:color="auto"/>
              <w:bottom w:val="single" w:sz="4" w:space="0" w:color="auto"/>
              <w:right w:val="single" w:sz="4" w:space="0" w:color="auto"/>
            </w:tcBorders>
            <w:vAlign w:val="center"/>
            <w:hideMark/>
          </w:tcPr>
          <w:p w14:paraId="1D21F970" w14:textId="77777777" w:rsidR="004B4DEB" w:rsidRPr="00CF3AA0" w:rsidRDefault="004B4DEB" w:rsidP="00D7750E">
            <w:pPr>
              <w:pStyle w:val="In-tableHeading"/>
              <w:jc w:val="center"/>
            </w:pPr>
            <w:r w:rsidRPr="00CF3AA0">
              <w:t>Mean end point (SD)</w:t>
            </w:r>
          </w:p>
        </w:tc>
        <w:tc>
          <w:tcPr>
            <w:tcW w:w="463" w:type="pct"/>
            <w:tcBorders>
              <w:top w:val="single" w:sz="4" w:space="0" w:color="auto"/>
              <w:left w:val="single" w:sz="4" w:space="0" w:color="auto"/>
              <w:bottom w:val="single" w:sz="4" w:space="0" w:color="auto"/>
              <w:right w:val="single" w:sz="4" w:space="0" w:color="auto"/>
            </w:tcBorders>
            <w:vAlign w:val="center"/>
            <w:hideMark/>
          </w:tcPr>
          <w:p w14:paraId="3B6AF356" w14:textId="7B250F9A" w:rsidR="004B4DEB" w:rsidRPr="00CF3AA0" w:rsidRDefault="004B4DEB" w:rsidP="00D7750E">
            <w:pPr>
              <w:pStyle w:val="In-tableHeading"/>
              <w:jc w:val="center"/>
            </w:pPr>
            <w:r w:rsidRPr="00CF3AA0">
              <w:t>LS mean change</w:t>
            </w:r>
          </w:p>
          <w:p w14:paraId="1106062F" w14:textId="77777777" w:rsidR="004B4DEB" w:rsidRPr="00CF3AA0" w:rsidRDefault="004B4DEB" w:rsidP="00D7750E">
            <w:pPr>
              <w:pStyle w:val="In-tableHeading"/>
              <w:jc w:val="center"/>
            </w:pPr>
            <w:r w:rsidRPr="00CF3AA0">
              <w:t>(95% CI)</w:t>
            </w:r>
          </w:p>
        </w:tc>
        <w:tc>
          <w:tcPr>
            <w:tcW w:w="433" w:type="pct"/>
            <w:tcBorders>
              <w:top w:val="single" w:sz="4" w:space="0" w:color="auto"/>
              <w:left w:val="single" w:sz="4" w:space="0" w:color="auto"/>
              <w:bottom w:val="single" w:sz="4" w:space="0" w:color="auto"/>
              <w:right w:val="single" w:sz="4" w:space="0" w:color="auto"/>
            </w:tcBorders>
            <w:vAlign w:val="center"/>
            <w:hideMark/>
          </w:tcPr>
          <w:p w14:paraId="2F27E7AE" w14:textId="77777777" w:rsidR="004B4DEB" w:rsidRPr="00CF3AA0" w:rsidRDefault="004B4DEB" w:rsidP="00D7750E">
            <w:pPr>
              <w:pStyle w:val="In-tableHeading"/>
              <w:jc w:val="center"/>
            </w:pPr>
            <w:r w:rsidRPr="00CF3AA0">
              <w:t>Mean baseline (SD)</w:t>
            </w:r>
          </w:p>
        </w:tc>
        <w:tc>
          <w:tcPr>
            <w:tcW w:w="472" w:type="pct"/>
            <w:tcBorders>
              <w:top w:val="single" w:sz="4" w:space="0" w:color="auto"/>
              <w:left w:val="single" w:sz="4" w:space="0" w:color="auto"/>
              <w:bottom w:val="single" w:sz="4" w:space="0" w:color="auto"/>
              <w:right w:val="single" w:sz="4" w:space="0" w:color="auto"/>
            </w:tcBorders>
            <w:vAlign w:val="center"/>
            <w:hideMark/>
          </w:tcPr>
          <w:p w14:paraId="28EFD74D" w14:textId="77777777" w:rsidR="004B4DEB" w:rsidRPr="00CF3AA0" w:rsidRDefault="004B4DEB" w:rsidP="00D7750E">
            <w:pPr>
              <w:pStyle w:val="In-tableHeading"/>
              <w:jc w:val="center"/>
            </w:pPr>
            <w:r w:rsidRPr="00CF3AA0">
              <w:t>Mean end point (SD)</w:t>
            </w:r>
          </w:p>
        </w:tc>
        <w:tc>
          <w:tcPr>
            <w:tcW w:w="482" w:type="pct"/>
            <w:tcBorders>
              <w:top w:val="single" w:sz="4" w:space="0" w:color="auto"/>
              <w:left w:val="single" w:sz="4" w:space="0" w:color="auto"/>
              <w:bottom w:val="single" w:sz="4" w:space="0" w:color="auto"/>
              <w:right w:val="single" w:sz="4" w:space="0" w:color="auto"/>
            </w:tcBorders>
            <w:hideMark/>
          </w:tcPr>
          <w:p w14:paraId="14237DB1" w14:textId="57D47264" w:rsidR="004B4DEB" w:rsidRPr="00CF3AA0" w:rsidRDefault="004B4DEB" w:rsidP="00D7750E">
            <w:pPr>
              <w:pStyle w:val="In-tableHeading"/>
              <w:jc w:val="center"/>
            </w:pPr>
            <w:r w:rsidRPr="00CF3AA0">
              <w:t>LS mean change</w:t>
            </w:r>
          </w:p>
          <w:p w14:paraId="3099A52D" w14:textId="77777777" w:rsidR="004B4DEB" w:rsidRPr="00CF3AA0" w:rsidRDefault="004B4DEB" w:rsidP="00D7750E">
            <w:pPr>
              <w:pStyle w:val="In-tableHeading"/>
              <w:jc w:val="center"/>
            </w:pPr>
            <w:r w:rsidRPr="00CF3AA0">
              <w:t>(95% CI)</w:t>
            </w:r>
          </w:p>
        </w:tc>
        <w:tc>
          <w:tcPr>
            <w:tcW w:w="563" w:type="pct"/>
            <w:vMerge/>
            <w:vAlign w:val="center"/>
            <w:hideMark/>
          </w:tcPr>
          <w:p w14:paraId="116279D4" w14:textId="77777777" w:rsidR="004B4DEB" w:rsidRPr="00CF3AA0" w:rsidRDefault="004B4DEB" w:rsidP="00D7750E">
            <w:pPr>
              <w:pStyle w:val="TableText0"/>
              <w:jc w:val="center"/>
            </w:pPr>
          </w:p>
        </w:tc>
        <w:tc>
          <w:tcPr>
            <w:tcW w:w="341" w:type="pct"/>
            <w:vMerge/>
            <w:vAlign w:val="center"/>
            <w:hideMark/>
          </w:tcPr>
          <w:p w14:paraId="09E882A0" w14:textId="77777777" w:rsidR="004B4DEB" w:rsidRPr="00CF3AA0" w:rsidRDefault="004B4DEB" w:rsidP="00D7750E">
            <w:pPr>
              <w:pStyle w:val="TableText0"/>
              <w:jc w:val="center"/>
              <w:rPr>
                <w:highlight w:val="yellow"/>
              </w:rPr>
            </w:pPr>
          </w:p>
        </w:tc>
      </w:tr>
      <w:tr w:rsidR="004B4DEB" w:rsidRPr="00CF3AA0" w14:paraId="662C283D" w14:textId="77777777" w:rsidTr="05042C88">
        <w:tc>
          <w:tcPr>
            <w:tcW w:w="5000" w:type="pct"/>
            <w:gridSpan w:val="9"/>
            <w:tcBorders>
              <w:top w:val="single" w:sz="4" w:space="0" w:color="auto"/>
              <w:left w:val="single" w:sz="4" w:space="0" w:color="auto"/>
              <w:bottom w:val="single" w:sz="4" w:space="0" w:color="auto"/>
              <w:right w:val="single" w:sz="4" w:space="0" w:color="auto"/>
            </w:tcBorders>
            <w:vAlign w:val="center"/>
          </w:tcPr>
          <w:p w14:paraId="56BB2FF8" w14:textId="71E0BD94" w:rsidR="004B4DEB" w:rsidRPr="00CF3AA0" w:rsidRDefault="004B4DEB" w:rsidP="00777D20">
            <w:pPr>
              <w:pStyle w:val="TableText0"/>
              <w:rPr>
                <w:b/>
                <w:bCs w:val="0"/>
              </w:rPr>
            </w:pPr>
            <w:r w:rsidRPr="00CF3AA0">
              <w:rPr>
                <w:b/>
                <w:bCs w:val="0"/>
              </w:rPr>
              <w:t xml:space="preserve">Key secondary </w:t>
            </w:r>
            <w:r w:rsidR="00582F7D" w:rsidRPr="00CF3AA0">
              <w:rPr>
                <w:b/>
                <w:bCs w:val="0"/>
              </w:rPr>
              <w:t>endpoint</w:t>
            </w:r>
            <w:r w:rsidR="00205343" w:rsidRPr="00CF3AA0">
              <w:rPr>
                <w:b/>
                <w:bCs w:val="0"/>
              </w:rPr>
              <w:t>s</w:t>
            </w:r>
          </w:p>
        </w:tc>
      </w:tr>
      <w:tr w:rsidR="00E31013" w:rsidRPr="00CF3AA0" w14:paraId="058A872C"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6EBD13A7" w14:textId="33C9F67C" w:rsidR="004B4DEB" w:rsidRPr="00CF3AA0" w:rsidRDefault="00B249EF" w:rsidP="00777D20">
            <w:pPr>
              <w:pStyle w:val="TableText0"/>
            </w:pPr>
            <w:r w:rsidRPr="05042C88">
              <w:t xml:space="preserve">Change in PBC WI-NRS </w:t>
            </w:r>
            <w:proofErr w:type="spellStart"/>
            <w:r w:rsidRPr="05042C88">
              <w:t>score</w:t>
            </w:r>
            <w:r w:rsidR="005E33B8" w:rsidRPr="05042C88">
              <w:rPr>
                <w:vertAlign w:val="superscript"/>
              </w:rPr>
              <w:t>a</w:t>
            </w:r>
            <w:proofErr w:type="spellEnd"/>
            <w:r w:rsidR="00910C0E" w:rsidRPr="05042C88">
              <w:t xml:space="preserve"> </w:t>
            </w:r>
            <w:r w:rsidRPr="05042C88">
              <w:t>from baseline to week 24 (Pruritus</w:t>
            </w:r>
            <w:r w:rsidR="005443FD" w:rsidRPr="05042C88">
              <w:t xml:space="preserve"> ITT</w:t>
            </w:r>
            <w:r w:rsidRPr="05042C88">
              <w:t xml:space="preserve"> </w:t>
            </w:r>
            <w:r w:rsidR="00F91F5C" w:rsidRPr="05042C88">
              <w:t>analysis set</w:t>
            </w:r>
            <w:r w:rsidRPr="05042C88">
              <w:t xml:space="preserve">) </w:t>
            </w:r>
            <w:r w:rsidR="00910C0E" w:rsidRPr="05042C88">
              <w:rPr>
                <w:vertAlign w:val="superscript"/>
              </w:rPr>
              <w:t>b</w:t>
            </w:r>
          </w:p>
        </w:tc>
        <w:tc>
          <w:tcPr>
            <w:tcW w:w="424" w:type="pct"/>
            <w:tcBorders>
              <w:top w:val="single" w:sz="4" w:space="0" w:color="auto"/>
              <w:left w:val="single" w:sz="4" w:space="0" w:color="auto"/>
              <w:bottom w:val="single" w:sz="4" w:space="0" w:color="auto"/>
              <w:right w:val="single" w:sz="4" w:space="0" w:color="auto"/>
            </w:tcBorders>
            <w:vAlign w:val="center"/>
            <w:hideMark/>
          </w:tcPr>
          <w:p w14:paraId="66A7D944" w14:textId="77777777" w:rsidR="004B4DEB" w:rsidRPr="00CF3AA0" w:rsidRDefault="004B4DEB" w:rsidP="006809F6">
            <w:pPr>
              <w:pStyle w:val="TableText0"/>
              <w:jc w:val="center"/>
            </w:pPr>
            <w:r w:rsidRPr="00CF3AA0">
              <w:t>6.2</w:t>
            </w:r>
          </w:p>
          <w:p w14:paraId="5046E709" w14:textId="77777777" w:rsidR="004B4DEB" w:rsidRPr="00CF3AA0" w:rsidRDefault="004B4DEB" w:rsidP="006809F6">
            <w:pPr>
              <w:pStyle w:val="TableText0"/>
              <w:jc w:val="center"/>
            </w:pPr>
            <w:r w:rsidRPr="00CF3AA0">
              <w:t>(1.5)</w:t>
            </w:r>
          </w:p>
        </w:tc>
        <w:tc>
          <w:tcPr>
            <w:tcW w:w="462" w:type="pct"/>
            <w:tcBorders>
              <w:top w:val="single" w:sz="4" w:space="0" w:color="auto"/>
              <w:left w:val="single" w:sz="4" w:space="0" w:color="auto"/>
              <w:bottom w:val="single" w:sz="4" w:space="0" w:color="auto"/>
              <w:right w:val="single" w:sz="4" w:space="0" w:color="auto"/>
            </w:tcBorders>
            <w:vAlign w:val="center"/>
            <w:hideMark/>
          </w:tcPr>
          <w:p w14:paraId="4B1A1C3C" w14:textId="77777777" w:rsidR="004B4DEB" w:rsidRPr="00CF3AA0" w:rsidRDefault="004B4DEB" w:rsidP="006809F6">
            <w:pPr>
              <w:pStyle w:val="TableText0"/>
              <w:jc w:val="center"/>
            </w:pPr>
            <w:r w:rsidRPr="00CF3AA0">
              <w:t>NR</w:t>
            </w:r>
          </w:p>
        </w:tc>
        <w:tc>
          <w:tcPr>
            <w:tcW w:w="463" w:type="pct"/>
            <w:tcBorders>
              <w:top w:val="single" w:sz="4" w:space="0" w:color="auto"/>
              <w:left w:val="single" w:sz="4" w:space="0" w:color="auto"/>
              <w:bottom w:val="single" w:sz="4" w:space="0" w:color="auto"/>
              <w:right w:val="single" w:sz="4" w:space="0" w:color="auto"/>
            </w:tcBorders>
            <w:vAlign w:val="center"/>
            <w:hideMark/>
          </w:tcPr>
          <w:p w14:paraId="43BA0D14" w14:textId="77777777" w:rsidR="004B4DEB" w:rsidRPr="00CF3AA0" w:rsidRDefault="004B4DEB" w:rsidP="006809F6">
            <w:pPr>
              <w:pStyle w:val="TableText0"/>
              <w:jc w:val="center"/>
            </w:pPr>
            <w:r w:rsidRPr="00CF3AA0">
              <w:t>-1.6</w:t>
            </w:r>
          </w:p>
          <w:p w14:paraId="53948597" w14:textId="74A8E3BC" w:rsidR="004B4DEB" w:rsidRPr="00CF3AA0" w:rsidRDefault="004B4DEB" w:rsidP="006809F6">
            <w:pPr>
              <w:pStyle w:val="TableText0"/>
              <w:jc w:val="center"/>
            </w:pPr>
            <w:r w:rsidRPr="00CF3AA0">
              <w:t>(-2.2,</w:t>
            </w:r>
            <w:r w:rsidR="00D7750E" w:rsidRPr="00CF3AA0">
              <w:t> </w:t>
            </w:r>
            <w:r w:rsidRPr="00CF3AA0">
              <w:rPr>
                <w:vertAlign w:val="subscript"/>
              </w:rPr>
              <w:t>-</w:t>
            </w:r>
            <w:r w:rsidRPr="00CF3AA0">
              <w:t>1.0)</w:t>
            </w:r>
          </w:p>
        </w:tc>
        <w:tc>
          <w:tcPr>
            <w:tcW w:w="433" w:type="pct"/>
            <w:tcBorders>
              <w:top w:val="single" w:sz="4" w:space="0" w:color="auto"/>
              <w:left w:val="single" w:sz="4" w:space="0" w:color="auto"/>
              <w:bottom w:val="single" w:sz="4" w:space="0" w:color="auto"/>
              <w:right w:val="single" w:sz="4" w:space="0" w:color="auto"/>
            </w:tcBorders>
            <w:vAlign w:val="center"/>
            <w:hideMark/>
          </w:tcPr>
          <w:p w14:paraId="03D5DD15" w14:textId="77777777" w:rsidR="004B4DEB" w:rsidRPr="00CF3AA0" w:rsidRDefault="004B4DEB" w:rsidP="006809F6">
            <w:pPr>
              <w:pStyle w:val="TableText0"/>
              <w:jc w:val="center"/>
            </w:pPr>
            <w:r w:rsidRPr="00CF3AA0">
              <w:t>6.3 (1.2)</w:t>
            </w:r>
          </w:p>
        </w:tc>
        <w:tc>
          <w:tcPr>
            <w:tcW w:w="472" w:type="pct"/>
            <w:tcBorders>
              <w:top w:val="single" w:sz="4" w:space="0" w:color="auto"/>
              <w:left w:val="single" w:sz="4" w:space="0" w:color="auto"/>
              <w:bottom w:val="single" w:sz="4" w:space="0" w:color="auto"/>
              <w:right w:val="single" w:sz="4" w:space="0" w:color="auto"/>
            </w:tcBorders>
            <w:vAlign w:val="center"/>
            <w:hideMark/>
          </w:tcPr>
          <w:p w14:paraId="3E8F1F55" w14:textId="77777777" w:rsidR="004B4DEB" w:rsidRPr="00CF3AA0" w:rsidRDefault="004B4DEB" w:rsidP="006809F6">
            <w:pPr>
              <w:pStyle w:val="TableText0"/>
              <w:jc w:val="center"/>
            </w:pPr>
            <w:r w:rsidRPr="00CF3AA0">
              <w:t>NR</w:t>
            </w:r>
          </w:p>
        </w:tc>
        <w:tc>
          <w:tcPr>
            <w:tcW w:w="482" w:type="pct"/>
            <w:tcBorders>
              <w:top w:val="single" w:sz="4" w:space="0" w:color="auto"/>
              <w:left w:val="single" w:sz="4" w:space="0" w:color="auto"/>
              <w:bottom w:val="single" w:sz="4" w:space="0" w:color="auto"/>
              <w:right w:val="single" w:sz="4" w:space="0" w:color="auto"/>
            </w:tcBorders>
            <w:vAlign w:val="center"/>
            <w:hideMark/>
          </w:tcPr>
          <w:p w14:paraId="13B1DC45" w14:textId="77777777" w:rsidR="004B4DEB" w:rsidRPr="00CF3AA0" w:rsidRDefault="004B4DEB" w:rsidP="006809F6">
            <w:pPr>
              <w:pStyle w:val="TableText0"/>
              <w:jc w:val="center"/>
            </w:pPr>
            <w:r w:rsidRPr="00CF3AA0">
              <w:t>-1.3</w:t>
            </w:r>
          </w:p>
          <w:p w14:paraId="295BF51F" w14:textId="77777777" w:rsidR="004B4DEB" w:rsidRPr="00CF3AA0" w:rsidRDefault="004B4DEB" w:rsidP="006809F6">
            <w:pPr>
              <w:pStyle w:val="TableText0"/>
              <w:jc w:val="center"/>
            </w:pPr>
            <w:r w:rsidRPr="00CF3AA0">
              <w:t>(-2.2, -0.3)</w:t>
            </w:r>
          </w:p>
        </w:tc>
        <w:tc>
          <w:tcPr>
            <w:tcW w:w="563" w:type="pct"/>
            <w:tcBorders>
              <w:top w:val="single" w:sz="4" w:space="0" w:color="auto"/>
              <w:left w:val="single" w:sz="4" w:space="0" w:color="auto"/>
              <w:bottom w:val="single" w:sz="4" w:space="0" w:color="auto"/>
              <w:right w:val="single" w:sz="4" w:space="0" w:color="auto"/>
            </w:tcBorders>
            <w:vAlign w:val="center"/>
            <w:hideMark/>
          </w:tcPr>
          <w:p w14:paraId="47D766A0" w14:textId="77777777" w:rsidR="004B4DEB" w:rsidRPr="00CF3AA0" w:rsidRDefault="004B4DEB" w:rsidP="006809F6">
            <w:pPr>
              <w:pStyle w:val="TableText0"/>
              <w:jc w:val="center"/>
            </w:pPr>
            <w:r w:rsidRPr="00CF3AA0">
              <w:t>-0.3</w:t>
            </w:r>
          </w:p>
          <w:p w14:paraId="2D88E317" w14:textId="77777777" w:rsidR="004B4DEB" w:rsidRPr="00CF3AA0" w:rsidRDefault="004B4DEB" w:rsidP="006809F6">
            <w:pPr>
              <w:pStyle w:val="TableText0"/>
              <w:jc w:val="center"/>
            </w:pPr>
            <w:r w:rsidRPr="00CF3AA0">
              <w:t>(-1.5, 0.8)</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7CB076" w14:textId="20271E8B" w:rsidR="004B4DEB" w:rsidRPr="00CF3AA0" w:rsidRDefault="004B4DEB" w:rsidP="006809F6">
            <w:pPr>
              <w:pStyle w:val="TableText0"/>
              <w:jc w:val="center"/>
            </w:pPr>
            <w:r w:rsidRPr="00CF3AA0">
              <w:t>0.552</w:t>
            </w:r>
            <w:r w:rsidR="00F93517" w:rsidRPr="00CF3AA0">
              <w:rPr>
                <w:vertAlign w:val="superscript"/>
              </w:rPr>
              <w:t>c</w:t>
            </w:r>
          </w:p>
        </w:tc>
      </w:tr>
      <w:tr w:rsidR="00E31013" w:rsidRPr="00CF3AA0" w14:paraId="1D7A0019"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2E705078" w14:textId="77777777" w:rsidR="004B4DEB" w:rsidRPr="00CF3AA0" w:rsidRDefault="004B4DEB" w:rsidP="00777D20">
            <w:pPr>
              <w:pStyle w:val="TableText0"/>
            </w:pPr>
            <w:r w:rsidRPr="00CF3AA0">
              <w:t>N analysed</w:t>
            </w:r>
          </w:p>
        </w:tc>
        <w:tc>
          <w:tcPr>
            <w:tcW w:w="424" w:type="pct"/>
            <w:tcBorders>
              <w:top w:val="single" w:sz="4" w:space="0" w:color="auto"/>
              <w:left w:val="single" w:sz="4" w:space="0" w:color="auto"/>
              <w:bottom w:val="single" w:sz="4" w:space="0" w:color="auto"/>
              <w:right w:val="single" w:sz="4" w:space="0" w:color="auto"/>
            </w:tcBorders>
            <w:vAlign w:val="center"/>
            <w:hideMark/>
          </w:tcPr>
          <w:p w14:paraId="25CBC8E3" w14:textId="77777777" w:rsidR="004B4DEB" w:rsidRPr="00CF3AA0" w:rsidRDefault="004B4DEB" w:rsidP="00777D20">
            <w:pPr>
              <w:pStyle w:val="TableText0"/>
              <w:jc w:val="center"/>
            </w:pPr>
            <w:r w:rsidRPr="00CF3AA0">
              <w:t>44</w:t>
            </w:r>
          </w:p>
        </w:tc>
        <w:tc>
          <w:tcPr>
            <w:tcW w:w="462" w:type="pct"/>
            <w:tcBorders>
              <w:top w:val="single" w:sz="4" w:space="0" w:color="auto"/>
              <w:left w:val="single" w:sz="4" w:space="0" w:color="auto"/>
              <w:bottom w:val="single" w:sz="4" w:space="0" w:color="auto"/>
              <w:right w:val="single" w:sz="4" w:space="0" w:color="auto"/>
            </w:tcBorders>
            <w:vAlign w:val="center"/>
            <w:hideMark/>
          </w:tcPr>
          <w:p w14:paraId="15E67646" w14:textId="77777777" w:rsidR="004B4DEB" w:rsidRPr="00CF3AA0" w:rsidRDefault="004B4DEB" w:rsidP="00777D20">
            <w:pPr>
              <w:pStyle w:val="TableText0"/>
              <w:jc w:val="center"/>
            </w:pPr>
            <w:r w:rsidRPr="00CF3AA0">
              <w:t>37</w:t>
            </w:r>
          </w:p>
        </w:tc>
        <w:tc>
          <w:tcPr>
            <w:tcW w:w="463" w:type="pct"/>
            <w:tcBorders>
              <w:top w:val="single" w:sz="4" w:space="0" w:color="auto"/>
              <w:left w:val="single" w:sz="4" w:space="0" w:color="auto"/>
              <w:bottom w:val="single" w:sz="4" w:space="0" w:color="auto"/>
              <w:right w:val="single" w:sz="4" w:space="0" w:color="auto"/>
            </w:tcBorders>
            <w:hideMark/>
          </w:tcPr>
          <w:p w14:paraId="45540BAF" w14:textId="77777777" w:rsidR="004B4DEB" w:rsidRPr="00CF3AA0" w:rsidRDefault="004B4DEB" w:rsidP="00777D20">
            <w:pPr>
              <w:pStyle w:val="TableText0"/>
              <w:jc w:val="center"/>
            </w:pPr>
            <w:r w:rsidRPr="00CF3AA0">
              <w:t>37</w:t>
            </w:r>
          </w:p>
        </w:tc>
        <w:tc>
          <w:tcPr>
            <w:tcW w:w="433" w:type="pct"/>
            <w:tcBorders>
              <w:top w:val="single" w:sz="4" w:space="0" w:color="auto"/>
              <w:left w:val="single" w:sz="4" w:space="0" w:color="auto"/>
              <w:bottom w:val="single" w:sz="4" w:space="0" w:color="auto"/>
              <w:right w:val="single" w:sz="4" w:space="0" w:color="auto"/>
            </w:tcBorders>
            <w:vAlign w:val="center"/>
            <w:hideMark/>
          </w:tcPr>
          <w:p w14:paraId="44511184" w14:textId="77777777" w:rsidR="004B4DEB" w:rsidRPr="00CF3AA0" w:rsidRDefault="004B4DEB" w:rsidP="00777D20">
            <w:pPr>
              <w:pStyle w:val="TableText0"/>
              <w:jc w:val="center"/>
            </w:pPr>
            <w:r w:rsidRPr="00CF3AA0">
              <w:t>22</w:t>
            </w:r>
          </w:p>
        </w:tc>
        <w:tc>
          <w:tcPr>
            <w:tcW w:w="472" w:type="pct"/>
            <w:tcBorders>
              <w:top w:val="single" w:sz="4" w:space="0" w:color="auto"/>
              <w:left w:val="single" w:sz="4" w:space="0" w:color="auto"/>
              <w:bottom w:val="single" w:sz="4" w:space="0" w:color="auto"/>
              <w:right w:val="single" w:sz="4" w:space="0" w:color="auto"/>
            </w:tcBorders>
            <w:vAlign w:val="center"/>
            <w:hideMark/>
          </w:tcPr>
          <w:p w14:paraId="7519BFBB" w14:textId="77777777" w:rsidR="004B4DEB" w:rsidRPr="00CF3AA0" w:rsidRDefault="004B4DEB" w:rsidP="00777D20">
            <w:pPr>
              <w:pStyle w:val="TableText0"/>
              <w:jc w:val="center"/>
            </w:pPr>
            <w:r w:rsidRPr="00CF3AA0">
              <w:t>16</w:t>
            </w:r>
          </w:p>
        </w:tc>
        <w:tc>
          <w:tcPr>
            <w:tcW w:w="482" w:type="pct"/>
            <w:tcBorders>
              <w:top w:val="single" w:sz="4" w:space="0" w:color="auto"/>
              <w:left w:val="single" w:sz="4" w:space="0" w:color="auto"/>
              <w:bottom w:val="single" w:sz="4" w:space="0" w:color="auto"/>
              <w:right w:val="single" w:sz="4" w:space="0" w:color="auto"/>
            </w:tcBorders>
            <w:hideMark/>
          </w:tcPr>
          <w:p w14:paraId="77DD4D69" w14:textId="77777777" w:rsidR="004B4DEB" w:rsidRPr="00CF3AA0" w:rsidRDefault="004B4DEB" w:rsidP="00777D20">
            <w:pPr>
              <w:pStyle w:val="TableText0"/>
              <w:jc w:val="center"/>
            </w:pPr>
            <w:r w:rsidRPr="00CF3AA0">
              <w:t>16</w:t>
            </w:r>
          </w:p>
        </w:tc>
        <w:tc>
          <w:tcPr>
            <w:tcW w:w="563" w:type="pct"/>
            <w:tcBorders>
              <w:top w:val="single" w:sz="4" w:space="0" w:color="auto"/>
              <w:left w:val="single" w:sz="4" w:space="0" w:color="auto"/>
              <w:bottom w:val="single" w:sz="4" w:space="0" w:color="auto"/>
              <w:right w:val="single" w:sz="4" w:space="0" w:color="auto"/>
            </w:tcBorders>
            <w:vAlign w:val="center"/>
            <w:hideMark/>
          </w:tcPr>
          <w:p w14:paraId="7FEFA54F" w14:textId="77777777" w:rsidR="004B4DEB" w:rsidRPr="00CF3AA0" w:rsidRDefault="004B4DEB" w:rsidP="00777D20">
            <w:pPr>
              <w:pStyle w:val="TableText0"/>
              <w:jc w:val="center"/>
            </w:pPr>
            <w:r w:rsidRPr="00CF3AA0">
              <w:t>-</w:t>
            </w:r>
          </w:p>
        </w:tc>
        <w:tc>
          <w:tcPr>
            <w:tcW w:w="341" w:type="pct"/>
            <w:tcBorders>
              <w:top w:val="single" w:sz="4" w:space="0" w:color="auto"/>
              <w:left w:val="single" w:sz="4" w:space="0" w:color="auto"/>
              <w:bottom w:val="single" w:sz="4" w:space="0" w:color="auto"/>
              <w:right w:val="single" w:sz="4" w:space="0" w:color="auto"/>
            </w:tcBorders>
            <w:vAlign w:val="center"/>
          </w:tcPr>
          <w:p w14:paraId="27A5C4C2" w14:textId="77777777" w:rsidR="004B4DEB" w:rsidRPr="00CF3AA0" w:rsidRDefault="004B4DEB" w:rsidP="00777D20">
            <w:pPr>
              <w:pStyle w:val="TableText0"/>
              <w:jc w:val="center"/>
            </w:pPr>
            <w:r w:rsidRPr="00CF3AA0">
              <w:t>-</w:t>
            </w:r>
          </w:p>
        </w:tc>
      </w:tr>
      <w:tr w:rsidR="00E31013" w:rsidRPr="00CF3AA0" w14:paraId="4E5E9FD8"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31B7641E" w14:textId="6C9423DA" w:rsidR="004B4DEB" w:rsidRPr="00CF3AA0" w:rsidRDefault="00B249EF" w:rsidP="00777D20">
            <w:pPr>
              <w:pStyle w:val="TableText0"/>
            </w:pPr>
            <w:r w:rsidRPr="00CF3AA0">
              <w:t xml:space="preserve">Change in PBC WI-NRS score from baseline to week 52 (Pruritus </w:t>
            </w:r>
            <w:r w:rsidR="005443FD" w:rsidRPr="00CF3AA0">
              <w:t xml:space="preserve">ITT </w:t>
            </w:r>
            <w:r w:rsidR="00F91F5C" w:rsidRPr="00CF3AA0">
              <w:t>analysis set</w:t>
            </w:r>
            <w:r w:rsidRPr="00CF3AA0">
              <w:t xml:space="preserve">) </w:t>
            </w:r>
            <w:r w:rsidR="00910C0E" w:rsidRPr="00CF3AA0">
              <w:rPr>
                <w:vertAlign w:val="superscript"/>
              </w:rPr>
              <w:t>b</w:t>
            </w:r>
          </w:p>
        </w:tc>
        <w:tc>
          <w:tcPr>
            <w:tcW w:w="424" w:type="pct"/>
            <w:tcBorders>
              <w:top w:val="single" w:sz="4" w:space="0" w:color="auto"/>
              <w:left w:val="single" w:sz="4" w:space="0" w:color="auto"/>
              <w:bottom w:val="single" w:sz="4" w:space="0" w:color="auto"/>
              <w:right w:val="single" w:sz="4" w:space="0" w:color="auto"/>
            </w:tcBorders>
            <w:vAlign w:val="center"/>
            <w:hideMark/>
          </w:tcPr>
          <w:p w14:paraId="63888E04" w14:textId="77777777" w:rsidR="004B4DEB" w:rsidRPr="00CF3AA0" w:rsidRDefault="004B4DEB" w:rsidP="00777D20">
            <w:pPr>
              <w:pStyle w:val="TableText0"/>
              <w:jc w:val="center"/>
            </w:pPr>
            <w:r w:rsidRPr="00CF3AA0">
              <w:t>6.2</w:t>
            </w:r>
          </w:p>
          <w:p w14:paraId="08BD155C" w14:textId="77777777" w:rsidR="004B4DEB" w:rsidRPr="00CF3AA0" w:rsidRDefault="004B4DEB" w:rsidP="00777D20">
            <w:pPr>
              <w:pStyle w:val="TableText0"/>
              <w:jc w:val="center"/>
            </w:pPr>
            <w:r w:rsidRPr="00CF3AA0">
              <w:t>(1.5)</w:t>
            </w:r>
          </w:p>
        </w:tc>
        <w:tc>
          <w:tcPr>
            <w:tcW w:w="462" w:type="pct"/>
            <w:tcBorders>
              <w:top w:val="single" w:sz="4" w:space="0" w:color="auto"/>
              <w:left w:val="single" w:sz="4" w:space="0" w:color="auto"/>
              <w:bottom w:val="single" w:sz="4" w:space="0" w:color="auto"/>
              <w:right w:val="single" w:sz="4" w:space="0" w:color="auto"/>
            </w:tcBorders>
            <w:vAlign w:val="center"/>
          </w:tcPr>
          <w:p w14:paraId="58E91F18" w14:textId="77777777" w:rsidR="004B4DEB" w:rsidRPr="00CF3AA0" w:rsidRDefault="004B4DEB" w:rsidP="00777D20">
            <w:pPr>
              <w:pStyle w:val="TableText0"/>
              <w:jc w:val="center"/>
            </w:pPr>
            <w:r w:rsidRPr="00CF3AA0">
              <w:t>NR</w:t>
            </w:r>
          </w:p>
        </w:tc>
        <w:tc>
          <w:tcPr>
            <w:tcW w:w="463" w:type="pct"/>
            <w:tcBorders>
              <w:top w:val="single" w:sz="4" w:space="0" w:color="auto"/>
              <w:left w:val="single" w:sz="4" w:space="0" w:color="auto"/>
              <w:bottom w:val="single" w:sz="4" w:space="0" w:color="auto"/>
              <w:right w:val="single" w:sz="4" w:space="0" w:color="auto"/>
            </w:tcBorders>
            <w:vAlign w:val="center"/>
            <w:hideMark/>
          </w:tcPr>
          <w:p w14:paraId="025AD029" w14:textId="77777777" w:rsidR="004B4DEB" w:rsidRPr="00CF3AA0" w:rsidRDefault="004B4DEB" w:rsidP="00777D20">
            <w:pPr>
              <w:pStyle w:val="TableText0"/>
              <w:jc w:val="center"/>
            </w:pPr>
            <w:r w:rsidRPr="00CF3AA0">
              <w:t>-1.9</w:t>
            </w:r>
          </w:p>
          <w:p w14:paraId="70F072B5" w14:textId="77777777" w:rsidR="004B4DEB" w:rsidRPr="00CF3AA0" w:rsidRDefault="004B4DEB" w:rsidP="00777D20">
            <w:pPr>
              <w:pStyle w:val="TableText0"/>
              <w:jc w:val="center"/>
            </w:pPr>
            <w:r w:rsidRPr="00CF3AA0">
              <w:t>(-2.6, -1.3)</w:t>
            </w:r>
          </w:p>
        </w:tc>
        <w:tc>
          <w:tcPr>
            <w:tcW w:w="433" w:type="pct"/>
            <w:tcBorders>
              <w:top w:val="single" w:sz="4" w:space="0" w:color="auto"/>
              <w:left w:val="single" w:sz="4" w:space="0" w:color="auto"/>
              <w:bottom w:val="single" w:sz="4" w:space="0" w:color="auto"/>
              <w:right w:val="single" w:sz="4" w:space="0" w:color="auto"/>
            </w:tcBorders>
            <w:vAlign w:val="center"/>
            <w:hideMark/>
          </w:tcPr>
          <w:p w14:paraId="536D8457" w14:textId="77777777" w:rsidR="004B4DEB" w:rsidRPr="00CF3AA0" w:rsidRDefault="004B4DEB" w:rsidP="00777D20">
            <w:pPr>
              <w:pStyle w:val="TableText0"/>
              <w:jc w:val="center"/>
            </w:pPr>
            <w:r w:rsidRPr="00CF3AA0">
              <w:t>6.3 (1.2)</w:t>
            </w:r>
          </w:p>
        </w:tc>
        <w:tc>
          <w:tcPr>
            <w:tcW w:w="472" w:type="pct"/>
            <w:tcBorders>
              <w:top w:val="single" w:sz="4" w:space="0" w:color="auto"/>
              <w:left w:val="single" w:sz="4" w:space="0" w:color="auto"/>
              <w:bottom w:val="single" w:sz="4" w:space="0" w:color="auto"/>
              <w:right w:val="single" w:sz="4" w:space="0" w:color="auto"/>
            </w:tcBorders>
            <w:vAlign w:val="center"/>
          </w:tcPr>
          <w:p w14:paraId="2B7ACE74" w14:textId="77777777" w:rsidR="004B4DEB" w:rsidRPr="00CF3AA0" w:rsidRDefault="004B4DEB" w:rsidP="00777D20">
            <w:pPr>
              <w:pStyle w:val="TableText0"/>
              <w:jc w:val="center"/>
            </w:pPr>
            <w:r w:rsidRPr="00CF3AA0">
              <w:t>NR</w:t>
            </w:r>
          </w:p>
        </w:tc>
        <w:tc>
          <w:tcPr>
            <w:tcW w:w="482" w:type="pct"/>
            <w:tcBorders>
              <w:top w:val="single" w:sz="4" w:space="0" w:color="auto"/>
              <w:left w:val="single" w:sz="4" w:space="0" w:color="auto"/>
              <w:bottom w:val="single" w:sz="4" w:space="0" w:color="auto"/>
              <w:right w:val="single" w:sz="4" w:space="0" w:color="auto"/>
            </w:tcBorders>
            <w:vAlign w:val="center"/>
            <w:hideMark/>
          </w:tcPr>
          <w:p w14:paraId="214F119B" w14:textId="77777777" w:rsidR="004B4DEB" w:rsidRPr="00CF3AA0" w:rsidRDefault="004B4DEB" w:rsidP="00777D20">
            <w:pPr>
              <w:pStyle w:val="TableText0"/>
              <w:jc w:val="center"/>
            </w:pPr>
            <w:r w:rsidRPr="00CF3AA0">
              <w:t>-1.1</w:t>
            </w:r>
          </w:p>
          <w:p w14:paraId="71633C80" w14:textId="77777777" w:rsidR="004B4DEB" w:rsidRPr="00CF3AA0" w:rsidRDefault="004B4DEB" w:rsidP="00777D20">
            <w:pPr>
              <w:pStyle w:val="TableText0"/>
              <w:jc w:val="center"/>
            </w:pPr>
            <w:r w:rsidRPr="00CF3AA0">
              <w:t>(-2.1, -0.2)</w:t>
            </w:r>
          </w:p>
        </w:tc>
        <w:tc>
          <w:tcPr>
            <w:tcW w:w="563" w:type="pct"/>
            <w:tcBorders>
              <w:top w:val="single" w:sz="4" w:space="0" w:color="auto"/>
              <w:left w:val="single" w:sz="4" w:space="0" w:color="auto"/>
              <w:bottom w:val="single" w:sz="4" w:space="0" w:color="auto"/>
              <w:right w:val="single" w:sz="4" w:space="0" w:color="auto"/>
            </w:tcBorders>
            <w:vAlign w:val="center"/>
            <w:hideMark/>
          </w:tcPr>
          <w:p w14:paraId="0714E880" w14:textId="77777777" w:rsidR="004B4DEB" w:rsidRPr="00CF3AA0" w:rsidRDefault="004B4DEB" w:rsidP="00777D20">
            <w:pPr>
              <w:pStyle w:val="TableText0"/>
              <w:jc w:val="center"/>
            </w:pPr>
            <w:r w:rsidRPr="00CF3AA0">
              <w:t>-0.8</w:t>
            </w:r>
          </w:p>
          <w:p w14:paraId="48281C7D" w14:textId="77777777" w:rsidR="004B4DEB" w:rsidRPr="00CF3AA0" w:rsidRDefault="004B4DEB" w:rsidP="00777D20">
            <w:pPr>
              <w:pStyle w:val="TableText0"/>
              <w:jc w:val="center"/>
            </w:pPr>
            <w:r w:rsidRPr="00CF3AA0">
              <w:t>(-2.0. 0.4)</w:t>
            </w:r>
          </w:p>
        </w:tc>
        <w:tc>
          <w:tcPr>
            <w:tcW w:w="341" w:type="pct"/>
            <w:tcBorders>
              <w:top w:val="single" w:sz="4" w:space="0" w:color="auto"/>
              <w:left w:val="single" w:sz="4" w:space="0" w:color="auto"/>
              <w:bottom w:val="single" w:sz="4" w:space="0" w:color="auto"/>
              <w:right w:val="single" w:sz="4" w:space="0" w:color="auto"/>
            </w:tcBorders>
            <w:vAlign w:val="center"/>
            <w:hideMark/>
          </w:tcPr>
          <w:p w14:paraId="45D9C4C5" w14:textId="2442C2AF" w:rsidR="004B4DEB" w:rsidRPr="00CF3AA0" w:rsidRDefault="004B4DEB" w:rsidP="00777D20">
            <w:pPr>
              <w:pStyle w:val="TableText0"/>
              <w:jc w:val="center"/>
            </w:pPr>
            <w:r w:rsidRPr="00CF3AA0">
              <w:t>0.197</w:t>
            </w:r>
            <w:r w:rsidR="00F93517" w:rsidRPr="00CF3AA0">
              <w:rPr>
                <w:vertAlign w:val="superscript"/>
              </w:rPr>
              <w:t>c</w:t>
            </w:r>
          </w:p>
        </w:tc>
      </w:tr>
      <w:tr w:rsidR="00E31013" w:rsidRPr="00CF3AA0" w14:paraId="6CF4E329"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1F26F8FD" w14:textId="77777777" w:rsidR="004B4DEB" w:rsidRPr="00CF3AA0" w:rsidRDefault="004B4DEB" w:rsidP="00777D20">
            <w:pPr>
              <w:pStyle w:val="TableText0"/>
            </w:pPr>
            <w:r w:rsidRPr="00CF3AA0">
              <w:t>N analysed</w:t>
            </w:r>
          </w:p>
        </w:tc>
        <w:tc>
          <w:tcPr>
            <w:tcW w:w="424" w:type="pct"/>
            <w:tcBorders>
              <w:top w:val="single" w:sz="4" w:space="0" w:color="auto"/>
              <w:left w:val="single" w:sz="4" w:space="0" w:color="auto"/>
              <w:bottom w:val="single" w:sz="4" w:space="0" w:color="auto"/>
              <w:right w:val="single" w:sz="4" w:space="0" w:color="auto"/>
            </w:tcBorders>
            <w:vAlign w:val="center"/>
            <w:hideMark/>
          </w:tcPr>
          <w:p w14:paraId="352ABB62" w14:textId="77777777" w:rsidR="004B4DEB" w:rsidRPr="00CF3AA0" w:rsidRDefault="004B4DEB" w:rsidP="00777D20">
            <w:pPr>
              <w:pStyle w:val="TableText0"/>
              <w:jc w:val="center"/>
            </w:pPr>
            <w:r w:rsidRPr="00CF3AA0">
              <w:t>44</w:t>
            </w:r>
          </w:p>
        </w:tc>
        <w:tc>
          <w:tcPr>
            <w:tcW w:w="462" w:type="pct"/>
            <w:tcBorders>
              <w:top w:val="single" w:sz="4" w:space="0" w:color="auto"/>
              <w:left w:val="single" w:sz="4" w:space="0" w:color="auto"/>
              <w:bottom w:val="single" w:sz="4" w:space="0" w:color="auto"/>
              <w:right w:val="single" w:sz="4" w:space="0" w:color="auto"/>
            </w:tcBorders>
            <w:vAlign w:val="center"/>
            <w:hideMark/>
          </w:tcPr>
          <w:p w14:paraId="43635E4A" w14:textId="77777777" w:rsidR="004B4DEB" w:rsidRPr="00CF3AA0" w:rsidRDefault="004B4DEB" w:rsidP="00777D20">
            <w:pPr>
              <w:pStyle w:val="TableText0"/>
              <w:jc w:val="center"/>
            </w:pPr>
            <w:r w:rsidRPr="00CF3AA0">
              <w:t>32</w:t>
            </w:r>
          </w:p>
        </w:tc>
        <w:tc>
          <w:tcPr>
            <w:tcW w:w="463" w:type="pct"/>
            <w:tcBorders>
              <w:top w:val="single" w:sz="4" w:space="0" w:color="auto"/>
              <w:left w:val="single" w:sz="4" w:space="0" w:color="auto"/>
              <w:bottom w:val="single" w:sz="4" w:space="0" w:color="auto"/>
              <w:right w:val="single" w:sz="4" w:space="0" w:color="auto"/>
            </w:tcBorders>
            <w:hideMark/>
          </w:tcPr>
          <w:p w14:paraId="562525DB" w14:textId="77777777" w:rsidR="004B4DEB" w:rsidRPr="00CF3AA0" w:rsidRDefault="004B4DEB" w:rsidP="00777D20">
            <w:pPr>
              <w:pStyle w:val="TableText0"/>
              <w:jc w:val="center"/>
            </w:pPr>
            <w:r w:rsidRPr="00CF3AA0">
              <w:t>32</w:t>
            </w:r>
          </w:p>
        </w:tc>
        <w:tc>
          <w:tcPr>
            <w:tcW w:w="433" w:type="pct"/>
            <w:tcBorders>
              <w:top w:val="single" w:sz="4" w:space="0" w:color="auto"/>
              <w:left w:val="single" w:sz="4" w:space="0" w:color="auto"/>
              <w:bottom w:val="single" w:sz="4" w:space="0" w:color="auto"/>
              <w:right w:val="single" w:sz="4" w:space="0" w:color="auto"/>
            </w:tcBorders>
            <w:vAlign w:val="center"/>
            <w:hideMark/>
          </w:tcPr>
          <w:p w14:paraId="6A2A2EC1" w14:textId="77777777" w:rsidR="004B4DEB" w:rsidRPr="00CF3AA0" w:rsidRDefault="004B4DEB" w:rsidP="00777D20">
            <w:pPr>
              <w:pStyle w:val="TableText0"/>
              <w:jc w:val="center"/>
            </w:pPr>
            <w:r w:rsidRPr="00CF3AA0">
              <w:t>22</w:t>
            </w:r>
          </w:p>
        </w:tc>
        <w:tc>
          <w:tcPr>
            <w:tcW w:w="472" w:type="pct"/>
            <w:tcBorders>
              <w:top w:val="single" w:sz="4" w:space="0" w:color="auto"/>
              <w:left w:val="single" w:sz="4" w:space="0" w:color="auto"/>
              <w:bottom w:val="single" w:sz="4" w:space="0" w:color="auto"/>
              <w:right w:val="single" w:sz="4" w:space="0" w:color="auto"/>
            </w:tcBorders>
            <w:vAlign w:val="center"/>
            <w:hideMark/>
          </w:tcPr>
          <w:p w14:paraId="6F50870A" w14:textId="77777777" w:rsidR="004B4DEB" w:rsidRPr="00CF3AA0" w:rsidRDefault="004B4DEB" w:rsidP="00777D20">
            <w:pPr>
              <w:pStyle w:val="TableText0"/>
              <w:jc w:val="center"/>
            </w:pPr>
            <w:r w:rsidRPr="00CF3AA0">
              <w:t>12</w:t>
            </w:r>
          </w:p>
        </w:tc>
        <w:tc>
          <w:tcPr>
            <w:tcW w:w="482" w:type="pct"/>
            <w:tcBorders>
              <w:top w:val="single" w:sz="4" w:space="0" w:color="auto"/>
              <w:left w:val="single" w:sz="4" w:space="0" w:color="auto"/>
              <w:bottom w:val="single" w:sz="4" w:space="0" w:color="auto"/>
              <w:right w:val="single" w:sz="4" w:space="0" w:color="auto"/>
            </w:tcBorders>
          </w:tcPr>
          <w:p w14:paraId="7F597E2B" w14:textId="77777777" w:rsidR="004B4DEB" w:rsidRPr="00CF3AA0" w:rsidRDefault="004B4DEB" w:rsidP="00777D20">
            <w:pPr>
              <w:pStyle w:val="TableText0"/>
              <w:jc w:val="center"/>
            </w:pPr>
            <w:r w:rsidRPr="00CF3AA0">
              <w:t>12</w:t>
            </w:r>
          </w:p>
        </w:tc>
        <w:tc>
          <w:tcPr>
            <w:tcW w:w="563" w:type="pct"/>
            <w:tcBorders>
              <w:top w:val="single" w:sz="4" w:space="0" w:color="auto"/>
              <w:left w:val="single" w:sz="4" w:space="0" w:color="auto"/>
              <w:bottom w:val="single" w:sz="4" w:space="0" w:color="auto"/>
              <w:right w:val="single" w:sz="4" w:space="0" w:color="auto"/>
            </w:tcBorders>
            <w:vAlign w:val="center"/>
          </w:tcPr>
          <w:p w14:paraId="274A3B6C" w14:textId="77777777" w:rsidR="004B4DEB" w:rsidRPr="00CF3AA0" w:rsidRDefault="004B4DEB" w:rsidP="00777D20">
            <w:pPr>
              <w:pStyle w:val="TableText0"/>
              <w:jc w:val="center"/>
            </w:pPr>
            <w:r w:rsidRPr="00CF3AA0">
              <w:t>-</w:t>
            </w:r>
          </w:p>
        </w:tc>
        <w:tc>
          <w:tcPr>
            <w:tcW w:w="341" w:type="pct"/>
            <w:tcBorders>
              <w:top w:val="single" w:sz="4" w:space="0" w:color="auto"/>
              <w:left w:val="single" w:sz="4" w:space="0" w:color="auto"/>
              <w:bottom w:val="single" w:sz="4" w:space="0" w:color="auto"/>
              <w:right w:val="single" w:sz="4" w:space="0" w:color="auto"/>
            </w:tcBorders>
            <w:vAlign w:val="center"/>
          </w:tcPr>
          <w:p w14:paraId="65D66531" w14:textId="77777777" w:rsidR="004B4DEB" w:rsidRPr="00CF3AA0" w:rsidRDefault="004B4DEB" w:rsidP="00777D20">
            <w:pPr>
              <w:pStyle w:val="TableText0"/>
              <w:jc w:val="center"/>
            </w:pPr>
            <w:r w:rsidRPr="00CF3AA0">
              <w:t>-</w:t>
            </w:r>
          </w:p>
        </w:tc>
      </w:tr>
      <w:tr w:rsidR="004B4DEB" w:rsidRPr="00CF3AA0" w14:paraId="7DB678F2" w14:textId="77777777" w:rsidTr="05042C88">
        <w:tc>
          <w:tcPr>
            <w:tcW w:w="5000" w:type="pct"/>
            <w:gridSpan w:val="9"/>
            <w:tcBorders>
              <w:top w:val="single" w:sz="4" w:space="0" w:color="auto"/>
              <w:left w:val="single" w:sz="4" w:space="0" w:color="auto"/>
              <w:bottom w:val="single" w:sz="4" w:space="0" w:color="auto"/>
              <w:right w:val="single" w:sz="4" w:space="0" w:color="auto"/>
            </w:tcBorders>
            <w:vAlign w:val="center"/>
          </w:tcPr>
          <w:p w14:paraId="09BB9E59" w14:textId="6027CC98" w:rsidR="004B4DEB" w:rsidRPr="00CF3AA0" w:rsidRDefault="004B4DEB" w:rsidP="00777D20">
            <w:pPr>
              <w:pStyle w:val="TableText0"/>
              <w:rPr>
                <w:b/>
                <w:bCs w:val="0"/>
              </w:rPr>
            </w:pPr>
            <w:r w:rsidRPr="00CF3AA0">
              <w:rPr>
                <w:b/>
                <w:bCs w:val="0"/>
              </w:rPr>
              <w:t xml:space="preserve">Other secondary </w:t>
            </w:r>
            <w:r w:rsidR="00582F7D" w:rsidRPr="00CF3AA0">
              <w:rPr>
                <w:b/>
                <w:bCs w:val="0"/>
              </w:rPr>
              <w:t>endpoint</w:t>
            </w:r>
            <w:r w:rsidR="00205343" w:rsidRPr="00CF3AA0">
              <w:rPr>
                <w:b/>
                <w:bCs w:val="0"/>
              </w:rPr>
              <w:t>s</w:t>
            </w:r>
          </w:p>
        </w:tc>
      </w:tr>
      <w:tr w:rsidR="00E31013" w:rsidRPr="00CF3AA0" w14:paraId="12CBFEDF"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47CB5E3A" w14:textId="5C916A9B" w:rsidR="004B4DEB" w:rsidRPr="00CF3AA0" w:rsidRDefault="00B249EF" w:rsidP="00777D20">
            <w:pPr>
              <w:pStyle w:val="TableText0"/>
            </w:pPr>
            <w:r w:rsidRPr="00CF3AA0">
              <w:t>Change in 5-D Itch</w:t>
            </w:r>
            <w:r w:rsidR="00164049" w:rsidRPr="00CF3AA0">
              <w:t xml:space="preserve"> Scale</w:t>
            </w:r>
            <w:r w:rsidRPr="00CF3AA0">
              <w:t xml:space="preserve"> score</w:t>
            </w:r>
            <w:r w:rsidR="00CF377C" w:rsidRPr="00CF3AA0">
              <w:rPr>
                <w:vertAlign w:val="superscript"/>
              </w:rPr>
              <w:t>d</w:t>
            </w:r>
            <w:r w:rsidR="00CF377C" w:rsidRPr="00CF3AA0">
              <w:t xml:space="preserve"> </w:t>
            </w:r>
            <w:r w:rsidRPr="00CF3AA0">
              <w:t>from baseline to week 52 (Pruritus</w:t>
            </w:r>
            <w:r w:rsidR="005443FD" w:rsidRPr="00CF3AA0">
              <w:t xml:space="preserve"> ITT</w:t>
            </w:r>
            <w:r w:rsidRPr="00CF3AA0">
              <w:t xml:space="preserve"> </w:t>
            </w:r>
            <w:r w:rsidR="00F91F5C" w:rsidRPr="00CF3AA0">
              <w:t>analysis set</w:t>
            </w:r>
            <w:r w:rsidRPr="00CF3AA0">
              <w:t>)</w:t>
            </w:r>
          </w:p>
        </w:tc>
        <w:tc>
          <w:tcPr>
            <w:tcW w:w="424" w:type="pct"/>
            <w:tcBorders>
              <w:top w:val="single" w:sz="4" w:space="0" w:color="auto"/>
              <w:left w:val="single" w:sz="4" w:space="0" w:color="auto"/>
              <w:bottom w:val="single" w:sz="4" w:space="0" w:color="auto"/>
              <w:right w:val="single" w:sz="4" w:space="0" w:color="auto"/>
            </w:tcBorders>
            <w:vAlign w:val="center"/>
            <w:hideMark/>
          </w:tcPr>
          <w:p w14:paraId="5FEAB64D" w14:textId="77777777" w:rsidR="004B4DEB" w:rsidRPr="00CF3AA0" w:rsidRDefault="004B4DEB" w:rsidP="00777D20">
            <w:pPr>
              <w:pStyle w:val="TableText0"/>
              <w:jc w:val="center"/>
            </w:pPr>
            <w:r w:rsidRPr="00CF3AA0">
              <w:t>15.7 (4.2)</w:t>
            </w:r>
          </w:p>
        </w:tc>
        <w:tc>
          <w:tcPr>
            <w:tcW w:w="462" w:type="pct"/>
            <w:tcBorders>
              <w:top w:val="single" w:sz="4" w:space="0" w:color="auto"/>
              <w:left w:val="single" w:sz="4" w:space="0" w:color="auto"/>
              <w:bottom w:val="single" w:sz="4" w:space="0" w:color="auto"/>
              <w:right w:val="single" w:sz="4" w:space="0" w:color="auto"/>
            </w:tcBorders>
            <w:vAlign w:val="center"/>
            <w:hideMark/>
          </w:tcPr>
          <w:p w14:paraId="4A60A301" w14:textId="77777777" w:rsidR="004B4DEB" w:rsidRPr="00CF3AA0" w:rsidRDefault="004B4DEB" w:rsidP="00777D20">
            <w:pPr>
              <w:pStyle w:val="TableText0"/>
              <w:jc w:val="center"/>
            </w:pPr>
            <w:r w:rsidRPr="00CF3AA0">
              <w:t>11.2 (4.6)</w:t>
            </w:r>
          </w:p>
        </w:tc>
        <w:tc>
          <w:tcPr>
            <w:tcW w:w="463" w:type="pct"/>
            <w:tcBorders>
              <w:top w:val="single" w:sz="4" w:space="0" w:color="auto"/>
              <w:left w:val="single" w:sz="4" w:space="0" w:color="auto"/>
              <w:bottom w:val="single" w:sz="4" w:space="0" w:color="auto"/>
              <w:right w:val="single" w:sz="4" w:space="0" w:color="auto"/>
            </w:tcBorders>
            <w:vAlign w:val="center"/>
            <w:hideMark/>
          </w:tcPr>
          <w:p w14:paraId="785A40F1" w14:textId="77777777" w:rsidR="004B4DEB" w:rsidRPr="00CF3AA0" w:rsidRDefault="004B4DEB" w:rsidP="00777D20">
            <w:pPr>
              <w:pStyle w:val="TableText0"/>
              <w:jc w:val="center"/>
            </w:pPr>
            <w:r w:rsidRPr="00CF3AA0">
              <w:t>-4.2</w:t>
            </w:r>
          </w:p>
          <w:p w14:paraId="397A46C0" w14:textId="77777777" w:rsidR="004B4DEB" w:rsidRPr="00CF3AA0" w:rsidRDefault="004B4DEB" w:rsidP="00777D20">
            <w:pPr>
              <w:pStyle w:val="TableText0"/>
              <w:jc w:val="center"/>
            </w:pPr>
            <w:r w:rsidRPr="00CF3AA0">
              <w:t>(-5.6, -2.9)</w:t>
            </w:r>
          </w:p>
        </w:tc>
        <w:tc>
          <w:tcPr>
            <w:tcW w:w="433" w:type="pct"/>
            <w:tcBorders>
              <w:top w:val="single" w:sz="4" w:space="0" w:color="auto"/>
              <w:left w:val="single" w:sz="4" w:space="0" w:color="auto"/>
              <w:bottom w:val="single" w:sz="4" w:space="0" w:color="auto"/>
              <w:right w:val="single" w:sz="4" w:space="0" w:color="auto"/>
            </w:tcBorders>
            <w:vAlign w:val="center"/>
            <w:hideMark/>
          </w:tcPr>
          <w:p w14:paraId="22F90E7E" w14:textId="77777777" w:rsidR="004B4DEB" w:rsidRPr="00CF3AA0" w:rsidRDefault="004B4DEB" w:rsidP="00777D20">
            <w:pPr>
              <w:pStyle w:val="TableText0"/>
              <w:jc w:val="center"/>
            </w:pPr>
            <w:r w:rsidRPr="00CF3AA0">
              <w:t>15.2 (3.6)</w:t>
            </w:r>
          </w:p>
        </w:tc>
        <w:tc>
          <w:tcPr>
            <w:tcW w:w="472" w:type="pct"/>
            <w:tcBorders>
              <w:top w:val="single" w:sz="4" w:space="0" w:color="auto"/>
              <w:left w:val="single" w:sz="4" w:space="0" w:color="auto"/>
              <w:bottom w:val="single" w:sz="4" w:space="0" w:color="auto"/>
              <w:right w:val="single" w:sz="4" w:space="0" w:color="auto"/>
            </w:tcBorders>
            <w:vAlign w:val="center"/>
            <w:hideMark/>
          </w:tcPr>
          <w:p w14:paraId="47ADA9FA" w14:textId="77777777" w:rsidR="004B4DEB" w:rsidRPr="00CF3AA0" w:rsidRDefault="004B4DEB" w:rsidP="00777D20">
            <w:pPr>
              <w:pStyle w:val="TableText0"/>
              <w:jc w:val="center"/>
            </w:pPr>
            <w:r w:rsidRPr="00CF3AA0">
              <w:t>14.5 (6.1)</w:t>
            </w:r>
          </w:p>
        </w:tc>
        <w:tc>
          <w:tcPr>
            <w:tcW w:w="482" w:type="pct"/>
            <w:tcBorders>
              <w:top w:val="single" w:sz="4" w:space="0" w:color="auto"/>
              <w:left w:val="single" w:sz="4" w:space="0" w:color="auto"/>
              <w:bottom w:val="single" w:sz="4" w:space="0" w:color="auto"/>
              <w:right w:val="single" w:sz="4" w:space="0" w:color="auto"/>
            </w:tcBorders>
            <w:vAlign w:val="center"/>
            <w:hideMark/>
          </w:tcPr>
          <w:p w14:paraId="6C5EAA1E" w14:textId="77777777" w:rsidR="004B4DEB" w:rsidRPr="00CF3AA0" w:rsidRDefault="004B4DEB" w:rsidP="00777D20">
            <w:pPr>
              <w:pStyle w:val="TableText0"/>
              <w:jc w:val="center"/>
            </w:pPr>
            <w:r w:rsidRPr="00CF3AA0">
              <w:t>-1.2</w:t>
            </w:r>
          </w:p>
          <w:p w14:paraId="06B139FD" w14:textId="77777777" w:rsidR="004B4DEB" w:rsidRPr="00CF3AA0" w:rsidRDefault="004B4DEB" w:rsidP="00777D20">
            <w:pPr>
              <w:pStyle w:val="TableText0"/>
              <w:jc w:val="center"/>
            </w:pPr>
            <w:r w:rsidRPr="00CF3AA0">
              <w:t>(-3.3, 0.9)</w:t>
            </w:r>
          </w:p>
        </w:tc>
        <w:tc>
          <w:tcPr>
            <w:tcW w:w="563" w:type="pct"/>
            <w:tcBorders>
              <w:top w:val="single" w:sz="4" w:space="0" w:color="auto"/>
              <w:left w:val="single" w:sz="4" w:space="0" w:color="auto"/>
              <w:bottom w:val="single" w:sz="4" w:space="0" w:color="auto"/>
              <w:right w:val="single" w:sz="4" w:space="0" w:color="auto"/>
            </w:tcBorders>
            <w:vAlign w:val="center"/>
            <w:hideMark/>
          </w:tcPr>
          <w:p w14:paraId="580A4067" w14:textId="77777777" w:rsidR="004B4DEB" w:rsidRPr="00CF3AA0" w:rsidRDefault="004B4DEB" w:rsidP="00777D20">
            <w:pPr>
              <w:pStyle w:val="TableText0"/>
              <w:jc w:val="center"/>
            </w:pPr>
            <w:r w:rsidRPr="00CF3AA0">
              <w:t>-3.0</w:t>
            </w:r>
          </w:p>
          <w:p w14:paraId="1C5590AD" w14:textId="77777777" w:rsidR="004B4DEB" w:rsidRPr="00CF3AA0" w:rsidRDefault="004B4DEB" w:rsidP="00777D20">
            <w:pPr>
              <w:pStyle w:val="TableText0"/>
              <w:jc w:val="center"/>
            </w:pPr>
            <w:r w:rsidRPr="00CF3AA0">
              <w:t>(-5.5, -0.5)</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9C0DD9" w14:textId="069D5071" w:rsidR="004B4DEB" w:rsidRPr="00CF3AA0" w:rsidRDefault="00A263EE" w:rsidP="00777D20">
            <w:pPr>
              <w:pStyle w:val="TableText0"/>
              <w:jc w:val="center"/>
            </w:pPr>
            <w:r>
              <w:t>Nominal p-value</w:t>
            </w:r>
            <w:r w:rsidR="00E31013">
              <w:t>:</w:t>
            </w:r>
            <w:r w:rsidR="00E31013">
              <w:br/>
            </w:r>
            <w:r w:rsidR="004B4DEB" w:rsidRPr="00CF3AA0">
              <w:t>0.0199</w:t>
            </w:r>
            <w:r w:rsidR="00F93517" w:rsidRPr="00CF3AA0">
              <w:rPr>
                <w:vertAlign w:val="superscript"/>
              </w:rPr>
              <w:t>c</w:t>
            </w:r>
          </w:p>
        </w:tc>
      </w:tr>
      <w:tr w:rsidR="00E31013" w:rsidRPr="00CF3AA0" w14:paraId="4152F281"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36FD7DF7" w14:textId="77777777" w:rsidR="00200C4A" w:rsidRPr="00CF3AA0" w:rsidRDefault="00200C4A" w:rsidP="00777D20">
            <w:pPr>
              <w:pStyle w:val="TableText0"/>
            </w:pPr>
            <w:r w:rsidRPr="00CF3AA0">
              <w:t>N analysed</w:t>
            </w:r>
          </w:p>
        </w:tc>
        <w:tc>
          <w:tcPr>
            <w:tcW w:w="424" w:type="pct"/>
            <w:tcBorders>
              <w:top w:val="single" w:sz="4" w:space="0" w:color="auto"/>
              <w:left w:val="single" w:sz="4" w:space="0" w:color="auto"/>
              <w:bottom w:val="single" w:sz="4" w:space="0" w:color="auto"/>
              <w:right w:val="single" w:sz="4" w:space="0" w:color="auto"/>
            </w:tcBorders>
            <w:vAlign w:val="center"/>
            <w:hideMark/>
          </w:tcPr>
          <w:p w14:paraId="35D6351D" w14:textId="77777777" w:rsidR="00200C4A" w:rsidRPr="00CF3AA0" w:rsidRDefault="00200C4A" w:rsidP="00777D20">
            <w:pPr>
              <w:pStyle w:val="TableText0"/>
              <w:jc w:val="center"/>
            </w:pPr>
            <w:r w:rsidRPr="00CF3AA0">
              <w:t>43</w:t>
            </w:r>
          </w:p>
        </w:tc>
        <w:tc>
          <w:tcPr>
            <w:tcW w:w="462" w:type="pct"/>
            <w:tcBorders>
              <w:top w:val="single" w:sz="4" w:space="0" w:color="auto"/>
              <w:left w:val="single" w:sz="4" w:space="0" w:color="auto"/>
              <w:bottom w:val="single" w:sz="4" w:space="0" w:color="auto"/>
              <w:right w:val="single" w:sz="4" w:space="0" w:color="auto"/>
            </w:tcBorders>
            <w:vAlign w:val="center"/>
            <w:hideMark/>
          </w:tcPr>
          <w:p w14:paraId="75C05ED7" w14:textId="77777777" w:rsidR="00200C4A" w:rsidRPr="00CF3AA0" w:rsidRDefault="00200C4A" w:rsidP="00777D20">
            <w:pPr>
              <w:pStyle w:val="TableText0"/>
              <w:jc w:val="center"/>
            </w:pPr>
            <w:r w:rsidRPr="00CF3AA0">
              <w:t>42</w:t>
            </w:r>
          </w:p>
        </w:tc>
        <w:tc>
          <w:tcPr>
            <w:tcW w:w="463" w:type="pct"/>
            <w:tcBorders>
              <w:top w:val="single" w:sz="4" w:space="0" w:color="auto"/>
              <w:left w:val="single" w:sz="4" w:space="0" w:color="auto"/>
              <w:bottom w:val="single" w:sz="4" w:space="0" w:color="auto"/>
              <w:right w:val="single" w:sz="4" w:space="0" w:color="auto"/>
            </w:tcBorders>
            <w:vAlign w:val="center"/>
            <w:hideMark/>
          </w:tcPr>
          <w:p w14:paraId="70035EFB" w14:textId="77777777" w:rsidR="00200C4A" w:rsidRPr="00CF3AA0" w:rsidRDefault="00200C4A" w:rsidP="00777D20">
            <w:pPr>
              <w:pStyle w:val="TableText0"/>
              <w:jc w:val="center"/>
            </w:pPr>
            <w:r w:rsidRPr="00CF3AA0">
              <w:t>42</w:t>
            </w:r>
          </w:p>
        </w:tc>
        <w:tc>
          <w:tcPr>
            <w:tcW w:w="433" w:type="pct"/>
            <w:tcBorders>
              <w:top w:val="single" w:sz="4" w:space="0" w:color="auto"/>
              <w:left w:val="single" w:sz="4" w:space="0" w:color="auto"/>
              <w:bottom w:val="single" w:sz="4" w:space="0" w:color="auto"/>
              <w:right w:val="single" w:sz="4" w:space="0" w:color="auto"/>
            </w:tcBorders>
            <w:vAlign w:val="center"/>
            <w:hideMark/>
          </w:tcPr>
          <w:p w14:paraId="4C5FAD35" w14:textId="77777777" w:rsidR="00200C4A" w:rsidRPr="00CF3AA0" w:rsidRDefault="00200C4A" w:rsidP="00777D20">
            <w:pPr>
              <w:pStyle w:val="TableText0"/>
              <w:jc w:val="center"/>
            </w:pPr>
            <w:r w:rsidRPr="00CF3AA0">
              <w:t>21</w:t>
            </w:r>
          </w:p>
        </w:tc>
        <w:tc>
          <w:tcPr>
            <w:tcW w:w="472" w:type="pct"/>
            <w:tcBorders>
              <w:top w:val="single" w:sz="4" w:space="0" w:color="auto"/>
              <w:left w:val="single" w:sz="4" w:space="0" w:color="auto"/>
              <w:bottom w:val="single" w:sz="4" w:space="0" w:color="auto"/>
              <w:right w:val="single" w:sz="4" w:space="0" w:color="auto"/>
            </w:tcBorders>
            <w:vAlign w:val="center"/>
            <w:hideMark/>
          </w:tcPr>
          <w:p w14:paraId="0D84A4FF" w14:textId="77777777" w:rsidR="00200C4A" w:rsidRPr="00CF3AA0" w:rsidRDefault="00200C4A" w:rsidP="00777D20">
            <w:pPr>
              <w:pStyle w:val="TableText0"/>
              <w:jc w:val="center"/>
            </w:pPr>
            <w:r w:rsidRPr="00CF3AA0">
              <w:t>17</w:t>
            </w:r>
          </w:p>
        </w:tc>
        <w:tc>
          <w:tcPr>
            <w:tcW w:w="482" w:type="pct"/>
            <w:tcBorders>
              <w:top w:val="single" w:sz="4" w:space="0" w:color="auto"/>
              <w:left w:val="single" w:sz="4" w:space="0" w:color="auto"/>
              <w:bottom w:val="single" w:sz="4" w:space="0" w:color="auto"/>
              <w:right w:val="single" w:sz="4" w:space="0" w:color="auto"/>
            </w:tcBorders>
            <w:vAlign w:val="center"/>
            <w:hideMark/>
          </w:tcPr>
          <w:p w14:paraId="34BA7CD7" w14:textId="77777777" w:rsidR="00200C4A" w:rsidRPr="00CF3AA0" w:rsidRDefault="00200C4A" w:rsidP="00777D20">
            <w:pPr>
              <w:pStyle w:val="TableText0"/>
              <w:jc w:val="center"/>
            </w:pPr>
            <w:r w:rsidRPr="00CF3AA0">
              <w:t>16</w:t>
            </w:r>
          </w:p>
        </w:tc>
        <w:tc>
          <w:tcPr>
            <w:tcW w:w="563" w:type="pct"/>
            <w:tcBorders>
              <w:top w:val="single" w:sz="4" w:space="0" w:color="auto"/>
              <w:left w:val="single" w:sz="4" w:space="0" w:color="auto"/>
              <w:bottom w:val="single" w:sz="4" w:space="0" w:color="auto"/>
              <w:right w:val="single" w:sz="4" w:space="0" w:color="auto"/>
            </w:tcBorders>
            <w:vAlign w:val="center"/>
            <w:hideMark/>
          </w:tcPr>
          <w:p w14:paraId="6E2812F0" w14:textId="77777777" w:rsidR="00200C4A" w:rsidRPr="00CF3AA0" w:rsidRDefault="00200C4A" w:rsidP="00777D20">
            <w:pPr>
              <w:pStyle w:val="TableText0"/>
              <w:jc w:val="center"/>
            </w:pPr>
            <w:r w:rsidRPr="00CF3AA0">
              <w:t>-</w:t>
            </w:r>
          </w:p>
        </w:tc>
        <w:tc>
          <w:tcPr>
            <w:tcW w:w="341" w:type="pct"/>
            <w:tcBorders>
              <w:top w:val="single" w:sz="4" w:space="0" w:color="auto"/>
              <w:left w:val="single" w:sz="4" w:space="0" w:color="auto"/>
              <w:bottom w:val="single" w:sz="4" w:space="0" w:color="auto"/>
              <w:right w:val="single" w:sz="4" w:space="0" w:color="auto"/>
            </w:tcBorders>
            <w:vAlign w:val="center"/>
          </w:tcPr>
          <w:p w14:paraId="71541267" w14:textId="37E23BED" w:rsidR="00200C4A" w:rsidRPr="00CF3AA0" w:rsidRDefault="00200C4A" w:rsidP="00777D20">
            <w:pPr>
              <w:pStyle w:val="TableText0"/>
              <w:jc w:val="center"/>
            </w:pPr>
            <w:r w:rsidRPr="00CF3AA0">
              <w:t>-</w:t>
            </w:r>
          </w:p>
        </w:tc>
      </w:tr>
      <w:tr w:rsidR="00E31013" w:rsidRPr="00CF3AA0" w14:paraId="175755FB"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719CFD17" w14:textId="2FF4BFCA" w:rsidR="008C0DFD" w:rsidRPr="00CF3AA0" w:rsidRDefault="008C0DFD" w:rsidP="008C0DFD">
            <w:pPr>
              <w:pStyle w:val="TableText0"/>
            </w:pPr>
            <w:r w:rsidRPr="00CF3AA0">
              <w:t xml:space="preserve">Change in 5-D Itch </w:t>
            </w:r>
            <w:r w:rsidR="00164049" w:rsidRPr="00CF3AA0">
              <w:t xml:space="preserve">Scale </w:t>
            </w:r>
            <w:r w:rsidRPr="00CF3AA0">
              <w:t>score</w:t>
            </w:r>
            <w:r w:rsidR="00CF377C" w:rsidRPr="00CF3AA0">
              <w:rPr>
                <w:vertAlign w:val="superscript"/>
              </w:rPr>
              <w:t>d</w:t>
            </w:r>
            <w:r w:rsidRPr="00CF3AA0">
              <w:t xml:space="preserve"> from baseline to week 52 or month 12 (ITT)</w:t>
            </w:r>
          </w:p>
        </w:tc>
        <w:tc>
          <w:tcPr>
            <w:tcW w:w="424" w:type="pct"/>
            <w:tcBorders>
              <w:top w:val="single" w:sz="4" w:space="0" w:color="auto"/>
              <w:left w:val="single" w:sz="4" w:space="0" w:color="auto"/>
              <w:bottom w:val="single" w:sz="4" w:space="0" w:color="auto"/>
              <w:right w:val="single" w:sz="4" w:space="0" w:color="auto"/>
            </w:tcBorders>
            <w:vAlign w:val="center"/>
            <w:hideMark/>
          </w:tcPr>
          <w:p w14:paraId="2EA64A1A" w14:textId="698B87F6" w:rsidR="008C0DFD" w:rsidRPr="00CF3AA0" w:rsidRDefault="008C0DFD" w:rsidP="008C0DFD">
            <w:pPr>
              <w:pStyle w:val="TableText0"/>
              <w:jc w:val="center"/>
            </w:pPr>
            <w:r w:rsidRPr="00CF3AA0">
              <w:t>11.8 (4.6)</w:t>
            </w:r>
          </w:p>
        </w:tc>
        <w:tc>
          <w:tcPr>
            <w:tcW w:w="462" w:type="pct"/>
            <w:tcBorders>
              <w:top w:val="single" w:sz="4" w:space="0" w:color="auto"/>
              <w:left w:val="single" w:sz="4" w:space="0" w:color="auto"/>
              <w:bottom w:val="single" w:sz="4" w:space="0" w:color="auto"/>
              <w:right w:val="single" w:sz="4" w:space="0" w:color="auto"/>
            </w:tcBorders>
            <w:vAlign w:val="center"/>
            <w:hideMark/>
          </w:tcPr>
          <w:p w14:paraId="3C758CE8" w14:textId="7A54DC97" w:rsidR="008C0DFD" w:rsidRPr="00CF3AA0" w:rsidRDefault="008C0DFD" w:rsidP="008C0DFD">
            <w:pPr>
              <w:pStyle w:val="TableText0"/>
              <w:jc w:val="center"/>
            </w:pPr>
            <w:r w:rsidRPr="00CF3AA0">
              <w:t>9.9 (3.8)</w:t>
            </w:r>
          </w:p>
        </w:tc>
        <w:tc>
          <w:tcPr>
            <w:tcW w:w="463" w:type="pct"/>
            <w:tcBorders>
              <w:top w:val="single" w:sz="4" w:space="0" w:color="auto"/>
              <w:left w:val="single" w:sz="4" w:space="0" w:color="auto"/>
              <w:bottom w:val="single" w:sz="4" w:space="0" w:color="auto"/>
              <w:right w:val="single" w:sz="4" w:space="0" w:color="auto"/>
            </w:tcBorders>
            <w:vAlign w:val="center"/>
            <w:hideMark/>
          </w:tcPr>
          <w:p w14:paraId="18B6C168" w14:textId="77777777" w:rsidR="008C0DFD" w:rsidRPr="00CF3AA0" w:rsidRDefault="008C0DFD" w:rsidP="008C0DFD">
            <w:pPr>
              <w:pStyle w:val="TableText0"/>
              <w:jc w:val="center"/>
            </w:pPr>
            <w:r w:rsidRPr="00CF3AA0">
              <w:t>-1.9</w:t>
            </w:r>
          </w:p>
          <w:p w14:paraId="04AB625F" w14:textId="36266116" w:rsidR="008C0DFD" w:rsidRPr="00CF3AA0" w:rsidRDefault="008C0DFD" w:rsidP="008C0DFD">
            <w:pPr>
              <w:pStyle w:val="TableText0"/>
              <w:jc w:val="center"/>
            </w:pPr>
            <w:r w:rsidRPr="00CF3AA0">
              <w:t>(-2.6, -1.3)</w:t>
            </w:r>
          </w:p>
        </w:tc>
        <w:tc>
          <w:tcPr>
            <w:tcW w:w="433" w:type="pct"/>
            <w:tcBorders>
              <w:top w:val="single" w:sz="4" w:space="0" w:color="auto"/>
              <w:left w:val="single" w:sz="4" w:space="0" w:color="auto"/>
              <w:bottom w:val="single" w:sz="4" w:space="0" w:color="auto"/>
              <w:right w:val="single" w:sz="4" w:space="0" w:color="auto"/>
            </w:tcBorders>
            <w:vAlign w:val="center"/>
            <w:hideMark/>
          </w:tcPr>
          <w:p w14:paraId="3DE991EE" w14:textId="0FBD063E" w:rsidR="008C0DFD" w:rsidRPr="00CF3AA0" w:rsidRDefault="008C0DFD" w:rsidP="008C0DFD">
            <w:pPr>
              <w:pStyle w:val="TableText0"/>
              <w:jc w:val="center"/>
            </w:pPr>
            <w:r w:rsidRPr="00CF3AA0">
              <w:t>11.9 (4.4)</w:t>
            </w:r>
          </w:p>
        </w:tc>
        <w:tc>
          <w:tcPr>
            <w:tcW w:w="472" w:type="pct"/>
            <w:tcBorders>
              <w:top w:val="single" w:sz="4" w:space="0" w:color="auto"/>
              <w:left w:val="single" w:sz="4" w:space="0" w:color="auto"/>
              <w:bottom w:val="single" w:sz="4" w:space="0" w:color="auto"/>
              <w:right w:val="single" w:sz="4" w:space="0" w:color="auto"/>
            </w:tcBorders>
            <w:vAlign w:val="center"/>
            <w:hideMark/>
          </w:tcPr>
          <w:p w14:paraId="449032E0" w14:textId="18B84C1F" w:rsidR="008C0DFD" w:rsidRPr="00CF3AA0" w:rsidRDefault="008C0DFD" w:rsidP="008C0DFD">
            <w:pPr>
              <w:pStyle w:val="TableText0"/>
              <w:jc w:val="center"/>
            </w:pPr>
            <w:r w:rsidRPr="00CF3AA0">
              <w:t>11.3 (5.0)</w:t>
            </w:r>
          </w:p>
        </w:tc>
        <w:tc>
          <w:tcPr>
            <w:tcW w:w="482" w:type="pct"/>
            <w:tcBorders>
              <w:top w:val="single" w:sz="4" w:space="0" w:color="auto"/>
              <w:left w:val="single" w:sz="4" w:space="0" w:color="auto"/>
              <w:bottom w:val="single" w:sz="4" w:space="0" w:color="auto"/>
              <w:right w:val="single" w:sz="4" w:space="0" w:color="auto"/>
            </w:tcBorders>
            <w:vAlign w:val="center"/>
            <w:hideMark/>
          </w:tcPr>
          <w:p w14:paraId="345ADA09" w14:textId="77777777" w:rsidR="008C0DFD" w:rsidRPr="00CF3AA0" w:rsidRDefault="008C0DFD" w:rsidP="008C0DFD">
            <w:pPr>
              <w:pStyle w:val="TableText0"/>
              <w:jc w:val="center"/>
            </w:pPr>
            <w:r w:rsidRPr="00CF3AA0">
              <w:t>-0.6</w:t>
            </w:r>
          </w:p>
          <w:p w14:paraId="6AFC85ED" w14:textId="1C6B5321" w:rsidR="008C0DFD" w:rsidRPr="00CF3AA0" w:rsidRDefault="008C0DFD" w:rsidP="008C0DFD">
            <w:pPr>
              <w:pStyle w:val="TableText0"/>
              <w:jc w:val="center"/>
            </w:pPr>
            <w:r w:rsidRPr="00CF3AA0">
              <w:t>(-1.6, 0.3)</w:t>
            </w:r>
          </w:p>
        </w:tc>
        <w:tc>
          <w:tcPr>
            <w:tcW w:w="563" w:type="pct"/>
            <w:tcBorders>
              <w:top w:val="single" w:sz="4" w:space="0" w:color="auto"/>
              <w:left w:val="single" w:sz="4" w:space="0" w:color="auto"/>
              <w:bottom w:val="single" w:sz="4" w:space="0" w:color="auto"/>
              <w:right w:val="single" w:sz="4" w:space="0" w:color="auto"/>
            </w:tcBorders>
            <w:vAlign w:val="center"/>
            <w:hideMark/>
          </w:tcPr>
          <w:p w14:paraId="74AACB08" w14:textId="77777777" w:rsidR="008C0DFD" w:rsidRPr="00CF3AA0" w:rsidRDefault="008C0DFD" w:rsidP="008C0DFD">
            <w:pPr>
              <w:pStyle w:val="TableText0"/>
              <w:jc w:val="center"/>
            </w:pPr>
            <w:r w:rsidRPr="00CF3AA0">
              <w:t>-1.3</w:t>
            </w:r>
          </w:p>
          <w:p w14:paraId="573BEE83" w14:textId="77777777" w:rsidR="008C0DFD" w:rsidRPr="00CF3AA0" w:rsidRDefault="008C0DFD" w:rsidP="008C0DFD">
            <w:pPr>
              <w:pStyle w:val="TableText0"/>
              <w:jc w:val="center"/>
            </w:pPr>
            <w:r w:rsidRPr="00CF3AA0">
              <w:t>(-2.4, -0.2)</w:t>
            </w:r>
          </w:p>
        </w:tc>
        <w:tc>
          <w:tcPr>
            <w:tcW w:w="341" w:type="pct"/>
            <w:tcBorders>
              <w:top w:val="single" w:sz="4" w:space="0" w:color="auto"/>
              <w:left w:val="single" w:sz="4" w:space="0" w:color="auto"/>
              <w:bottom w:val="single" w:sz="4" w:space="0" w:color="auto"/>
              <w:right w:val="single" w:sz="4" w:space="0" w:color="auto"/>
            </w:tcBorders>
            <w:vAlign w:val="center"/>
            <w:hideMark/>
          </w:tcPr>
          <w:p w14:paraId="3139F421" w14:textId="40973D01" w:rsidR="008C0DFD" w:rsidRPr="00CF3AA0" w:rsidRDefault="00E31013" w:rsidP="008C0DFD">
            <w:pPr>
              <w:pStyle w:val="TableText0"/>
              <w:jc w:val="center"/>
            </w:pPr>
            <w:r>
              <w:t>Nominal p-value:</w:t>
            </w:r>
            <w:r>
              <w:br/>
            </w:r>
            <w:r w:rsidR="008C0DFD" w:rsidRPr="00CF3AA0">
              <w:t>0.0238</w:t>
            </w:r>
            <w:r w:rsidR="00F93517" w:rsidRPr="00CF3AA0">
              <w:rPr>
                <w:vertAlign w:val="superscript"/>
              </w:rPr>
              <w:t>c</w:t>
            </w:r>
          </w:p>
        </w:tc>
      </w:tr>
      <w:tr w:rsidR="00E31013" w:rsidRPr="00CF3AA0" w14:paraId="0C1B3F54" w14:textId="77777777" w:rsidTr="05042C88">
        <w:tc>
          <w:tcPr>
            <w:tcW w:w="1360" w:type="pct"/>
            <w:tcBorders>
              <w:top w:val="single" w:sz="4" w:space="0" w:color="auto"/>
              <w:left w:val="single" w:sz="4" w:space="0" w:color="auto"/>
              <w:bottom w:val="single" w:sz="4" w:space="0" w:color="auto"/>
              <w:right w:val="single" w:sz="4" w:space="0" w:color="auto"/>
            </w:tcBorders>
            <w:vAlign w:val="center"/>
            <w:hideMark/>
          </w:tcPr>
          <w:p w14:paraId="0C8A364F" w14:textId="77777777" w:rsidR="00200C4A" w:rsidRPr="00CF3AA0" w:rsidRDefault="00200C4A" w:rsidP="008C0DFD">
            <w:pPr>
              <w:pStyle w:val="TableText0"/>
            </w:pPr>
            <w:r w:rsidRPr="00CF3AA0">
              <w:t>N analysed</w:t>
            </w:r>
          </w:p>
        </w:tc>
        <w:tc>
          <w:tcPr>
            <w:tcW w:w="424" w:type="pct"/>
            <w:tcBorders>
              <w:top w:val="single" w:sz="4" w:space="0" w:color="auto"/>
              <w:left w:val="single" w:sz="4" w:space="0" w:color="auto"/>
              <w:bottom w:val="single" w:sz="4" w:space="0" w:color="auto"/>
              <w:right w:val="single" w:sz="4" w:space="0" w:color="auto"/>
            </w:tcBorders>
            <w:vAlign w:val="center"/>
            <w:hideMark/>
          </w:tcPr>
          <w:p w14:paraId="2D522A0D" w14:textId="09AD561A" w:rsidR="00200C4A" w:rsidRPr="00CF3AA0" w:rsidRDefault="00200C4A" w:rsidP="008C0DFD">
            <w:pPr>
              <w:pStyle w:val="TableText0"/>
              <w:jc w:val="center"/>
            </w:pPr>
            <w:r w:rsidRPr="00CF3AA0">
              <w:t>107</w:t>
            </w:r>
          </w:p>
        </w:tc>
        <w:tc>
          <w:tcPr>
            <w:tcW w:w="462" w:type="pct"/>
            <w:tcBorders>
              <w:top w:val="single" w:sz="4" w:space="0" w:color="auto"/>
              <w:left w:val="single" w:sz="4" w:space="0" w:color="auto"/>
              <w:bottom w:val="single" w:sz="4" w:space="0" w:color="auto"/>
              <w:right w:val="single" w:sz="4" w:space="0" w:color="auto"/>
            </w:tcBorders>
            <w:hideMark/>
          </w:tcPr>
          <w:p w14:paraId="4423F4C9" w14:textId="24663600" w:rsidR="00200C4A" w:rsidRPr="00CF3AA0" w:rsidRDefault="00200C4A" w:rsidP="008C0DFD">
            <w:pPr>
              <w:pStyle w:val="TableText0"/>
              <w:jc w:val="center"/>
            </w:pPr>
            <w:r w:rsidRPr="00CF3AA0">
              <w:t>95</w:t>
            </w:r>
          </w:p>
        </w:tc>
        <w:tc>
          <w:tcPr>
            <w:tcW w:w="463" w:type="pct"/>
            <w:tcBorders>
              <w:top w:val="single" w:sz="4" w:space="0" w:color="auto"/>
              <w:left w:val="single" w:sz="4" w:space="0" w:color="auto"/>
              <w:bottom w:val="single" w:sz="4" w:space="0" w:color="auto"/>
              <w:right w:val="single" w:sz="4" w:space="0" w:color="auto"/>
            </w:tcBorders>
            <w:hideMark/>
          </w:tcPr>
          <w:p w14:paraId="3272A879" w14:textId="288E82E9" w:rsidR="00200C4A" w:rsidRPr="00CF3AA0" w:rsidRDefault="00200C4A" w:rsidP="008C0DFD">
            <w:pPr>
              <w:pStyle w:val="TableText0"/>
              <w:jc w:val="center"/>
            </w:pPr>
            <w:r w:rsidRPr="00CF3AA0">
              <w:t>95</w:t>
            </w:r>
          </w:p>
        </w:tc>
        <w:tc>
          <w:tcPr>
            <w:tcW w:w="433" w:type="pct"/>
            <w:tcBorders>
              <w:top w:val="single" w:sz="4" w:space="0" w:color="auto"/>
              <w:left w:val="single" w:sz="4" w:space="0" w:color="auto"/>
              <w:bottom w:val="single" w:sz="4" w:space="0" w:color="auto"/>
              <w:right w:val="single" w:sz="4" w:space="0" w:color="auto"/>
            </w:tcBorders>
            <w:vAlign w:val="center"/>
            <w:hideMark/>
          </w:tcPr>
          <w:p w14:paraId="73B6018C" w14:textId="1E8999F2" w:rsidR="00200C4A" w:rsidRPr="00CF3AA0" w:rsidRDefault="00200C4A" w:rsidP="008C0DFD">
            <w:pPr>
              <w:pStyle w:val="TableText0"/>
              <w:jc w:val="center"/>
            </w:pPr>
            <w:r w:rsidRPr="00CF3AA0">
              <w:t>52</w:t>
            </w:r>
          </w:p>
        </w:tc>
        <w:tc>
          <w:tcPr>
            <w:tcW w:w="472" w:type="pct"/>
            <w:tcBorders>
              <w:top w:val="single" w:sz="4" w:space="0" w:color="auto"/>
              <w:left w:val="single" w:sz="4" w:space="0" w:color="auto"/>
              <w:bottom w:val="single" w:sz="4" w:space="0" w:color="auto"/>
              <w:right w:val="single" w:sz="4" w:space="0" w:color="auto"/>
            </w:tcBorders>
            <w:vAlign w:val="center"/>
            <w:hideMark/>
          </w:tcPr>
          <w:p w14:paraId="28663EAA" w14:textId="76F830B9" w:rsidR="00200C4A" w:rsidRPr="00CF3AA0" w:rsidRDefault="00200C4A" w:rsidP="008C0DFD">
            <w:pPr>
              <w:pStyle w:val="TableText0"/>
              <w:jc w:val="center"/>
            </w:pPr>
            <w:r w:rsidRPr="00CF3AA0">
              <w:t>47</w:t>
            </w:r>
          </w:p>
        </w:tc>
        <w:tc>
          <w:tcPr>
            <w:tcW w:w="482" w:type="pct"/>
            <w:tcBorders>
              <w:top w:val="single" w:sz="4" w:space="0" w:color="auto"/>
              <w:left w:val="single" w:sz="4" w:space="0" w:color="auto"/>
              <w:bottom w:val="single" w:sz="4" w:space="0" w:color="auto"/>
              <w:right w:val="single" w:sz="4" w:space="0" w:color="auto"/>
            </w:tcBorders>
            <w:vAlign w:val="center"/>
            <w:hideMark/>
          </w:tcPr>
          <w:p w14:paraId="757EBB53" w14:textId="7638CF15" w:rsidR="00200C4A" w:rsidRPr="00CF3AA0" w:rsidRDefault="00200C4A" w:rsidP="008C0DFD">
            <w:pPr>
              <w:pStyle w:val="TableText0"/>
              <w:jc w:val="center"/>
            </w:pPr>
            <w:r w:rsidRPr="00CF3AA0">
              <w:t>46</w:t>
            </w:r>
          </w:p>
        </w:tc>
        <w:tc>
          <w:tcPr>
            <w:tcW w:w="563" w:type="pct"/>
            <w:tcBorders>
              <w:top w:val="single" w:sz="4" w:space="0" w:color="auto"/>
              <w:left w:val="single" w:sz="4" w:space="0" w:color="auto"/>
              <w:bottom w:val="single" w:sz="4" w:space="0" w:color="auto"/>
              <w:right w:val="single" w:sz="4" w:space="0" w:color="auto"/>
            </w:tcBorders>
            <w:vAlign w:val="center"/>
            <w:hideMark/>
          </w:tcPr>
          <w:p w14:paraId="10DE0AFD" w14:textId="77777777" w:rsidR="00200C4A" w:rsidRPr="00CF3AA0" w:rsidRDefault="00200C4A" w:rsidP="008C0DFD">
            <w:pPr>
              <w:pStyle w:val="TableText0"/>
              <w:jc w:val="center"/>
            </w:pPr>
            <w:r w:rsidRPr="00CF3AA0">
              <w:t>-</w:t>
            </w:r>
          </w:p>
        </w:tc>
        <w:tc>
          <w:tcPr>
            <w:tcW w:w="341" w:type="pct"/>
            <w:tcBorders>
              <w:top w:val="single" w:sz="4" w:space="0" w:color="auto"/>
              <w:left w:val="single" w:sz="4" w:space="0" w:color="auto"/>
              <w:bottom w:val="single" w:sz="4" w:space="0" w:color="auto"/>
              <w:right w:val="single" w:sz="4" w:space="0" w:color="auto"/>
            </w:tcBorders>
            <w:vAlign w:val="center"/>
          </w:tcPr>
          <w:p w14:paraId="19E54881" w14:textId="290BF87B" w:rsidR="00200C4A" w:rsidRPr="00CF3AA0" w:rsidRDefault="00200C4A" w:rsidP="008C0DFD">
            <w:pPr>
              <w:pStyle w:val="TableText0"/>
              <w:jc w:val="center"/>
            </w:pPr>
            <w:r w:rsidRPr="00CF3AA0">
              <w:t>-</w:t>
            </w:r>
          </w:p>
        </w:tc>
      </w:tr>
      <w:tr w:rsidR="004B4DEB" w:rsidRPr="00CF3AA0" w14:paraId="1FA4D971" w14:textId="77777777" w:rsidTr="05042C88">
        <w:tc>
          <w:tcPr>
            <w:tcW w:w="5000" w:type="pct"/>
            <w:gridSpan w:val="9"/>
            <w:tcBorders>
              <w:top w:val="single" w:sz="4" w:space="0" w:color="auto"/>
              <w:left w:val="single" w:sz="4" w:space="0" w:color="auto"/>
              <w:bottom w:val="single" w:sz="4" w:space="0" w:color="auto"/>
              <w:right w:val="single" w:sz="4" w:space="0" w:color="auto"/>
            </w:tcBorders>
            <w:vAlign w:val="center"/>
          </w:tcPr>
          <w:p w14:paraId="42BE753F" w14:textId="589AE5DF" w:rsidR="004B4DEB" w:rsidRPr="00CF3AA0" w:rsidRDefault="004B4DEB" w:rsidP="00777D20">
            <w:pPr>
              <w:pStyle w:val="TableText0"/>
              <w:rPr>
                <w:b/>
                <w:bCs w:val="0"/>
              </w:rPr>
            </w:pPr>
            <w:r w:rsidRPr="00CF3AA0">
              <w:rPr>
                <w:b/>
                <w:bCs w:val="0"/>
              </w:rPr>
              <w:t xml:space="preserve">Exploratory </w:t>
            </w:r>
            <w:r w:rsidR="00582F7D" w:rsidRPr="00CF3AA0">
              <w:rPr>
                <w:b/>
                <w:bCs w:val="0"/>
              </w:rPr>
              <w:t>endpoints</w:t>
            </w:r>
          </w:p>
        </w:tc>
      </w:tr>
      <w:tr w:rsidR="00E31013" w:rsidRPr="00CF3AA0" w14:paraId="55E573DC" w14:textId="77777777" w:rsidTr="05042C88">
        <w:tc>
          <w:tcPr>
            <w:tcW w:w="1360" w:type="pct"/>
            <w:tcBorders>
              <w:top w:val="single" w:sz="4" w:space="0" w:color="auto"/>
              <w:left w:val="single" w:sz="4" w:space="0" w:color="auto"/>
              <w:bottom w:val="single" w:sz="4" w:space="0" w:color="auto"/>
              <w:right w:val="single" w:sz="4" w:space="0" w:color="auto"/>
            </w:tcBorders>
            <w:vAlign w:val="center"/>
          </w:tcPr>
          <w:p w14:paraId="220EFC15" w14:textId="28DA9D27" w:rsidR="00721AB6" w:rsidRPr="00CF3AA0" w:rsidRDefault="00721AB6" w:rsidP="00721AB6">
            <w:pPr>
              <w:pStyle w:val="TableText0"/>
            </w:pPr>
            <w:r w:rsidRPr="05042C88">
              <w:t xml:space="preserve">Change in PBC-40 Itch </w:t>
            </w:r>
            <w:r w:rsidR="0086558F" w:rsidRPr="05042C88">
              <w:t>D</w:t>
            </w:r>
            <w:r w:rsidRPr="05042C88">
              <w:t xml:space="preserve">omain </w:t>
            </w:r>
            <w:proofErr w:type="spellStart"/>
            <w:r w:rsidR="0086558F" w:rsidRPr="05042C88">
              <w:t>score</w:t>
            </w:r>
            <w:r w:rsidR="00A7411D" w:rsidRPr="05042C88">
              <w:rPr>
                <w:vertAlign w:val="superscript"/>
              </w:rPr>
              <w:t>e</w:t>
            </w:r>
            <w:proofErr w:type="spellEnd"/>
            <w:r w:rsidR="0086558F" w:rsidRPr="05042C88">
              <w:t xml:space="preserve"> </w:t>
            </w:r>
            <w:r w:rsidRPr="05042C88">
              <w:t>from baseline to week 52 (Pruritus ITT analysis set)</w:t>
            </w:r>
          </w:p>
        </w:tc>
        <w:tc>
          <w:tcPr>
            <w:tcW w:w="424" w:type="pct"/>
            <w:tcBorders>
              <w:top w:val="single" w:sz="4" w:space="0" w:color="auto"/>
              <w:left w:val="single" w:sz="4" w:space="0" w:color="auto"/>
              <w:bottom w:val="single" w:sz="4" w:space="0" w:color="auto"/>
              <w:right w:val="single" w:sz="4" w:space="0" w:color="auto"/>
            </w:tcBorders>
            <w:vAlign w:val="center"/>
          </w:tcPr>
          <w:p w14:paraId="33E969AD" w14:textId="014B750F" w:rsidR="00721AB6" w:rsidRPr="00CF3AA0" w:rsidRDefault="00721AB6" w:rsidP="00721AB6">
            <w:pPr>
              <w:pStyle w:val="TableText0"/>
              <w:jc w:val="center"/>
            </w:pPr>
            <w:r w:rsidRPr="00CF3AA0">
              <w:t>8.5 (3.3)</w:t>
            </w:r>
          </w:p>
        </w:tc>
        <w:tc>
          <w:tcPr>
            <w:tcW w:w="462" w:type="pct"/>
            <w:tcBorders>
              <w:top w:val="single" w:sz="4" w:space="0" w:color="auto"/>
              <w:left w:val="single" w:sz="4" w:space="0" w:color="auto"/>
              <w:bottom w:val="single" w:sz="4" w:space="0" w:color="auto"/>
              <w:right w:val="single" w:sz="4" w:space="0" w:color="auto"/>
            </w:tcBorders>
            <w:vAlign w:val="center"/>
          </w:tcPr>
          <w:p w14:paraId="1C87E698" w14:textId="2D0C7A96" w:rsidR="00721AB6" w:rsidRPr="00CF3AA0" w:rsidRDefault="00721AB6" w:rsidP="00721AB6">
            <w:pPr>
              <w:pStyle w:val="TableText0"/>
              <w:jc w:val="center"/>
            </w:pPr>
            <w:r w:rsidRPr="00CF3AA0">
              <w:t>6.0 (3.7)</w:t>
            </w:r>
          </w:p>
        </w:tc>
        <w:tc>
          <w:tcPr>
            <w:tcW w:w="463" w:type="pct"/>
            <w:tcBorders>
              <w:top w:val="single" w:sz="4" w:space="0" w:color="auto"/>
              <w:left w:val="single" w:sz="4" w:space="0" w:color="auto"/>
              <w:bottom w:val="single" w:sz="4" w:space="0" w:color="auto"/>
              <w:right w:val="single" w:sz="4" w:space="0" w:color="auto"/>
            </w:tcBorders>
            <w:vAlign w:val="center"/>
          </w:tcPr>
          <w:p w14:paraId="50B7D761" w14:textId="77777777" w:rsidR="00721AB6" w:rsidRPr="00CF3AA0" w:rsidRDefault="00721AB6" w:rsidP="00721AB6">
            <w:pPr>
              <w:pStyle w:val="TableText0"/>
              <w:jc w:val="center"/>
            </w:pPr>
            <w:r w:rsidRPr="00CF3AA0">
              <w:t>-2.5</w:t>
            </w:r>
          </w:p>
          <w:p w14:paraId="24A61968" w14:textId="37CE723D" w:rsidR="00721AB6" w:rsidRPr="00CF3AA0" w:rsidRDefault="00721AB6" w:rsidP="00721AB6">
            <w:pPr>
              <w:pStyle w:val="TableText0"/>
              <w:jc w:val="center"/>
            </w:pPr>
            <w:r w:rsidRPr="00CF3AA0">
              <w:t>(-3.4, -1.6)</w:t>
            </w:r>
          </w:p>
        </w:tc>
        <w:tc>
          <w:tcPr>
            <w:tcW w:w="433" w:type="pct"/>
            <w:tcBorders>
              <w:top w:val="single" w:sz="4" w:space="0" w:color="auto"/>
              <w:left w:val="single" w:sz="4" w:space="0" w:color="auto"/>
              <w:bottom w:val="single" w:sz="4" w:space="0" w:color="auto"/>
              <w:right w:val="single" w:sz="4" w:space="0" w:color="auto"/>
            </w:tcBorders>
            <w:vAlign w:val="center"/>
          </w:tcPr>
          <w:p w14:paraId="13296980" w14:textId="7F80F3D9" w:rsidR="00721AB6" w:rsidRPr="00CF3AA0" w:rsidRDefault="00721AB6" w:rsidP="00721AB6">
            <w:pPr>
              <w:pStyle w:val="TableText0"/>
              <w:jc w:val="center"/>
            </w:pPr>
            <w:r w:rsidRPr="00CF3AA0">
              <w:t>8.1 (3.7)</w:t>
            </w:r>
          </w:p>
        </w:tc>
        <w:tc>
          <w:tcPr>
            <w:tcW w:w="472" w:type="pct"/>
            <w:tcBorders>
              <w:top w:val="single" w:sz="4" w:space="0" w:color="auto"/>
              <w:left w:val="single" w:sz="4" w:space="0" w:color="auto"/>
              <w:bottom w:val="single" w:sz="4" w:space="0" w:color="auto"/>
              <w:right w:val="single" w:sz="4" w:space="0" w:color="auto"/>
            </w:tcBorders>
            <w:vAlign w:val="center"/>
          </w:tcPr>
          <w:p w14:paraId="36C10840" w14:textId="59DE5CE0" w:rsidR="00721AB6" w:rsidRPr="00CF3AA0" w:rsidRDefault="00721AB6" w:rsidP="00721AB6">
            <w:pPr>
              <w:pStyle w:val="TableText0"/>
              <w:jc w:val="center"/>
            </w:pPr>
            <w:r w:rsidRPr="00CF3AA0">
              <w:t>8.4 (4.5)</w:t>
            </w:r>
          </w:p>
        </w:tc>
        <w:tc>
          <w:tcPr>
            <w:tcW w:w="482" w:type="pct"/>
            <w:tcBorders>
              <w:top w:val="single" w:sz="4" w:space="0" w:color="auto"/>
              <w:left w:val="single" w:sz="4" w:space="0" w:color="auto"/>
              <w:bottom w:val="single" w:sz="4" w:space="0" w:color="auto"/>
              <w:right w:val="single" w:sz="4" w:space="0" w:color="auto"/>
            </w:tcBorders>
            <w:vAlign w:val="center"/>
          </w:tcPr>
          <w:p w14:paraId="3B8FD394" w14:textId="77777777" w:rsidR="00721AB6" w:rsidRPr="00CF3AA0" w:rsidRDefault="00721AB6" w:rsidP="00721AB6">
            <w:pPr>
              <w:pStyle w:val="TableText0"/>
              <w:jc w:val="center"/>
            </w:pPr>
            <w:r w:rsidRPr="00CF3AA0">
              <w:t>-0.1</w:t>
            </w:r>
          </w:p>
          <w:p w14:paraId="2666544C" w14:textId="17B4979B" w:rsidR="00721AB6" w:rsidRPr="00CF3AA0" w:rsidRDefault="00721AB6" w:rsidP="00721AB6">
            <w:pPr>
              <w:pStyle w:val="TableText0"/>
              <w:jc w:val="center"/>
            </w:pPr>
            <w:r w:rsidRPr="00CF3AA0">
              <w:t>(-1.6, 1.3)</w:t>
            </w:r>
          </w:p>
        </w:tc>
        <w:tc>
          <w:tcPr>
            <w:tcW w:w="563" w:type="pct"/>
            <w:tcBorders>
              <w:top w:val="single" w:sz="4" w:space="0" w:color="auto"/>
              <w:left w:val="single" w:sz="4" w:space="0" w:color="auto"/>
              <w:bottom w:val="single" w:sz="4" w:space="0" w:color="auto"/>
              <w:right w:val="single" w:sz="4" w:space="0" w:color="auto"/>
            </w:tcBorders>
            <w:vAlign w:val="center"/>
          </w:tcPr>
          <w:p w14:paraId="3EBCA14E" w14:textId="77777777" w:rsidR="00721AB6" w:rsidRPr="00CF3AA0" w:rsidRDefault="00721AB6" w:rsidP="00721AB6">
            <w:pPr>
              <w:pStyle w:val="TableText0"/>
              <w:jc w:val="center"/>
            </w:pPr>
            <w:r w:rsidRPr="00CF3AA0">
              <w:t>-2.3</w:t>
            </w:r>
          </w:p>
          <w:p w14:paraId="658501EE" w14:textId="77777777" w:rsidR="00721AB6" w:rsidRPr="00CF3AA0" w:rsidRDefault="00721AB6" w:rsidP="00721AB6">
            <w:pPr>
              <w:pStyle w:val="TableText0"/>
              <w:jc w:val="center"/>
            </w:pPr>
            <w:r w:rsidRPr="00CF3AA0">
              <w:t>(-4.0, -0.7).</w:t>
            </w:r>
          </w:p>
        </w:tc>
        <w:tc>
          <w:tcPr>
            <w:tcW w:w="341" w:type="pct"/>
            <w:tcBorders>
              <w:top w:val="single" w:sz="4" w:space="0" w:color="auto"/>
              <w:left w:val="single" w:sz="4" w:space="0" w:color="auto"/>
              <w:bottom w:val="single" w:sz="4" w:space="0" w:color="auto"/>
              <w:right w:val="single" w:sz="4" w:space="0" w:color="auto"/>
            </w:tcBorders>
            <w:vAlign w:val="center"/>
          </w:tcPr>
          <w:p w14:paraId="3AA7E413" w14:textId="77777777" w:rsidR="00721AB6" w:rsidRPr="00CF3AA0" w:rsidRDefault="00721AB6" w:rsidP="00721AB6">
            <w:pPr>
              <w:pStyle w:val="TableText0"/>
              <w:jc w:val="center"/>
              <w:rPr>
                <w:b/>
                <w:bCs w:val="0"/>
              </w:rPr>
            </w:pPr>
            <w:r w:rsidRPr="00CF3AA0">
              <w:rPr>
                <w:b/>
                <w:bCs w:val="0"/>
              </w:rPr>
              <w:t>0.0070</w:t>
            </w:r>
          </w:p>
        </w:tc>
      </w:tr>
      <w:tr w:rsidR="00E31013" w:rsidRPr="00CF3AA0" w14:paraId="67C1B660" w14:textId="77777777" w:rsidTr="05042C88">
        <w:tc>
          <w:tcPr>
            <w:tcW w:w="1360" w:type="pct"/>
            <w:tcBorders>
              <w:top w:val="single" w:sz="4" w:space="0" w:color="auto"/>
              <w:left w:val="single" w:sz="4" w:space="0" w:color="auto"/>
              <w:bottom w:val="single" w:sz="4" w:space="0" w:color="auto"/>
              <w:right w:val="single" w:sz="4" w:space="0" w:color="auto"/>
            </w:tcBorders>
            <w:vAlign w:val="center"/>
          </w:tcPr>
          <w:p w14:paraId="5E9A9949" w14:textId="77777777" w:rsidR="00721AB6" w:rsidRPr="00CF3AA0" w:rsidRDefault="00721AB6" w:rsidP="00721AB6">
            <w:pPr>
              <w:pStyle w:val="TableText0"/>
              <w:rPr>
                <w:b/>
                <w:bCs w:val="0"/>
              </w:rPr>
            </w:pPr>
            <w:r w:rsidRPr="00CF3AA0">
              <w:t>N analysed</w:t>
            </w:r>
          </w:p>
        </w:tc>
        <w:tc>
          <w:tcPr>
            <w:tcW w:w="424" w:type="pct"/>
            <w:tcBorders>
              <w:top w:val="single" w:sz="4" w:space="0" w:color="auto"/>
              <w:left w:val="single" w:sz="4" w:space="0" w:color="auto"/>
              <w:bottom w:val="single" w:sz="4" w:space="0" w:color="auto"/>
              <w:right w:val="single" w:sz="4" w:space="0" w:color="auto"/>
            </w:tcBorders>
            <w:vAlign w:val="center"/>
          </w:tcPr>
          <w:p w14:paraId="6BF7619B" w14:textId="65CE1723" w:rsidR="00721AB6" w:rsidRPr="00CF3AA0" w:rsidRDefault="00721AB6" w:rsidP="00721AB6">
            <w:pPr>
              <w:pStyle w:val="TableText0"/>
              <w:jc w:val="center"/>
            </w:pPr>
            <w:r w:rsidRPr="00CF3AA0">
              <w:t>43</w:t>
            </w:r>
          </w:p>
        </w:tc>
        <w:tc>
          <w:tcPr>
            <w:tcW w:w="462" w:type="pct"/>
            <w:tcBorders>
              <w:top w:val="single" w:sz="4" w:space="0" w:color="auto"/>
              <w:left w:val="single" w:sz="4" w:space="0" w:color="auto"/>
              <w:bottom w:val="single" w:sz="4" w:space="0" w:color="auto"/>
              <w:right w:val="single" w:sz="4" w:space="0" w:color="auto"/>
            </w:tcBorders>
            <w:vAlign w:val="center"/>
          </w:tcPr>
          <w:p w14:paraId="0C685A38" w14:textId="6314F1F5" w:rsidR="00721AB6" w:rsidRPr="00CF3AA0" w:rsidRDefault="00721AB6" w:rsidP="00721AB6">
            <w:pPr>
              <w:pStyle w:val="TableText0"/>
              <w:jc w:val="center"/>
            </w:pPr>
            <w:r w:rsidRPr="00CF3AA0">
              <w:t>42</w:t>
            </w:r>
          </w:p>
        </w:tc>
        <w:tc>
          <w:tcPr>
            <w:tcW w:w="463" w:type="pct"/>
            <w:tcBorders>
              <w:top w:val="single" w:sz="4" w:space="0" w:color="auto"/>
              <w:left w:val="single" w:sz="4" w:space="0" w:color="auto"/>
              <w:bottom w:val="single" w:sz="4" w:space="0" w:color="auto"/>
              <w:right w:val="single" w:sz="4" w:space="0" w:color="auto"/>
            </w:tcBorders>
          </w:tcPr>
          <w:p w14:paraId="1A59C0D5" w14:textId="6AFA95F6" w:rsidR="00721AB6" w:rsidRPr="00CF3AA0" w:rsidRDefault="00721AB6" w:rsidP="00721AB6">
            <w:pPr>
              <w:pStyle w:val="TableText0"/>
              <w:jc w:val="center"/>
            </w:pPr>
            <w:r w:rsidRPr="00CF3AA0">
              <w:t>42</w:t>
            </w:r>
          </w:p>
        </w:tc>
        <w:tc>
          <w:tcPr>
            <w:tcW w:w="433" w:type="pct"/>
            <w:tcBorders>
              <w:top w:val="single" w:sz="4" w:space="0" w:color="auto"/>
              <w:left w:val="single" w:sz="4" w:space="0" w:color="auto"/>
              <w:bottom w:val="single" w:sz="4" w:space="0" w:color="auto"/>
              <w:right w:val="single" w:sz="4" w:space="0" w:color="auto"/>
            </w:tcBorders>
          </w:tcPr>
          <w:p w14:paraId="00475E7C" w14:textId="0B7AC80D" w:rsidR="00721AB6" w:rsidRPr="00CF3AA0" w:rsidRDefault="00721AB6" w:rsidP="00721AB6">
            <w:pPr>
              <w:pStyle w:val="TableText0"/>
              <w:jc w:val="center"/>
            </w:pPr>
            <w:r w:rsidRPr="00CF3AA0">
              <w:t>21</w:t>
            </w:r>
          </w:p>
        </w:tc>
        <w:tc>
          <w:tcPr>
            <w:tcW w:w="472" w:type="pct"/>
            <w:tcBorders>
              <w:top w:val="single" w:sz="4" w:space="0" w:color="auto"/>
              <w:left w:val="single" w:sz="4" w:space="0" w:color="auto"/>
              <w:bottom w:val="single" w:sz="4" w:space="0" w:color="auto"/>
              <w:right w:val="single" w:sz="4" w:space="0" w:color="auto"/>
            </w:tcBorders>
          </w:tcPr>
          <w:p w14:paraId="4D0069E0" w14:textId="7C36B66A" w:rsidR="00721AB6" w:rsidRPr="00CF3AA0" w:rsidRDefault="00721AB6" w:rsidP="00721AB6">
            <w:pPr>
              <w:pStyle w:val="TableText0"/>
              <w:jc w:val="center"/>
            </w:pPr>
            <w:r w:rsidRPr="00CF3AA0">
              <w:t>19</w:t>
            </w:r>
          </w:p>
        </w:tc>
        <w:tc>
          <w:tcPr>
            <w:tcW w:w="482" w:type="pct"/>
            <w:tcBorders>
              <w:top w:val="single" w:sz="4" w:space="0" w:color="auto"/>
              <w:left w:val="single" w:sz="4" w:space="0" w:color="auto"/>
              <w:bottom w:val="single" w:sz="4" w:space="0" w:color="auto"/>
              <w:right w:val="single" w:sz="4" w:space="0" w:color="auto"/>
            </w:tcBorders>
          </w:tcPr>
          <w:p w14:paraId="23EAA460" w14:textId="707FE8F6" w:rsidR="00721AB6" w:rsidRPr="00CF3AA0" w:rsidRDefault="00721AB6" w:rsidP="00721AB6">
            <w:pPr>
              <w:pStyle w:val="TableText0"/>
              <w:jc w:val="center"/>
            </w:pPr>
            <w:r w:rsidRPr="00CF3AA0">
              <w:t>16</w:t>
            </w:r>
          </w:p>
        </w:tc>
        <w:tc>
          <w:tcPr>
            <w:tcW w:w="563" w:type="pct"/>
            <w:tcBorders>
              <w:top w:val="single" w:sz="4" w:space="0" w:color="auto"/>
              <w:left w:val="single" w:sz="4" w:space="0" w:color="auto"/>
              <w:bottom w:val="single" w:sz="4" w:space="0" w:color="auto"/>
              <w:right w:val="single" w:sz="4" w:space="0" w:color="auto"/>
            </w:tcBorders>
            <w:vAlign w:val="center"/>
          </w:tcPr>
          <w:p w14:paraId="7BB0AB3F" w14:textId="77777777" w:rsidR="00721AB6" w:rsidRPr="00CF3AA0" w:rsidRDefault="00721AB6" w:rsidP="00721AB6">
            <w:pPr>
              <w:pStyle w:val="TableText0"/>
              <w:jc w:val="center"/>
            </w:pPr>
            <w:r w:rsidRPr="00CF3AA0">
              <w:t>-</w:t>
            </w:r>
          </w:p>
        </w:tc>
        <w:tc>
          <w:tcPr>
            <w:tcW w:w="341" w:type="pct"/>
            <w:tcBorders>
              <w:top w:val="single" w:sz="4" w:space="0" w:color="auto"/>
              <w:left w:val="single" w:sz="4" w:space="0" w:color="auto"/>
              <w:bottom w:val="single" w:sz="4" w:space="0" w:color="auto"/>
              <w:right w:val="single" w:sz="4" w:space="0" w:color="auto"/>
            </w:tcBorders>
            <w:vAlign w:val="center"/>
          </w:tcPr>
          <w:p w14:paraId="43A68ED1" w14:textId="77777777" w:rsidR="00721AB6" w:rsidRPr="00CF3AA0" w:rsidRDefault="00721AB6" w:rsidP="00721AB6">
            <w:pPr>
              <w:pStyle w:val="TableText0"/>
              <w:jc w:val="center"/>
            </w:pPr>
            <w:r w:rsidRPr="00CF3AA0">
              <w:t>-</w:t>
            </w:r>
          </w:p>
        </w:tc>
      </w:tr>
      <w:tr w:rsidR="00E31013" w:rsidRPr="00CF3AA0" w14:paraId="2C2A9E71" w14:textId="77777777" w:rsidTr="05042C88">
        <w:tc>
          <w:tcPr>
            <w:tcW w:w="1360" w:type="pct"/>
            <w:tcBorders>
              <w:top w:val="single" w:sz="4" w:space="0" w:color="auto"/>
              <w:left w:val="single" w:sz="4" w:space="0" w:color="auto"/>
              <w:bottom w:val="single" w:sz="4" w:space="0" w:color="auto"/>
              <w:right w:val="single" w:sz="4" w:space="0" w:color="auto"/>
            </w:tcBorders>
            <w:vAlign w:val="center"/>
          </w:tcPr>
          <w:p w14:paraId="30888DAE" w14:textId="59D92142" w:rsidR="0023308E" w:rsidRPr="00CF3AA0" w:rsidRDefault="0023308E" w:rsidP="0023308E">
            <w:pPr>
              <w:pStyle w:val="TableText0"/>
            </w:pPr>
            <w:r w:rsidRPr="05042C88">
              <w:t xml:space="preserve">Change in PBC-40 Itch </w:t>
            </w:r>
            <w:r w:rsidR="0086558F" w:rsidRPr="05042C88">
              <w:t>D</w:t>
            </w:r>
            <w:r w:rsidRPr="05042C88">
              <w:t xml:space="preserve">omain </w:t>
            </w:r>
            <w:proofErr w:type="spellStart"/>
            <w:r w:rsidR="0086558F" w:rsidRPr="05042C88">
              <w:t>score</w:t>
            </w:r>
            <w:r w:rsidR="00A7411D" w:rsidRPr="05042C88">
              <w:rPr>
                <w:vertAlign w:val="superscript"/>
              </w:rPr>
              <w:t>e</w:t>
            </w:r>
            <w:proofErr w:type="spellEnd"/>
            <w:r w:rsidR="0086558F" w:rsidRPr="05042C88">
              <w:t xml:space="preserve"> </w:t>
            </w:r>
            <w:r w:rsidRPr="05042C88">
              <w:t>from baseline to week 52 or month 12 (ITT)</w:t>
            </w:r>
          </w:p>
        </w:tc>
        <w:tc>
          <w:tcPr>
            <w:tcW w:w="424" w:type="pct"/>
            <w:tcBorders>
              <w:top w:val="single" w:sz="4" w:space="0" w:color="auto"/>
              <w:left w:val="single" w:sz="4" w:space="0" w:color="auto"/>
              <w:bottom w:val="single" w:sz="4" w:space="0" w:color="auto"/>
              <w:right w:val="single" w:sz="4" w:space="0" w:color="auto"/>
            </w:tcBorders>
            <w:vAlign w:val="center"/>
          </w:tcPr>
          <w:p w14:paraId="01B01CEA" w14:textId="6EE157D9" w:rsidR="0023308E" w:rsidRPr="00CF3AA0" w:rsidRDefault="0023308E" w:rsidP="0023308E">
            <w:pPr>
              <w:pStyle w:val="TableText0"/>
              <w:jc w:val="center"/>
            </w:pPr>
            <w:r w:rsidRPr="00CF3AA0">
              <w:t>5.8 (3.6)</w:t>
            </w:r>
          </w:p>
        </w:tc>
        <w:tc>
          <w:tcPr>
            <w:tcW w:w="462" w:type="pct"/>
            <w:tcBorders>
              <w:top w:val="single" w:sz="4" w:space="0" w:color="auto"/>
              <w:left w:val="single" w:sz="4" w:space="0" w:color="auto"/>
              <w:bottom w:val="single" w:sz="4" w:space="0" w:color="auto"/>
              <w:right w:val="single" w:sz="4" w:space="0" w:color="auto"/>
            </w:tcBorders>
            <w:vAlign w:val="center"/>
          </w:tcPr>
          <w:p w14:paraId="5C51E22C" w14:textId="0F8F6143" w:rsidR="0023308E" w:rsidRPr="00CF3AA0" w:rsidRDefault="0023308E" w:rsidP="0023308E">
            <w:pPr>
              <w:pStyle w:val="TableText0"/>
              <w:jc w:val="center"/>
            </w:pPr>
            <w:r w:rsidRPr="00CF3AA0">
              <w:t>4.3 (3.4)</w:t>
            </w:r>
          </w:p>
        </w:tc>
        <w:tc>
          <w:tcPr>
            <w:tcW w:w="463" w:type="pct"/>
            <w:tcBorders>
              <w:top w:val="single" w:sz="4" w:space="0" w:color="auto"/>
              <w:left w:val="single" w:sz="4" w:space="0" w:color="auto"/>
              <w:bottom w:val="single" w:sz="4" w:space="0" w:color="auto"/>
              <w:right w:val="single" w:sz="4" w:space="0" w:color="auto"/>
            </w:tcBorders>
            <w:vAlign w:val="center"/>
          </w:tcPr>
          <w:p w14:paraId="47646ACA" w14:textId="77777777" w:rsidR="0023308E" w:rsidRPr="00CF3AA0" w:rsidRDefault="0023308E" w:rsidP="0023308E">
            <w:pPr>
              <w:pStyle w:val="TableText0"/>
              <w:jc w:val="center"/>
            </w:pPr>
            <w:r w:rsidRPr="00CF3AA0">
              <w:t>-1.4</w:t>
            </w:r>
          </w:p>
          <w:p w14:paraId="4C5E8F6C" w14:textId="7261B1C7" w:rsidR="0023308E" w:rsidRPr="00CF3AA0" w:rsidRDefault="0023308E" w:rsidP="0023308E">
            <w:pPr>
              <w:pStyle w:val="TableText0"/>
              <w:jc w:val="center"/>
            </w:pPr>
            <w:r w:rsidRPr="00CF3AA0">
              <w:t>(-1.8, -0.9)</w:t>
            </w:r>
          </w:p>
        </w:tc>
        <w:tc>
          <w:tcPr>
            <w:tcW w:w="433" w:type="pct"/>
            <w:tcBorders>
              <w:top w:val="single" w:sz="4" w:space="0" w:color="auto"/>
              <w:left w:val="single" w:sz="4" w:space="0" w:color="auto"/>
              <w:bottom w:val="single" w:sz="4" w:space="0" w:color="auto"/>
              <w:right w:val="single" w:sz="4" w:space="0" w:color="auto"/>
            </w:tcBorders>
            <w:vAlign w:val="center"/>
          </w:tcPr>
          <w:p w14:paraId="62B1001E" w14:textId="51D3A18A" w:rsidR="0023308E" w:rsidRPr="00CF3AA0" w:rsidRDefault="0023308E" w:rsidP="0023308E">
            <w:pPr>
              <w:pStyle w:val="TableText0"/>
              <w:jc w:val="center"/>
            </w:pPr>
            <w:r w:rsidRPr="00CF3AA0">
              <w:t>5.3 (3.7)</w:t>
            </w:r>
          </w:p>
        </w:tc>
        <w:tc>
          <w:tcPr>
            <w:tcW w:w="472" w:type="pct"/>
            <w:tcBorders>
              <w:top w:val="single" w:sz="4" w:space="0" w:color="auto"/>
              <w:left w:val="single" w:sz="4" w:space="0" w:color="auto"/>
              <w:bottom w:val="single" w:sz="4" w:space="0" w:color="auto"/>
              <w:right w:val="single" w:sz="4" w:space="0" w:color="auto"/>
            </w:tcBorders>
            <w:vAlign w:val="center"/>
          </w:tcPr>
          <w:p w14:paraId="3B5E6F97" w14:textId="0CA733AD" w:rsidR="0023308E" w:rsidRPr="00CF3AA0" w:rsidRDefault="0023308E" w:rsidP="0023308E">
            <w:pPr>
              <w:pStyle w:val="TableText0"/>
              <w:jc w:val="center"/>
            </w:pPr>
            <w:r w:rsidRPr="00CF3AA0">
              <w:t>5.2 (4.2)</w:t>
            </w:r>
          </w:p>
        </w:tc>
        <w:tc>
          <w:tcPr>
            <w:tcW w:w="482" w:type="pct"/>
            <w:tcBorders>
              <w:top w:val="single" w:sz="4" w:space="0" w:color="auto"/>
              <w:left w:val="single" w:sz="4" w:space="0" w:color="auto"/>
              <w:bottom w:val="single" w:sz="4" w:space="0" w:color="auto"/>
              <w:right w:val="single" w:sz="4" w:space="0" w:color="auto"/>
            </w:tcBorders>
            <w:vAlign w:val="center"/>
          </w:tcPr>
          <w:p w14:paraId="2081D051" w14:textId="77777777" w:rsidR="0023308E" w:rsidRPr="00CF3AA0" w:rsidRDefault="0023308E" w:rsidP="0023308E">
            <w:pPr>
              <w:pStyle w:val="TableText0"/>
              <w:jc w:val="center"/>
            </w:pPr>
            <w:r w:rsidRPr="00CF3AA0">
              <w:t>-0.2</w:t>
            </w:r>
          </w:p>
          <w:p w14:paraId="30EBD4E4" w14:textId="2F2188FF" w:rsidR="0023308E" w:rsidRPr="00CF3AA0" w:rsidRDefault="0023308E" w:rsidP="0023308E">
            <w:pPr>
              <w:pStyle w:val="TableText0"/>
              <w:jc w:val="center"/>
            </w:pPr>
            <w:r w:rsidRPr="00CF3AA0">
              <w:t>(-0.9, 0.5)</w:t>
            </w:r>
          </w:p>
        </w:tc>
        <w:tc>
          <w:tcPr>
            <w:tcW w:w="563" w:type="pct"/>
            <w:tcBorders>
              <w:top w:val="single" w:sz="4" w:space="0" w:color="auto"/>
              <w:left w:val="single" w:sz="4" w:space="0" w:color="auto"/>
              <w:bottom w:val="single" w:sz="4" w:space="0" w:color="auto"/>
              <w:right w:val="single" w:sz="4" w:space="0" w:color="auto"/>
            </w:tcBorders>
            <w:vAlign w:val="center"/>
          </w:tcPr>
          <w:p w14:paraId="6252EAEB" w14:textId="77777777" w:rsidR="0023308E" w:rsidRPr="00CF3AA0" w:rsidRDefault="0023308E" w:rsidP="0023308E">
            <w:pPr>
              <w:pStyle w:val="TableText0"/>
              <w:jc w:val="center"/>
            </w:pPr>
            <w:r w:rsidRPr="00CF3AA0">
              <w:t>-1.2</w:t>
            </w:r>
          </w:p>
          <w:p w14:paraId="220B2D23" w14:textId="77777777" w:rsidR="0023308E" w:rsidRPr="00CF3AA0" w:rsidRDefault="0023308E" w:rsidP="0023308E">
            <w:pPr>
              <w:pStyle w:val="TableText0"/>
              <w:jc w:val="center"/>
            </w:pPr>
            <w:r w:rsidRPr="00CF3AA0">
              <w:t>(-2.0, -0.3).</w:t>
            </w:r>
          </w:p>
        </w:tc>
        <w:tc>
          <w:tcPr>
            <w:tcW w:w="341" w:type="pct"/>
            <w:tcBorders>
              <w:top w:val="single" w:sz="4" w:space="0" w:color="auto"/>
              <w:left w:val="single" w:sz="4" w:space="0" w:color="auto"/>
              <w:bottom w:val="single" w:sz="4" w:space="0" w:color="auto"/>
              <w:right w:val="single" w:sz="4" w:space="0" w:color="auto"/>
            </w:tcBorders>
            <w:vAlign w:val="center"/>
          </w:tcPr>
          <w:p w14:paraId="21CF638B" w14:textId="77777777" w:rsidR="0023308E" w:rsidRPr="00CF3AA0" w:rsidRDefault="0023308E" w:rsidP="0023308E">
            <w:pPr>
              <w:pStyle w:val="TableText0"/>
              <w:jc w:val="center"/>
              <w:rPr>
                <w:b/>
                <w:bCs w:val="0"/>
              </w:rPr>
            </w:pPr>
            <w:r w:rsidRPr="00CF3AA0">
              <w:rPr>
                <w:b/>
                <w:bCs w:val="0"/>
              </w:rPr>
              <w:t>0.0065</w:t>
            </w:r>
          </w:p>
        </w:tc>
      </w:tr>
      <w:tr w:rsidR="00E31013" w:rsidRPr="00CF3AA0" w14:paraId="4EBD6D78" w14:textId="77777777" w:rsidTr="05042C88">
        <w:tc>
          <w:tcPr>
            <w:tcW w:w="1360" w:type="pct"/>
            <w:tcBorders>
              <w:top w:val="single" w:sz="4" w:space="0" w:color="auto"/>
              <w:left w:val="single" w:sz="4" w:space="0" w:color="auto"/>
              <w:bottom w:val="single" w:sz="4" w:space="0" w:color="auto"/>
              <w:right w:val="single" w:sz="4" w:space="0" w:color="auto"/>
            </w:tcBorders>
            <w:vAlign w:val="center"/>
          </w:tcPr>
          <w:p w14:paraId="7A0D31CF" w14:textId="77777777" w:rsidR="0023308E" w:rsidRPr="00CF3AA0" w:rsidRDefault="0023308E" w:rsidP="0023308E">
            <w:pPr>
              <w:pStyle w:val="TableText0"/>
              <w:rPr>
                <w:b/>
                <w:bCs w:val="0"/>
              </w:rPr>
            </w:pPr>
            <w:r w:rsidRPr="00CF3AA0">
              <w:t>N analysed</w:t>
            </w:r>
          </w:p>
        </w:tc>
        <w:tc>
          <w:tcPr>
            <w:tcW w:w="424" w:type="pct"/>
            <w:tcBorders>
              <w:top w:val="single" w:sz="4" w:space="0" w:color="auto"/>
              <w:left w:val="single" w:sz="4" w:space="0" w:color="auto"/>
              <w:bottom w:val="single" w:sz="4" w:space="0" w:color="auto"/>
              <w:right w:val="single" w:sz="4" w:space="0" w:color="auto"/>
            </w:tcBorders>
            <w:vAlign w:val="center"/>
          </w:tcPr>
          <w:p w14:paraId="673CCD74" w14:textId="4886177F" w:rsidR="0023308E" w:rsidRPr="00CF3AA0" w:rsidRDefault="0023308E" w:rsidP="0023308E">
            <w:pPr>
              <w:pStyle w:val="TableText0"/>
              <w:jc w:val="center"/>
            </w:pPr>
            <w:r w:rsidRPr="00CF3AA0">
              <w:t>107</w:t>
            </w:r>
          </w:p>
        </w:tc>
        <w:tc>
          <w:tcPr>
            <w:tcW w:w="462" w:type="pct"/>
            <w:tcBorders>
              <w:top w:val="single" w:sz="4" w:space="0" w:color="auto"/>
              <w:left w:val="single" w:sz="4" w:space="0" w:color="auto"/>
              <w:bottom w:val="single" w:sz="4" w:space="0" w:color="auto"/>
              <w:right w:val="single" w:sz="4" w:space="0" w:color="auto"/>
            </w:tcBorders>
            <w:vAlign w:val="center"/>
          </w:tcPr>
          <w:p w14:paraId="22A2D3B4" w14:textId="4B3F0B2E" w:rsidR="0023308E" w:rsidRPr="00CF3AA0" w:rsidRDefault="0023308E" w:rsidP="0023308E">
            <w:pPr>
              <w:pStyle w:val="TableText0"/>
              <w:jc w:val="center"/>
            </w:pPr>
            <w:r w:rsidRPr="00CF3AA0">
              <w:t>95</w:t>
            </w:r>
          </w:p>
        </w:tc>
        <w:tc>
          <w:tcPr>
            <w:tcW w:w="463" w:type="pct"/>
            <w:tcBorders>
              <w:top w:val="single" w:sz="4" w:space="0" w:color="auto"/>
              <w:left w:val="single" w:sz="4" w:space="0" w:color="auto"/>
              <w:bottom w:val="single" w:sz="4" w:space="0" w:color="auto"/>
              <w:right w:val="single" w:sz="4" w:space="0" w:color="auto"/>
            </w:tcBorders>
          </w:tcPr>
          <w:p w14:paraId="5BA05DD5" w14:textId="35964B15" w:rsidR="0023308E" w:rsidRPr="00CF3AA0" w:rsidRDefault="0023308E" w:rsidP="0023308E">
            <w:pPr>
              <w:pStyle w:val="TableText0"/>
              <w:jc w:val="center"/>
            </w:pPr>
            <w:r w:rsidRPr="00CF3AA0">
              <w:t>NR</w:t>
            </w:r>
          </w:p>
        </w:tc>
        <w:tc>
          <w:tcPr>
            <w:tcW w:w="433" w:type="pct"/>
            <w:tcBorders>
              <w:top w:val="single" w:sz="4" w:space="0" w:color="auto"/>
              <w:left w:val="single" w:sz="4" w:space="0" w:color="auto"/>
              <w:bottom w:val="single" w:sz="4" w:space="0" w:color="auto"/>
              <w:right w:val="single" w:sz="4" w:space="0" w:color="auto"/>
            </w:tcBorders>
          </w:tcPr>
          <w:p w14:paraId="323C8C1F" w14:textId="4D4AD1B7" w:rsidR="0023308E" w:rsidRPr="00CF3AA0" w:rsidRDefault="0023308E" w:rsidP="0023308E">
            <w:pPr>
              <w:pStyle w:val="TableText0"/>
              <w:jc w:val="center"/>
            </w:pPr>
            <w:r w:rsidRPr="00CF3AA0">
              <w:t>52</w:t>
            </w:r>
          </w:p>
        </w:tc>
        <w:tc>
          <w:tcPr>
            <w:tcW w:w="472" w:type="pct"/>
            <w:tcBorders>
              <w:top w:val="single" w:sz="4" w:space="0" w:color="auto"/>
              <w:left w:val="single" w:sz="4" w:space="0" w:color="auto"/>
              <w:bottom w:val="single" w:sz="4" w:space="0" w:color="auto"/>
              <w:right w:val="single" w:sz="4" w:space="0" w:color="auto"/>
            </w:tcBorders>
          </w:tcPr>
          <w:p w14:paraId="57D84FA3" w14:textId="4C6EF660" w:rsidR="0023308E" w:rsidRPr="00CF3AA0" w:rsidRDefault="0023308E" w:rsidP="0023308E">
            <w:pPr>
              <w:pStyle w:val="TableText0"/>
              <w:jc w:val="center"/>
            </w:pPr>
            <w:r w:rsidRPr="00CF3AA0">
              <w:t>49</w:t>
            </w:r>
          </w:p>
        </w:tc>
        <w:tc>
          <w:tcPr>
            <w:tcW w:w="482" w:type="pct"/>
            <w:tcBorders>
              <w:top w:val="single" w:sz="4" w:space="0" w:color="auto"/>
              <w:left w:val="single" w:sz="4" w:space="0" w:color="auto"/>
              <w:bottom w:val="single" w:sz="4" w:space="0" w:color="auto"/>
              <w:right w:val="single" w:sz="4" w:space="0" w:color="auto"/>
            </w:tcBorders>
          </w:tcPr>
          <w:p w14:paraId="2073F9E8" w14:textId="7AC00CF9" w:rsidR="0023308E" w:rsidRPr="00CF3AA0" w:rsidRDefault="0023308E" w:rsidP="0023308E">
            <w:pPr>
              <w:pStyle w:val="TableText0"/>
              <w:jc w:val="center"/>
            </w:pPr>
            <w:r w:rsidRPr="00CF3AA0">
              <w:t>NR</w:t>
            </w:r>
          </w:p>
        </w:tc>
        <w:tc>
          <w:tcPr>
            <w:tcW w:w="563" w:type="pct"/>
            <w:tcBorders>
              <w:top w:val="single" w:sz="4" w:space="0" w:color="auto"/>
              <w:left w:val="single" w:sz="4" w:space="0" w:color="auto"/>
              <w:bottom w:val="single" w:sz="4" w:space="0" w:color="auto"/>
              <w:right w:val="single" w:sz="4" w:space="0" w:color="auto"/>
            </w:tcBorders>
            <w:vAlign w:val="center"/>
          </w:tcPr>
          <w:p w14:paraId="1C46FD05" w14:textId="77777777" w:rsidR="0023308E" w:rsidRPr="00CF3AA0" w:rsidRDefault="0023308E" w:rsidP="0023308E">
            <w:pPr>
              <w:pStyle w:val="TableText0"/>
              <w:jc w:val="center"/>
            </w:pPr>
            <w:r w:rsidRPr="00CF3AA0">
              <w:t>-</w:t>
            </w:r>
          </w:p>
        </w:tc>
        <w:tc>
          <w:tcPr>
            <w:tcW w:w="341" w:type="pct"/>
            <w:tcBorders>
              <w:top w:val="single" w:sz="4" w:space="0" w:color="auto"/>
              <w:left w:val="single" w:sz="4" w:space="0" w:color="auto"/>
              <w:bottom w:val="single" w:sz="4" w:space="0" w:color="auto"/>
              <w:right w:val="single" w:sz="4" w:space="0" w:color="auto"/>
            </w:tcBorders>
            <w:vAlign w:val="center"/>
          </w:tcPr>
          <w:p w14:paraId="6A656415" w14:textId="77777777" w:rsidR="0023308E" w:rsidRPr="00CF3AA0" w:rsidRDefault="0023308E" w:rsidP="0023308E">
            <w:pPr>
              <w:pStyle w:val="TableText0"/>
              <w:jc w:val="center"/>
            </w:pPr>
            <w:r w:rsidRPr="00CF3AA0">
              <w:t>-</w:t>
            </w:r>
          </w:p>
        </w:tc>
      </w:tr>
    </w:tbl>
    <w:p w14:paraId="70E40E27" w14:textId="353EF1C7" w:rsidR="004B4DEB" w:rsidRPr="007C3314" w:rsidRDefault="004B4DEB" w:rsidP="004B4DEB">
      <w:pPr>
        <w:pStyle w:val="FooterTableFigure"/>
      </w:pPr>
      <w:r w:rsidRPr="05042C88">
        <w:t xml:space="preserve">Source: Figure 2-9, pp88-89, Figure 2-12 and Figure 2-13, pp93-94, Table 2-26 and Table 2-27 pp116-117 of the submission, Table 15, p85, Table 21, p101, p104, of ELATIVE CSR (gft505b3191 </w:t>
      </w:r>
      <w:proofErr w:type="spellStart"/>
      <w:r w:rsidRPr="05042C88">
        <w:t>csr</w:t>
      </w:r>
      <w:proofErr w:type="spellEnd"/>
      <w:r w:rsidRPr="05042C88">
        <w:t xml:space="preserve"> body-final.pdf)</w:t>
      </w:r>
      <w:r w:rsidR="006F5874" w:rsidRPr="05042C88">
        <w:t xml:space="preserve">, </w:t>
      </w:r>
      <w:r w:rsidR="00B87F63" w:rsidRPr="05042C88">
        <w:t xml:space="preserve">Table 12.2.6.25.1, p724, Table 14.2.6.28.1, p760, Table 14.2.6.28.2, p808, Table 14.2.6.38.1, p1074 and Table 14.2.6.38.2, p1231 of ELATIVE CSR appendices </w:t>
      </w:r>
      <w:r w:rsidR="006F5874" w:rsidRPr="05042C88">
        <w:t>(gft505b-319-1-14-tfg.pdf)</w:t>
      </w:r>
      <w:r w:rsidRPr="05042C88">
        <w:t>.</w:t>
      </w:r>
    </w:p>
    <w:p w14:paraId="77FFE60D" w14:textId="7D3B4E5A" w:rsidR="004B4DEB" w:rsidRDefault="004B4DEB" w:rsidP="004B4DEB">
      <w:pPr>
        <w:pStyle w:val="FooterTableFigure"/>
      </w:pPr>
      <w:r w:rsidRPr="05042C88">
        <w:t xml:space="preserve">CI= Confidence interval; ELA= </w:t>
      </w:r>
      <w:proofErr w:type="spellStart"/>
      <w:r w:rsidRPr="05042C88">
        <w:t>Elafibranor</w:t>
      </w:r>
      <w:proofErr w:type="spellEnd"/>
      <w:r w:rsidRPr="05042C88">
        <w:t xml:space="preserve">; ITT= Intent-to-treat; LS= Least squares; NR= Not reported; OCA= </w:t>
      </w:r>
      <w:proofErr w:type="spellStart"/>
      <w:r w:rsidRPr="05042C88">
        <w:t>Obeticholic</w:t>
      </w:r>
      <w:proofErr w:type="spellEnd"/>
      <w:r w:rsidRPr="05042C88">
        <w:t xml:space="preserve"> acid; PBC= Primary biliary cholangitis; SD= Standard deviation; UDCA= Ursodeoxycholic acid; WI-NRS= Worst itch numeric rating scale. </w:t>
      </w:r>
    </w:p>
    <w:p w14:paraId="08CEA8C7" w14:textId="053AB1F3" w:rsidR="000856BD" w:rsidRDefault="000856BD" w:rsidP="000856BD">
      <w:pPr>
        <w:pStyle w:val="FooterTableFigure"/>
        <w:rPr>
          <w:lang w:val="en-GB"/>
        </w:rPr>
      </w:pPr>
      <w:r w:rsidRPr="008C5F8D">
        <w:rPr>
          <w:b/>
          <w:bCs/>
          <w:lang w:val="en-GB"/>
        </w:rPr>
        <w:t xml:space="preserve">Bold </w:t>
      </w:r>
      <w:r w:rsidRPr="008C5F8D">
        <w:rPr>
          <w:lang w:val="en-GB"/>
        </w:rPr>
        <w:t>indicates statistical significance</w:t>
      </w:r>
    </w:p>
    <w:p w14:paraId="6B08A778" w14:textId="06378E05" w:rsidR="00910C0E" w:rsidRDefault="00910C0E" w:rsidP="05042C88">
      <w:pPr>
        <w:pStyle w:val="FooterTableFigure"/>
        <w:rPr>
          <w:vertAlign w:val="superscript"/>
        </w:rPr>
      </w:pPr>
      <w:proofErr w:type="spellStart"/>
      <w:r w:rsidRPr="05042C88">
        <w:rPr>
          <w:vertAlign w:val="superscript"/>
        </w:rPr>
        <w:t>a</w:t>
      </w:r>
      <w:proofErr w:type="spellEnd"/>
      <w:r w:rsidRPr="05042C88">
        <w:rPr>
          <w:vertAlign w:val="superscript"/>
        </w:rPr>
        <w:t xml:space="preserve"> </w:t>
      </w:r>
      <w:r w:rsidR="00F93517" w:rsidRPr="05042C88">
        <w:t xml:space="preserve">The PBC WI-NRS asks </w:t>
      </w:r>
      <w:r w:rsidR="00AB4DA6" w:rsidRPr="05042C88">
        <w:t xml:space="preserve">patients </w:t>
      </w:r>
      <w:r w:rsidR="00F93517" w:rsidRPr="05042C88">
        <w:t>to rate their worst itch over the past 24 hours on a scale ranging from zero (no itch) to 10 (worst itch imaginable).</w:t>
      </w:r>
    </w:p>
    <w:p w14:paraId="2F29728A" w14:textId="68BE4FA6" w:rsidR="004B4DEB" w:rsidRPr="008C5F8D" w:rsidRDefault="00F93517" w:rsidP="004B4DEB">
      <w:pPr>
        <w:pStyle w:val="FooterTableFigure"/>
      </w:pPr>
      <w:r>
        <w:rPr>
          <w:vertAlign w:val="superscript"/>
        </w:rPr>
        <w:t>b</w:t>
      </w:r>
      <w:r w:rsidR="004B4DEB">
        <w:rPr>
          <w:vertAlign w:val="superscript"/>
        </w:rPr>
        <w:t xml:space="preserve"> </w:t>
      </w:r>
      <w:r w:rsidR="004B4DEB" w:rsidRPr="008C5F8D">
        <w:t xml:space="preserve">Treatment effect through Week 52 is the average of </w:t>
      </w:r>
      <w:r w:rsidR="004B4DEB">
        <w:t>WI-</w:t>
      </w:r>
      <w:r w:rsidR="004B4DEB" w:rsidRPr="008C5F8D">
        <w:t xml:space="preserve">NRS changes from baseline for the six 4-week periods, treatment effect through Week 24 is the average of </w:t>
      </w:r>
      <w:r w:rsidR="004B4DEB">
        <w:t>WI-</w:t>
      </w:r>
      <w:r w:rsidR="004B4DEB" w:rsidRPr="008C5F8D">
        <w:t>NRS changes from baseline for the 13 4-week periods.</w:t>
      </w:r>
    </w:p>
    <w:p w14:paraId="641BEEAC" w14:textId="4512BD36" w:rsidR="004B4DEB" w:rsidRDefault="00F93517" w:rsidP="004B4DEB">
      <w:pPr>
        <w:pStyle w:val="FooterTableFigure"/>
      </w:pPr>
      <w:r>
        <w:rPr>
          <w:vertAlign w:val="superscript"/>
        </w:rPr>
        <w:t>c</w:t>
      </w:r>
      <w:r w:rsidR="004B4DEB">
        <w:rPr>
          <w:vertAlign w:val="superscript"/>
        </w:rPr>
        <w:t xml:space="preserve"> </w:t>
      </w:r>
      <w:r w:rsidR="004B4DEB" w:rsidRPr="006D5D47">
        <w:t>Mixed Model for repeated measures.</w:t>
      </w:r>
    </w:p>
    <w:p w14:paraId="10664656" w14:textId="77777777" w:rsidR="00F04ADB" w:rsidRDefault="00F04ADB" w:rsidP="004B4DEB">
      <w:pPr>
        <w:pStyle w:val="FooterTableFigure"/>
      </w:pPr>
      <w:r w:rsidRPr="05042C88">
        <w:rPr>
          <w:vertAlign w:val="superscript"/>
        </w:rPr>
        <w:t>d</w:t>
      </w:r>
      <w:r w:rsidRPr="05042C88">
        <w:t xml:space="preserve"> The 5-D Itch Scale comprises of five domains, each accounting for five points: duration, degree, direction, disability and distribution. Scores can range from five (no pruritus) to 25 (most severe pruritus).</w:t>
      </w:r>
    </w:p>
    <w:p w14:paraId="34C98CF5" w14:textId="47056948" w:rsidR="00CF377C" w:rsidRPr="006D5D47" w:rsidRDefault="00F04ADB" w:rsidP="004B4DEB">
      <w:pPr>
        <w:pStyle w:val="FooterTableFigure"/>
      </w:pPr>
      <w:r w:rsidRPr="05042C88">
        <w:rPr>
          <w:vertAlign w:val="superscript"/>
        </w:rPr>
        <w:t>e</w:t>
      </w:r>
      <w:r w:rsidRPr="05042C88">
        <w:t xml:space="preserve"> </w:t>
      </w:r>
      <w:r w:rsidR="00291A39" w:rsidRPr="05042C88">
        <w:t xml:space="preserve">The </w:t>
      </w:r>
      <w:r w:rsidR="00A7411D" w:rsidRPr="05042C88">
        <w:t xml:space="preserve">PBC-40 comprises of 40 questions that evaluate </w:t>
      </w:r>
      <w:r w:rsidR="00AB4DA6" w:rsidRPr="05042C88">
        <w:t xml:space="preserve">patients’ </w:t>
      </w:r>
      <w:r w:rsidR="00A7411D" w:rsidRPr="05042C88">
        <w:t>experience across 6 domains: fatigue, emotional impact, social impact, cognitive function, general symptoms and itch. Each question is scored from 1 to 5 (5-point Likert Scale), then summed to give a total domain score. High scores represent high impact, and low scores low impact of PBC on quality of life</w:t>
      </w:r>
      <w:r w:rsidRPr="05042C88">
        <w:t xml:space="preserve">. </w:t>
      </w:r>
    </w:p>
    <w:p w14:paraId="25686D12" w14:textId="37EE5750" w:rsidR="00033E3C" w:rsidRPr="00D100E6" w:rsidRDefault="00C87776">
      <w:pPr>
        <w:pStyle w:val="3-BodyText"/>
      </w:pPr>
      <w:r w:rsidRPr="05042C88">
        <w:t xml:space="preserve">A key secondary endpoint of the ELATIVE trial was the change from baseline to Week </w:t>
      </w:r>
      <w:r w:rsidR="001242E0" w:rsidRPr="05042C88">
        <w:t xml:space="preserve">24 </w:t>
      </w:r>
      <w:r w:rsidRPr="05042C88">
        <w:t xml:space="preserve">and Week </w:t>
      </w:r>
      <w:r w:rsidR="001242E0" w:rsidRPr="05042C88">
        <w:t>52</w:t>
      </w:r>
      <w:r w:rsidR="00B37EDA" w:rsidRPr="05042C88">
        <w:t xml:space="preserve"> </w:t>
      </w:r>
      <w:r w:rsidRPr="05042C88">
        <w:t xml:space="preserve">in the PBC WI-NRS score only in </w:t>
      </w:r>
      <w:r w:rsidR="006010D1" w:rsidRPr="05042C88">
        <w:t xml:space="preserve">patients </w:t>
      </w:r>
      <w:r w:rsidRPr="05042C88">
        <w:t>with baseline PBC WI-NRS score ≥4 (Pruritus</w:t>
      </w:r>
      <w:r w:rsidR="005443FD" w:rsidRPr="05042C88">
        <w:t xml:space="preserve"> ITT</w:t>
      </w:r>
      <w:r w:rsidRPr="05042C88">
        <w:t xml:space="preserve"> </w:t>
      </w:r>
      <w:r w:rsidR="00CB4B04" w:rsidRPr="05042C88">
        <w:t>a</w:t>
      </w:r>
      <w:r w:rsidRPr="05042C88">
        <w:t xml:space="preserve">nalysis set). The change in the WI-NRS score from baseline through Week 52 demonstrated a trend towards greater reduction in pruritus with </w:t>
      </w:r>
      <w:proofErr w:type="spellStart"/>
      <w:r w:rsidRPr="05042C88">
        <w:t>elafibranor</w:t>
      </w:r>
      <w:proofErr w:type="spellEnd"/>
      <w:r w:rsidRPr="05042C88">
        <w:t xml:space="preserve"> compared with placebo but </w:t>
      </w:r>
      <w:r w:rsidR="00122459" w:rsidRPr="05042C88">
        <w:t xml:space="preserve">it </w:t>
      </w:r>
      <w:r w:rsidRPr="05042C88">
        <w:t xml:space="preserve">did not differ significantly (-1.9 </w:t>
      </w:r>
      <w:r w:rsidR="00947C8E" w:rsidRPr="05042C88">
        <w:t>vs</w:t>
      </w:r>
      <w:r w:rsidRPr="05042C88">
        <w:t xml:space="preserve"> -1.1; LSM difference</w:t>
      </w:r>
      <w:r w:rsidR="000C7618" w:rsidRPr="05042C88">
        <w:t xml:space="preserve"> </w:t>
      </w:r>
      <w:r w:rsidRPr="05042C88">
        <w:t>= -0.8</w:t>
      </w:r>
      <w:r w:rsidR="000C7618" w:rsidRPr="05042C88">
        <w:t>;</w:t>
      </w:r>
      <w:r w:rsidRPr="05042C88">
        <w:t xml:space="preserve"> 95% CI: -2.0, 0.4; p=0.1970). The difference in WI-NRS was not </w:t>
      </w:r>
      <w:r w:rsidRPr="05042C88">
        <w:lastRenderedPageBreak/>
        <w:t>statistically significant</w:t>
      </w:r>
      <w:r w:rsidR="00E35358" w:rsidRPr="05042C88">
        <w:t xml:space="preserve"> </w:t>
      </w:r>
      <w:r w:rsidRPr="05042C88">
        <w:t xml:space="preserve">and did not meet the threshold of being clinically significant </w:t>
      </w:r>
      <w:r w:rsidR="000C7618">
        <w:br/>
      </w:r>
      <w:r w:rsidRPr="05042C88">
        <w:t>(≥ 3 points).</w:t>
      </w:r>
      <w:r w:rsidR="00CB4B04" w:rsidRPr="05042C88">
        <w:rPr>
          <w:rFonts w:eastAsiaTheme="majorEastAsia"/>
          <w:vertAlign w:val="superscript"/>
        </w:rPr>
        <w:footnoteReference w:id="36"/>
      </w:r>
      <w:r w:rsidR="00E35358" w:rsidRPr="05042C88">
        <w:t xml:space="preserve"> Furthermore, the treatment effect may be overestimated as </w:t>
      </w:r>
      <w:r w:rsidR="006010D1" w:rsidRPr="05042C88">
        <w:t xml:space="preserve">patients </w:t>
      </w:r>
      <w:r w:rsidR="00E35358" w:rsidRPr="05042C88">
        <w:t xml:space="preserve">with missing data may have had a </w:t>
      </w:r>
      <w:r w:rsidR="00001156" w:rsidRPr="05042C88">
        <w:t xml:space="preserve">worse </w:t>
      </w:r>
      <w:r w:rsidR="00E35358" w:rsidRPr="05042C88">
        <w:t xml:space="preserve">PBC WI-NRS score as they discontinued or took rescue therapy due to severe pruritus and thus were </w:t>
      </w:r>
      <w:r w:rsidR="000E058E" w:rsidRPr="05042C88">
        <w:t>not missing at random</w:t>
      </w:r>
      <w:r w:rsidR="00E35358" w:rsidRPr="05042C88">
        <w:t xml:space="preserve">. </w:t>
      </w:r>
      <w:r w:rsidR="007E6B9E" w:rsidRPr="05042C88">
        <w:t>Finally</w:t>
      </w:r>
      <w:r w:rsidR="00E35358" w:rsidRPr="05042C88">
        <w:t xml:space="preserve">, these results were not generalisable to the whole PBC population due to the exclusion of </w:t>
      </w:r>
      <w:r w:rsidR="006010D1" w:rsidRPr="05042C88">
        <w:t xml:space="preserve">patients </w:t>
      </w:r>
      <w:r w:rsidR="00E35358" w:rsidRPr="05042C88">
        <w:t xml:space="preserve">with PBC WI-NRS score &lt;4. </w:t>
      </w:r>
    </w:p>
    <w:p w14:paraId="4EA26ED6" w14:textId="4D55FFAA" w:rsidR="00A337A3" w:rsidRPr="00A943EB" w:rsidRDefault="00C40FAA" w:rsidP="00A943EB">
      <w:pPr>
        <w:pStyle w:val="3-BodyText"/>
      </w:pPr>
      <w:r w:rsidRPr="00A943EB">
        <w:t xml:space="preserve">The ELATIVE trial also reported the change from baseline in the 5-D Itch Scale score as </w:t>
      </w:r>
      <w:r w:rsidR="00745BED">
        <w:t>a</w:t>
      </w:r>
      <w:r w:rsidR="00745BED" w:rsidRPr="00A943EB">
        <w:t xml:space="preserve"> </w:t>
      </w:r>
      <w:r w:rsidRPr="00A943EB">
        <w:t>secondary endpoint and PBC-40 Itch Domain score as an exploratory endpoint (Pruritus ITT analysis set and ITT analysis set):</w:t>
      </w:r>
    </w:p>
    <w:p w14:paraId="3DD8490B" w14:textId="188C93CA" w:rsidR="00A943EB" w:rsidRPr="00D100E6" w:rsidRDefault="00A943EB" w:rsidP="05042C88">
      <w:pPr>
        <w:pStyle w:val="ListParagraph"/>
        <w:ind w:left="1080"/>
        <w:jc w:val="both"/>
      </w:pPr>
      <w:r w:rsidRPr="05042C88">
        <w:t xml:space="preserve">The change in the 5-D Itch Scale score from baseline through Week 52 demonstrated a statistically significant reduction in pruritus with </w:t>
      </w:r>
      <w:proofErr w:type="spellStart"/>
      <w:r w:rsidRPr="05042C88">
        <w:t>elafibranor</w:t>
      </w:r>
      <w:proofErr w:type="spellEnd"/>
      <w:r w:rsidRPr="05042C88">
        <w:t xml:space="preserve"> compared with placebo (-4.2 vs -1.2; LSM difference</w:t>
      </w:r>
      <w:r w:rsidR="000C7618" w:rsidRPr="05042C88">
        <w:t xml:space="preserve"> </w:t>
      </w:r>
      <w:r w:rsidRPr="05042C88">
        <w:t>= -3.0</w:t>
      </w:r>
      <w:r w:rsidR="000C7618" w:rsidRPr="05042C88">
        <w:t>;</w:t>
      </w:r>
      <w:r w:rsidRPr="05042C88">
        <w:t xml:space="preserve"> 95% CI: -5.5, -0.5; p=0.0199). This improvement was also supported by similar results in the ITT analysis set. The difference was smaller in the ITT analysis set and </w:t>
      </w:r>
      <w:r w:rsidR="009E4730" w:rsidRPr="05042C88">
        <w:t>neither met</w:t>
      </w:r>
      <w:r w:rsidRPr="05042C88">
        <w:t xml:space="preserve"> the threshold of being clinically significant (</w:t>
      </w:r>
      <w:r w:rsidRPr="05042C88">
        <w:rPr>
          <w:rFonts w:cstheme="minorBidi"/>
        </w:rPr>
        <w:t>≥</w:t>
      </w:r>
      <w:r w:rsidRPr="05042C88">
        <w:t xml:space="preserve"> 5 points).</w:t>
      </w:r>
      <w:r w:rsidRPr="05042C88">
        <w:rPr>
          <w:rFonts w:eastAsiaTheme="minorEastAsia"/>
          <w:vertAlign w:val="superscript"/>
        </w:rPr>
        <w:footnoteReference w:id="37"/>
      </w:r>
    </w:p>
    <w:p w14:paraId="2D76F5B3" w14:textId="3BB56609" w:rsidR="00A943EB" w:rsidRPr="00D100E6" w:rsidRDefault="00A943EB" w:rsidP="0095646C">
      <w:pPr>
        <w:pStyle w:val="ListParagraph"/>
        <w:ind w:left="1080"/>
        <w:jc w:val="both"/>
      </w:pPr>
      <w:r w:rsidRPr="05042C88">
        <w:t xml:space="preserve">The change in the PBC-40 Itch Domain score from baseline through Week 52 demonstrated a statistically significant reduction in pruritus with </w:t>
      </w:r>
      <w:proofErr w:type="spellStart"/>
      <w:r w:rsidRPr="05042C88">
        <w:t>elafibranor</w:t>
      </w:r>
      <w:proofErr w:type="spellEnd"/>
      <w:r w:rsidRPr="05042C88">
        <w:t xml:space="preserve"> compared with placebo (-2.5 vs -0.1; LSM difference</w:t>
      </w:r>
      <w:r w:rsidR="000C7618" w:rsidRPr="05042C88">
        <w:t xml:space="preserve"> </w:t>
      </w:r>
      <w:r w:rsidRPr="05042C88">
        <w:t>= -2.3</w:t>
      </w:r>
      <w:r w:rsidR="000C7618" w:rsidRPr="05042C88">
        <w:t>;</w:t>
      </w:r>
      <w:r w:rsidRPr="05042C88">
        <w:t xml:space="preserve"> 95% CI: -4.0, -0.7; p=0.0070). This improvement was also supported by similar results in the ITT analysis set. This was an exploratory analysis, the difference was smaller in the ITT analysis set, and it was unclear whether the difference was clinically significant</w:t>
      </w:r>
      <w:r w:rsidR="000D75A7" w:rsidRPr="05042C88">
        <w:t xml:space="preserve"> as there was no MCID stated</w:t>
      </w:r>
      <w:r w:rsidRPr="05042C88">
        <w:t>.</w:t>
      </w:r>
    </w:p>
    <w:p w14:paraId="2D4BBC7A" w14:textId="3534F522" w:rsidR="00E339DD" w:rsidRPr="00E339DD" w:rsidRDefault="00E339DD" w:rsidP="00E339DD">
      <w:pPr>
        <w:rPr>
          <w:u w:val="single"/>
        </w:rPr>
      </w:pPr>
      <w:r w:rsidRPr="00E339DD">
        <w:rPr>
          <w:u w:val="single"/>
        </w:rPr>
        <w:t>Quality of life</w:t>
      </w:r>
    </w:p>
    <w:p w14:paraId="0BF81244" w14:textId="4327AE0C" w:rsidR="00E339DD" w:rsidRPr="00D100E6" w:rsidRDefault="00E339DD" w:rsidP="00E339DD">
      <w:pPr>
        <w:pStyle w:val="3-BodyText"/>
      </w:pPr>
      <w:r w:rsidRPr="00D100E6">
        <w:t xml:space="preserve">The submission did not present the overall PBC-40 and EQ-5D-5L </w:t>
      </w:r>
      <w:r w:rsidR="00F6531A" w:rsidRPr="00D100E6">
        <w:t>visual analogue scale (</w:t>
      </w:r>
      <w:r w:rsidRPr="00D100E6">
        <w:t>VAS</w:t>
      </w:r>
      <w:r w:rsidR="00F6531A" w:rsidRPr="00D100E6">
        <w:t>)</w:t>
      </w:r>
      <w:r w:rsidRPr="00D100E6">
        <w:t xml:space="preserve"> results collected during the ELATIVE trial. These </w:t>
      </w:r>
      <w:r w:rsidR="004B7FEB" w:rsidRPr="00D100E6">
        <w:t>were</w:t>
      </w:r>
      <w:r w:rsidRPr="00D100E6">
        <w:t xml:space="preserve"> extracted from the CSR and presented in </w:t>
      </w:r>
      <w:r w:rsidR="002C79B6" w:rsidRPr="00D100E6">
        <w:fldChar w:fldCharType="begin" w:fldLock="1"/>
      </w:r>
      <w:r w:rsidR="002C79B6" w:rsidRPr="00D100E6">
        <w:instrText xml:space="preserve"> REF _Ref184673015 \h  \* MERGEFORMAT </w:instrText>
      </w:r>
      <w:r w:rsidR="002C79B6" w:rsidRPr="00D100E6">
        <w:fldChar w:fldCharType="separate"/>
      </w:r>
      <w:r w:rsidR="002B3034" w:rsidRPr="00D100E6">
        <w:t xml:space="preserve">Table </w:t>
      </w:r>
      <w:r w:rsidR="002B3034" w:rsidRPr="00D100E6">
        <w:rPr>
          <w:noProof/>
        </w:rPr>
        <w:t>6</w:t>
      </w:r>
      <w:r w:rsidR="002C79B6" w:rsidRPr="00D100E6">
        <w:fldChar w:fldCharType="end"/>
      </w:r>
      <w:r w:rsidRPr="00D100E6">
        <w:t>.</w:t>
      </w:r>
    </w:p>
    <w:p w14:paraId="3935625C" w14:textId="19156BD8" w:rsidR="00660457" w:rsidRPr="000C7618" w:rsidRDefault="00660457" w:rsidP="00660457">
      <w:pPr>
        <w:pStyle w:val="Caption"/>
        <w:rPr>
          <w:rStyle w:val="CommentReference"/>
          <w:b/>
          <w:iCs/>
          <w:szCs w:val="24"/>
        </w:rPr>
      </w:pPr>
      <w:bookmarkStart w:id="41" w:name="_Ref184673015"/>
      <w:r w:rsidRPr="000C7618">
        <w:rPr>
          <w:iCs/>
        </w:rPr>
        <w:lastRenderedPageBreak/>
        <w:t xml:space="preserve">Table </w:t>
      </w:r>
      <w:r w:rsidR="00CA196E" w:rsidRPr="000C7618">
        <w:rPr>
          <w:iCs/>
        </w:rPr>
        <w:fldChar w:fldCharType="begin" w:fldLock="1"/>
      </w:r>
      <w:r w:rsidR="00CA196E" w:rsidRPr="000C7618">
        <w:rPr>
          <w:iCs/>
        </w:rPr>
        <w:instrText xml:space="preserve"> SEQ Table \* ARABIC </w:instrText>
      </w:r>
      <w:r w:rsidR="00CA196E" w:rsidRPr="000C7618">
        <w:rPr>
          <w:iCs/>
        </w:rPr>
        <w:fldChar w:fldCharType="separate"/>
      </w:r>
      <w:r w:rsidR="00780A90">
        <w:rPr>
          <w:iCs/>
          <w:noProof/>
        </w:rPr>
        <w:t>6</w:t>
      </w:r>
      <w:r w:rsidR="00CA196E" w:rsidRPr="000C7618">
        <w:rPr>
          <w:iCs/>
        </w:rPr>
        <w:fldChar w:fldCharType="end"/>
      </w:r>
      <w:bookmarkEnd w:id="41"/>
      <w:r w:rsidRPr="000C7618">
        <w:rPr>
          <w:iCs/>
        </w:rPr>
        <w:t xml:space="preserve">: </w:t>
      </w:r>
      <w:r w:rsidRPr="000C7618">
        <w:rPr>
          <w:rStyle w:val="CommentReference"/>
          <w:b/>
          <w:iCs/>
          <w:szCs w:val="24"/>
        </w:rPr>
        <w:t>Results of quality-of-life outcomes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5"/>
        <w:gridCol w:w="994"/>
        <w:gridCol w:w="1059"/>
        <w:gridCol w:w="941"/>
        <w:gridCol w:w="1060"/>
        <w:gridCol w:w="1057"/>
        <w:gridCol w:w="938"/>
        <w:gridCol w:w="840"/>
        <w:gridCol w:w="693"/>
      </w:tblGrid>
      <w:tr w:rsidR="00325A98" w:rsidRPr="000C7618" w14:paraId="1C4526B9" w14:textId="77777777" w:rsidTr="05042C88">
        <w:trPr>
          <w:tblHeader/>
        </w:trPr>
        <w:tc>
          <w:tcPr>
            <w:tcW w:w="796" w:type="pct"/>
            <w:vMerge w:val="restart"/>
            <w:shd w:val="clear" w:color="auto" w:fill="auto"/>
            <w:vAlign w:val="center"/>
          </w:tcPr>
          <w:p w14:paraId="500B24AF" w14:textId="4080A9F9" w:rsidR="00660457" w:rsidRPr="000C7618" w:rsidRDefault="00660457" w:rsidP="00616C1E">
            <w:pPr>
              <w:pStyle w:val="In-tableHeading"/>
              <w:jc w:val="center"/>
              <w:rPr>
                <w:iCs/>
                <w:lang w:val="en-AU"/>
              </w:rPr>
            </w:pPr>
          </w:p>
        </w:tc>
        <w:tc>
          <w:tcPr>
            <w:tcW w:w="1660" w:type="pct"/>
            <w:gridSpan w:val="3"/>
            <w:shd w:val="clear" w:color="auto" w:fill="auto"/>
            <w:vAlign w:val="center"/>
          </w:tcPr>
          <w:p w14:paraId="568B2F6E" w14:textId="0482E770" w:rsidR="00660457" w:rsidRPr="000C7618" w:rsidRDefault="004F47A6" w:rsidP="00616C1E">
            <w:pPr>
              <w:pStyle w:val="In-tableHeading"/>
              <w:jc w:val="center"/>
              <w:rPr>
                <w:iCs/>
                <w:lang w:val="en-AU"/>
              </w:rPr>
            </w:pPr>
            <w:r w:rsidRPr="000C7618">
              <w:rPr>
                <w:iCs/>
                <w:lang w:val="en-AU"/>
              </w:rPr>
              <w:t>ELA</w:t>
            </w:r>
          </w:p>
        </w:tc>
        <w:tc>
          <w:tcPr>
            <w:tcW w:w="1694" w:type="pct"/>
            <w:gridSpan w:val="3"/>
            <w:shd w:val="clear" w:color="auto" w:fill="auto"/>
            <w:vAlign w:val="center"/>
          </w:tcPr>
          <w:p w14:paraId="34A77158" w14:textId="77777777" w:rsidR="00660457" w:rsidRPr="000C7618" w:rsidRDefault="00660457" w:rsidP="00616C1E">
            <w:pPr>
              <w:pStyle w:val="In-tableHeading"/>
              <w:jc w:val="center"/>
              <w:rPr>
                <w:iCs/>
                <w:lang w:val="en-AU"/>
              </w:rPr>
            </w:pPr>
            <w:r w:rsidRPr="000C7618">
              <w:rPr>
                <w:iCs/>
                <w:lang w:val="en-AU"/>
              </w:rPr>
              <w:t>Placebo</w:t>
            </w:r>
          </w:p>
        </w:tc>
        <w:tc>
          <w:tcPr>
            <w:tcW w:w="466" w:type="pct"/>
            <w:vMerge w:val="restart"/>
            <w:shd w:val="clear" w:color="auto" w:fill="auto"/>
            <w:vAlign w:val="center"/>
          </w:tcPr>
          <w:p w14:paraId="16B40367" w14:textId="77777777" w:rsidR="00660457" w:rsidRPr="000C7618" w:rsidRDefault="00660457" w:rsidP="00616C1E">
            <w:pPr>
              <w:pStyle w:val="In-tableHeading"/>
              <w:jc w:val="center"/>
              <w:rPr>
                <w:iCs/>
                <w:lang w:val="en-AU"/>
              </w:rPr>
            </w:pPr>
            <w:r w:rsidRPr="000C7618">
              <w:rPr>
                <w:iCs/>
                <w:lang w:val="en-AU"/>
              </w:rPr>
              <w:t>LS Mean difference (95% CI)</w:t>
            </w:r>
          </w:p>
        </w:tc>
        <w:tc>
          <w:tcPr>
            <w:tcW w:w="385" w:type="pct"/>
            <w:vMerge w:val="restart"/>
            <w:shd w:val="clear" w:color="auto" w:fill="auto"/>
            <w:vAlign w:val="center"/>
          </w:tcPr>
          <w:p w14:paraId="12F3565F" w14:textId="7BE2F07D" w:rsidR="00660457" w:rsidRPr="000C7618" w:rsidRDefault="00660457" w:rsidP="00616C1E">
            <w:pPr>
              <w:pStyle w:val="In-tableHeading"/>
              <w:jc w:val="center"/>
              <w:rPr>
                <w:iCs/>
                <w:lang w:val="en-AU"/>
              </w:rPr>
            </w:pPr>
            <w:r w:rsidRPr="000C7618">
              <w:rPr>
                <w:iCs/>
                <w:lang w:val="en-AU"/>
              </w:rPr>
              <w:t>P-</w:t>
            </w:r>
            <w:r w:rsidR="00207DE3">
              <w:rPr>
                <w:iCs/>
                <w:lang w:val="en-AU"/>
              </w:rPr>
              <w:t>v</w:t>
            </w:r>
            <w:r w:rsidRPr="000C7618">
              <w:rPr>
                <w:iCs/>
                <w:lang w:val="en-AU"/>
              </w:rPr>
              <w:t>alue</w:t>
            </w:r>
          </w:p>
        </w:tc>
      </w:tr>
      <w:tr w:rsidR="00DD5984" w:rsidRPr="000C7618" w14:paraId="07987E3A" w14:textId="77777777" w:rsidTr="05042C88">
        <w:tc>
          <w:tcPr>
            <w:tcW w:w="796" w:type="pct"/>
            <w:vMerge/>
            <w:vAlign w:val="center"/>
          </w:tcPr>
          <w:p w14:paraId="23EB4121" w14:textId="77777777" w:rsidR="00660457" w:rsidRPr="000C7618" w:rsidRDefault="00660457" w:rsidP="00777D20">
            <w:pPr>
              <w:pStyle w:val="TableText0"/>
              <w:rPr>
                <w:iCs/>
              </w:rPr>
            </w:pPr>
          </w:p>
        </w:tc>
        <w:tc>
          <w:tcPr>
            <w:tcW w:w="551" w:type="pct"/>
            <w:shd w:val="clear" w:color="auto" w:fill="auto"/>
            <w:vAlign w:val="center"/>
          </w:tcPr>
          <w:p w14:paraId="132E5221" w14:textId="57A8EE23" w:rsidR="00660457" w:rsidRPr="000C7618" w:rsidRDefault="00207DE3" w:rsidP="00616C1E">
            <w:pPr>
              <w:pStyle w:val="TableText0"/>
              <w:jc w:val="center"/>
              <w:rPr>
                <w:b/>
                <w:iCs/>
              </w:rPr>
            </w:pPr>
            <w:r>
              <w:rPr>
                <w:b/>
                <w:iCs/>
              </w:rPr>
              <w:t>B</w:t>
            </w:r>
            <w:r w:rsidR="00660457" w:rsidRPr="000C7618">
              <w:rPr>
                <w:b/>
                <w:iCs/>
              </w:rPr>
              <w:t>aseline</w:t>
            </w:r>
            <w:r>
              <w:rPr>
                <w:b/>
                <w:iCs/>
              </w:rPr>
              <w:t>, mean</w:t>
            </w:r>
            <w:r w:rsidR="00660457" w:rsidRPr="000C7618">
              <w:rPr>
                <w:b/>
                <w:iCs/>
              </w:rPr>
              <w:t xml:space="preserve"> (SD)</w:t>
            </w:r>
          </w:p>
        </w:tc>
        <w:tc>
          <w:tcPr>
            <w:tcW w:w="587" w:type="pct"/>
            <w:shd w:val="clear" w:color="auto" w:fill="auto"/>
            <w:vAlign w:val="center"/>
          </w:tcPr>
          <w:p w14:paraId="731165DF" w14:textId="5465818F" w:rsidR="00660457" w:rsidRPr="000C7618" w:rsidRDefault="00207DE3" w:rsidP="00616C1E">
            <w:pPr>
              <w:pStyle w:val="TableText0"/>
              <w:jc w:val="center"/>
              <w:rPr>
                <w:b/>
                <w:iCs/>
              </w:rPr>
            </w:pPr>
            <w:r>
              <w:rPr>
                <w:b/>
                <w:iCs/>
              </w:rPr>
              <w:t>E</w:t>
            </w:r>
            <w:r w:rsidR="00660457" w:rsidRPr="000C7618">
              <w:rPr>
                <w:b/>
                <w:iCs/>
              </w:rPr>
              <w:t>nd point</w:t>
            </w:r>
            <w:r>
              <w:rPr>
                <w:b/>
                <w:iCs/>
              </w:rPr>
              <w:t>, mean</w:t>
            </w:r>
            <w:r w:rsidR="00660457" w:rsidRPr="000C7618">
              <w:rPr>
                <w:b/>
                <w:iCs/>
              </w:rPr>
              <w:t xml:space="preserve"> (SD)</w:t>
            </w:r>
          </w:p>
        </w:tc>
        <w:tc>
          <w:tcPr>
            <w:tcW w:w="521" w:type="pct"/>
            <w:shd w:val="clear" w:color="auto" w:fill="auto"/>
            <w:vAlign w:val="center"/>
          </w:tcPr>
          <w:p w14:paraId="7D7E0A74" w14:textId="77777777" w:rsidR="00660457" w:rsidRPr="000C7618" w:rsidRDefault="00660457" w:rsidP="00616C1E">
            <w:pPr>
              <w:pStyle w:val="TableText0"/>
              <w:jc w:val="center"/>
              <w:rPr>
                <w:b/>
                <w:iCs/>
              </w:rPr>
            </w:pPr>
            <w:r w:rsidRPr="000C7618">
              <w:rPr>
                <w:b/>
                <w:iCs/>
              </w:rPr>
              <w:t>LS mean change (95% CI)</w:t>
            </w:r>
          </w:p>
        </w:tc>
        <w:tc>
          <w:tcPr>
            <w:tcW w:w="588" w:type="pct"/>
            <w:shd w:val="clear" w:color="auto" w:fill="auto"/>
            <w:vAlign w:val="center"/>
          </w:tcPr>
          <w:p w14:paraId="6763FA73" w14:textId="6EC6741B" w:rsidR="00660457" w:rsidRPr="000C7618" w:rsidRDefault="00207DE3" w:rsidP="00616C1E">
            <w:pPr>
              <w:pStyle w:val="TableText0"/>
              <w:jc w:val="center"/>
              <w:rPr>
                <w:iCs/>
              </w:rPr>
            </w:pPr>
            <w:r>
              <w:rPr>
                <w:b/>
                <w:iCs/>
              </w:rPr>
              <w:t>B</w:t>
            </w:r>
            <w:r w:rsidR="00660457" w:rsidRPr="000C7618">
              <w:rPr>
                <w:b/>
                <w:iCs/>
              </w:rPr>
              <w:t>aseline</w:t>
            </w:r>
            <w:r>
              <w:rPr>
                <w:b/>
                <w:iCs/>
              </w:rPr>
              <w:t>, mean</w:t>
            </w:r>
            <w:r w:rsidR="00660457" w:rsidRPr="000C7618">
              <w:rPr>
                <w:b/>
                <w:iCs/>
              </w:rPr>
              <w:t xml:space="preserve"> (SD)</w:t>
            </w:r>
          </w:p>
        </w:tc>
        <w:tc>
          <w:tcPr>
            <w:tcW w:w="586" w:type="pct"/>
            <w:shd w:val="clear" w:color="auto" w:fill="auto"/>
            <w:vAlign w:val="center"/>
          </w:tcPr>
          <w:p w14:paraId="018C06CA" w14:textId="16F4CBF3" w:rsidR="00660457" w:rsidRPr="000C7618" w:rsidRDefault="00207DE3" w:rsidP="00616C1E">
            <w:pPr>
              <w:pStyle w:val="TableText0"/>
              <w:jc w:val="center"/>
              <w:rPr>
                <w:iCs/>
              </w:rPr>
            </w:pPr>
            <w:r>
              <w:rPr>
                <w:b/>
                <w:iCs/>
              </w:rPr>
              <w:t>E</w:t>
            </w:r>
            <w:r w:rsidR="00660457" w:rsidRPr="000C7618">
              <w:rPr>
                <w:b/>
                <w:iCs/>
              </w:rPr>
              <w:t>nd point</w:t>
            </w:r>
            <w:r>
              <w:rPr>
                <w:b/>
                <w:iCs/>
              </w:rPr>
              <w:t>, mean</w:t>
            </w:r>
            <w:r w:rsidR="00660457" w:rsidRPr="000C7618">
              <w:rPr>
                <w:b/>
                <w:iCs/>
              </w:rPr>
              <w:t xml:space="preserve"> (SD)</w:t>
            </w:r>
          </w:p>
        </w:tc>
        <w:tc>
          <w:tcPr>
            <w:tcW w:w="520" w:type="pct"/>
            <w:shd w:val="clear" w:color="auto" w:fill="auto"/>
            <w:vAlign w:val="center"/>
          </w:tcPr>
          <w:p w14:paraId="73ED3445" w14:textId="77777777" w:rsidR="00660457" w:rsidRPr="000C7618" w:rsidRDefault="00660457" w:rsidP="00616C1E">
            <w:pPr>
              <w:pStyle w:val="TableText0"/>
              <w:jc w:val="center"/>
              <w:rPr>
                <w:iCs/>
              </w:rPr>
            </w:pPr>
            <w:r w:rsidRPr="000C7618">
              <w:rPr>
                <w:b/>
                <w:iCs/>
              </w:rPr>
              <w:t>LS mean change (95% CI)</w:t>
            </w:r>
          </w:p>
        </w:tc>
        <w:tc>
          <w:tcPr>
            <w:tcW w:w="466" w:type="pct"/>
            <w:vMerge/>
            <w:vAlign w:val="center"/>
          </w:tcPr>
          <w:p w14:paraId="6DFB2071" w14:textId="77777777" w:rsidR="00660457" w:rsidRPr="000C7618" w:rsidRDefault="00660457" w:rsidP="00777D20">
            <w:pPr>
              <w:pStyle w:val="TableText0"/>
              <w:jc w:val="center"/>
              <w:rPr>
                <w:iCs/>
              </w:rPr>
            </w:pPr>
          </w:p>
        </w:tc>
        <w:tc>
          <w:tcPr>
            <w:tcW w:w="385" w:type="pct"/>
            <w:vMerge/>
            <w:vAlign w:val="center"/>
          </w:tcPr>
          <w:p w14:paraId="561891A6" w14:textId="77777777" w:rsidR="00660457" w:rsidRPr="000C7618" w:rsidRDefault="00660457" w:rsidP="00777D20">
            <w:pPr>
              <w:pStyle w:val="TableText0"/>
              <w:jc w:val="center"/>
              <w:rPr>
                <w:iCs/>
              </w:rPr>
            </w:pPr>
          </w:p>
        </w:tc>
      </w:tr>
      <w:tr w:rsidR="00660457" w:rsidRPr="000C7618" w14:paraId="2AF64040" w14:textId="77777777" w:rsidTr="05042C88">
        <w:tc>
          <w:tcPr>
            <w:tcW w:w="5000" w:type="pct"/>
            <w:gridSpan w:val="9"/>
            <w:shd w:val="clear" w:color="auto" w:fill="auto"/>
            <w:vAlign w:val="center"/>
          </w:tcPr>
          <w:p w14:paraId="002F2049" w14:textId="08759D31" w:rsidR="00660457" w:rsidRPr="000C7618" w:rsidRDefault="00660457" w:rsidP="00777D20">
            <w:pPr>
              <w:pStyle w:val="TableText0"/>
              <w:rPr>
                <w:b/>
                <w:iCs/>
              </w:rPr>
            </w:pPr>
            <w:r w:rsidRPr="000C7618">
              <w:rPr>
                <w:b/>
                <w:iCs/>
              </w:rPr>
              <w:t>EQ-5D-5L VAS</w:t>
            </w:r>
            <w:r w:rsidR="008B68E3" w:rsidRPr="000C7618">
              <w:rPr>
                <w:b/>
                <w:iCs/>
              </w:rPr>
              <w:t xml:space="preserve"> (ITT)</w:t>
            </w:r>
          </w:p>
        </w:tc>
      </w:tr>
      <w:tr w:rsidR="00DD5984" w:rsidRPr="000C7618" w14:paraId="04E9E4D3" w14:textId="77777777" w:rsidTr="05042C88">
        <w:tc>
          <w:tcPr>
            <w:tcW w:w="796" w:type="pct"/>
            <w:shd w:val="clear" w:color="auto" w:fill="auto"/>
            <w:vAlign w:val="center"/>
          </w:tcPr>
          <w:p w14:paraId="440BA5C7" w14:textId="77777777" w:rsidR="00660457" w:rsidRPr="000C7618" w:rsidRDefault="00660457" w:rsidP="00777D20">
            <w:pPr>
              <w:pStyle w:val="TableText0"/>
              <w:rPr>
                <w:iCs/>
              </w:rPr>
            </w:pPr>
            <w:r w:rsidRPr="000C7618">
              <w:rPr>
                <w:iCs/>
              </w:rPr>
              <w:t>ELATIVE</w:t>
            </w:r>
          </w:p>
        </w:tc>
        <w:tc>
          <w:tcPr>
            <w:tcW w:w="551" w:type="pct"/>
            <w:shd w:val="clear" w:color="auto" w:fill="auto"/>
            <w:vAlign w:val="center"/>
          </w:tcPr>
          <w:p w14:paraId="0DE392F2" w14:textId="77777777" w:rsidR="00660457" w:rsidRPr="000C7618" w:rsidRDefault="00660457" w:rsidP="00777D20">
            <w:pPr>
              <w:pStyle w:val="TableText0"/>
              <w:jc w:val="center"/>
              <w:rPr>
                <w:iCs/>
              </w:rPr>
            </w:pPr>
            <w:r w:rsidRPr="000C7618">
              <w:rPr>
                <w:iCs/>
              </w:rPr>
              <w:t>68.1 (19.5)</w:t>
            </w:r>
          </w:p>
        </w:tc>
        <w:tc>
          <w:tcPr>
            <w:tcW w:w="587" w:type="pct"/>
            <w:shd w:val="clear" w:color="auto" w:fill="auto"/>
            <w:vAlign w:val="center"/>
          </w:tcPr>
          <w:p w14:paraId="6E89049C" w14:textId="77777777" w:rsidR="00660457" w:rsidRPr="000C7618" w:rsidRDefault="00660457" w:rsidP="00777D20">
            <w:pPr>
              <w:pStyle w:val="TableText0"/>
              <w:jc w:val="center"/>
              <w:rPr>
                <w:iCs/>
              </w:rPr>
            </w:pPr>
            <w:r w:rsidRPr="000C7618">
              <w:rPr>
                <w:iCs/>
              </w:rPr>
              <w:t>71.2 (16.9)</w:t>
            </w:r>
          </w:p>
        </w:tc>
        <w:tc>
          <w:tcPr>
            <w:tcW w:w="521" w:type="pct"/>
            <w:shd w:val="clear" w:color="auto" w:fill="auto"/>
            <w:vAlign w:val="center"/>
          </w:tcPr>
          <w:p w14:paraId="1982C571" w14:textId="77777777" w:rsidR="00660457" w:rsidRPr="000C7618" w:rsidRDefault="00660457" w:rsidP="00777D20">
            <w:pPr>
              <w:pStyle w:val="TableText0"/>
              <w:jc w:val="center"/>
              <w:rPr>
                <w:iCs/>
              </w:rPr>
            </w:pPr>
            <w:r w:rsidRPr="000C7618">
              <w:rPr>
                <w:iCs/>
              </w:rPr>
              <w:t>2.5</w:t>
            </w:r>
          </w:p>
          <w:p w14:paraId="48DD41C3" w14:textId="77777777" w:rsidR="00660457" w:rsidRPr="000C7618" w:rsidRDefault="00660457" w:rsidP="00777D20">
            <w:pPr>
              <w:pStyle w:val="TableText0"/>
              <w:jc w:val="center"/>
              <w:rPr>
                <w:iCs/>
              </w:rPr>
            </w:pPr>
            <w:r w:rsidRPr="000C7618">
              <w:rPr>
                <w:iCs/>
              </w:rPr>
              <w:t>(0.0, 4.9)</w:t>
            </w:r>
          </w:p>
        </w:tc>
        <w:tc>
          <w:tcPr>
            <w:tcW w:w="588" w:type="pct"/>
            <w:shd w:val="clear" w:color="auto" w:fill="auto"/>
            <w:vAlign w:val="center"/>
          </w:tcPr>
          <w:p w14:paraId="6B30BB24" w14:textId="77777777" w:rsidR="00660457" w:rsidRPr="000C7618" w:rsidRDefault="00660457" w:rsidP="00777D20">
            <w:pPr>
              <w:pStyle w:val="TableText0"/>
              <w:jc w:val="center"/>
              <w:rPr>
                <w:iCs/>
              </w:rPr>
            </w:pPr>
            <w:r w:rsidRPr="000C7618">
              <w:rPr>
                <w:iCs/>
              </w:rPr>
              <w:t>71.8 (18.9)</w:t>
            </w:r>
          </w:p>
        </w:tc>
        <w:tc>
          <w:tcPr>
            <w:tcW w:w="586" w:type="pct"/>
            <w:shd w:val="clear" w:color="auto" w:fill="auto"/>
            <w:vAlign w:val="center"/>
          </w:tcPr>
          <w:p w14:paraId="47884419" w14:textId="77777777" w:rsidR="00660457" w:rsidRPr="000C7618" w:rsidRDefault="00660457" w:rsidP="00777D20">
            <w:pPr>
              <w:pStyle w:val="TableText0"/>
              <w:jc w:val="center"/>
              <w:rPr>
                <w:iCs/>
              </w:rPr>
            </w:pPr>
            <w:r w:rsidRPr="000C7618">
              <w:rPr>
                <w:iCs/>
              </w:rPr>
              <w:t>73.8 (16.3)</w:t>
            </w:r>
          </w:p>
        </w:tc>
        <w:tc>
          <w:tcPr>
            <w:tcW w:w="520" w:type="pct"/>
            <w:shd w:val="clear" w:color="auto" w:fill="auto"/>
            <w:vAlign w:val="center"/>
          </w:tcPr>
          <w:p w14:paraId="51A93BD6" w14:textId="77777777" w:rsidR="00660457" w:rsidRPr="000C7618" w:rsidRDefault="00660457" w:rsidP="00777D20">
            <w:pPr>
              <w:pStyle w:val="TableText0"/>
              <w:jc w:val="center"/>
              <w:rPr>
                <w:iCs/>
              </w:rPr>
            </w:pPr>
            <w:r w:rsidRPr="000C7618">
              <w:rPr>
                <w:iCs/>
              </w:rPr>
              <w:t>1.6</w:t>
            </w:r>
          </w:p>
          <w:p w14:paraId="646968E4" w14:textId="77777777" w:rsidR="00660457" w:rsidRPr="000C7618" w:rsidRDefault="00660457" w:rsidP="00777D20">
            <w:pPr>
              <w:pStyle w:val="TableText0"/>
              <w:jc w:val="center"/>
              <w:rPr>
                <w:iCs/>
              </w:rPr>
            </w:pPr>
            <w:r w:rsidRPr="000C7618">
              <w:rPr>
                <w:iCs/>
              </w:rPr>
              <w:t>(-1.9, 5.0)</w:t>
            </w:r>
          </w:p>
        </w:tc>
        <w:tc>
          <w:tcPr>
            <w:tcW w:w="466" w:type="pct"/>
            <w:shd w:val="clear" w:color="auto" w:fill="auto"/>
            <w:vAlign w:val="center"/>
          </w:tcPr>
          <w:p w14:paraId="3AE9DF1A" w14:textId="77777777" w:rsidR="00660457" w:rsidRPr="000C7618" w:rsidRDefault="00660457" w:rsidP="00777D20">
            <w:pPr>
              <w:pStyle w:val="TableText0"/>
              <w:jc w:val="center"/>
              <w:rPr>
                <w:iCs/>
              </w:rPr>
            </w:pPr>
            <w:r w:rsidRPr="000C7618">
              <w:rPr>
                <w:iCs/>
              </w:rPr>
              <w:t>0.9</w:t>
            </w:r>
          </w:p>
          <w:p w14:paraId="3920ADFB" w14:textId="77777777" w:rsidR="00660457" w:rsidRPr="000C7618" w:rsidRDefault="00660457" w:rsidP="00777D20">
            <w:pPr>
              <w:pStyle w:val="TableText0"/>
              <w:jc w:val="center"/>
              <w:rPr>
                <w:iCs/>
              </w:rPr>
            </w:pPr>
            <w:r w:rsidRPr="000C7618">
              <w:rPr>
                <w:iCs/>
              </w:rPr>
              <w:t>(-3.3, 5.1)</w:t>
            </w:r>
          </w:p>
        </w:tc>
        <w:tc>
          <w:tcPr>
            <w:tcW w:w="385" w:type="pct"/>
            <w:shd w:val="clear" w:color="auto" w:fill="auto"/>
            <w:vAlign w:val="center"/>
          </w:tcPr>
          <w:p w14:paraId="35BF3F3D" w14:textId="77777777" w:rsidR="00660457" w:rsidRPr="000C7618" w:rsidRDefault="00660457" w:rsidP="00777D20">
            <w:pPr>
              <w:pStyle w:val="TableText0"/>
              <w:jc w:val="center"/>
              <w:rPr>
                <w:iCs/>
              </w:rPr>
            </w:pPr>
            <w:r w:rsidRPr="000C7618">
              <w:rPr>
                <w:iCs/>
              </w:rPr>
              <w:t>0.6720</w:t>
            </w:r>
          </w:p>
        </w:tc>
      </w:tr>
      <w:tr w:rsidR="00DD5984" w:rsidRPr="000C7618" w14:paraId="485E4F39" w14:textId="77777777" w:rsidTr="05042C88">
        <w:tc>
          <w:tcPr>
            <w:tcW w:w="796" w:type="pct"/>
            <w:shd w:val="clear" w:color="auto" w:fill="auto"/>
            <w:vAlign w:val="center"/>
          </w:tcPr>
          <w:p w14:paraId="1BFC2814" w14:textId="77777777" w:rsidR="00660457" w:rsidRPr="000C7618" w:rsidRDefault="00660457" w:rsidP="00777D20">
            <w:pPr>
              <w:pStyle w:val="TableText0"/>
              <w:rPr>
                <w:iCs/>
              </w:rPr>
            </w:pPr>
            <w:r w:rsidRPr="000C7618">
              <w:rPr>
                <w:iCs/>
              </w:rPr>
              <w:t>N analysed</w:t>
            </w:r>
          </w:p>
        </w:tc>
        <w:tc>
          <w:tcPr>
            <w:tcW w:w="551" w:type="pct"/>
            <w:shd w:val="clear" w:color="auto" w:fill="auto"/>
            <w:vAlign w:val="center"/>
          </w:tcPr>
          <w:p w14:paraId="339A4E4C" w14:textId="77777777" w:rsidR="00660457" w:rsidRPr="000C7618" w:rsidRDefault="00660457" w:rsidP="00777D20">
            <w:pPr>
              <w:pStyle w:val="TableText0"/>
              <w:jc w:val="center"/>
              <w:rPr>
                <w:iCs/>
              </w:rPr>
            </w:pPr>
            <w:r w:rsidRPr="000C7618">
              <w:rPr>
                <w:iCs/>
              </w:rPr>
              <w:t>106</w:t>
            </w:r>
          </w:p>
        </w:tc>
        <w:tc>
          <w:tcPr>
            <w:tcW w:w="587" w:type="pct"/>
            <w:shd w:val="clear" w:color="auto" w:fill="auto"/>
            <w:vAlign w:val="center"/>
          </w:tcPr>
          <w:p w14:paraId="41BA9AF1" w14:textId="77777777" w:rsidR="00660457" w:rsidRPr="000C7618" w:rsidRDefault="00660457" w:rsidP="00777D20">
            <w:pPr>
              <w:pStyle w:val="TableText0"/>
              <w:jc w:val="center"/>
              <w:rPr>
                <w:iCs/>
              </w:rPr>
            </w:pPr>
            <w:r w:rsidRPr="000C7618">
              <w:rPr>
                <w:iCs/>
              </w:rPr>
              <w:t>95</w:t>
            </w:r>
          </w:p>
        </w:tc>
        <w:tc>
          <w:tcPr>
            <w:tcW w:w="521" w:type="pct"/>
            <w:shd w:val="clear" w:color="auto" w:fill="auto"/>
            <w:vAlign w:val="center"/>
          </w:tcPr>
          <w:p w14:paraId="2ED6E785" w14:textId="77777777" w:rsidR="00660457" w:rsidRPr="000C7618" w:rsidRDefault="00660457" w:rsidP="00777D20">
            <w:pPr>
              <w:pStyle w:val="TableText0"/>
              <w:jc w:val="center"/>
              <w:rPr>
                <w:iCs/>
              </w:rPr>
            </w:pPr>
            <w:r w:rsidRPr="000C7618">
              <w:rPr>
                <w:iCs/>
              </w:rPr>
              <w:t>94</w:t>
            </w:r>
          </w:p>
        </w:tc>
        <w:tc>
          <w:tcPr>
            <w:tcW w:w="588" w:type="pct"/>
            <w:shd w:val="clear" w:color="auto" w:fill="auto"/>
            <w:vAlign w:val="center"/>
          </w:tcPr>
          <w:p w14:paraId="057C963D" w14:textId="77777777" w:rsidR="00660457" w:rsidRPr="000C7618" w:rsidRDefault="00660457" w:rsidP="00777D20">
            <w:pPr>
              <w:pStyle w:val="TableText0"/>
              <w:jc w:val="center"/>
              <w:rPr>
                <w:iCs/>
              </w:rPr>
            </w:pPr>
            <w:r w:rsidRPr="000C7618">
              <w:rPr>
                <w:iCs/>
              </w:rPr>
              <w:t>52</w:t>
            </w:r>
          </w:p>
        </w:tc>
        <w:tc>
          <w:tcPr>
            <w:tcW w:w="586" w:type="pct"/>
            <w:shd w:val="clear" w:color="auto" w:fill="auto"/>
            <w:vAlign w:val="center"/>
          </w:tcPr>
          <w:p w14:paraId="179C4920" w14:textId="77777777" w:rsidR="00660457" w:rsidRPr="000C7618" w:rsidRDefault="00660457" w:rsidP="00777D20">
            <w:pPr>
              <w:pStyle w:val="TableText0"/>
              <w:jc w:val="center"/>
              <w:rPr>
                <w:iCs/>
              </w:rPr>
            </w:pPr>
            <w:r w:rsidRPr="000C7618">
              <w:rPr>
                <w:iCs/>
              </w:rPr>
              <w:t>47</w:t>
            </w:r>
          </w:p>
        </w:tc>
        <w:tc>
          <w:tcPr>
            <w:tcW w:w="520" w:type="pct"/>
            <w:shd w:val="clear" w:color="auto" w:fill="auto"/>
            <w:vAlign w:val="center"/>
          </w:tcPr>
          <w:p w14:paraId="61AE157B" w14:textId="77777777" w:rsidR="00660457" w:rsidRPr="000C7618" w:rsidRDefault="00660457" w:rsidP="00777D20">
            <w:pPr>
              <w:pStyle w:val="TableText0"/>
              <w:jc w:val="center"/>
              <w:rPr>
                <w:iCs/>
              </w:rPr>
            </w:pPr>
            <w:r w:rsidRPr="000C7618">
              <w:rPr>
                <w:iCs/>
              </w:rPr>
              <w:t>46</w:t>
            </w:r>
          </w:p>
        </w:tc>
        <w:tc>
          <w:tcPr>
            <w:tcW w:w="466" w:type="pct"/>
            <w:shd w:val="clear" w:color="auto" w:fill="auto"/>
            <w:vAlign w:val="center"/>
          </w:tcPr>
          <w:p w14:paraId="6E7B0D1C" w14:textId="22EDF9C7" w:rsidR="00660457" w:rsidRPr="000C7618" w:rsidRDefault="0048723D" w:rsidP="00777D20">
            <w:pPr>
              <w:pStyle w:val="TableText0"/>
              <w:jc w:val="center"/>
              <w:rPr>
                <w:iCs/>
              </w:rPr>
            </w:pPr>
            <w:r w:rsidRPr="000C7618">
              <w:rPr>
                <w:iCs/>
              </w:rPr>
              <w:t>-</w:t>
            </w:r>
          </w:p>
        </w:tc>
        <w:tc>
          <w:tcPr>
            <w:tcW w:w="385" w:type="pct"/>
            <w:shd w:val="clear" w:color="auto" w:fill="auto"/>
            <w:vAlign w:val="center"/>
          </w:tcPr>
          <w:p w14:paraId="01B2EDED" w14:textId="1164127F" w:rsidR="00660457" w:rsidRPr="000C7618" w:rsidRDefault="0048723D" w:rsidP="00777D20">
            <w:pPr>
              <w:pStyle w:val="TableText0"/>
              <w:jc w:val="center"/>
              <w:rPr>
                <w:iCs/>
              </w:rPr>
            </w:pPr>
            <w:r w:rsidRPr="000C7618">
              <w:rPr>
                <w:iCs/>
              </w:rPr>
              <w:t>-</w:t>
            </w:r>
          </w:p>
        </w:tc>
      </w:tr>
      <w:tr w:rsidR="00660457" w:rsidRPr="000C7618" w14:paraId="1CA608A0" w14:textId="77777777" w:rsidTr="05042C88">
        <w:tc>
          <w:tcPr>
            <w:tcW w:w="5000" w:type="pct"/>
            <w:gridSpan w:val="9"/>
            <w:vAlign w:val="center"/>
          </w:tcPr>
          <w:p w14:paraId="21462FD7" w14:textId="77777777" w:rsidR="00660457" w:rsidRPr="000C7618" w:rsidRDefault="00660457" w:rsidP="00777D20">
            <w:pPr>
              <w:pStyle w:val="TableText0"/>
              <w:rPr>
                <w:b/>
                <w:iCs/>
                <w:highlight w:val="yellow"/>
              </w:rPr>
            </w:pPr>
            <w:r w:rsidRPr="000C7618">
              <w:rPr>
                <w:b/>
                <w:iCs/>
              </w:rPr>
              <w:t xml:space="preserve">PBC-40 </w:t>
            </w:r>
          </w:p>
        </w:tc>
      </w:tr>
      <w:tr w:rsidR="00DD5984" w:rsidRPr="000C7618" w14:paraId="53E23C15" w14:textId="77777777" w:rsidTr="05042C88">
        <w:tc>
          <w:tcPr>
            <w:tcW w:w="796" w:type="pct"/>
            <w:vAlign w:val="center"/>
          </w:tcPr>
          <w:p w14:paraId="28A59A79" w14:textId="77777777" w:rsidR="00660457" w:rsidRPr="000C7618" w:rsidRDefault="00660457" w:rsidP="00777D20">
            <w:pPr>
              <w:pStyle w:val="TableText0"/>
              <w:rPr>
                <w:iCs/>
              </w:rPr>
            </w:pPr>
            <w:r w:rsidRPr="000C7618">
              <w:rPr>
                <w:iCs/>
              </w:rPr>
              <w:t>ELATIVE</w:t>
            </w:r>
          </w:p>
        </w:tc>
        <w:tc>
          <w:tcPr>
            <w:tcW w:w="551" w:type="pct"/>
            <w:vAlign w:val="center"/>
          </w:tcPr>
          <w:p w14:paraId="7423DE35" w14:textId="28A49290" w:rsidR="00660457" w:rsidRPr="000C7618" w:rsidRDefault="00D87B42" w:rsidP="00777D20">
            <w:pPr>
              <w:pStyle w:val="TableText0"/>
              <w:jc w:val="center"/>
              <w:rPr>
                <w:iCs/>
              </w:rPr>
            </w:pPr>
            <w:r w:rsidRPr="000C7618">
              <w:rPr>
                <w:iCs/>
              </w:rPr>
              <w:t>15.4 (5.7</w:t>
            </w:r>
            <w:r w:rsidR="008E440B" w:rsidRPr="000C7618">
              <w:rPr>
                <w:iCs/>
              </w:rPr>
              <w:t>)</w:t>
            </w:r>
          </w:p>
        </w:tc>
        <w:tc>
          <w:tcPr>
            <w:tcW w:w="587" w:type="pct"/>
            <w:vAlign w:val="center"/>
          </w:tcPr>
          <w:p w14:paraId="1F1097AF" w14:textId="2BA2D3B3" w:rsidR="00660457" w:rsidRPr="000C7618" w:rsidRDefault="004171A1" w:rsidP="00777D20">
            <w:pPr>
              <w:pStyle w:val="TableText0"/>
              <w:jc w:val="center"/>
              <w:rPr>
                <w:iCs/>
              </w:rPr>
            </w:pPr>
            <w:r w:rsidRPr="000C7618">
              <w:rPr>
                <w:iCs/>
              </w:rPr>
              <w:t>15.</w:t>
            </w:r>
            <w:r w:rsidR="00371352" w:rsidRPr="000C7618">
              <w:rPr>
                <w:iCs/>
              </w:rPr>
              <w:t>5 (5.1)</w:t>
            </w:r>
          </w:p>
        </w:tc>
        <w:tc>
          <w:tcPr>
            <w:tcW w:w="521" w:type="pct"/>
            <w:vAlign w:val="center"/>
          </w:tcPr>
          <w:p w14:paraId="5A97D4F0" w14:textId="51366287" w:rsidR="00660457" w:rsidRPr="000C7618" w:rsidRDefault="0022489F" w:rsidP="00777D20">
            <w:pPr>
              <w:pStyle w:val="TableText0"/>
              <w:jc w:val="center"/>
            </w:pPr>
            <w:r w:rsidRPr="05042C88">
              <w:t>0.1 (3.5)</w:t>
            </w:r>
            <w:r w:rsidR="000D2CDA" w:rsidRPr="05042C88">
              <w:rPr>
                <w:vertAlign w:val="superscript"/>
              </w:rPr>
              <w:t>a</w:t>
            </w:r>
          </w:p>
        </w:tc>
        <w:tc>
          <w:tcPr>
            <w:tcW w:w="588" w:type="pct"/>
            <w:vAlign w:val="center"/>
          </w:tcPr>
          <w:p w14:paraId="0DD0D627" w14:textId="389D5F6F" w:rsidR="00660457" w:rsidRPr="000C7618" w:rsidRDefault="00231484" w:rsidP="00777D20">
            <w:pPr>
              <w:pStyle w:val="TableText0"/>
              <w:jc w:val="center"/>
              <w:rPr>
                <w:iCs/>
              </w:rPr>
            </w:pPr>
            <w:r w:rsidRPr="000C7618">
              <w:rPr>
                <w:iCs/>
              </w:rPr>
              <w:t>15.6 (5.2)</w:t>
            </w:r>
          </w:p>
        </w:tc>
        <w:tc>
          <w:tcPr>
            <w:tcW w:w="586" w:type="pct"/>
            <w:vAlign w:val="center"/>
          </w:tcPr>
          <w:p w14:paraId="1FB45D47" w14:textId="06EFFE38" w:rsidR="00660457" w:rsidRPr="000C7618" w:rsidRDefault="00371352" w:rsidP="00777D20">
            <w:pPr>
              <w:pStyle w:val="TableText0"/>
              <w:jc w:val="center"/>
              <w:rPr>
                <w:iCs/>
              </w:rPr>
            </w:pPr>
            <w:r w:rsidRPr="000C7618">
              <w:rPr>
                <w:iCs/>
              </w:rPr>
              <w:t>14.4 (5.4)</w:t>
            </w:r>
          </w:p>
        </w:tc>
        <w:tc>
          <w:tcPr>
            <w:tcW w:w="520" w:type="pct"/>
            <w:vAlign w:val="center"/>
          </w:tcPr>
          <w:p w14:paraId="656B2EBA" w14:textId="187A10A8" w:rsidR="00660457" w:rsidRPr="000C7618" w:rsidRDefault="000D2CDA" w:rsidP="00777D20">
            <w:pPr>
              <w:pStyle w:val="TableText0"/>
              <w:jc w:val="center"/>
            </w:pPr>
            <w:r w:rsidRPr="05042C88">
              <w:t>-1.0 (3.7)</w:t>
            </w:r>
            <w:r w:rsidRPr="05042C88">
              <w:rPr>
                <w:vertAlign w:val="superscript"/>
              </w:rPr>
              <w:t>a</w:t>
            </w:r>
          </w:p>
        </w:tc>
        <w:tc>
          <w:tcPr>
            <w:tcW w:w="466" w:type="pct"/>
            <w:vAlign w:val="center"/>
          </w:tcPr>
          <w:p w14:paraId="5BEC8FC7" w14:textId="2C23DCFE" w:rsidR="00660457" w:rsidRPr="000C7618" w:rsidRDefault="000D2CDA" w:rsidP="00777D20">
            <w:pPr>
              <w:pStyle w:val="TableText0"/>
              <w:jc w:val="center"/>
              <w:rPr>
                <w:iCs/>
              </w:rPr>
            </w:pPr>
            <w:r w:rsidRPr="000C7618">
              <w:rPr>
                <w:iCs/>
              </w:rPr>
              <w:t>NR</w:t>
            </w:r>
          </w:p>
        </w:tc>
        <w:tc>
          <w:tcPr>
            <w:tcW w:w="385" w:type="pct"/>
            <w:vAlign w:val="center"/>
          </w:tcPr>
          <w:p w14:paraId="1D54A8F3" w14:textId="62CB9309" w:rsidR="00660457" w:rsidRPr="000C7618" w:rsidRDefault="000D2CDA" w:rsidP="00777D20">
            <w:pPr>
              <w:pStyle w:val="TableText0"/>
              <w:jc w:val="center"/>
              <w:rPr>
                <w:iCs/>
              </w:rPr>
            </w:pPr>
            <w:r w:rsidRPr="000C7618">
              <w:rPr>
                <w:iCs/>
              </w:rPr>
              <w:t>NR</w:t>
            </w:r>
          </w:p>
        </w:tc>
      </w:tr>
      <w:tr w:rsidR="00DD5984" w:rsidRPr="000C7618" w14:paraId="22059D33" w14:textId="77777777" w:rsidTr="05042C88">
        <w:tc>
          <w:tcPr>
            <w:tcW w:w="796" w:type="pct"/>
            <w:vAlign w:val="center"/>
          </w:tcPr>
          <w:p w14:paraId="2927C83F" w14:textId="77777777" w:rsidR="00660457" w:rsidRPr="000C7618" w:rsidRDefault="00660457" w:rsidP="00777D20">
            <w:pPr>
              <w:pStyle w:val="TableText0"/>
              <w:rPr>
                <w:iCs/>
              </w:rPr>
            </w:pPr>
            <w:r w:rsidRPr="000C7618">
              <w:rPr>
                <w:iCs/>
              </w:rPr>
              <w:t>N analysed</w:t>
            </w:r>
          </w:p>
        </w:tc>
        <w:tc>
          <w:tcPr>
            <w:tcW w:w="551" w:type="pct"/>
            <w:vAlign w:val="center"/>
          </w:tcPr>
          <w:p w14:paraId="7639F1D3" w14:textId="2AA696E1" w:rsidR="00660457" w:rsidRPr="000C7618" w:rsidRDefault="00D87B42" w:rsidP="00777D20">
            <w:pPr>
              <w:pStyle w:val="TableText0"/>
              <w:jc w:val="center"/>
              <w:rPr>
                <w:iCs/>
              </w:rPr>
            </w:pPr>
            <w:r w:rsidRPr="000C7618">
              <w:rPr>
                <w:iCs/>
              </w:rPr>
              <w:t>107</w:t>
            </w:r>
          </w:p>
        </w:tc>
        <w:tc>
          <w:tcPr>
            <w:tcW w:w="587" w:type="pct"/>
            <w:vAlign w:val="center"/>
          </w:tcPr>
          <w:p w14:paraId="27FF1CCC" w14:textId="00CAF061" w:rsidR="00660457" w:rsidRPr="000C7618" w:rsidRDefault="00547606" w:rsidP="00777D20">
            <w:pPr>
              <w:pStyle w:val="TableText0"/>
              <w:jc w:val="center"/>
              <w:rPr>
                <w:iCs/>
              </w:rPr>
            </w:pPr>
            <w:r w:rsidRPr="000C7618">
              <w:rPr>
                <w:iCs/>
              </w:rPr>
              <w:t>95</w:t>
            </w:r>
          </w:p>
        </w:tc>
        <w:tc>
          <w:tcPr>
            <w:tcW w:w="521" w:type="pct"/>
            <w:vAlign w:val="center"/>
          </w:tcPr>
          <w:p w14:paraId="01007C61" w14:textId="67C9DCFD" w:rsidR="00660457" w:rsidRPr="000C7618" w:rsidRDefault="0022489F" w:rsidP="00777D20">
            <w:pPr>
              <w:pStyle w:val="TableText0"/>
              <w:jc w:val="center"/>
              <w:rPr>
                <w:iCs/>
              </w:rPr>
            </w:pPr>
            <w:r w:rsidRPr="000C7618">
              <w:rPr>
                <w:iCs/>
              </w:rPr>
              <w:t>95</w:t>
            </w:r>
          </w:p>
        </w:tc>
        <w:tc>
          <w:tcPr>
            <w:tcW w:w="588" w:type="pct"/>
            <w:vAlign w:val="center"/>
          </w:tcPr>
          <w:p w14:paraId="0AB0468B" w14:textId="54BA0C19" w:rsidR="00660457" w:rsidRPr="000C7618" w:rsidRDefault="00231484" w:rsidP="00777D20">
            <w:pPr>
              <w:pStyle w:val="TableText0"/>
              <w:jc w:val="center"/>
              <w:rPr>
                <w:iCs/>
              </w:rPr>
            </w:pPr>
            <w:r w:rsidRPr="000C7618">
              <w:rPr>
                <w:iCs/>
              </w:rPr>
              <w:t>52</w:t>
            </w:r>
          </w:p>
        </w:tc>
        <w:tc>
          <w:tcPr>
            <w:tcW w:w="586" w:type="pct"/>
            <w:vAlign w:val="center"/>
          </w:tcPr>
          <w:p w14:paraId="278F09E8" w14:textId="4309397C" w:rsidR="00660457" w:rsidRPr="000C7618" w:rsidRDefault="00A34833" w:rsidP="00777D20">
            <w:pPr>
              <w:pStyle w:val="TableText0"/>
              <w:jc w:val="center"/>
              <w:rPr>
                <w:iCs/>
              </w:rPr>
            </w:pPr>
            <w:r w:rsidRPr="000C7618">
              <w:rPr>
                <w:iCs/>
              </w:rPr>
              <w:t>49</w:t>
            </w:r>
          </w:p>
        </w:tc>
        <w:tc>
          <w:tcPr>
            <w:tcW w:w="520" w:type="pct"/>
            <w:vAlign w:val="center"/>
          </w:tcPr>
          <w:p w14:paraId="357BCC3B" w14:textId="0B16BBA8" w:rsidR="00660457" w:rsidRPr="000C7618" w:rsidRDefault="008C798F" w:rsidP="00777D20">
            <w:pPr>
              <w:pStyle w:val="TableText0"/>
              <w:jc w:val="center"/>
              <w:rPr>
                <w:iCs/>
              </w:rPr>
            </w:pPr>
            <w:r w:rsidRPr="000C7618">
              <w:rPr>
                <w:iCs/>
              </w:rPr>
              <w:t>48</w:t>
            </w:r>
          </w:p>
        </w:tc>
        <w:tc>
          <w:tcPr>
            <w:tcW w:w="466" w:type="pct"/>
            <w:vAlign w:val="center"/>
          </w:tcPr>
          <w:p w14:paraId="6956C571" w14:textId="0309A301" w:rsidR="00660457" w:rsidRPr="000C7618" w:rsidRDefault="0048723D" w:rsidP="00777D20">
            <w:pPr>
              <w:pStyle w:val="TableText0"/>
              <w:jc w:val="center"/>
              <w:rPr>
                <w:iCs/>
              </w:rPr>
            </w:pPr>
            <w:r w:rsidRPr="000C7618">
              <w:rPr>
                <w:iCs/>
              </w:rPr>
              <w:t>-</w:t>
            </w:r>
          </w:p>
        </w:tc>
        <w:tc>
          <w:tcPr>
            <w:tcW w:w="385" w:type="pct"/>
            <w:vAlign w:val="center"/>
          </w:tcPr>
          <w:p w14:paraId="40E165A7" w14:textId="25BFCA6B" w:rsidR="00660457" w:rsidRPr="000C7618" w:rsidRDefault="0048723D" w:rsidP="00777D20">
            <w:pPr>
              <w:pStyle w:val="TableText0"/>
              <w:jc w:val="center"/>
              <w:rPr>
                <w:iCs/>
              </w:rPr>
            </w:pPr>
            <w:r w:rsidRPr="000C7618">
              <w:rPr>
                <w:iCs/>
              </w:rPr>
              <w:t>-</w:t>
            </w:r>
          </w:p>
        </w:tc>
      </w:tr>
    </w:tbl>
    <w:p w14:paraId="4C6C65B9" w14:textId="68286CF5" w:rsidR="00660457" w:rsidRPr="000C7618" w:rsidRDefault="00660457" w:rsidP="05042C88">
      <w:pPr>
        <w:pStyle w:val="FooterTableFigure"/>
        <w:rPr>
          <w:sz w:val="20"/>
          <w:szCs w:val="20"/>
        </w:rPr>
      </w:pPr>
      <w:r w:rsidRPr="05042C88">
        <w:t xml:space="preserve">Source: </w:t>
      </w:r>
      <w:r w:rsidR="00245D86" w:rsidRPr="05042C88">
        <w:t xml:space="preserve">Compiled during the evaluation based on </w:t>
      </w:r>
      <w:r w:rsidRPr="05042C88">
        <w:t xml:space="preserve">Table 24, p104 of ELATIVE CSR (gft505b3191 </w:t>
      </w:r>
      <w:proofErr w:type="spellStart"/>
      <w:r w:rsidRPr="05042C88">
        <w:t>csr</w:t>
      </w:r>
      <w:proofErr w:type="spellEnd"/>
      <w:r w:rsidRPr="05042C88">
        <w:t xml:space="preserve"> body-final.pdf)</w:t>
      </w:r>
      <w:r w:rsidR="00231484" w:rsidRPr="05042C88">
        <w:t xml:space="preserve"> and Table </w:t>
      </w:r>
      <w:r w:rsidR="00845849" w:rsidRPr="05042C88">
        <w:t>14.2.6.38.1 of ELATIVE CSR appendices (</w:t>
      </w:r>
      <w:r w:rsidR="006412E6" w:rsidRPr="05042C88">
        <w:t>gft505b-319-1-14</w:t>
      </w:r>
      <w:r w:rsidR="008E440B" w:rsidRPr="05042C88">
        <w:t>-tfg.pdf)</w:t>
      </w:r>
      <w:r w:rsidRPr="05042C88">
        <w:t>.</w:t>
      </w:r>
    </w:p>
    <w:p w14:paraId="75874CE2" w14:textId="2F5B5E63" w:rsidR="00660457" w:rsidRPr="000C7618" w:rsidRDefault="00660457" w:rsidP="00653E8B">
      <w:pPr>
        <w:pStyle w:val="FooterTableFigure"/>
      </w:pPr>
      <w:r w:rsidRPr="05042C88">
        <w:t xml:space="preserve">CI = confidence interval; </w:t>
      </w:r>
      <w:r w:rsidR="004105C1" w:rsidRPr="05042C88">
        <w:t xml:space="preserve">ELA = </w:t>
      </w:r>
      <w:proofErr w:type="spellStart"/>
      <w:r w:rsidR="004105C1" w:rsidRPr="05042C88">
        <w:t>elafibranor</w:t>
      </w:r>
      <w:proofErr w:type="spellEnd"/>
      <w:r w:rsidR="004105C1" w:rsidRPr="05042C88">
        <w:t xml:space="preserve">; </w:t>
      </w:r>
      <w:r w:rsidRPr="05042C88">
        <w:t>EQ-5D-5L</w:t>
      </w:r>
      <w:r w:rsidR="001A5223" w:rsidRPr="05042C88">
        <w:t xml:space="preserve"> VAS</w:t>
      </w:r>
      <w:r w:rsidRPr="05042C88">
        <w:t xml:space="preserve">= </w:t>
      </w:r>
      <w:proofErr w:type="spellStart"/>
      <w:r w:rsidRPr="05042C88">
        <w:t>EuroQol</w:t>
      </w:r>
      <w:proofErr w:type="spellEnd"/>
      <w:r w:rsidRPr="05042C88">
        <w:t xml:space="preserve"> 5-Dimension, 5-Level</w:t>
      </w:r>
      <w:r w:rsidR="001A5223" w:rsidRPr="05042C88">
        <w:t xml:space="preserve"> Visual Analog Scale</w:t>
      </w:r>
      <w:r w:rsidRPr="05042C88">
        <w:t xml:space="preserve">; </w:t>
      </w:r>
      <w:r w:rsidR="008B68E3" w:rsidRPr="05042C88">
        <w:t xml:space="preserve">ITT= Intent to treat; </w:t>
      </w:r>
      <w:r w:rsidRPr="05042C88">
        <w:t>LS = Least squares; SD = standard deviation</w:t>
      </w:r>
      <w:r w:rsidR="00677880" w:rsidRPr="05042C88">
        <w:t>.</w:t>
      </w:r>
    </w:p>
    <w:p w14:paraId="01D48D89" w14:textId="146E132F" w:rsidR="000D2CDA" w:rsidRPr="000C7618" w:rsidRDefault="004105C1" w:rsidP="00653E8B">
      <w:pPr>
        <w:pStyle w:val="FooterTableFigure"/>
        <w:rPr>
          <w:iCs/>
        </w:rPr>
      </w:pPr>
      <w:r w:rsidRPr="000C7618">
        <w:rPr>
          <w:iCs/>
          <w:vertAlign w:val="superscript"/>
        </w:rPr>
        <w:t>a</w:t>
      </w:r>
      <w:r w:rsidR="000D2CDA" w:rsidRPr="000C7618">
        <w:rPr>
          <w:iCs/>
        </w:rPr>
        <w:t xml:space="preserve"> Means, not LS mean</w:t>
      </w:r>
      <w:r w:rsidRPr="000C7618">
        <w:rPr>
          <w:iCs/>
        </w:rPr>
        <w:t>s.</w:t>
      </w:r>
    </w:p>
    <w:p w14:paraId="294A0600" w14:textId="4D987533" w:rsidR="00C3493F" w:rsidRPr="00D100E6" w:rsidRDefault="00C3493F" w:rsidP="00C3493F">
      <w:pPr>
        <w:pStyle w:val="3-BodyText"/>
      </w:pPr>
      <w:proofErr w:type="spellStart"/>
      <w:r w:rsidRPr="05042C88">
        <w:t>Elafibranor</w:t>
      </w:r>
      <w:proofErr w:type="spellEnd"/>
      <w:r w:rsidRPr="05042C88">
        <w:t xml:space="preserve"> did not demonstrate any significant abatement in symptoms as measured by the PBC-40 questionnaire or the EQ-5D-5L VAS.</w:t>
      </w:r>
    </w:p>
    <w:p w14:paraId="3493DB5D" w14:textId="4A60EFB3" w:rsidR="0079601C" w:rsidRPr="0079601C" w:rsidRDefault="0079601C" w:rsidP="0079601C">
      <w:pPr>
        <w:rPr>
          <w:u w:val="single"/>
        </w:rPr>
      </w:pPr>
      <w:r w:rsidRPr="0079601C">
        <w:rPr>
          <w:u w:val="single"/>
        </w:rPr>
        <w:t>Indirect comparison</w:t>
      </w:r>
      <w:r w:rsidR="00D93521">
        <w:rPr>
          <w:u w:val="single"/>
        </w:rPr>
        <w:t>s</w:t>
      </w:r>
      <w:r w:rsidR="00FF65DF">
        <w:rPr>
          <w:u w:val="single"/>
        </w:rPr>
        <w:t xml:space="preserve"> of the efficacy endpoints</w:t>
      </w:r>
    </w:p>
    <w:p w14:paraId="04EA2389" w14:textId="23E1887F" w:rsidR="007D7A1F" w:rsidRPr="00D93521" w:rsidRDefault="007D7A1F" w:rsidP="007D7A1F">
      <w:pPr>
        <w:pStyle w:val="3-BodyText"/>
      </w:pPr>
      <w:bookmarkStart w:id="42" w:name="_Ref193715257"/>
      <w:r w:rsidRPr="05042C88">
        <w:t xml:space="preserve">The submission conducted pairwise indirect comparisons of </w:t>
      </w:r>
      <w:proofErr w:type="spellStart"/>
      <w:r w:rsidRPr="05042C88">
        <w:t>elafibranor</w:t>
      </w:r>
      <w:proofErr w:type="spellEnd"/>
      <w:r w:rsidRPr="05042C88">
        <w:t xml:space="preserve"> compared to OCA with placebo as the common comparator</w:t>
      </w:r>
      <w:r w:rsidR="00D93521" w:rsidRPr="05042C88">
        <w:t xml:space="preserve"> </w:t>
      </w:r>
      <w:r w:rsidRPr="05042C88">
        <w:t xml:space="preserve">for the following </w:t>
      </w:r>
      <w:r w:rsidR="00FA6ED1" w:rsidRPr="05042C88">
        <w:t xml:space="preserve">efficacy </w:t>
      </w:r>
      <w:r w:rsidR="003034FF" w:rsidRPr="05042C88">
        <w:t>endpoints</w:t>
      </w:r>
      <w:r w:rsidR="002B2594" w:rsidRPr="05042C88">
        <w:t xml:space="preserve"> analysed using the ITT population</w:t>
      </w:r>
      <w:r w:rsidRPr="05042C88">
        <w:t>:</w:t>
      </w:r>
      <w:bookmarkEnd w:id="42"/>
    </w:p>
    <w:p w14:paraId="2561E236" w14:textId="5C3BBFD7" w:rsidR="007D7A1F" w:rsidRDefault="007D7A1F" w:rsidP="0095646C">
      <w:pPr>
        <w:pStyle w:val="ListParagraph"/>
        <w:ind w:left="1080"/>
        <w:jc w:val="both"/>
      </w:pPr>
      <w:r>
        <w:t>Cholestasis response, defined by</w:t>
      </w:r>
      <w:r w:rsidR="00394E70">
        <w:t xml:space="preserve"> </w:t>
      </w:r>
      <w:r>
        <w:t>ALP ≤1.67 x ULN</w:t>
      </w:r>
      <w:r w:rsidR="00DD5984">
        <w:t xml:space="preserve">, ALP </w:t>
      </w:r>
      <w:r w:rsidR="00394E70">
        <w:t xml:space="preserve">decreased by </w:t>
      </w:r>
      <w:r w:rsidR="00394E70">
        <w:rPr>
          <w:rFonts w:cstheme="minorHAnsi"/>
        </w:rPr>
        <w:t>≥</w:t>
      </w:r>
      <w:r w:rsidR="00394E70">
        <w:t xml:space="preserve"> 15%</w:t>
      </w:r>
      <w:r>
        <w:t xml:space="preserve">, </w:t>
      </w:r>
      <w:r w:rsidR="00394E70">
        <w:t xml:space="preserve">and </w:t>
      </w:r>
      <w:r>
        <w:t>TB ≤ULN at 52 weeks (binary endpoint)</w:t>
      </w:r>
      <w:r w:rsidR="000E23FA">
        <w:t>.</w:t>
      </w:r>
    </w:p>
    <w:p w14:paraId="3730083C" w14:textId="30AD438E" w:rsidR="007D7A1F" w:rsidRDefault="007D7A1F" w:rsidP="0095646C">
      <w:pPr>
        <w:pStyle w:val="ListParagraph"/>
        <w:ind w:left="1080"/>
        <w:jc w:val="both"/>
      </w:pPr>
      <w:r>
        <w:t>Change from baseline in ALP levels (U/L) at 52 weeks (continuous endpoint)</w:t>
      </w:r>
      <w:r w:rsidR="000E23FA">
        <w:t>.</w:t>
      </w:r>
    </w:p>
    <w:p w14:paraId="48B8BEBD" w14:textId="32815E81" w:rsidR="007D7A1F" w:rsidRDefault="007D7A1F" w:rsidP="0095646C">
      <w:pPr>
        <w:pStyle w:val="ListParagraph"/>
        <w:ind w:left="1080"/>
        <w:jc w:val="both"/>
      </w:pPr>
      <w:r>
        <w:t>ALP normalisation, defined by ALP ≤1.0 x ULN at 52 weeks (binary endpoint)</w:t>
      </w:r>
      <w:r w:rsidR="000E23FA">
        <w:t>.</w:t>
      </w:r>
    </w:p>
    <w:p w14:paraId="50C11E8A" w14:textId="337C88F9" w:rsidR="007D7A1F" w:rsidRPr="00D100E6" w:rsidRDefault="00DD5984" w:rsidP="00D46D97">
      <w:pPr>
        <w:pStyle w:val="3-BodyText"/>
      </w:pPr>
      <w:r>
        <w:t>The</w:t>
      </w:r>
      <w:r w:rsidRPr="00D46D97">
        <w:t xml:space="preserve"> </w:t>
      </w:r>
      <w:r w:rsidR="007D7A1F" w:rsidRPr="00D46D97">
        <w:t xml:space="preserve">Bucher method was used. The submission conducted the indirect comparisons using </w:t>
      </w:r>
      <w:r>
        <w:t>odd ratios</w:t>
      </w:r>
      <w:r w:rsidRPr="00D46D97">
        <w:t xml:space="preserve"> </w:t>
      </w:r>
      <w:r w:rsidR="007D7A1F" w:rsidRPr="00D46D97">
        <w:t>for dichotomous variables, and mean differences for continuous variables</w:t>
      </w:r>
      <w:r w:rsidR="007D7A1F" w:rsidRPr="00D100E6">
        <w:t>. The submission should have conducted the indirect comparisons using least squares means for continuous variables, which would have controlled for other covariates that may have affected the outcomes.</w:t>
      </w:r>
    </w:p>
    <w:p w14:paraId="5565E491" w14:textId="128ADCBC" w:rsidR="007D7A1F" w:rsidRPr="008D6372" w:rsidRDefault="0079148A" w:rsidP="00937A36">
      <w:pPr>
        <w:pStyle w:val="3-BodyText"/>
      </w:pPr>
      <w:r>
        <w:fldChar w:fldCharType="begin" w:fldLock="1"/>
      </w:r>
      <w:r>
        <w:instrText xml:space="preserve"> REF _Ref184673880 \h </w:instrText>
      </w:r>
      <w:r>
        <w:fldChar w:fldCharType="separate"/>
      </w:r>
      <w:r w:rsidR="002B3034">
        <w:t xml:space="preserve">Table </w:t>
      </w:r>
      <w:r w:rsidR="002B3034">
        <w:rPr>
          <w:noProof/>
        </w:rPr>
        <w:t>7</w:t>
      </w:r>
      <w:r>
        <w:fldChar w:fldCharType="end"/>
      </w:r>
      <w:r>
        <w:t xml:space="preserve"> and </w:t>
      </w:r>
      <w:r>
        <w:fldChar w:fldCharType="begin" w:fldLock="1"/>
      </w:r>
      <w:r>
        <w:instrText xml:space="preserve"> REF _Ref184673873 \h </w:instrText>
      </w:r>
      <w:r>
        <w:fldChar w:fldCharType="separate"/>
      </w:r>
      <w:r w:rsidR="002B3034">
        <w:t xml:space="preserve">Table </w:t>
      </w:r>
      <w:r w:rsidR="002B3034">
        <w:rPr>
          <w:noProof/>
        </w:rPr>
        <w:t>8</w:t>
      </w:r>
      <w:r>
        <w:fldChar w:fldCharType="end"/>
      </w:r>
      <w:r>
        <w:t xml:space="preserve"> </w:t>
      </w:r>
      <w:r w:rsidR="007D7A1F" w:rsidRPr="008D6372">
        <w:t>presents the results of the indirect comparisons.</w:t>
      </w:r>
    </w:p>
    <w:p w14:paraId="40FE8480" w14:textId="77777777" w:rsidR="007D7A1F" w:rsidRDefault="007D7A1F" w:rsidP="007D7A1F"/>
    <w:p w14:paraId="7F2E015B" w14:textId="45328883" w:rsidR="007D7A1F" w:rsidRPr="0098262F" w:rsidRDefault="00691C5D" w:rsidP="05042C88">
      <w:pPr>
        <w:pStyle w:val="Caption"/>
        <w:jc w:val="left"/>
        <w:rPr>
          <w:rStyle w:val="CommentReference"/>
          <w:b/>
        </w:rPr>
      </w:pPr>
      <w:bookmarkStart w:id="43" w:name="_Ref184673880"/>
      <w:r w:rsidRPr="05042C88">
        <w:lastRenderedPageBreak/>
        <w:t xml:space="preserve">Table </w:t>
      </w:r>
      <w:r w:rsidRPr="05042C88">
        <w:fldChar w:fldCharType="begin" w:fldLock="1"/>
      </w:r>
      <w:r>
        <w:instrText xml:space="preserve"> SEQ Table \* ARABIC </w:instrText>
      </w:r>
      <w:r w:rsidRPr="05042C88">
        <w:fldChar w:fldCharType="separate"/>
      </w:r>
      <w:r w:rsidR="00780A90" w:rsidRPr="05042C88">
        <w:rPr>
          <w:noProof/>
        </w:rPr>
        <w:t>7</w:t>
      </w:r>
      <w:r w:rsidRPr="05042C88">
        <w:rPr>
          <w:noProof/>
        </w:rPr>
        <w:fldChar w:fldCharType="end"/>
      </w:r>
      <w:bookmarkEnd w:id="43"/>
      <w:r w:rsidRPr="05042C88">
        <w:t xml:space="preserve">: </w:t>
      </w:r>
      <w:r w:rsidR="007D7A1F" w:rsidRPr="05042C88">
        <w:rPr>
          <w:rStyle w:val="CommentReference"/>
          <w:b/>
        </w:rPr>
        <w:t>Summary of results of the indirect comparison</w:t>
      </w:r>
      <w:r w:rsidR="009426B3" w:rsidRPr="05042C88">
        <w:rPr>
          <w:rStyle w:val="CommentReference"/>
          <w:b/>
        </w:rPr>
        <w:t>s</w:t>
      </w:r>
      <w:r w:rsidR="0079148A" w:rsidRPr="05042C88">
        <w:rPr>
          <w:rStyle w:val="CommentReference"/>
          <w:b/>
        </w:rPr>
        <w:t xml:space="preserve"> regarding </w:t>
      </w:r>
      <w:r w:rsidR="008A21EB" w:rsidRPr="05042C88">
        <w:rPr>
          <w:rStyle w:val="CommentReference"/>
          <w:b/>
        </w:rPr>
        <w:t>cholestasis response and ALP normalisation</w:t>
      </w:r>
      <w:r w:rsidR="00F57543" w:rsidRPr="05042C88">
        <w:rPr>
          <w:rStyle w:val="CommentReference"/>
          <w:b/>
        </w:rPr>
        <w:t xml:space="preserve">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320"/>
        <w:gridCol w:w="1681"/>
        <w:gridCol w:w="1681"/>
        <w:gridCol w:w="1940"/>
      </w:tblGrid>
      <w:tr w:rsidR="00587AE1" w:rsidRPr="00DD5984" w14:paraId="418CAA73" w14:textId="77777777" w:rsidTr="05042C88">
        <w:trPr>
          <w:tblHeader/>
        </w:trPr>
        <w:tc>
          <w:tcPr>
            <w:tcW w:w="1328" w:type="pct"/>
            <w:vAlign w:val="center"/>
          </w:tcPr>
          <w:p w14:paraId="5C10D37A" w14:textId="77777777" w:rsidR="00587AE1" w:rsidRPr="00DD5984" w:rsidRDefault="00587AE1" w:rsidP="00777D20">
            <w:pPr>
              <w:pStyle w:val="In-tableHeading"/>
              <w:jc w:val="center"/>
              <w:rPr>
                <w:lang w:val="en-AU"/>
              </w:rPr>
            </w:pPr>
            <w:r w:rsidRPr="00DD5984">
              <w:rPr>
                <w:lang w:val="en-AU"/>
              </w:rPr>
              <w:t>Comparison</w:t>
            </w:r>
          </w:p>
        </w:tc>
        <w:tc>
          <w:tcPr>
            <w:tcW w:w="732" w:type="pct"/>
            <w:shd w:val="clear" w:color="auto" w:fill="auto"/>
            <w:vAlign w:val="center"/>
          </w:tcPr>
          <w:p w14:paraId="0C8DC425" w14:textId="77777777" w:rsidR="00587AE1" w:rsidRPr="00DD5984" w:rsidRDefault="00587AE1" w:rsidP="00777D20">
            <w:pPr>
              <w:pStyle w:val="In-tableHeading"/>
              <w:jc w:val="center"/>
              <w:rPr>
                <w:lang w:val="en-AU"/>
              </w:rPr>
            </w:pPr>
            <w:r w:rsidRPr="00DD5984">
              <w:rPr>
                <w:lang w:val="en-AU"/>
              </w:rPr>
              <w:t>Trial ID</w:t>
            </w:r>
          </w:p>
        </w:tc>
        <w:tc>
          <w:tcPr>
            <w:tcW w:w="932" w:type="pct"/>
            <w:shd w:val="clear" w:color="auto" w:fill="auto"/>
            <w:vAlign w:val="center"/>
          </w:tcPr>
          <w:p w14:paraId="35AA643B" w14:textId="7FE05A04" w:rsidR="00587AE1" w:rsidRPr="00DD5984" w:rsidRDefault="00471FCB" w:rsidP="00777D20">
            <w:pPr>
              <w:pStyle w:val="In-tableHeading"/>
              <w:jc w:val="center"/>
              <w:rPr>
                <w:lang w:val="en-AU"/>
              </w:rPr>
            </w:pPr>
            <w:r w:rsidRPr="00DD5984">
              <w:rPr>
                <w:lang w:val="en-AU"/>
              </w:rPr>
              <w:t xml:space="preserve">Treatment, </w:t>
            </w:r>
            <w:r w:rsidRPr="00DD5984">
              <w:rPr>
                <w:lang w:val="en-AU"/>
              </w:rPr>
              <w:br/>
            </w:r>
            <w:r w:rsidR="00587AE1" w:rsidRPr="00DD5984">
              <w:rPr>
                <w:lang w:val="en-AU"/>
              </w:rPr>
              <w:t>n with event/N (%)</w:t>
            </w:r>
          </w:p>
        </w:tc>
        <w:tc>
          <w:tcPr>
            <w:tcW w:w="932" w:type="pct"/>
            <w:shd w:val="clear" w:color="auto" w:fill="auto"/>
            <w:vAlign w:val="center"/>
          </w:tcPr>
          <w:p w14:paraId="64D40C64" w14:textId="7D490850" w:rsidR="00587AE1" w:rsidRPr="00DD5984" w:rsidRDefault="00587AE1" w:rsidP="00777D20">
            <w:pPr>
              <w:pStyle w:val="In-tableHeading"/>
              <w:jc w:val="center"/>
              <w:rPr>
                <w:lang w:val="en-AU"/>
              </w:rPr>
            </w:pPr>
            <w:r w:rsidRPr="00DD5984">
              <w:rPr>
                <w:lang w:val="en-AU"/>
              </w:rPr>
              <w:t>Placebo</w:t>
            </w:r>
            <w:r w:rsidR="00471FCB" w:rsidRPr="00DD5984">
              <w:rPr>
                <w:lang w:val="en-AU"/>
              </w:rPr>
              <w:t>,</w:t>
            </w:r>
            <w:r w:rsidR="00471FCB" w:rsidRPr="00DD5984">
              <w:rPr>
                <w:lang w:val="en-AU"/>
              </w:rPr>
              <w:br/>
            </w:r>
            <w:r w:rsidRPr="00DD5984">
              <w:rPr>
                <w:lang w:val="en-AU"/>
              </w:rPr>
              <w:t xml:space="preserve"> n with event/N (%)</w:t>
            </w:r>
          </w:p>
        </w:tc>
        <w:tc>
          <w:tcPr>
            <w:tcW w:w="1076" w:type="pct"/>
            <w:shd w:val="clear" w:color="auto" w:fill="auto"/>
            <w:vAlign w:val="center"/>
          </w:tcPr>
          <w:p w14:paraId="35EC33D1" w14:textId="4EBAE385" w:rsidR="00587AE1" w:rsidRPr="00DD5984" w:rsidRDefault="00587AE1" w:rsidP="00777D20">
            <w:pPr>
              <w:pStyle w:val="In-tableHeading"/>
              <w:jc w:val="center"/>
              <w:rPr>
                <w:lang w:val="en-AU"/>
              </w:rPr>
            </w:pPr>
            <w:r w:rsidRPr="00DD5984">
              <w:rPr>
                <w:lang w:val="en-AU"/>
              </w:rPr>
              <w:t xml:space="preserve">Treatment effect, </w:t>
            </w:r>
            <w:r w:rsidR="00B91028" w:rsidRPr="00DD5984">
              <w:rPr>
                <w:lang w:val="en-AU"/>
              </w:rPr>
              <w:br/>
            </w:r>
            <w:r w:rsidRPr="00DD5984">
              <w:rPr>
                <w:lang w:val="en-AU"/>
              </w:rPr>
              <w:t>OR (95%CI)</w:t>
            </w:r>
          </w:p>
        </w:tc>
      </w:tr>
      <w:tr w:rsidR="00587AE1" w:rsidRPr="00DD5984" w14:paraId="10FBB2E7" w14:textId="77777777" w:rsidTr="05042C88">
        <w:trPr>
          <w:tblHeader/>
        </w:trPr>
        <w:tc>
          <w:tcPr>
            <w:tcW w:w="5000" w:type="pct"/>
            <w:gridSpan w:val="5"/>
            <w:vAlign w:val="center"/>
          </w:tcPr>
          <w:p w14:paraId="4C73C93B" w14:textId="77777777" w:rsidR="00587AE1" w:rsidRPr="00DD5984" w:rsidRDefault="00587AE1" w:rsidP="00777D20">
            <w:pPr>
              <w:pStyle w:val="In-tableHeading"/>
              <w:rPr>
                <w:lang w:val="en-AU"/>
              </w:rPr>
            </w:pPr>
            <w:r w:rsidRPr="00DD5984">
              <w:rPr>
                <w:rStyle w:val="CommentReference"/>
                <w:b/>
                <w:szCs w:val="24"/>
              </w:rPr>
              <w:t xml:space="preserve">Cholestasis response at 52 weeks/12 months </w:t>
            </w:r>
            <w:r w:rsidRPr="00DD5984">
              <w:rPr>
                <w:rStyle w:val="CommentReference"/>
                <w:b/>
                <w:szCs w:val="24"/>
                <w:vertAlign w:val="superscript"/>
              </w:rPr>
              <w:t>a</w:t>
            </w:r>
          </w:p>
        </w:tc>
      </w:tr>
      <w:tr w:rsidR="00587AE1" w:rsidRPr="00DD5984" w14:paraId="1E7F5806" w14:textId="77777777" w:rsidTr="05042C88">
        <w:trPr>
          <w:trHeight w:val="77"/>
        </w:trPr>
        <w:tc>
          <w:tcPr>
            <w:tcW w:w="1328" w:type="pct"/>
            <w:vAlign w:val="center"/>
          </w:tcPr>
          <w:p w14:paraId="230B12EC" w14:textId="659D2C5B" w:rsidR="00587AE1" w:rsidRPr="00DD5984" w:rsidRDefault="00587AE1" w:rsidP="00777D20">
            <w:pPr>
              <w:pStyle w:val="TableText0"/>
            </w:pPr>
            <w:r w:rsidRPr="00DD5984">
              <w:t xml:space="preserve">ELA </w:t>
            </w:r>
            <w:r w:rsidR="00947C8E" w:rsidRPr="00DD5984">
              <w:t>vs</w:t>
            </w:r>
            <w:r w:rsidRPr="00DD5984">
              <w:t xml:space="preserve"> placebo</w:t>
            </w:r>
          </w:p>
        </w:tc>
        <w:tc>
          <w:tcPr>
            <w:tcW w:w="732" w:type="pct"/>
            <w:shd w:val="clear" w:color="auto" w:fill="auto"/>
            <w:vAlign w:val="center"/>
          </w:tcPr>
          <w:p w14:paraId="7AE1BAC0" w14:textId="77777777" w:rsidR="00587AE1" w:rsidRPr="00DD5984" w:rsidRDefault="00587AE1" w:rsidP="00557068">
            <w:pPr>
              <w:pStyle w:val="TableText0"/>
              <w:jc w:val="center"/>
            </w:pPr>
            <w:r w:rsidRPr="00DD5984">
              <w:t>ELATIVE</w:t>
            </w:r>
          </w:p>
        </w:tc>
        <w:tc>
          <w:tcPr>
            <w:tcW w:w="932" w:type="pct"/>
            <w:shd w:val="clear" w:color="auto" w:fill="auto"/>
            <w:vAlign w:val="center"/>
          </w:tcPr>
          <w:p w14:paraId="40C661D8" w14:textId="77777777" w:rsidR="00587AE1" w:rsidRPr="00DD5984" w:rsidRDefault="00587AE1" w:rsidP="00777D20">
            <w:pPr>
              <w:pStyle w:val="TableText0"/>
              <w:jc w:val="center"/>
            </w:pPr>
            <w:r w:rsidRPr="00DD5984">
              <w:t>55/108 (50.93)</w:t>
            </w:r>
          </w:p>
        </w:tc>
        <w:tc>
          <w:tcPr>
            <w:tcW w:w="932" w:type="pct"/>
            <w:shd w:val="clear" w:color="auto" w:fill="auto"/>
            <w:vAlign w:val="center"/>
          </w:tcPr>
          <w:p w14:paraId="15A46C52" w14:textId="77777777" w:rsidR="00587AE1" w:rsidRPr="00DD5984" w:rsidRDefault="00587AE1" w:rsidP="00777D20">
            <w:pPr>
              <w:pStyle w:val="TableText0"/>
              <w:jc w:val="center"/>
            </w:pPr>
            <w:r w:rsidRPr="00DD5984">
              <w:t>2/53 (3.77)</w:t>
            </w:r>
          </w:p>
        </w:tc>
        <w:tc>
          <w:tcPr>
            <w:tcW w:w="1076" w:type="pct"/>
            <w:shd w:val="clear" w:color="auto" w:fill="auto"/>
            <w:vAlign w:val="center"/>
          </w:tcPr>
          <w:p w14:paraId="5FDC38E3" w14:textId="77777777" w:rsidR="00587AE1" w:rsidRPr="00DD5984" w:rsidRDefault="00587AE1" w:rsidP="00777D20">
            <w:pPr>
              <w:pStyle w:val="TableText0"/>
              <w:jc w:val="center"/>
              <w:rPr>
                <w:b/>
                <w:bCs w:val="0"/>
                <w:highlight w:val="yellow"/>
              </w:rPr>
            </w:pPr>
            <w:r w:rsidRPr="00DD5984">
              <w:rPr>
                <w:b/>
                <w:bCs w:val="0"/>
              </w:rPr>
              <w:t>37.6 (7.6, 302.2)</w:t>
            </w:r>
          </w:p>
        </w:tc>
      </w:tr>
      <w:tr w:rsidR="00587AE1" w:rsidRPr="00DD5984" w14:paraId="184A8C60" w14:textId="77777777" w:rsidTr="05042C88">
        <w:trPr>
          <w:trHeight w:val="77"/>
        </w:trPr>
        <w:tc>
          <w:tcPr>
            <w:tcW w:w="1328" w:type="pct"/>
            <w:vAlign w:val="center"/>
          </w:tcPr>
          <w:p w14:paraId="1660A5D0" w14:textId="0B1F1E71" w:rsidR="00587AE1" w:rsidRPr="00DD5984" w:rsidRDefault="00587AE1" w:rsidP="00777D20">
            <w:pPr>
              <w:pStyle w:val="TableText0"/>
            </w:pPr>
            <w:r w:rsidRPr="00DD5984">
              <w:t xml:space="preserve">OCA 5-10mg </w:t>
            </w:r>
            <w:r w:rsidR="00947C8E" w:rsidRPr="00DD5984">
              <w:t>vs</w:t>
            </w:r>
            <w:r w:rsidRPr="00DD5984">
              <w:t xml:space="preserve"> placebo</w:t>
            </w:r>
          </w:p>
        </w:tc>
        <w:tc>
          <w:tcPr>
            <w:tcW w:w="732" w:type="pct"/>
            <w:shd w:val="clear" w:color="auto" w:fill="auto"/>
            <w:vAlign w:val="center"/>
          </w:tcPr>
          <w:p w14:paraId="14C5E8EB" w14:textId="77777777" w:rsidR="00587AE1" w:rsidRPr="00DD5984" w:rsidRDefault="00587AE1" w:rsidP="00557068">
            <w:pPr>
              <w:pStyle w:val="TableText0"/>
              <w:jc w:val="center"/>
            </w:pPr>
            <w:r w:rsidRPr="00DD5984">
              <w:t>POISE</w:t>
            </w:r>
          </w:p>
        </w:tc>
        <w:tc>
          <w:tcPr>
            <w:tcW w:w="932" w:type="pct"/>
            <w:shd w:val="clear" w:color="auto" w:fill="auto"/>
            <w:vAlign w:val="center"/>
          </w:tcPr>
          <w:p w14:paraId="0785365F" w14:textId="77777777" w:rsidR="00587AE1" w:rsidRPr="00DD5984" w:rsidRDefault="00587AE1" w:rsidP="00777D20">
            <w:pPr>
              <w:pStyle w:val="TableText0"/>
              <w:jc w:val="center"/>
              <w:rPr>
                <w:vertAlign w:val="superscript"/>
              </w:rPr>
            </w:pPr>
            <w:r w:rsidRPr="00DD5984">
              <w:t>32.20/70 (46)</w:t>
            </w:r>
            <w:r w:rsidRPr="00DD5984">
              <w:rPr>
                <w:vertAlign w:val="superscript"/>
              </w:rPr>
              <w:t>b</w:t>
            </w:r>
          </w:p>
          <w:p w14:paraId="1C839A6E" w14:textId="77777777" w:rsidR="00587AE1" w:rsidRPr="00DD5984" w:rsidRDefault="00587AE1" w:rsidP="00777D20">
            <w:pPr>
              <w:pStyle w:val="TableText0"/>
              <w:jc w:val="center"/>
            </w:pPr>
            <w:r w:rsidRPr="00DD5984">
              <w:t>32/70 (46)</w:t>
            </w:r>
            <w:r w:rsidRPr="00DD5984">
              <w:rPr>
                <w:vertAlign w:val="superscript"/>
              </w:rPr>
              <w:t>c</w:t>
            </w:r>
          </w:p>
        </w:tc>
        <w:tc>
          <w:tcPr>
            <w:tcW w:w="932" w:type="pct"/>
            <w:shd w:val="clear" w:color="auto" w:fill="auto"/>
            <w:vAlign w:val="center"/>
          </w:tcPr>
          <w:p w14:paraId="7FC81F1C" w14:textId="77777777" w:rsidR="00587AE1" w:rsidRPr="00DD5984" w:rsidRDefault="00587AE1" w:rsidP="00777D20">
            <w:pPr>
              <w:pStyle w:val="TableText0"/>
              <w:jc w:val="center"/>
              <w:rPr>
                <w:vertAlign w:val="superscript"/>
              </w:rPr>
            </w:pPr>
            <w:r w:rsidRPr="00DD5984">
              <w:t>7.30/73 (10)</w:t>
            </w:r>
            <w:r w:rsidRPr="00DD5984">
              <w:rPr>
                <w:vertAlign w:val="superscript"/>
              </w:rPr>
              <w:t>b</w:t>
            </w:r>
          </w:p>
          <w:p w14:paraId="3B5E7B5E" w14:textId="77777777" w:rsidR="00587AE1" w:rsidRPr="00DD5984" w:rsidRDefault="00587AE1" w:rsidP="00777D20">
            <w:pPr>
              <w:pStyle w:val="TableText0"/>
              <w:jc w:val="center"/>
            </w:pPr>
            <w:r w:rsidRPr="00DD5984">
              <w:t>7/73 (10)</w:t>
            </w:r>
            <w:r w:rsidRPr="00DD5984">
              <w:rPr>
                <w:vertAlign w:val="superscript"/>
              </w:rPr>
              <w:t>c</w:t>
            </w:r>
          </w:p>
        </w:tc>
        <w:tc>
          <w:tcPr>
            <w:tcW w:w="1076" w:type="pct"/>
            <w:shd w:val="clear" w:color="auto" w:fill="auto"/>
            <w:vAlign w:val="center"/>
          </w:tcPr>
          <w:p w14:paraId="32AFAB47" w14:textId="77777777" w:rsidR="00587AE1" w:rsidRPr="00DD5984" w:rsidRDefault="00587AE1" w:rsidP="00777D20">
            <w:pPr>
              <w:pStyle w:val="TableText0"/>
              <w:jc w:val="center"/>
              <w:rPr>
                <w:highlight w:val="yellow"/>
              </w:rPr>
            </w:pPr>
            <w:r w:rsidRPr="00DD5984">
              <w:rPr>
                <w:b/>
                <w:bCs w:val="0"/>
              </w:rPr>
              <w:t>9.1 (3.6, 23.2)</w:t>
            </w:r>
          </w:p>
        </w:tc>
      </w:tr>
      <w:tr w:rsidR="00587AE1" w:rsidRPr="00DD5984" w14:paraId="0992367A" w14:textId="77777777" w:rsidTr="05042C88">
        <w:trPr>
          <w:trHeight w:val="77"/>
        </w:trPr>
        <w:tc>
          <w:tcPr>
            <w:tcW w:w="1328" w:type="pct"/>
            <w:vAlign w:val="center"/>
          </w:tcPr>
          <w:p w14:paraId="7EF80095" w14:textId="720C8EA2" w:rsidR="00587AE1" w:rsidRPr="00DD5984" w:rsidRDefault="00587AE1" w:rsidP="00777D20">
            <w:pPr>
              <w:pStyle w:val="TableText0"/>
            </w:pPr>
            <w:r w:rsidRPr="00DD5984">
              <w:t xml:space="preserve">OCA 10mg </w:t>
            </w:r>
            <w:r w:rsidR="00947C8E" w:rsidRPr="00DD5984">
              <w:t>vs</w:t>
            </w:r>
            <w:r w:rsidRPr="00DD5984">
              <w:t xml:space="preserve"> placebo</w:t>
            </w:r>
          </w:p>
        </w:tc>
        <w:tc>
          <w:tcPr>
            <w:tcW w:w="732" w:type="pct"/>
            <w:shd w:val="clear" w:color="auto" w:fill="auto"/>
            <w:vAlign w:val="center"/>
          </w:tcPr>
          <w:p w14:paraId="0B3B5FCC" w14:textId="77777777" w:rsidR="00587AE1" w:rsidRPr="00DD5984" w:rsidRDefault="00587AE1" w:rsidP="00557068">
            <w:pPr>
              <w:pStyle w:val="TableText0"/>
              <w:jc w:val="center"/>
            </w:pPr>
            <w:r w:rsidRPr="00DD5984">
              <w:t>POISE</w:t>
            </w:r>
          </w:p>
        </w:tc>
        <w:tc>
          <w:tcPr>
            <w:tcW w:w="932" w:type="pct"/>
            <w:shd w:val="clear" w:color="auto" w:fill="auto"/>
            <w:vAlign w:val="center"/>
          </w:tcPr>
          <w:p w14:paraId="7FD6DEC3" w14:textId="77777777" w:rsidR="00587AE1" w:rsidRPr="00DD5984" w:rsidRDefault="00587AE1" w:rsidP="00777D20">
            <w:pPr>
              <w:pStyle w:val="TableText0"/>
              <w:jc w:val="center"/>
              <w:rPr>
                <w:vertAlign w:val="superscript"/>
              </w:rPr>
            </w:pPr>
            <w:r w:rsidRPr="00DD5984">
              <w:t>34.31/73 (47)</w:t>
            </w:r>
            <w:r w:rsidRPr="00DD5984">
              <w:rPr>
                <w:vertAlign w:val="superscript"/>
              </w:rPr>
              <w:t>b</w:t>
            </w:r>
          </w:p>
          <w:p w14:paraId="712CCDE2" w14:textId="77777777" w:rsidR="00587AE1" w:rsidRPr="00DD5984" w:rsidRDefault="00587AE1" w:rsidP="00777D20">
            <w:pPr>
              <w:pStyle w:val="TableText0"/>
              <w:jc w:val="center"/>
            </w:pPr>
            <w:r w:rsidRPr="00DD5984">
              <w:t>34/73 (47)</w:t>
            </w:r>
            <w:r w:rsidRPr="00DD5984">
              <w:rPr>
                <w:vertAlign w:val="superscript"/>
              </w:rPr>
              <w:t>c</w:t>
            </w:r>
          </w:p>
        </w:tc>
        <w:tc>
          <w:tcPr>
            <w:tcW w:w="932" w:type="pct"/>
            <w:shd w:val="clear" w:color="auto" w:fill="auto"/>
            <w:vAlign w:val="center"/>
          </w:tcPr>
          <w:p w14:paraId="5EE3386F" w14:textId="77777777" w:rsidR="00587AE1" w:rsidRPr="00DD5984" w:rsidRDefault="00587AE1" w:rsidP="00777D20">
            <w:pPr>
              <w:pStyle w:val="TableText0"/>
              <w:jc w:val="center"/>
              <w:rPr>
                <w:vertAlign w:val="superscript"/>
              </w:rPr>
            </w:pPr>
            <w:r w:rsidRPr="00DD5984">
              <w:t>7.30/73 (10)</w:t>
            </w:r>
            <w:r w:rsidRPr="00DD5984">
              <w:rPr>
                <w:vertAlign w:val="superscript"/>
              </w:rPr>
              <w:t>b</w:t>
            </w:r>
          </w:p>
          <w:p w14:paraId="4DF8D25D" w14:textId="77777777" w:rsidR="00587AE1" w:rsidRPr="00DD5984" w:rsidRDefault="00587AE1" w:rsidP="00777D20">
            <w:pPr>
              <w:pStyle w:val="TableText0"/>
              <w:jc w:val="center"/>
            </w:pPr>
            <w:r w:rsidRPr="00DD5984">
              <w:t>7/73 (10)</w:t>
            </w:r>
            <w:r w:rsidRPr="00DD5984">
              <w:rPr>
                <w:vertAlign w:val="superscript"/>
              </w:rPr>
              <w:t>c</w:t>
            </w:r>
          </w:p>
        </w:tc>
        <w:tc>
          <w:tcPr>
            <w:tcW w:w="1076" w:type="pct"/>
            <w:shd w:val="clear" w:color="auto" w:fill="auto"/>
            <w:vAlign w:val="center"/>
          </w:tcPr>
          <w:p w14:paraId="5DAB2408" w14:textId="77777777" w:rsidR="00587AE1" w:rsidRPr="00DD5984" w:rsidRDefault="00587AE1" w:rsidP="00777D20">
            <w:pPr>
              <w:pStyle w:val="TableText0"/>
              <w:jc w:val="center"/>
              <w:rPr>
                <w:highlight w:val="yellow"/>
              </w:rPr>
            </w:pPr>
            <w:r w:rsidRPr="00DD5984">
              <w:rPr>
                <w:b/>
                <w:bCs w:val="0"/>
              </w:rPr>
              <w:t>9.4 (3.7, 23.9)</w:t>
            </w:r>
          </w:p>
        </w:tc>
      </w:tr>
      <w:tr w:rsidR="00587AE1" w:rsidRPr="00DD5984" w14:paraId="51023A21" w14:textId="77777777" w:rsidTr="05042C88">
        <w:tc>
          <w:tcPr>
            <w:tcW w:w="5000" w:type="pct"/>
            <w:gridSpan w:val="5"/>
            <w:vAlign w:val="center"/>
          </w:tcPr>
          <w:p w14:paraId="4940AB8E" w14:textId="77777777" w:rsidR="00587AE1" w:rsidRPr="00DD5984" w:rsidRDefault="00587AE1" w:rsidP="00777D20">
            <w:pPr>
              <w:pStyle w:val="TableText0"/>
            </w:pPr>
            <w:r w:rsidRPr="00DD5984">
              <w:t>Indirect estimate of effect adjusted for the common reference</w:t>
            </w:r>
          </w:p>
        </w:tc>
      </w:tr>
      <w:tr w:rsidR="00587AE1" w:rsidRPr="00DD5984" w14:paraId="3B621B8C" w14:textId="77777777" w:rsidTr="05042C88">
        <w:tc>
          <w:tcPr>
            <w:tcW w:w="1328" w:type="pct"/>
            <w:vAlign w:val="center"/>
          </w:tcPr>
          <w:p w14:paraId="5D7CF222" w14:textId="77777777" w:rsidR="00587AE1" w:rsidRPr="00DD5984" w:rsidRDefault="00587AE1" w:rsidP="00777D20">
            <w:pPr>
              <w:pStyle w:val="TableText0"/>
            </w:pPr>
            <w:r w:rsidRPr="00DD5984">
              <w:t>ELA vs OCA 5-10mg</w:t>
            </w:r>
          </w:p>
        </w:tc>
        <w:tc>
          <w:tcPr>
            <w:tcW w:w="732" w:type="pct"/>
            <w:shd w:val="clear" w:color="auto" w:fill="auto"/>
            <w:vAlign w:val="center"/>
          </w:tcPr>
          <w:p w14:paraId="1D61DCA5" w14:textId="77777777" w:rsidR="00587AE1" w:rsidRPr="00DD5984" w:rsidRDefault="00587AE1" w:rsidP="00777D20">
            <w:pPr>
              <w:pStyle w:val="TableText0"/>
              <w:jc w:val="center"/>
            </w:pPr>
            <w:r w:rsidRPr="00DD5984">
              <w:t>–</w:t>
            </w:r>
          </w:p>
        </w:tc>
        <w:tc>
          <w:tcPr>
            <w:tcW w:w="932" w:type="pct"/>
            <w:shd w:val="clear" w:color="auto" w:fill="auto"/>
            <w:vAlign w:val="center"/>
          </w:tcPr>
          <w:p w14:paraId="4E5A54B2" w14:textId="77777777" w:rsidR="00587AE1" w:rsidRPr="00DD5984" w:rsidRDefault="00587AE1" w:rsidP="00777D20">
            <w:pPr>
              <w:pStyle w:val="TableText0"/>
              <w:jc w:val="center"/>
            </w:pPr>
            <w:r w:rsidRPr="00DD5984">
              <w:t>–</w:t>
            </w:r>
          </w:p>
        </w:tc>
        <w:tc>
          <w:tcPr>
            <w:tcW w:w="932" w:type="pct"/>
            <w:shd w:val="clear" w:color="auto" w:fill="auto"/>
            <w:vAlign w:val="center"/>
          </w:tcPr>
          <w:p w14:paraId="7A7017B0" w14:textId="77777777" w:rsidR="00587AE1" w:rsidRPr="00DD5984" w:rsidRDefault="00587AE1" w:rsidP="00777D20">
            <w:pPr>
              <w:pStyle w:val="TableText0"/>
              <w:jc w:val="center"/>
            </w:pPr>
            <w:r w:rsidRPr="00DD5984">
              <w:t>–</w:t>
            </w:r>
          </w:p>
        </w:tc>
        <w:tc>
          <w:tcPr>
            <w:tcW w:w="1076" w:type="pct"/>
            <w:shd w:val="clear" w:color="auto" w:fill="auto"/>
            <w:vAlign w:val="center"/>
          </w:tcPr>
          <w:p w14:paraId="3949B1C6" w14:textId="77777777" w:rsidR="00587AE1" w:rsidRPr="00DD5984" w:rsidRDefault="00587AE1" w:rsidP="00777D20">
            <w:pPr>
              <w:pStyle w:val="TableText0"/>
              <w:jc w:val="center"/>
            </w:pPr>
            <w:r w:rsidRPr="00DD5984">
              <w:t>3.45 (0.62, 19.19)</w:t>
            </w:r>
          </w:p>
          <w:p w14:paraId="5B35D610" w14:textId="77777777" w:rsidR="00587AE1" w:rsidRPr="00DD5984" w:rsidRDefault="00587AE1" w:rsidP="00777D20">
            <w:pPr>
              <w:pStyle w:val="TableText0"/>
              <w:jc w:val="center"/>
            </w:pPr>
            <w:r w:rsidRPr="05042C88">
              <w:t>4.13 (0.52, 32.54)</w:t>
            </w:r>
            <w:r w:rsidRPr="05042C88">
              <w:rPr>
                <w:vertAlign w:val="superscript"/>
              </w:rPr>
              <w:t>d</w:t>
            </w:r>
          </w:p>
        </w:tc>
      </w:tr>
      <w:tr w:rsidR="00587AE1" w:rsidRPr="00DD5984" w14:paraId="062F096D" w14:textId="77777777" w:rsidTr="05042C88">
        <w:tc>
          <w:tcPr>
            <w:tcW w:w="1328" w:type="pct"/>
            <w:vAlign w:val="center"/>
          </w:tcPr>
          <w:p w14:paraId="3DC7ADBD" w14:textId="77777777" w:rsidR="00587AE1" w:rsidRPr="00DD5984" w:rsidRDefault="00587AE1" w:rsidP="00777D20">
            <w:pPr>
              <w:pStyle w:val="TableText0"/>
            </w:pPr>
            <w:r w:rsidRPr="00DD5984">
              <w:t>ELA vs OCA 10mg</w:t>
            </w:r>
          </w:p>
        </w:tc>
        <w:tc>
          <w:tcPr>
            <w:tcW w:w="732" w:type="pct"/>
            <w:shd w:val="clear" w:color="auto" w:fill="auto"/>
            <w:vAlign w:val="center"/>
          </w:tcPr>
          <w:p w14:paraId="30610A5F" w14:textId="77777777" w:rsidR="00587AE1" w:rsidRPr="00DD5984" w:rsidRDefault="00587AE1" w:rsidP="00777D20">
            <w:pPr>
              <w:pStyle w:val="TableText0"/>
              <w:jc w:val="center"/>
            </w:pPr>
            <w:r w:rsidRPr="00DD5984">
              <w:t>–</w:t>
            </w:r>
          </w:p>
        </w:tc>
        <w:tc>
          <w:tcPr>
            <w:tcW w:w="932" w:type="pct"/>
            <w:shd w:val="clear" w:color="auto" w:fill="auto"/>
            <w:vAlign w:val="center"/>
          </w:tcPr>
          <w:p w14:paraId="15D7A8C5" w14:textId="77777777" w:rsidR="00587AE1" w:rsidRPr="00DD5984" w:rsidRDefault="00587AE1" w:rsidP="00777D20">
            <w:pPr>
              <w:pStyle w:val="TableText0"/>
              <w:jc w:val="center"/>
            </w:pPr>
            <w:r w:rsidRPr="00DD5984">
              <w:t>–</w:t>
            </w:r>
          </w:p>
        </w:tc>
        <w:tc>
          <w:tcPr>
            <w:tcW w:w="932" w:type="pct"/>
            <w:shd w:val="clear" w:color="auto" w:fill="auto"/>
            <w:vAlign w:val="center"/>
          </w:tcPr>
          <w:p w14:paraId="0D724145" w14:textId="77777777" w:rsidR="00587AE1" w:rsidRPr="00DD5984" w:rsidRDefault="00587AE1" w:rsidP="00777D20">
            <w:pPr>
              <w:pStyle w:val="TableText0"/>
              <w:jc w:val="center"/>
            </w:pPr>
            <w:r w:rsidRPr="00DD5984">
              <w:t>–</w:t>
            </w:r>
          </w:p>
        </w:tc>
        <w:tc>
          <w:tcPr>
            <w:tcW w:w="1076" w:type="pct"/>
            <w:shd w:val="clear" w:color="auto" w:fill="auto"/>
            <w:vAlign w:val="center"/>
          </w:tcPr>
          <w:p w14:paraId="733EB447" w14:textId="77777777" w:rsidR="00587AE1" w:rsidRPr="00DD5984" w:rsidRDefault="00587AE1" w:rsidP="00777D20">
            <w:pPr>
              <w:pStyle w:val="TableText0"/>
              <w:jc w:val="center"/>
            </w:pPr>
            <w:r w:rsidRPr="00DD5984">
              <w:t>3.32 (0.6, 18.39)</w:t>
            </w:r>
          </w:p>
          <w:p w14:paraId="4796FB2F" w14:textId="77777777" w:rsidR="00587AE1" w:rsidRPr="00DD5984" w:rsidRDefault="00587AE1" w:rsidP="05042C88">
            <w:pPr>
              <w:pStyle w:val="TableText0"/>
              <w:jc w:val="center"/>
              <w:rPr>
                <w:rFonts w:cs="Calibri"/>
                <w:color w:val="000000"/>
                <w:sz w:val="22"/>
                <w:szCs w:val="22"/>
              </w:rPr>
            </w:pPr>
            <w:r w:rsidRPr="05042C88">
              <w:t>4.00 (0.51, 31.52)</w:t>
            </w:r>
            <w:r w:rsidRPr="05042C88">
              <w:rPr>
                <w:vertAlign w:val="superscript"/>
              </w:rPr>
              <w:t>d</w:t>
            </w:r>
          </w:p>
        </w:tc>
      </w:tr>
      <w:tr w:rsidR="00587AE1" w:rsidRPr="00DD5984" w14:paraId="119308E9" w14:textId="77777777" w:rsidTr="05042C88">
        <w:tc>
          <w:tcPr>
            <w:tcW w:w="5000" w:type="pct"/>
            <w:gridSpan w:val="5"/>
            <w:vAlign w:val="center"/>
          </w:tcPr>
          <w:p w14:paraId="55895BC9" w14:textId="77777777" w:rsidR="00587AE1" w:rsidRPr="00DD5984" w:rsidRDefault="00587AE1" w:rsidP="00777D20">
            <w:pPr>
              <w:pStyle w:val="TableText0"/>
              <w:rPr>
                <w:b/>
                <w:bCs w:val="0"/>
              </w:rPr>
            </w:pPr>
            <w:r w:rsidRPr="00DD5984">
              <w:rPr>
                <w:b/>
                <w:bCs w:val="0"/>
              </w:rPr>
              <w:t xml:space="preserve">ALP normalisation at 52 weeks/12 months </w:t>
            </w:r>
            <w:r w:rsidRPr="00DD5984">
              <w:rPr>
                <w:b/>
                <w:bCs w:val="0"/>
                <w:vertAlign w:val="superscript"/>
              </w:rPr>
              <w:t>e</w:t>
            </w:r>
          </w:p>
        </w:tc>
      </w:tr>
      <w:tr w:rsidR="00587AE1" w:rsidRPr="00DD5984" w14:paraId="7A000EE4" w14:textId="77777777" w:rsidTr="05042C88">
        <w:tc>
          <w:tcPr>
            <w:tcW w:w="1328" w:type="pct"/>
            <w:vAlign w:val="center"/>
          </w:tcPr>
          <w:p w14:paraId="50C992C8" w14:textId="427C17C4" w:rsidR="00587AE1" w:rsidRPr="00DD5984" w:rsidRDefault="00587AE1" w:rsidP="00777D20">
            <w:pPr>
              <w:pStyle w:val="TableText0"/>
            </w:pPr>
            <w:r w:rsidRPr="00DD5984">
              <w:t xml:space="preserve">ELA </w:t>
            </w:r>
            <w:r w:rsidR="00947C8E" w:rsidRPr="00DD5984">
              <w:t>vs</w:t>
            </w:r>
            <w:r w:rsidRPr="00DD5984">
              <w:t xml:space="preserve"> placebo</w:t>
            </w:r>
          </w:p>
        </w:tc>
        <w:tc>
          <w:tcPr>
            <w:tcW w:w="732" w:type="pct"/>
            <w:shd w:val="clear" w:color="auto" w:fill="auto"/>
            <w:vAlign w:val="center"/>
          </w:tcPr>
          <w:p w14:paraId="6010EF13" w14:textId="77777777" w:rsidR="00587AE1" w:rsidRPr="00DD5984" w:rsidRDefault="00587AE1" w:rsidP="00777D20">
            <w:pPr>
              <w:pStyle w:val="TableText0"/>
              <w:jc w:val="center"/>
            </w:pPr>
            <w:r w:rsidRPr="00DD5984">
              <w:t>ELATIVE</w:t>
            </w:r>
          </w:p>
        </w:tc>
        <w:tc>
          <w:tcPr>
            <w:tcW w:w="932" w:type="pct"/>
            <w:shd w:val="clear" w:color="auto" w:fill="auto"/>
            <w:vAlign w:val="center"/>
          </w:tcPr>
          <w:p w14:paraId="04B0A5BD" w14:textId="77777777" w:rsidR="00587AE1" w:rsidRPr="00DD5984" w:rsidRDefault="00587AE1" w:rsidP="00777D20">
            <w:pPr>
              <w:pStyle w:val="TableText0"/>
              <w:jc w:val="center"/>
            </w:pPr>
            <w:r w:rsidRPr="00DD5984">
              <w:t>16/108 (14.8)</w:t>
            </w:r>
          </w:p>
        </w:tc>
        <w:tc>
          <w:tcPr>
            <w:tcW w:w="932" w:type="pct"/>
            <w:shd w:val="clear" w:color="auto" w:fill="auto"/>
            <w:vAlign w:val="center"/>
          </w:tcPr>
          <w:p w14:paraId="07D3047A" w14:textId="6E145230" w:rsidR="00587AE1" w:rsidRPr="00DD5984" w:rsidRDefault="00CD24E1" w:rsidP="00777D20">
            <w:pPr>
              <w:pStyle w:val="TableText0"/>
              <w:jc w:val="center"/>
            </w:pPr>
            <w:r w:rsidRPr="00DD5984">
              <w:t>0</w:t>
            </w:r>
          </w:p>
        </w:tc>
        <w:tc>
          <w:tcPr>
            <w:tcW w:w="1076" w:type="pct"/>
            <w:shd w:val="clear" w:color="auto" w:fill="auto"/>
            <w:vAlign w:val="center"/>
          </w:tcPr>
          <w:p w14:paraId="455F745E" w14:textId="48A9DC81" w:rsidR="00587AE1" w:rsidRPr="00DD5984" w:rsidRDefault="00BC3AE9" w:rsidP="00914827">
            <w:pPr>
              <w:pStyle w:val="TableText0"/>
              <w:jc w:val="center"/>
              <w:rPr>
                <w:b/>
                <w:bCs w:val="0"/>
              </w:rPr>
            </w:pPr>
            <w:r w:rsidRPr="00DD5984">
              <w:rPr>
                <w:b/>
                <w:bCs w:val="0"/>
              </w:rPr>
              <w:t>∞</w:t>
            </w:r>
            <w:r w:rsidR="00587AE1" w:rsidRPr="00DD5984">
              <w:rPr>
                <w:b/>
                <w:bCs w:val="0"/>
              </w:rPr>
              <w:t xml:space="preserve"> (2.8, </w:t>
            </w:r>
            <w:r w:rsidRPr="00DD5984">
              <w:rPr>
                <w:b/>
                <w:bCs w:val="0"/>
              </w:rPr>
              <w:t>∞</w:t>
            </w:r>
            <w:r w:rsidR="00587AE1" w:rsidRPr="00DD5984">
              <w:rPr>
                <w:b/>
                <w:bCs w:val="0"/>
              </w:rPr>
              <w:t>)</w:t>
            </w:r>
          </w:p>
        </w:tc>
      </w:tr>
      <w:tr w:rsidR="00587AE1" w:rsidRPr="00DD5984" w14:paraId="038E8065" w14:textId="77777777" w:rsidTr="05042C88">
        <w:tc>
          <w:tcPr>
            <w:tcW w:w="1328" w:type="pct"/>
            <w:vAlign w:val="center"/>
          </w:tcPr>
          <w:p w14:paraId="6F482B60" w14:textId="3918C697" w:rsidR="00587AE1" w:rsidRPr="00DD5984" w:rsidRDefault="00587AE1" w:rsidP="00777D20">
            <w:pPr>
              <w:pStyle w:val="TableText0"/>
            </w:pPr>
            <w:r w:rsidRPr="00DD5984">
              <w:t xml:space="preserve">OCA 5-10mg </w:t>
            </w:r>
            <w:r w:rsidR="00947C8E" w:rsidRPr="00DD5984">
              <w:t>vs</w:t>
            </w:r>
            <w:r w:rsidRPr="00DD5984">
              <w:t xml:space="preserve"> placebo</w:t>
            </w:r>
          </w:p>
        </w:tc>
        <w:tc>
          <w:tcPr>
            <w:tcW w:w="732" w:type="pct"/>
            <w:shd w:val="clear" w:color="auto" w:fill="auto"/>
            <w:vAlign w:val="center"/>
          </w:tcPr>
          <w:p w14:paraId="3EB4E71B" w14:textId="77777777" w:rsidR="00587AE1" w:rsidRPr="00DD5984" w:rsidRDefault="00587AE1" w:rsidP="00777D20">
            <w:pPr>
              <w:pStyle w:val="TableText0"/>
              <w:jc w:val="center"/>
            </w:pPr>
            <w:r w:rsidRPr="00DD5984">
              <w:t>POISE</w:t>
            </w:r>
          </w:p>
        </w:tc>
        <w:tc>
          <w:tcPr>
            <w:tcW w:w="932" w:type="pct"/>
            <w:shd w:val="clear" w:color="auto" w:fill="auto"/>
            <w:vAlign w:val="center"/>
          </w:tcPr>
          <w:p w14:paraId="3D12B992" w14:textId="77777777" w:rsidR="00587AE1" w:rsidRPr="00DD5984" w:rsidRDefault="00587AE1" w:rsidP="00777D20">
            <w:pPr>
              <w:pStyle w:val="TableText0"/>
              <w:jc w:val="center"/>
            </w:pPr>
            <w:r w:rsidRPr="00DD5984">
              <w:t>1/70 (1.4)</w:t>
            </w:r>
          </w:p>
        </w:tc>
        <w:tc>
          <w:tcPr>
            <w:tcW w:w="932" w:type="pct"/>
            <w:shd w:val="clear" w:color="auto" w:fill="auto"/>
            <w:vAlign w:val="center"/>
          </w:tcPr>
          <w:p w14:paraId="1265E9D0" w14:textId="50D83611" w:rsidR="00587AE1" w:rsidRPr="00DD5984" w:rsidRDefault="00CD24E1" w:rsidP="00777D20">
            <w:pPr>
              <w:pStyle w:val="TableText0"/>
              <w:jc w:val="center"/>
            </w:pPr>
            <w:r w:rsidRPr="00DD5984">
              <w:t>0</w:t>
            </w:r>
          </w:p>
        </w:tc>
        <w:tc>
          <w:tcPr>
            <w:tcW w:w="1076" w:type="pct"/>
            <w:shd w:val="clear" w:color="auto" w:fill="auto"/>
            <w:vAlign w:val="center"/>
          </w:tcPr>
          <w:p w14:paraId="6AC786E2" w14:textId="77777777" w:rsidR="00587AE1" w:rsidRPr="00DD5984" w:rsidRDefault="00587AE1" w:rsidP="00777D20">
            <w:pPr>
              <w:pStyle w:val="TableText0"/>
              <w:jc w:val="center"/>
            </w:pPr>
            <w:r w:rsidRPr="00DD5984">
              <w:t>NR</w:t>
            </w:r>
          </w:p>
        </w:tc>
      </w:tr>
      <w:tr w:rsidR="00587AE1" w:rsidRPr="00DD5984" w14:paraId="7160C34D" w14:textId="77777777" w:rsidTr="05042C88">
        <w:tc>
          <w:tcPr>
            <w:tcW w:w="1328" w:type="pct"/>
            <w:vAlign w:val="center"/>
          </w:tcPr>
          <w:p w14:paraId="0CE05293" w14:textId="10C8C8DE" w:rsidR="00587AE1" w:rsidRPr="00DD5984" w:rsidRDefault="00587AE1" w:rsidP="00777D20">
            <w:pPr>
              <w:pStyle w:val="TableText0"/>
            </w:pPr>
            <w:r w:rsidRPr="00DD5984">
              <w:t xml:space="preserve">OCA 10mg </w:t>
            </w:r>
            <w:r w:rsidR="00947C8E" w:rsidRPr="00DD5984">
              <w:t>vs</w:t>
            </w:r>
            <w:r w:rsidRPr="00DD5984">
              <w:t xml:space="preserve"> placebo</w:t>
            </w:r>
          </w:p>
        </w:tc>
        <w:tc>
          <w:tcPr>
            <w:tcW w:w="732" w:type="pct"/>
            <w:shd w:val="clear" w:color="auto" w:fill="auto"/>
            <w:vAlign w:val="center"/>
          </w:tcPr>
          <w:p w14:paraId="14CC8781" w14:textId="77777777" w:rsidR="00587AE1" w:rsidRPr="00DD5984" w:rsidRDefault="00587AE1" w:rsidP="00777D20">
            <w:pPr>
              <w:pStyle w:val="TableText0"/>
              <w:jc w:val="center"/>
            </w:pPr>
            <w:r w:rsidRPr="00DD5984">
              <w:t>POISE</w:t>
            </w:r>
          </w:p>
        </w:tc>
        <w:tc>
          <w:tcPr>
            <w:tcW w:w="932" w:type="pct"/>
            <w:shd w:val="clear" w:color="auto" w:fill="auto"/>
            <w:vAlign w:val="center"/>
          </w:tcPr>
          <w:p w14:paraId="057718E3" w14:textId="77777777" w:rsidR="00587AE1" w:rsidRPr="00DD5984" w:rsidRDefault="00587AE1" w:rsidP="00777D20">
            <w:pPr>
              <w:pStyle w:val="TableText0"/>
              <w:jc w:val="center"/>
            </w:pPr>
            <w:r w:rsidRPr="00DD5984">
              <w:t>5/73 (6.8)</w:t>
            </w:r>
          </w:p>
        </w:tc>
        <w:tc>
          <w:tcPr>
            <w:tcW w:w="932" w:type="pct"/>
            <w:shd w:val="clear" w:color="auto" w:fill="auto"/>
            <w:vAlign w:val="center"/>
          </w:tcPr>
          <w:p w14:paraId="450278B5" w14:textId="5CDF92E7" w:rsidR="00587AE1" w:rsidRPr="00DD5984" w:rsidRDefault="00CD24E1" w:rsidP="00777D20">
            <w:pPr>
              <w:pStyle w:val="TableText0"/>
              <w:jc w:val="center"/>
            </w:pPr>
            <w:r w:rsidRPr="00DD5984">
              <w:t>0</w:t>
            </w:r>
          </w:p>
        </w:tc>
        <w:tc>
          <w:tcPr>
            <w:tcW w:w="1076" w:type="pct"/>
            <w:shd w:val="clear" w:color="auto" w:fill="auto"/>
            <w:vAlign w:val="center"/>
          </w:tcPr>
          <w:p w14:paraId="0ADD9318" w14:textId="77777777" w:rsidR="00587AE1" w:rsidRPr="00DD5984" w:rsidRDefault="00587AE1" w:rsidP="00777D20">
            <w:pPr>
              <w:pStyle w:val="TableText0"/>
              <w:jc w:val="center"/>
            </w:pPr>
            <w:r w:rsidRPr="00DD5984">
              <w:t>NR</w:t>
            </w:r>
          </w:p>
        </w:tc>
      </w:tr>
      <w:tr w:rsidR="00587AE1" w:rsidRPr="00DD5984" w14:paraId="087E17B4" w14:textId="77777777" w:rsidTr="05042C88">
        <w:tc>
          <w:tcPr>
            <w:tcW w:w="5000" w:type="pct"/>
            <w:gridSpan w:val="5"/>
            <w:vAlign w:val="center"/>
          </w:tcPr>
          <w:p w14:paraId="28315B08" w14:textId="77777777" w:rsidR="00587AE1" w:rsidRPr="00DD5984" w:rsidRDefault="00587AE1" w:rsidP="00777D20">
            <w:pPr>
              <w:pStyle w:val="TableText0"/>
            </w:pPr>
            <w:r w:rsidRPr="00DD5984">
              <w:t>Indirect estimate of effect adjusted for the common reference</w:t>
            </w:r>
          </w:p>
        </w:tc>
      </w:tr>
      <w:tr w:rsidR="00587AE1" w:rsidRPr="00DD5984" w14:paraId="1E89658F" w14:textId="77777777" w:rsidTr="05042C88">
        <w:tc>
          <w:tcPr>
            <w:tcW w:w="1328" w:type="pct"/>
            <w:vAlign w:val="center"/>
          </w:tcPr>
          <w:p w14:paraId="6860070A" w14:textId="77777777" w:rsidR="00587AE1" w:rsidRPr="00DD5984" w:rsidRDefault="00587AE1" w:rsidP="00777D20">
            <w:pPr>
              <w:pStyle w:val="TableText0"/>
            </w:pPr>
            <w:r w:rsidRPr="00DD5984">
              <w:t>ELA vs OCA 5-10mg</w:t>
            </w:r>
          </w:p>
        </w:tc>
        <w:tc>
          <w:tcPr>
            <w:tcW w:w="732" w:type="pct"/>
            <w:shd w:val="clear" w:color="auto" w:fill="auto"/>
            <w:vAlign w:val="center"/>
          </w:tcPr>
          <w:p w14:paraId="46FB02BE" w14:textId="77777777" w:rsidR="00587AE1" w:rsidRPr="00DD5984" w:rsidRDefault="00587AE1" w:rsidP="00777D20">
            <w:pPr>
              <w:pStyle w:val="TableText0"/>
              <w:jc w:val="center"/>
            </w:pPr>
            <w:r w:rsidRPr="00DD5984">
              <w:t>–</w:t>
            </w:r>
          </w:p>
        </w:tc>
        <w:tc>
          <w:tcPr>
            <w:tcW w:w="932" w:type="pct"/>
            <w:shd w:val="clear" w:color="auto" w:fill="auto"/>
            <w:vAlign w:val="center"/>
          </w:tcPr>
          <w:p w14:paraId="26A51362" w14:textId="77777777" w:rsidR="00587AE1" w:rsidRPr="00DD5984" w:rsidRDefault="00587AE1" w:rsidP="00777D20">
            <w:pPr>
              <w:pStyle w:val="TableText0"/>
              <w:jc w:val="center"/>
            </w:pPr>
            <w:r w:rsidRPr="00DD5984">
              <w:t>–</w:t>
            </w:r>
          </w:p>
        </w:tc>
        <w:tc>
          <w:tcPr>
            <w:tcW w:w="932" w:type="pct"/>
            <w:shd w:val="clear" w:color="auto" w:fill="auto"/>
            <w:vAlign w:val="center"/>
          </w:tcPr>
          <w:p w14:paraId="25E560B5" w14:textId="77777777" w:rsidR="00587AE1" w:rsidRPr="00DD5984" w:rsidRDefault="00587AE1" w:rsidP="00777D20">
            <w:pPr>
              <w:pStyle w:val="TableText0"/>
              <w:jc w:val="center"/>
            </w:pPr>
            <w:r w:rsidRPr="00DD5984">
              <w:t>–</w:t>
            </w:r>
          </w:p>
        </w:tc>
        <w:tc>
          <w:tcPr>
            <w:tcW w:w="1076" w:type="pct"/>
            <w:shd w:val="clear" w:color="auto" w:fill="auto"/>
            <w:vAlign w:val="center"/>
          </w:tcPr>
          <w:p w14:paraId="6BBBCBE1" w14:textId="77777777" w:rsidR="00587AE1" w:rsidRPr="009512E4" w:rsidRDefault="00587AE1" w:rsidP="00777D20">
            <w:pPr>
              <w:pStyle w:val="TableText0"/>
              <w:jc w:val="center"/>
            </w:pPr>
            <w:r w:rsidRPr="009512E4">
              <w:t>8.71 (0.10, 734.86)</w:t>
            </w:r>
          </w:p>
        </w:tc>
      </w:tr>
      <w:tr w:rsidR="00587AE1" w:rsidRPr="00DD5984" w14:paraId="6CB094DA" w14:textId="77777777" w:rsidTr="05042C88">
        <w:tc>
          <w:tcPr>
            <w:tcW w:w="1328" w:type="pct"/>
            <w:vAlign w:val="center"/>
          </w:tcPr>
          <w:p w14:paraId="1809EB4E" w14:textId="77777777" w:rsidR="00587AE1" w:rsidRPr="00DD5984" w:rsidRDefault="00587AE1" w:rsidP="00777D20">
            <w:pPr>
              <w:pStyle w:val="TableText0"/>
            </w:pPr>
            <w:r w:rsidRPr="00DD5984">
              <w:t>ELA vs OCA 10mg</w:t>
            </w:r>
          </w:p>
        </w:tc>
        <w:tc>
          <w:tcPr>
            <w:tcW w:w="732" w:type="pct"/>
            <w:shd w:val="clear" w:color="auto" w:fill="auto"/>
            <w:vAlign w:val="center"/>
          </w:tcPr>
          <w:p w14:paraId="4F94C655" w14:textId="77777777" w:rsidR="00587AE1" w:rsidRPr="00DD5984" w:rsidRDefault="00587AE1" w:rsidP="00777D20">
            <w:pPr>
              <w:pStyle w:val="TableText0"/>
              <w:jc w:val="center"/>
            </w:pPr>
            <w:r w:rsidRPr="00DD5984">
              <w:t>–</w:t>
            </w:r>
          </w:p>
        </w:tc>
        <w:tc>
          <w:tcPr>
            <w:tcW w:w="932" w:type="pct"/>
            <w:shd w:val="clear" w:color="auto" w:fill="auto"/>
            <w:vAlign w:val="center"/>
          </w:tcPr>
          <w:p w14:paraId="19899129" w14:textId="77777777" w:rsidR="00587AE1" w:rsidRPr="00DD5984" w:rsidRDefault="00587AE1" w:rsidP="00777D20">
            <w:pPr>
              <w:pStyle w:val="TableText0"/>
              <w:jc w:val="center"/>
            </w:pPr>
            <w:r w:rsidRPr="00DD5984">
              <w:t>–</w:t>
            </w:r>
          </w:p>
        </w:tc>
        <w:tc>
          <w:tcPr>
            <w:tcW w:w="932" w:type="pct"/>
            <w:shd w:val="clear" w:color="auto" w:fill="auto"/>
            <w:vAlign w:val="center"/>
          </w:tcPr>
          <w:p w14:paraId="4D92830C" w14:textId="77777777" w:rsidR="00587AE1" w:rsidRPr="00DD5984" w:rsidRDefault="00587AE1" w:rsidP="00777D20">
            <w:pPr>
              <w:pStyle w:val="TableText0"/>
              <w:jc w:val="center"/>
            </w:pPr>
            <w:r w:rsidRPr="00DD5984">
              <w:t>–</w:t>
            </w:r>
          </w:p>
        </w:tc>
        <w:tc>
          <w:tcPr>
            <w:tcW w:w="1076" w:type="pct"/>
            <w:shd w:val="clear" w:color="auto" w:fill="auto"/>
            <w:vAlign w:val="center"/>
          </w:tcPr>
          <w:p w14:paraId="08BA4332" w14:textId="77777777" w:rsidR="00587AE1" w:rsidRPr="009512E4" w:rsidRDefault="00587AE1" w:rsidP="00777D20">
            <w:pPr>
              <w:pStyle w:val="TableText0"/>
              <w:jc w:val="center"/>
            </w:pPr>
            <w:r w:rsidRPr="009512E4">
              <w:t>1.72 (0.03, 100.96)</w:t>
            </w:r>
          </w:p>
        </w:tc>
      </w:tr>
    </w:tbl>
    <w:p w14:paraId="4D4B582B" w14:textId="7D710E77" w:rsidR="00587AE1" w:rsidRPr="00557068" w:rsidRDefault="00587AE1" w:rsidP="00587AE1">
      <w:pPr>
        <w:pStyle w:val="FooterTableFigure"/>
      </w:pPr>
      <w:r w:rsidRPr="05042C88">
        <w:t xml:space="preserve">Source: Table 2-23, Figure 2-23, Table 2-25 and Figure 2-25 p113, p115, and p87-88 of the submission, Table 5 in </w:t>
      </w:r>
      <w:proofErr w:type="spellStart"/>
      <w:r w:rsidRPr="05042C88">
        <w:t>Obeticholic</w:t>
      </w:r>
      <w:proofErr w:type="spellEnd"/>
      <w:r w:rsidRPr="05042C88">
        <w:t xml:space="preserve"> Acid</w:t>
      </w:r>
      <w:r w:rsidR="00B55A8D" w:rsidRPr="05042C88">
        <w:t>,</w:t>
      </w:r>
      <w:r w:rsidRPr="05042C88">
        <w:t xml:space="preserve"> PSD, July 2019 PBAC </w:t>
      </w:r>
      <w:r w:rsidR="003E32D9" w:rsidRPr="05042C88">
        <w:t>meeting</w:t>
      </w:r>
      <w:r w:rsidRPr="05042C88">
        <w:t xml:space="preserve">, Figure S4, Supplementary Appendix of Nevens et al. A placebo-controlled trial of </w:t>
      </w:r>
      <w:proofErr w:type="spellStart"/>
      <w:r w:rsidRPr="05042C88">
        <w:t>obeticholic</w:t>
      </w:r>
      <w:proofErr w:type="spellEnd"/>
      <w:r w:rsidRPr="05042C88">
        <w:t xml:space="preserve"> acid in primary biliary cholangitis. N Engl J Med 2016;375:631-43.</w:t>
      </w:r>
    </w:p>
    <w:p w14:paraId="5E8255E4" w14:textId="3E1E9746" w:rsidR="00587AE1" w:rsidRDefault="00587AE1" w:rsidP="00587AE1">
      <w:pPr>
        <w:pStyle w:val="FooterTableFigure"/>
      </w:pPr>
      <w:r w:rsidRPr="05042C88">
        <w:t xml:space="preserve">ALP= alkaline phosphatase; ELA = </w:t>
      </w:r>
      <w:proofErr w:type="spellStart"/>
      <w:r w:rsidRPr="05042C88">
        <w:t>elafibranor</w:t>
      </w:r>
      <w:proofErr w:type="spellEnd"/>
      <w:r w:rsidRPr="05042C88">
        <w:t xml:space="preserve">; </w:t>
      </w:r>
      <w:r w:rsidR="00F57543" w:rsidRPr="05042C88">
        <w:t xml:space="preserve">ITT = intent-to-treat; </w:t>
      </w:r>
      <w:r w:rsidRPr="05042C88">
        <w:t xml:space="preserve">NR = not reported; OCA= </w:t>
      </w:r>
      <w:proofErr w:type="spellStart"/>
      <w:r w:rsidRPr="05042C88">
        <w:t>obeticholic</w:t>
      </w:r>
      <w:proofErr w:type="spellEnd"/>
      <w:r w:rsidRPr="05042C88">
        <w:t xml:space="preserve"> acid; OR= odds ratio; </w:t>
      </w:r>
      <w:bookmarkStart w:id="44" w:name="_Hlk184716829"/>
      <w:r w:rsidRPr="05042C88">
        <w:t>TB= total bilirubin; ULN= upper limit of normal.</w:t>
      </w:r>
      <w:bookmarkEnd w:id="44"/>
    </w:p>
    <w:p w14:paraId="4925F7BA" w14:textId="77777777" w:rsidR="00587AE1" w:rsidRDefault="00587AE1" w:rsidP="00587AE1">
      <w:pPr>
        <w:pStyle w:val="FooterTableFigure"/>
      </w:pPr>
      <w:r w:rsidRPr="05042C88">
        <w:rPr>
          <w:b/>
          <w:bCs/>
        </w:rPr>
        <w:t xml:space="preserve">Bold </w:t>
      </w:r>
      <w:r w:rsidRPr="05042C88">
        <w:t>indicates statistically significant results.</w:t>
      </w:r>
    </w:p>
    <w:p w14:paraId="388B1E88" w14:textId="4C1F2C2F" w:rsidR="00587AE1" w:rsidRDefault="00587AE1" w:rsidP="00587AE1">
      <w:pPr>
        <w:pStyle w:val="FooterTableFigure"/>
      </w:pPr>
      <w:bookmarkStart w:id="45" w:name="_Hlk184716848"/>
      <w:r w:rsidRPr="05042C88">
        <w:rPr>
          <w:vertAlign w:val="superscript"/>
        </w:rPr>
        <w:t>a</w:t>
      </w:r>
      <w:r w:rsidRPr="05042C88">
        <w:t xml:space="preserve"> ALP ≤1.67xULN, TB ≤ULN, and ALP reduction ≥15%.</w:t>
      </w:r>
      <w:bookmarkEnd w:id="45"/>
    </w:p>
    <w:p w14:paraId="54D72DA8" w14:textId="0FB3F0AD" w:rsidR="00587AE1" w:rsidRPr="002E7948" w:rsidRDefault="00587AE1" w:rsidP="00587AE1">
      <w:pPr>
        <w:pStyle w:val="FooterTableFigure"/>
      </w:pPr>
      <w:bookmarkStart w:id="46" w:name="_Hlk184721638"/>
      <w:r w:rsidRPr="05042C88">
        <w:rPr>
          <w:vertAlign w:val="superscript"/>
        </w:rPr>
        <w:t>b</w:t>
      </w:r>
      <w:r w:rsidRPr="05042C88">
        <w:t xml:space="preserve"> The submission estimated the number of </w:t>
      </w:r>
      <w:r w:rsidR="006010D1" w:rsidRPr="05042C88">
        <w:t xml:space="preserve">patients </w:t>
      </w:r>
      <w:r w:rsidRPr="05042C88">
        <w:t xml:space="preserve">experiencing the outcomes from the POISE </w:t>
      </w:r>
      <w:r w:rsidR="00AA433A" w:rsidRPr="05042C88">
        <w:t xml:space="preserve">trial </w:t>
      </w:r>
      <w:r w:rsidRPr="05042C88">
        <w:t>from the rate of occurrence reported by Nevens et al. 2016.</w:t>
      </w:r>
    </w:p>
    <w:p w14:paraId="5DFF6C88" w14:textId="6E24C82D" w:rsidR="00587AE1" w:rsidRPr="002E7948" w:rsidRDefault="00587AE1" w:rsidP="00587AE1">
      <w:pPr>
        <w:pStyle w:val="FooterTableFigure"/>
        <w:rPr>
          <w:lang w:val="en-GB"/>
        </w:rPr>
      </w:pPr>
      <w:r w:rsidRPr="002E7948">
        <w:rPr>
          <w:vertAlign w:val="superscript"/>
        </w:rPr>
        <w:t xml:space="preserve">c </w:t>
      </w:r>
      <w:r w:rsidRPr="002E7948">
        <w:rPr>
          <w:lang w:val="en-GB"/>
        </w:rPr>
        <w:t xml:space="preserve">Table 5 in </w:t>
      </w:r>
      <w:proofErr w:type="spellStart"/>
      <w:r w:rsidRPr="002E7948">
        <w:rPr>
          <w:lang w:val="en-GB"/>
        </w:rPr>
        <w:t>Obeticholic</w:t>
      </w:r>
      <w:proofErr w:type="spellEnd"/>
      <w:r w:rsidRPr="002E7948">
        <w:rPr>
          <w:lang w:val="en-GB"/>
        </w:rPr>
        <w:t xml:space="preserve"> </w:t>
      </w:r>
      <w:r w:rsidR="00B55A8D" w:rsidRPr="002E7948">
        <w:rPr>
          <w:lang w:val="en-GB"/>
        </w:rPr>
        <w:t>a</w:t>
      </w:r>
      <w:r w:rsidRPr="002E7948">
        <w:rPr>
          <w:lang w:val="en-GB"/>
        </w:rPr>
        <w:t>cid</w:t>
      </w:r>
      <w:r w:rsidR="00B55A8D" w:rsidRPr="002E7948">
        <w:rPr>
          <w:lang w:val="en-GB"/>
        </w:rPr>
        <w:t>,</w:t>
      </w:r>
      <w:r w:rsidRPr="002E7948">
        <w:rPr>
          <w:lang w:val="en-GB"/>
        </w:rPr>
        <w:t xml:space="preserve"> PSD, July 2019 PBAC </w:t>
      </w:r>
      <w:r w:rsidR="003E32D9" w:rsidRPr="002E7948">
        <w:rPr>
          <w:lang w:val="en-GB"/>
        </w:rPr>
        <w:t>meeting</w:t>
      </w:r>
      <w:r w:rsidR="00B55A8D" w:rsidRPr="002E7948">
        <w:rPr>
          <w:lang w:val="en-GB"/>
        </w:rPr>
        <w:t>.</w:t>
      </w:r>
    </w:p>
    <w:p w14:paraId="67F75C3B" w14:textId="20D945EF" w:rsidR="00587AE1" w:rsidRPr="002E7948" w:rsidRDefault="00587AE1" w:rsidP="00587AE1">
      <w:pPr>
        <w:pStyle w:val="FooterTableFigure"/>
      </w:pPr>
      <w:r w:rsidRPr="002E7948">
        <w:rPr>
          <w:vertAlign w:val="superscript"/>
        </w:rPr>
        <w:t>d</w:t>
      </w:r>
      <w:r w:rsidRPr="002E7948">
        <w:t xml:space="preserve"> Estimated using reported </w:t>
      </w:r>
      <w:r w:rsidR="00212BBF" w:rsidRPr="002E7948">
        <w:t>ORs</w:t>
      </w:r>
      <w:r w:rsidRPr="002E7948">
        <w:t xml:space="preserve"> during the evaluation.</w:t>
      </w:r>
    </w:p>
    <w:bookmarkEnd w:id="46"/>
    <w:p w14:paraId="090B9BED" w14:textId="179A24C5" w:rsidR="00FC0CDA" w:rsidRPr="002E7948" w:rsidRDefault="00587AE1" w:rsidP="00587AE1">
      <w:pPr>
        <w:pStyle w:val="FooterTableFigure"/>
        <w:rPr>
          <w:sz w:val="20"/>
        </w:rPr>
      </w:pPr>
      <w:r w:rsidRPr="002E7948">
        <w:rPr>
          <w:vertAlign w:val="superscript"/>
        </w:rPr>
        <w:t>e</w:t>
      </w:r>
      <w:r w:rsidRPr="002E7948">
        <w:t xml:space="preserve"> ALP </w:t>
      </w:r>
      <w:r w:rsidRPr="002E7948">
        <w:rPr>
          <w:bCs/>
        </w:rPr>
        <w:t>≤ ULN</w:t>
      </w:r>
    </w:p>
    <w:p w14:paraId="5095BEF8" w14:textId="25B917E2" w:rsidR="007D7A1F" w:rsidRPr="0098262F" w:rsidRDefault="00691C5D" w:rsidP="00691C5D">
      <w:pPr>
        <w:pStyle w:val="Caption"/>
        <w:jc w:val="left"/>
      </w:pPr>
      <w:bookmarkStart w:id="47" w:name="_Ref184673873"/>
      <w:r>
        <w:lastRenderedPageBreak/>
        <w:t xml:space="preserve">Table </w:t>
      </w:r>
      <w:r w:rsidR="00780A90">
        <w:fldChar w:fldCharType="begin" w:fldLock="1"/>
      </w:r>
      <w:r w:rsidR="00780A90">
        <w:instrText xml:space="preserve"> SEQ Table \* ARABIC </w:instrText>
      </w:r>
      <w:r w:rsidR="00780A90">
        <w:fldChar w:fldCharType="separate"/>
      </w:r>
      <w:r w:rsidR="00780A90">
        <w:rPr>
          <w:noProof/>
        </w:rPr>
        <w:t>8</w:t>
      </w:r>
      <w:r w:rsidR="00780A90">
        <w:rPr>
          <w:noProof/>
        </w:rPr>
        <w:fldChar w:fldCharType="end"/>
      </w:r>
      <w:bookmarkEnd w:id="47"/>
      <w:r>
        <w:t xml:space="preserve">: </w:t>
      </w:r>
      <w:r w:rsidR="007D7A1F" w:rsidRPr="0098262F">
        <w:rPr>
          <w:rStyle w:val="CommentReference"/>
          <w:b/>
          <w:szCs w:val="24"/>
        </w:rPr>
        <w:t xml:space="preserve">Results of the indirect comparison for </w:t>
      </w:r>
      <w:r w:rsidR="007D7A1F">
        <w:rPr>
          <w:rStyle w:val="CommentReference"/>
          <w:b/>
          <w:szCs w:val="24"/>
        </w:rPr>
        <w:t>m</w:t>
      </w:r>
      <w:r w:rsidR="007D7A1F" w:rsidRPr="00A022BB">
        <w:rPr>
          <w:rStyle w:val="CommentReference"/>
          <w:b/>
          <w:szCs w:val="24"/>
        </w:rPr>
        <w:t xml:space="preserve">ean change in ALP </w:t>
      </w:r>
      <w:r w:rsidR="007D7A1F">
        <w:rPr>
          <w:rStyle w:val="CommentReference"/>
          <w:b/>
          <w:szCs w:val="24"/>
        </w:rPr>
        <w:t xml:space="preserve">(U/L) </w:t>
      </w:r>
      <w:r w:rsidR="007D7A1F" w:rsidRPr="00A022BB">
        <w:rPr>
          <w:rStyle w:val="CommentReference"/>
          <w:b/>
          <w:szCs w:val="24"/>
        </w:rPr>
        <w:t>from baseline at 12 months</w:t>
      </w:r>
      <w:r w:rsidR="00424D12">
        <w:rPr>
          <w:rStyle w:val="CommentReference"/>
          <w:b/>
          <w:szCs w:val="24"/>
        </w:rPr>
        <w:t xml:space="preserve"> (ITT)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44"/>
        <w:gridCol w:w="1318"/>
        <w:gridCol w:w="1246"/>
        <w:gridCol w:w="2379"/>
      </w:tblGrid>
      <w:tr w:rsidR="00581E10" w:rsidRPr="0098262F" w14:paraId="0DBBC8E9" w14:textId="77777777" w:rsidTr="005E29AF">
        <w:trPr>
          <w:tblHeader/>
          <w:jc w:val="center"/>
        </w:trPr>
        <w:tc>
          <w:tcPr>
            <w:tcW w:w="1569" w:type="pct"/>
            <w:vMerge w:val="restart"/>
            <w:shd w:val="clear" w:color="auto" w:fill="auto"/>
            <w:vAlign w:val="center"/>
          </w:tcPr>
          <w:p w14:paraId="68B2E470" w14:textId="77777777" w:rsidR="00581E10" w:rsidRPr="002E7948" w:rsidRDefault="00581E10" w:rsidP="00777D20">
            <w:pPr>
              <w:pStyle w:val="In-tableHeading"/>
              <w:jc w:val="center"/>
              <w:rPr>
                <w:lang w:val="en-AU"/>
              </w:rPr>
            </w:pPr>
            <w:r w:rsidRPr="002E7948">
              <w:rPr>
                <w:lang w:val="en-AU"/>
              </w:rPr>
              <w:t>Trial</w:t>
            </w:r>
          </w:p>
        </w:tc>
        <w:tc>
          <w:tcPr>
            <w:tcW w:w="2112" w:type="pct"/>
            <w:gridSpan w:val="3"/>
            <w:shd w:val="clear" w:color="auto" w:fill="auto"/>
            <w:vAlign w:val="center"/>
          </w:tcPr>
          <w:p w14:paraId="31F29D91" w14:textId="77777777" w:rsidR="00581E10" w:rsidRPr="002E7948" w:rsidRDefault="00581E10" w:rsidP="00777D20">
            <w:pPr>
              <w:pStyle w:val="In-tableHeading"/>
              <w:jc w:val="center"/>
              <w:rPr>
                <w:lang w:val="en-AU"/>
              </w:rPr>
            </w:pPr>
            <w:r w:rsidRPr="002E7948">
              <w:rPr>
                <w:lang w:val="en-AU"/>
              </w:rPr>
              <w:t xml:space="preserve">Change from baseline in </w:t>
            </w:r>
            <w:r w:rsidRPr="002E7948">
              <w:rPr>
                <w:rStyle w:val="CommentReference"/>
                <w:b/>
                <w:szCs w:val="24"/>
              </w:rPr>
              <w:t xml:space="preserve">ALP (U/L) </w:t>
            </w:r>
            <w:r w:rsidRPr="002E7948">
              <w:rPr>
                <w:lang w:val="en-AU"/>
              </w:rPr>
              <w:t>LSM (SE)</w:t>
            </w:r>
          </w:p>
        </w:tc>
        <w:tc>
          <w:tcPr>
            <w:tcW w:w="1319" w:type="pct"/>
            <w:vMerge w:val="restart"/>
            <w:shd w:val="clear" w:color="auto" w:fill="auto"/>
            <w:vAlign w:val="center"/>
          </w:tcPr>
          <w:p w14:paraId="43938756" w14:textId="77777777" w:rsidR="00581E10" w:rsidRPr="002E7948" w:rsidRDefault="00581E10" w:rsidP="00777D20">
            <w:pPr>
              <w:pStyle w:val="In-tableHeading"/>
              <w:jc w:val="center"/>
              <w:rPr>
                <w:lang w:val="en-AU"/>
              </w:rPr>
            </w:pPr>
            <w:r w:rsidRPr="002E7948">
              <w:rPr>
                <w:lang w:val="en-AU"/>
              </w:rPr>
              <w:t>LSM (95% CI)</w:t>
            </w:r>
          </w:p>
        </w:tc>
      </w:tr>
      <w:tr w:rsidR="00581E10" w:rsidRPr="0098262F" w14:paraId="0E87E400" w14:textId="77777777" w:rsidTr="00B91028">
        <w:trPr>
          <w:tblHeader/>
          <w:jc w:val="center"/>
        </w:trPr>
        <w:tc>
          <w:tcPr>
            <w:tcW w:w="1569" w:type="pct"/>
            <w:vMerge/>
            <w:shd w:val="clear" w:color="auto" w:fill="auto"/>
            <w:vAlign w:val="center"/>
          </w:tcPr>
          <w:p w14:paraId="78173DE0" w14:textId="77777777" w:rsidR="00581E10" w:rsidRPr="002E7948" w:rsidRDefault="00581E10" w:rsidP="00BC3AE9">
            <w:pPr>
              <w:pStyle w:val="Tabletext"/>
              <w:keepNext/>
            </w:pPr>
          </w:p>
        </w:tc>
        <w:tc>
          <w:tcPr>
            <w:tcW w:w="690" w:type="pct"/>
            <w:shd w:val="clear" w:color="auto" w:fill="auto"/>
            <w:vAlign w:val="center"/>
          </w:tcPr>
          <w:p w14:paraId="2EADB329" w14:textId="77777777" w:rsidR="00581E10" w:rsidRPr="002E7948" w:rsidRDefault="00581E10" w:rsidP="00777D20">
            <w:pPr>
              <w:pStyle w:val="In-tableHeading"/>
              <w:jc w:val="center"/>
              <w:rPr>
                <w:lang w:val="en-AU"/>
              </w:rPr>
            </w:pPr>
            <w:r w:rsidRPr="002E7948">
              <w:rPr>
                <w:lang w:val="en-AU"/>
              </w:rPr>
              <w:t>ELA</w:t>
            </w:r>
          </w:p>
        </w:tc>
        <w:tc>
          <w:tcPr>
            <w:tcW w:w="731" w:type="pct"/>
            <w:shd w:val="clear" w:color="auto" w:fill="auto"/>
            <w:vAlign w:val="center"/>
          </w:tcPr>
          <w:p w14:paraId="58BEFE3D" w14:textId="77777777" w:rsidR="00581E10" w:rsidRPr="002E7948" w:rsidRDefault="00581E10" w:rsidP="00777D20">
            <w:pPr>
              <w:pStyle w:val="In-tableHeading"/>
              <w:jc w:val="center"/>
              <w:rPr>
                <w:lang w:val="en-AU"/>
              </w:rPr>
            </w:pPr>
            <w:r w:rsidRPr="002E7948">
              <w:rPr>
                <w:lang w:val="en-AU"/>
              </w:rPr>
              <w:t>Placebo</w:t>
            </w:r>
          </w:p>
        </w:tc>
        <w:tc>
          <w:tcPr>
            <w:tcW w:w="690" w:type="pct"/>
            <w:shd w:val="clear" w:color="auto" w:fill="auto"/>
            <w:vAlign w:val="center"/>
          </w:tcPr>
          <w:p w14:paraId="322C5BE7" w14:textId="77777777" w:rsidR="00581E10" w:rsidRPr="002E7948" w:rsidRDefault="00581E10" w:rsidP="00777D20">
            <w:pPr>
              <w:pStyle w:val="In-tableHeading"/>
              <w:jc w:val="center"/>
              <w:rPr>
                <w:lang w:val="en-AU"/>
              </w:rPr>
            </w:pPr>
            <w:r w:rsidRPr="002E7948">
              <w:rPr>
                <w:lang w:val="en-AU"/>
              </w:rPr>
              <w:t>OCA</w:t>
            </w:r>
          </w:p>
        </w:tc>
        <w:tc>
          <w:tcPr>
            <w:tcW w:w="1319" w:type="pct"/>
            <w:vMerge/>
            <w:shd w:val="clear" w:color="auto" w:fill="auto"/>
            <w:vAlign w:val="center"/>
          </w:tcPr>
          <w:p w14:paraId="6ACE7C6A" w14:textId="77777777" w:rsidR="00581E10" w:rsidRPr="002E7948" w:rsidRDefault="00581E10" w:rsidP="00BC3AE9">
            <w:pPr>
              <w:pStyle w:val="Tabletext"/>
              <w:keepNext/>
              <w:jc w:val="center"/>
            </w:pPr>
          </w:p>
        </w:tc>
      </w:tr>
      <w:tr w:rsidR="00581E10" w:rsidRPr="0098262F" w14:paraId="2E5317CC" w14:textId="77777777" w:rsidTr="00B91028">
        <w:trPr>
          <w:jc w:val="center"/>
        </w:trPr>
        <w:tc>
          <w:tcPr>
            <w:tcW w:w="1569" w:type="pct"/>
            <w:shd w:val="clear" w:color="auto" w:fill="auto"/>
            <w:vAlign w:val="center"/>
          </w:tcPr>
          <w:p w14:paraId="0E428049" w14:textId="77777777" w:rsidR="00581E10" w:rsidRPr="002E7948" w:rsidRDefault="00581E10" w:rsidP="00777D20">
            <w:pPr>
              <w:pStyle w:val="TableText0"/>
            </w:pPr>
            <w:r w:rsidRPr="002E7948">
              <w:t>ELATIVE, mean (SE)</w:t>
            </w:r>
          </w:p>
        </w:tc>
        <w:tc>
          <w:tcPr>
            <w:tcW w:w="690" w:type="pct"/>
            <w:shd w:val="clear" w:color="auto" w:fill="auto"/>
            <w:vAlign w:val="center"/>
          </w:tcPr>
          <w:p w14:paraId="28403169" w14:textId="77777777" w:rsidR="00581E10" w:rsidRPr="002E7948" w:rsidRDefault="00581E10" w:rsidP="00777D20">
            <w:pPr>
              <w:pStyle w:val="TableText0"/>
              <w:jc w:val="center"/>
            </w:pPr>
            <w:r w:rsidRPr="002E7948">
              <w:t>N=94</w:t>
            </w:r>
          </w:p>
          <w:p w14:paraId="41B44829" w14:textId="77777777" w:rsidR="00581E10" w:rsidRPr="002E7948" w:rsidRDefault="00581E10" w:rsidP="00777D20">
            <w:pPr>
              <w:pStyle w:val="TableText0"/>
              <w:jc w:val="center"/>
            </w:pPr>
            <w:r w:rsidRPr="002E7948">
              <w:t>-117.7 (10.0)</w:t>
            </w:r>
          </w:p>
        </w:tc>
        <w:tc>
          <w:tcPr>
            <w:tcW w:w="731" w:type="pct"/>
            <w:shd w:val="clear" w:color="auto" w:fill="auto"/>
            <w:vAlign w:val="center"/>
          </w:tcPr>
          <w:p w14:paraId="3C411D85" w14:textId="77777777" w:rsidR="00581E10" w:rsidRPr="002E7948" w:rsidRDefault="00581E10" w:rsidP="00777D20">
            <w:pPr>
              <w:pStyle w:val="TableText0"/>
              <w:jc w:val="center"/>
            </w:pPr>
            <w:r w:rsidRPr="002E7948">
              <w:t>N=47</w:t>
            </w:r>
          </w:p>
          <w:p w14:paraId="29163BE1" w14:textId="77777777" w:rsidR="00581E10" w:rsidRPr="002E7948" w:rsidRDefault="00581E10" w:rsidP="00777D20">
            <w:pPr>
              <w:pStyle w:val="TableText0"/>
              <w:jc w:val="center"/>
            </w:pPr>
            <w:r w:rsidRPr="002E7948">
              <w:t>-8.8 (13.3)</w:t>
            </w:r>
          </w:p>
        </w:tc>
        <w:tc>
          <w:tcPr>
            <w:tcW w:w="690" w:type="pct"/>
            <w:shd w:val="clear" w:color="auto" w:fill="auto"/>
            <w:vAlign w:val="center"/>
          </w:tcPr>
          <w:p w14:paraId="5503E1EE" w14:textId="77777777" w:rsidR="00581E10" w:rsidRPr="002E7948" w:rsidRDefault="00581E10" w:rsidP="00777D20">
            <w:pPr>
              <w:pStyle w:val="TableText0"/>
              <w:jc w:val="center"/>
            </w:pPr>
            <w:r w:rsidRPr="002E7948">
              <w:t>-</w:t>
            </w:r>
          </w:p>
        </w:tc>
        <w:tc>
          <w:tcPr>
            <w:tcW w:w="1319" w:type="pct"/>
            <w:vMerge w:val="restart"/>
            <w:shd w:val="clear" w:color="auto" w:fill="auto"/>
            <w:vAlign w:val="center"/>
          </w:tcPr>
          <w:p w14:paraId="10FF5456" w14:textId="77777777" w:rsidR="00581E10" w:rsidRPr="002E7948" w:rsidRDefault="00581E10" w:rsidP="00777D20">
            <w:pPr>
              <w:pStyle w:val="TableText0"/>
              <w:jc w:val="center"/>
              <w:rPr>
                <w:b/>
                <w:bCs w:val="0"/>
                <w:highlight w:val="yellow"/>
              </w:rPr>
            </w:pPr>
            <w:r w:rsidRPr="002E7948">
              <w:rPr>
                <w:b/>
                <w:bCs w:val="0"/>
              </w:rPr>
              <w:t>-111.7 (-142.0, -81.3)</w:t>
            </w:r>
            <w:r w:rsidRPr="002E7948">
              <w:rPr>
                <w:rFonts w:asciiTheme="minorHAnsi" w:hAnsiTheme="minorHAnsi" w:cstheme="minorHAnsi"/>
                <w:b/>
                <w:bCs w:val="0"/>
              </w:rPr>
              <w:t xml:space="preserve"> </w:t>
            </w:r>
          </w:p>
        </w:tc>
      </w:tr>
      <w:tr w:rsidR="00581E10" w:rsidRPr="0098262F" w14:paraId="0AAAD01B" w14:textId="77777777" w:rsidTr="00B91028">
        <w:trPr>
          <w:jc w:val="center"/>
        </w:trPr>
        <w:tc>
          <w:tcPr>
            <w:tcW w:w="1569" w:type="pct"/>
            <w:shd w:val="clear" w:color="auto" w:fill="auto"/>
            <w:vAlign w:val="center"/>
          </w:tcPr>
          <w:p w14:paraId="44C4BB8F" w14:textId="77777777" w:rsidR="00581E10" w:rsidRPr="002E7948" w:rsidRDefault="00581E10" w:rsidP="00777D20">
            <w:pPr>
              <w:pStyle w:val="TableText0"/>
            </w:pPr>
            <w:r w:rsidRPr="002E7948">
              <w:t>ELATIVE, LSM (SE)</w:t>
            </w:r>
          </w:p>
        </w:tc>
        <w:tc>
          <w:tcPr>
            <w:tcW w:w="690" w:type="pct"/>
            <w:shd w:val="clear" w:color="auto" w:fill="auto"/>
            <w:vAlign w:val="center"/>
          </w:tcPr>
          <w:p w14:paraId="4FB44949" w14:textId="440767B6" w:rsidR="00581E10" w:rsidRPr="002E7948" w:rsidRDefault="00581E10" w:rsidP="00777D20">
            <w:pPr>
              <w:pStyle w:val="TableText0"/>
              <w:jc w:val="center"/>
            </w:pPr>
            <w:r w:rsidRPr="002E7948">
              <w:t>-117.0</w:t>
            </w:r>
            <w:r w:rsidR="00EA6399" w:rsidRPr="002E7948">
              <w:t xml:space="preserve"> </w:t>
            </w:r>
            <w:r w:rsidRPr="002E7948">
              <w:t>(NR)</w:t>
            </w:r>
          </w:p>
        </w:tc>
        <w:tc>
          <w:tcPr>
            <w:tcW w:w="731" w:type="pct"/>
            <w:shd w:val="clear" w:color="auto" w:fill="auto"/>
            <w:vAlign w:val="center"/>
          </w:tcPr>
          <w:p w14:paraId="2166A000" w14:textId="10C5B749" w:rsidR="00581E10" w:rsidRPr="002E7948" w:rsidRDefault="00581E10" w:rsidP="00777D20">
            <w:pPr>
              <w:pStyle w:val="TableText0"/>
              <w:jc w:val="center"/>
            </w:pPr>
            <w:r w:rsidRPr="002E7948">
              <w:t>-5.3</w:t>
            </w:r>
            <w:r w:rsidR="00EA6399" w:rsidRPr="002E7948">
              <w:t xml:space="preserve"> </w:t>
            </w:r>
            <w:r w:rsidRPr="002E7948">
              <w:t>(NR)</w:t>
            </w:r>
          </w:p>
        </w:tc>
        <w:tc>
          <w:tcPr>
            <w:tcW w:w="690" w:type="pct"/>
            <w:shd w:val="clear" w:color="auto" w:fill="auto"/>
            <w:vAlign w:val="center"/>
          </w:tcPr>
          <w:p w14:paraId="7914DE30" w14:textId="77777777" w:rsidR="00581E10" w:rsidRPr="002E7948" w:rsidRDefault="00581E10" w:rsidP="00777D20">
            <w:pPr>
              <w:pStyle w:val="TableText0"/>
              <w:jc w:val="center"/>
            </w:pPr>
            <w:r w:rsidRPr="002E7948">
              <w:t>-</w:t>
            </w:r>
          </w:p>
        </w:tc>
        <w:tc>
          <w:tcPr>
            <w:tcW w:w="1319" w:type="pct"/>
            <w:vMerge/>
            <w:shd w:val="clear" w:color="auto" w:fill="auto"/>
            <w:vAlign w:val="center"/>
          </w:tcPr>
          <w:p w14:paraId="309CCE80" w14:textId="77777777" w:rsidR="00581E10" w:rsidRPr="002E7948" w:rsidRDefault="00581E10" w:rsidP="00777D20">
            <w:pPr>
              <w:pStyle w:val="TableText0"/>
              <w:jc w:val="center"/>
              <w:rPr>
                <w:b/>
                <w:bCs w:val="0"/>
              </w:rPr>
            </w:pPr>
          </w:p>
        </w:tc>
      </w:tr>
      <w:tr w:rsidR="00581E10" w:rsidRPr="0098262F" w14:paraId="12B2C3C2" w14:textId="77777777" w:rsidTr="00B91028">
        <w:trPr>
          <w:jc w:val="center"/>
        </w:trPr>
        <w:tc>
          <w:tcPr>
            <w:tcW w:w="1569" w:type="pct"/>
            <w:shd w:val="clear" w:color="auto" w:fill="auto"/>
            <w:vAlign w:val="center"/>
          </w:tcPr>
          <w:p w14:paraId="55FE59D9" w14:textId="77777777" w:rsidR="00581E10" w:rsidRPr="002E7948" w:rsidRDefault="00581E10" w:rsidP="00777D20">
            <w:pPr>
              <w:pStyle w:val="TableText0"/>
            </w:pPr>
            <w:r w:rsidRPr="002E7948">
              <w:t>POISE (OCA 5-10mg), mean (SE)</w:t>
            </w:r>
          </w:p>
        </w:tc>
        <w:tc>
          <w:tcPr>
            <w:tcW w:w="690" w:type="pct"/>
            <w:shd w:val="clear" w:color="auto" w:fill="auto"/>
            <w:vAlign w:val="center"/>
          </w:tcPr>
          <w:p w14:paraId="19C9C2F6" w14:textId="77777777" w:rsidR="00581E10" w:rsidRPr="002E7948" w:rsidRDefault="00581E10" w:rsidP="00777D20">
            <w:pPr>
              <w:pStyle w:val="TableText0"/>
              <w:jc w:val="center"/>
            </w:pPr>
            <w:r w:rsidRPr="002E7948">
              <w:t>-</w:t>
            </w:r>
          </w:p>
        </w:tc>
        <w:tc>
          <w:tcPr>
            <w:tcW w:w="731" w:type="pct"/>
            <w:shd w:val="clear" w:color="auto" w:fill="auto"/>
            <w:vAlign w:val="center"/>
          </w:tcPr>
          <w:p w14:paraId="6C4904C5" w14:textId="77777777" w:rsidR="00581E10" w:rsidRPr="002E7948" w:rsidRDefault="00581E10" w:rsidP="00777D20">
            <w:pPr>
              <w:pStyle w:val="TableText0"/>
              <w:jc w:val="center"/>
            </w:pPr>
            <w:r w:rsidRPr="002E7948">
              <w:t>N=70</w:t>
            </w:r>
          </w:p>
          <w:p w14:paraId="4848FC9E" w14:textId="77777777" w:rsidR="00581E10" w:rsidRPr="002E7948" w:rsidRDefault="00581E10" w:rsidP="00777D20">
            <w:pPr>
              <w:pStyle w:val="TableText0"/>
              <w:jc w:val="center"/>
            </w:pPr>
            <w:r w:rsidRPr="002E7948">
              <w:t>-7.7 (10.5)</w:t>
            </w:r>
          </w:p>
        </w:tc>
        <w:tc>
          <w:tcPr>
            <w:tcW w:w="690" w:type="pct"/>
            <w:shd w:val="clear" w:color="auto" w:fill="auto"/>
            <w:vAlign w:val="center"/>
          </w:tcPr>
          <w:p w14:paraId="33100766" w14:textId="77777777" w:rsidR="00581E10" w:rsidRPr="002E7948" w:rsidRDefault="00581E10" w:rsidP="00777D20">
            <w:pPr>
              <w:pStyle w:val="TableText0"/>
              <w:jc w:val="center"/>
            </w:pPr>
            <w:r w:rsidRPr="002E7948">
              <w:t>N=64</w:t>
            </w:r>
          </w:p>
          <w:p w14:paraId="08F8B145" w14:textId="77777777" w:rsidR="00581E10" w:rsidRPr="002E7948" w:rsidRDefault="00581E10" w:rsidP="00777D20">
            <w:pPr>
              <w:pStyle w:val="TableText0"/>
              <w:jc w:val="center"/>
            </w:pPr>
            <w:r w:rsidRPr="002E7948">
              <w:t>-103.5 (10.9)</w:t>
            </w:r>
          </w:p>
        </w:tc>
        <w:tc>
          <w:tcPr>
            <w:tcW w:w="1319" w:type="pct"/>
            <w:vMerge w:val="restart"/>
            <w:shd w:val="clear" w:color="auto" w:fill="auto"/>
            <w:vAlign w:val="center"/>
          </w:tcPr>
          <w:p w14:paraId="47B5560B" w14:textId="77777777" w:rsidR="00581E10" w:rsidRPr="002E7948" w:rsidRDefault="00581E10" w:rsidP="00777D20">
            <w:pPr>
              <w:pStyle w:val="TableText0"/>
              <w:jc w:val="center"/>
            </w:pPr>
            <w:r w:rsidRPr="002E7948">
              <w:rPr>
                <w:b/>
                <w:bCs w:val="0"/>
              </w:rPr>
              <w:t>-</w:t>
            </w:r>
            <w:r w:rsidRPr="002E7948">
              <w:rPr>
                <w:b/>
                <w:bCs w:val="0"/>
                <w:szCs w:val="22"/>
                <w:lang w:eastAsia="en-US" w:bidi="en-US"/>
              </w:rPr>
              <w:t>98.1 (SE=13.1)</w:t>
            </w:r>
          </w:p>
        </w:tc>
      </w:tr>
      <w:tr w:rsidR="00581E10" w:rsidRPr="0098262F" w14:paraId="6EB1A209" w14:textId="77777777" w:rsidTr="00B91028">
        <w:trPr>
          <w:jc w:val="center"/>
        </w:trPr>
        <w:tc>
          <w:tcPr>
            <w:tcW w:w="1569" w:type="pct"/>
            <w:shd w:val="clear" w:color="auto" w:fill="auto"/>
            <w:vAlign w:val="center"/>
          </w:tcPr>
          <w:p w14:paraId="6F0CA232" w14:textId="77777777" w:rsidR="00581E10" w:rsidRPr="00807FD7" w:rsidRDefault="00581E10" w:rsidP="00777D20">
            <w:pPr>
              <w:pStyle w:val="TableText0"/>
              <w:rPr>
                <w:lang w:val="it-IT"/>
              </w:rPr>
            </w:pPr>
            <w:r w:rsidRPr="00807FD7">
              <w:rPr>
                <w:lang w:val="it-IT"/>
              </w:rPr>
              <w:t>POISE (OCA 5-10mg), LSM (SE)</w:t>
            </w:r>
          </w:p>
        </w:tc>
        <w:tc>
          <w:tcPr>
            <w:tcW w:w="690" w:type="pct"/>
            <w:shd w:val="clear" w:color="auto" w:fill="auto"/>
            <w:vAlign w:val="center"/>
          </w:tcPr>
          <w:p w14:paraId="52B74542" w14:textId="77777777" w:rsidR="00581E10" w:rsidRPr="002E7948" w:rsidRDefault="00581E10" w:rsidP="00777D20">
            <w:pPr>
              <w:pStyle w:val="TableText0"/>
              <w:jc w:val="center"/>
            </w:pPr>
            <w:r w:rsidRPr="002E7948">
              <w:t>-</w:t>
            </w:r>
          </w:p>
        </w:tc>
        <w:tc>
          <w:tcPr>
            <w:tcW w:w="731" w:type="pct"/>
            <w:shd w:val="clear" w:color="auto" w:fill="auto"/>
            <w:vAlign w:val="center"/>
          </w:tcPr>
          <w:p w14:paraId="5BE8E0CC" w14:textId="77777777" w:rsidR="00581E10" w:rsidRPr="002E7948" w:rsidRDefault="00581E10" w:rsidP="00777D20">
            <w:pPr>
              <w:pStyle w:val="TableText0"/>
              <w:jc w:val="center"/>
            </w:pPr>
            <w:r w:rsidRPr="002E7948">
              <w:t>N=70</w:t>
            </w:r>
          </w:p>
          <w:p w14:paraId="1004DA90" w14:textId="77777777" w:rsidR="00581E10" w:rsidRPr="002E7948" w:rsidRDefault="00581E10" w:rsidP="00777D20">
            <w:pPr>
              <w:pStyle w:val="TableText0"/>
              <w:jc w:val="center"/>
            </w:pPr>
            <w:r w:rsidRPr="002E7948">
              <w:t>-14.4 (14.7)</w:t>
            </w:r>
          </w:p>
        </w:tc>
        <w:tc>
          <w:tcPr>
            <w:tcW w:w="690" w:type="pct"/>
            <w:shd w:val="clear" w:color="auto" w:fill="auto"/>
            <w:vAlign w:val="center"/>
          </w:tcPr>
          <w:p w14:paraId="254181BC" w14:textId="77777777" w:rsidR="00581E10" w:rsidRPr="002E7948" w:rsidRDefault="00581E10" w:rsidP="00777D20">
            <w:pPr>
              <w:pStyle w:val="TableText0"/>
              <w:jc w:val="center"/>
            </w:pPr>
            <w:r w:rsidRPr="002E7948">
              <w:t>N=64</w:t>
            </w:r>
          </w:p>
          <w:p w14:paraId="5D1ABE58" w14:textId="77777777" w:rsidR="00581E10" w:rsidRPr="002E7948" w:rsidRDefault="00581E10" w:rsidP="00777D20">
            <w:pPr>
              <w:pStyle w:val="TableText0"/>
              <w:jc w:val="center"/>
            </w:pPr>
            <w:r w:rsidRPr="002E7948">
              <w:t>-112.5 (14.4)</w:t>
            </w:r>
          </w:p>
        </w:tc>
        <w:tc>
          <w:tcPr>
            <w:tcW w:w="1319" w:type="pct"/>
            <w:vMerge/>
            <w:shd w:val="clear" w:color="auto" w:fill="auto"/>
            <w:vAlign w:val="center"/>
          </w:tcPr>
          <w:p w14:paraId="660526E2" w14:textId="77777777" w:rsidR="00581E10" w:rsidRPr="002E7948" w:rsidRDefault="00581E10" w:rsidP="00777D20">
            <w:pPr>
              <w:pStyle w:val="TableText0"/>
              <w:jc w:val="center"/>
              <w:rPr>
                <w:b/>
                <w:bCs w:val="0"/>
              </w:rPr>
            </w:pPr>
          </w:p>
        </w:tc>
      </w:tr>
      <w:tr w:rsidR="00581E10" w:rsidRPr="0098262F" w14:paraId="3FA5CE56" w14:textId="77777777" w:rsidTr="00B91028">
        <w:trPr>
          <w:jc w:val="center"/>
        </w:trPr>
        <w:tc>
          <w:tcPr>
            <w:tcW w:w="1569" w:type="pct"/>
            <w:shd w:val="clear" w:color="auto" w:fill="auto"/>
            <w:vAlign w:val="center"/>
          </w:tcPr>
          <w:p w14:paraId="2FA22FBA" w14:textId="77777777" w:rsidR="00581E10" w:rsidRPr="002E7948" w:rsidRDefault="00581E10" w:rsidP="00777D20">
            <w:pPr>
              <w:pStyle w:val="TableText0"/>
            </w:pPr>
            <w:r w:rsidRPr="002E7948">
              <w:t>POISE (OCA 10mg), mean (SE)</w:t>
            </w:r>
          </w:p>
        </w:tc>
        <w:tc>
          <w:tcPr>
            <w:tcW w:w="690" w:type="pct"/>
            <w:shd w:val="clear" w:color="auto" w:fill="auto"/>
            <w:vAlign w:val="center"/>
          </w:tcPr>
          <w:p w14:paraId="7C0DC12B" w14:textId="77777777" w:rsidR="00581E10" w:rsidRPr="002E7948" w:rsidRDefault="00581E10" w:rsidP="00777D20">
            <w:pPr>
              <w:pStyle w:val="TableText0"/>
              <w:jc w:val="center"/>
            </w:pPr>
            <w:r w:rsidRPr="002E7948">
              <w:t>-</w:t>
            </w:r>
          </w:p>
        </w:tc>
        <w:tc>
          <w:tcPr>
            <w:tcW w:w="731" w:type="pct"/>
            <w:shd w:val="clear" w:color="auto" w:fill="auto"/>
            <w:vAlign w:val="center"/>
          </w:tcPr>
          <w:p w14:paraId="36B87D37" w14:textId="77777777" w:rsidR="00581E10" w:rsidRPr="002E7948" w:rsidRDefault="00581E10" w:rsidP="00777D20">
            <w:pPr>
              <w:pStyle w:val="TableText0"/>
              <w:jc w:val="center"/>
            </w:pPr>
            <w:r w:rsidRPr="002E7948">
              <w:t>N=70</w:t>
            </w:r>
          </w:p>
          <w:p w14:paraId="5EA884B7" w14:textId="77777777" w:rsidR="00581E10" w:rsidRPr="002E7948" w:rsidRDefault="00581E10" w:rsidP="00777D20">
            <w:pPr>
              <w:pStyle w:val="TableText0"/>
              <w:jc w:val="center"/>
            </w:pPr>
            <w:r w:rsidRPr="002E7948">
              <w:t>-7.7 (10.5)</w:t>
            </w:r>
          </w:p>
        </w:tc>
        <w:tc>
          <w:tcPr>
            <w:tcW w:w="690" w:type="pct"/>
            <w:shd w:val="clear" w:color="auto" w:fill="auto"/>
            <w:vAlign w:val="center"/>
          </w:tcPr>
          <w:p w14:paraId="01F8433D" w14:textId="77777777" w:rsidR="00581E10" w:rsidRPr="002E7948" w:rsidRDefault="00581E10" w:rsidP="00777D20">
            <w:pPr>
              <w:pStyle w:val="TableText0"/>
              <w:jc w:val="center"/>
            </w:pPr>
            <w:r w:rsidRPr="002E7948">
              <w:t>N=62</w:t>
            </w:r>
          </w:p>
          <w:p w14:paraId="2C383E13" w14:textId="77777777" w:rsidR="00581E10" w:rsidRPr="002E7948" w:rsidRDefault="00581E10" w:rsidP="00777D20">
            <w:pPr>
              <w:pStyle w:val="TableText0"/>
              <w:jc w:val="center"/>
            </w:pPr>
            <w:r w:rsidRPr="002E7948">
              <w:t>-117.7 (9.3)</w:t>
            </w:r>
          </w:p>
        </w:tc>
        <w:tc>
          <w:tcPr>
            <w:tcW w:w="1319" w:type="pct"/>
            <w:vMerge w:val="restart"/>
            <w:shd w:val="clear" w:color="auto" w:fill="auto"/>
            <w:vAlign w:val="center"/>
          </w:tcPr>
          <w:p w14:paraId="04B21A40" w14:textId="77777777" w:rsidR="00581E10" w:rsidRPr="002E7948" w:rsidRDefault="00581E10" w:rsidP="00777D20">
            <w:pPr>
              <w:pStyle w:val="TableText0"/>
              <w:jc w:val="center"/>
            </w:pPr>
            <w:r w:rsidRPr="002E7948">
              <w:rPr>
                <w:b/>
                <w:bCs w:val="0"/>
              </w:rPr>
              <w:t>-115.5 (SE=13.2)</w:t>
            </w:r>
          </w:p>
        </w:tc>
      </w:tr>
      <w:tr w:rsidR="00581E10" w:rsidRPr="0098262F" w14:paraId="4C7457E4" w14:textId="77777777" w:rsidTr="00B91028">
        <w:trPr>
          <w:jc w:val="center"/>
        </w:trPr>
        <w:tc>
          <w:tcPr>
            <w:tcW w:w="1569" w:type="pct"/>
            <w:shd w:val="clear" w:color="auto" w:fill="auto"/>
            <w:vAlign w:val="center"/>
          </w:tcPr>
          <w:p w14:paraId="56E97ED9" w14:textId="77777777" w:rsidR="00581E10" w:rsidRPr="00807FD7" w:rsidRDefault="00581E10" w:rsidP="00777D20">
            <w:pPr>
              <w:pStyle w:val="TableText0"/>
              <w:rPr>
                <w:lang w:val="it-IT"/>
              </w:rPr>
            </w:pPr>
            <w:r w:rsidRPr="00807FD7">
              <w:rPr>
                <w:lang w:val="it-IT"/>
              </w:rPr>
              <w:t>POISE (OCA 10mg), LSM (SE)</w:t>
            </w:r>
          </w:p>
        </w:tc>
        <w:tc>
          <w:tcPr>
            <w:tcW w:w="690" w:type="pct"/>
            <w:shd w:val="clear" w:color="auto" w:fill="auto"/>
            <w:vAlign w:val="center"/>
          </w:tcPr>
          <w:p w14:paraId="56B44138" w14:textId="77777777" w:rsidR="00581E10" w:rsidRPr="002E7948" w:rsidRDefault="00581E10" w:rsidP="00777D20">
            <w:pPr>
              <w:pStyle w:val="TableText0"/>
              <w:jc w:val="center"/>
            </w:pPr>
            <w:r w:rsidRPr="002E7948">
              <w:t>-</w:t>
            </w:r>
          </w:p>
        </w:tc>
        <w:tc>
          <w:tcPr>
            <w:tcW w:w="731" w:type="pct"/>
            <w:shd w:val="clear" w:color="auto" w:fill="auto"/>
            <w:vAlign w:val="center"/>
          </w:tcPr>
          <w:p w14:paraId="5C36DAE2" w14:textId="77777777" w:rsidR="00581E10" w:rsidRPr="002E7948" w:rsidRDefault="00581E10" w:rsidP="00777D20">
            <w:pPr>
              <w:pStyle w:val="TableText0"/>
              <w:jc w:val="center"/>
            </w:pPr>
            <w:r w:rsidRPr="002E7948">
              <w:t>N=70</w:t>
            </w:r>
          </w:p>
          <w:p w14:paraId="3F77EC44" w14:textId="77777777" w:rsidR="00581E10" w:rsidRPr="002E7948" w:rsidRDefault="00581E10" w:rsidP="00777D20">
            <w:pPr>
              <w:pStyle w:val="TableText0"/>
              <w:jc w:val="center"/>
            </w:pPr>
            <w:r w:rsidRPr="002E7948">
              <w:t>-14.4 (14.7)</w:t>
            </w:r>
          </w:p>
        </w:tc>
        <w:tc>
          <w:tcPr>
            <w:tcW w:w="690" w:type="pct"/>
            <w:shd w:val="clear" w:color="auto" w:fill="auto"/>
            <w:vAlign w:val="center"/>
          </w:tcPr>
          <w:p w14:paraId="76AFB036" w14:textId="77777777" w:rsidR="00581E10" w:rsidRPr="002E7948" w:rsidRDefault="00581E10" w:rsidP="00777D20">
            <w:pPr>
              <w:pStyle w:val="TableText0"/>
              <w:jc w:val="center"/>
            </w:pPr>
            <w:r w:rsidRPr="002E7948">
              <w:t>N=62</w:t>
            </w:r>
          </w:p>
          <w:p w14:paraId="4D07FAB5" w14:textId="77777777" w:rsidR="00581E10" w:rsidRPr="002E7948" w:rsidRDefault="00581E10" w:rsidP="00777D20">
            <w:pPr>
              <w:pStyle w:val="TableText0"/>
              <w:jc w:val="center"/>
            </w:pPr>
            <w:r w:rsidRPr="002E7948">
              <w:t>-129.9 (14.6)</w:t>
            </w:r>
          </w:p>
        </w:tc>
        <w:tc>
          <w:tcPr>
            <w:tcW w:w="1319" w:type="pct"/>
            <w:vMerge/>
            <w:shd w:val="clear" w:color="auto" w:fill="auto"/>
            <w:vAlign w:val="center"/>
          </w:tcPr>
          <w:p w14:paraId="4629CB98" w14:textId="77777777" w:rsidR="00581E10" w:rsidRPr="002E7948" w:rsidRDefault="00581E10" w:rsidP="00777D20">
            <w:pPr>
              <w:pStyle w:val="TableText0"/>
              <w:jc w:val="center"/>
              <w:rPr>
                <w:b/>
                <w:bCs w:val="0"/>
              </w:rPr>
            </w:pPr>
          </w:p>
        </w:tc>
      </w:tr>
      <w:tr w:rsidR="00581E10" w:rsidRPr="0098262F" w14:paraId="385DADCB" w14:textId="77777777" w:rsidTr="00777D20">
        <w:trPr>
          <w:jc w:val="center"/>
        </w:trPr>
        <w:tc>
          <w:tcPr>
            <w:tcW w:w="3681" w:type="pct"/>
            <w:gridSpan w:val="4"/>
            <w:shd w:val="clear" w:color="auto" w:fill="auto"/>
            <w:vAlign w:val="center"/>
          </w:tcPr>
          <w:p w14:paraId="265C9F38" w14:textId="70F0F8E6" w:rsidR="00581E10" w:rsidRPr="00807FD7" w:rsidRDefault="00581E10" w:rsidP="005E29AF">
            <w:pPr>
              <w:pStyle w:val="TableText0"/>
              <w:rPr>
                <w:lang w:val="it-IT"/>
              </w:rPr>
            </w:pPr>
            <w:r w:rsidRPr="00807FD7">
              <w:rPr>
                <w:lang w:val="it-IT"/>
              </w:rPr>
              <w:t xml:space="preserve">Indirect comparison, </w:t>
            </w:r>
            <w:r w:rsidR="0075485E" w:rsidRPr="00807FD7">
              <w:rPr>
                <w:lang w:val="it-IT"/>
              </w:rPr>
              <w:t xml:space="preserve">ELA </w:t>
            </w:r>
            <w:r w:rsidRPr="00807FD7">
              <w:rPr>
                <w:lang w:val="it-IT"/>
              </w:rPr>
              <w:t>vs OCA 5-10</w:t>
            </w:r>
            <w:r w:rsidR="007E5A7A" w:rsidRPr="00807FD7">
              <w:rPr>
                <w:lang w:val="it-IT"/>
              </w:rPr>
              <w:t xml:space="preserve"> </w:t>
            </w:r>
            <w:r w:rsidRPr="00807FD7">
              <w:rPr>
                <w:lang w:val="it-IT"/>
              </w:rPr>
              <w:t>mg (95% CI)</w:t>
            </w:r>
          </w:p>
        </w:tc>
        <w:tc>
          <w:tcPr>
            <w:tcW w:w="1319" w:type="pct"/>
            <w:shd w:val="clear" w:color="auto" w:fill="auto"/>
            <w:vAlign w:val="center"/>
          </w:tcPr>
          <w:p w14:paraId="4A54F592" w14:textId="1F63B546" w:rsidR="00581E10" w:rsidRPr="002E7948" w:rsidRDefault="00581E10" w:rsidP="00777D20">
            <w:pPr>
              <w:pStyle w:val="TableText0"/>
              <w:jc w:val="center"/>
              <w:rPr>
                <w:bCs w:val="0"/>
              </w:rPr>
            </w:pPr>
            <w:r w:rsidRPr="002E7948">
              <w:rPr>
                <w:bCs w:val="0"/>
              </w:rPr>
              <w:t>MD</w:t>
            </w:r>
            <w:r w:rsidR="000C1784" w:rsidRPr="002E7948">
              <w:rPr>
                <w:bCs w:val="0"/>
              </w:rPr>
              <w:t xml:space="preserve"> </w:t>
            </w:r>
            <w:r w:rsidRPr="002E7948">
              <w:rPr>
                <w:bCs w:val="0"/>
              </w:rPr>
              <w:t>= -13.10 (-57.14, 30.94)</w:t>
            </w:r>
          </w:p>
        </w:tc>
      </w:tr>
      <w:tr w:rsidR="00581E10" w:rsidRPr="0098262F" w14:paraId="2531C8F4" w14:textId="77777777" w:rsidTr="00777D20">
        <w:trPr>
          <w:jc w:val="center"/>
        </w:trPr>
        <w:tc>
          <w:tcPr>
            <w:tcW w:w="3681" w:type="pct"/>
            <w:gridSpan w:val="4"/>
            <w:shd w:val="clear" w:color="auto" w:fill="auto"/>
            <w:vAlign w:val="center"/>
          </w:tcPr>
          <w:p w14:paraId="7CE110B8" w14:textId="5D5DBE98" w:rsidR="00581E10" w:rsidRPr="00807FD7" w:rsidRDefault="00581E10" w:rsidP="005E29AF">
            <w:pPr>
              <w:pStyle w:val="TableText0"/>
              <w:rPr>
                <w:lang w:val="it-IT"/>
              </w:rPr>
            </w:pPr>
            <w:r w:rsidRPr="00807FD7">
              <w:rPr>
                <w:lang w:val="it-IT"/>
              </w:rPr>
              <w:t xml:space="preserve">Indirect comparison, </w:t>
            </w:r>
            <w:r w:rsidR="0075485E" w:rsidRPr="00807FD7">
              <w:rPr>
                <w:lang w:val="it-IT"/>
              </w:rPr>
              <w:t xml:space="preserve">ELA </w:t>
            </w:r>
            <w:r w:rsidRPr="00807FD7">
              <w:rPr>
                <w:lang w:val="it-IT"/>
              </w:rPr>
              <w:t>vs OCA 10</w:t>
            </w:r>
            <w:r w:rsidR="007E5A7A" w:rsidRPr="00807FD7">
              <w:rPr>
                <w:lang w:val="it-IT"/>
              </w:rPr>
              <w:t xml:space="preserve"> </w:t>
            </w:r>
            <w:r w:rsidRPr="00807FD7">
              <w:rPr>
                <w:lang w:val="it-IT"/>
              </w:rPr>
              <w:t>mg (95% CI)</w:t>
            </w:r>
          </w:p>
        </w:tc>
        <w:tc>
          <w:tcPr>
            <w:tcW w:w="1319" w:type="pct"/>
            <w:shd w:val="clear" w:color="auto" w:fill="auto"/>
            <w:vAlign w:val="center"/>
          </w:tcPr>
          <w:p w14:paraId="614B6A16" w14:textId="335AE3C9" w:rsidR="00581E10" w:rsidRPr="002E7948" w:rsidRDefault="00581E10" w:rsidP="00777D20">
            <w:pPr>
              <w:pStyle w:val="TableText0"/>
              <w:jc w:val="center"/>
              <w:rPr>
                <w:bCs w:val="0"/>
              </w:rPr>
            </w:pPr>
            <w:r w:rsidRPr="002E7948">
              <w:rPr>
                <w:bCs w:val="0"/>
              </w:rPr>
              <w:t>MD</w:t>
            </w:r>
            <w:r w:rsidR="000C1784" w:rsidRPr="002E7948">
              <w:rPr>
                <w:bCs w:val="0"/>
              </w:rPr>
              <w:t xml:space="preserve"> </w:t>
            </w:r>
            <w:r w:rsidRPr="002E7948">
              <w:rPr>
                <w:bCs w:val="0"/>
              </w:rPr>
              <w:t>= 1.10 (-41.54, 43.74)</w:t>
            </w:r>
          </w:p>
        </w:tc>
      </w:tr>
    </w:tbl>
    <w:p w14:paraId="01F6EEE5" w14:textId="77777777" w:rsidR="00581E10" w:rsidRPr="00E343FF" w:rsidRDefault="00581E10" w:rsidP="00BC3AE9">
      <w:pPr>
        <w:pStyle w:val="FooterTableFigure"/>
        <w:keepNext/>
      </w:pPr>
      <w:r w:rsidRPr="00E343FF">
        <w:t xml:space="preserve">Source: </w:t>
      </w:r>
      <w:r>
        <w:rPr>
          <w:lang w:val="en-GB"/>
        </w:rPr>
        <w:t xml:space="preserve">Table 2-15, p92, </w:t>
      </w:r>
      <w:r w:rsidRPr="00E343FF">
        <w:t>Table 2-24 and Figure 2-24, p114 and p89, Table 2-17, p99 of the submission.</w:t>
      </w:r>
    </w:p>
    <w:p w14:paraId="793767C8" w14:textId="33B84C37" w:rsidR="00581E10" w:rsidRPr="00E343FF" w:rsidRDefault="00581E10" w:rsidP="00BC3AE9">
      <w:pPr>
        <w:pStyle w:val="FooterTableFigure"/>
        <w:keepNext/>
      </w:pPr>
      <w:r w:rsidRPr="05042C88">
        <w:t xml:space="preserve">ALP= alkaline phosphatase; CI = confidence interval; ELA = </w:t>
      </w:r>
      <w:proofErr w:type="spellStart"/>
      <w:r w:rsidRPr="05042C88">
        <w:t>elafibranor</w:t>
      </w:r>
      <w:proofErr w:type="spellEnd"/>
      <w:r w:rsidRPr="05042C88">
        <w:t xml:space="preserve">; </w:t>
      </w:r>
      <w:r w:rsidR="00424D12" w:rsidRPr="05042C88">
        <w:t xml:space="preserve">ITT = intent-to-treat; </w:t>
      </w:r>
      <w:r w:rsidRPr="05042C88">
        <w:t xml:space="preserve">LSM = least square mean; OCA= </w:t>
      </w:r>
      <w:proofErr w:type="spellStart"/>
      <w:r w:rsidRPr="05042C88">
        <w:t>obeticholic</w:t>
      </w:r>
      <w:proofErr w:type="spellEnd"/>
      <w:r w:rsidRPr="05042C88">
        <w:t xml:space="preserve"> acid; SE = standard error; MD = mean difference</w:t>
      </w:r>
      <w:r w:rsidR="00387C84" w:rsidRPr="05042C88">
        <w:t>; U/L= units per litre</w:t>
      </w:r>
      <w:r w:rsidRPr="05042C88">
        <w:t>.</w:t>
      </w:r>
    </w:p>
    <w:p w14:paraId="5D956462" w14:textId="77777777" w:rsidR="00581E10" w:rsidRDefault="00581E10" w:rsidP="00BC3AE9">
      <w:pPr>
        <w:pStyle w:val="FooterTableFigure"/>
        <w:keepNext/>
      </w:pPr>
      <w:r w:rsidRPr="05042C88">
        <w:rPr>
          <w:b/>
          <w:bCs/>
        </w:rPr>
        <w:t>Bold</w:t>
      </w:r>
      <w:r w:rsidRPr="05042C88">
        <w:t xml:space="preserve"> indicates statistically significant results; </w:t>
      </w:r>
      <w:r w:rsidRPr="05042C88">
        <w:rPr>
          <w:i/>
          <w:iCs/>
        </w:rPr>
        <w:t>italics</w:t>
      </w:r>
      <w:r w:rsidRPr="05042C88">
        <w:t xml:space="preserve"> indicates added during the evaluation.</w:t>
      </w:r>
    </w:p>
    <w:p w14:paraId="44B9286F" w14:textId="4D3F2B3C" w:rsidR="00C04ADD" w:rsidRPr="00C04ADD" w:rsidRDefault="0021269B" w:rsidP="05042C88">
      <w:pPr>
        <w:pStyle w:val="3-BodyText"/>
        <w:rPr>
          <w:i/>
          <w:iCs/>
        </w:rPr>
      </w:pPr>
      <w:proofErr w:type="spellStart"/>
      <w:r w:rsidRPr="05042C88">
        <w:t>Elafibranor</w:t>
      </w:r>
      <w:proofErr w:type="spellEnd"/>
      <w:r w:rsidRPr="05042C88">
        <w:t xml:space="preserve"> resulted in</w:t>
      </w:r>
      <w:r w:rsidR="00EF584B" w:rsidRPr="05042C88">
        <w:t xml:space="preserve"> numerically</w:t>
      </w:r>
      <w:r w:rsidRPr="05042C88">
        <w:t xml:space="preserve"> </w:t>
      </w:r>
      <w:r w:rsidR="005615E8" w:rsidRPr="05042C88">
        <w:t xml:space="preserve">more </w:t>
      </w:r>
      <w:r w:rsidR="006010D1" w:rsidRPr="05042C88">
        <w:t xml:space="preserve">patients </w:t>
      </w:r>
      <w:r w:rsidR="005615E8" w:rsidRPr="05042C88">
        <w:t>experiencing</w:t>
      </w:r>
      <w:r w:rsidRPr="05042C88">
        <w:t xml:space="preserve"> </w:t>
      </w:r>
      <w:r w:rsidR="00441FA6" w:rsidRPr="05042C88">
        <w:t>cholestasis</w:t>
      </w:r>
      <w:r w:rsidR="00FD6F8E" w:rsidRPr="05042C88">
        <w:t xml:space="preserve"> response </w:t>
      </w:r>
      <w:r w:rsidR="00F44334" w:rsidRPr="05042C88">
        <w:t>compared to OCA 5-10 mg (OR = 3.45</w:t>
      </w:r>
      <w:r w:rsidR="007E5A7A" w:rsidRPr="05042C88">
        <w:t>;</w:t>
      </w:r>
      <w:r w:rsidR="00F44334" w:rsidRPr="05042C88">
        <w:t xml:space="preserve"> 95%</w:t>
      </w:r>
      <w:r w:rsidR="00B8439F" w:rsidRPr="05042C88">
        <w:t xml:space="preserve"> </w:t>
      </w:r>
      <w:r w:rsidR="00F44334" w:rsidRPr="05042C88">
        <w:t xml:space="preserve">CI: 0.62, 19.19) and OCA 10 mg </w:t>
      </w:r>
      <w:r w:rsidR="00423507" w:rsidRPr="05042C88">
        <w:t>(</w:t>
      </w:r>
      <w:r w:rsidR="00417E9D" w:rsidRPr="05042C88">
        <w:t>OR</w:t>
      </w:r>
      <w:r w:rsidR="007E5A7A" w:rsidRPr="05042C88">
        <w:t xml:space="preserve"> </w:t>
      </w:r>
      <w:r w:rsidR="00417E9D" w:rsidRPr="05042C88">
        <w:t>=</w:t>
      </w:r>
      <w:r w:rsidR="007E5A7A" w:rsidRPr="05042C88">
        <w:t xml:space="preserve"> </w:t>
      </w:r>
      <w:r w:rsidR="00417E9D" w:rsidRPr="05042C88">
        <w:t>3.32</w:t>
      </w:r>
      <w:r w:rsidR="007E5A7A" w:rsidRPr="05042C88">
        <w:t>;</w:t>
      </w:r>
      <w:r w:rsidR="00417E9D" w:rsidRPr="05042C88">
        <w:t xml:space="preserve"> 95%</w:t>
      </w:r>
      <w:r w:rsidR="00B8439F" w:rsidRPr="05042C88">
        <w:t xml:space="preserve"> </w:t>
      </w:r>
      <w:r w:rsidR="00417E9D" w:rsidRPr="05042C88">
        <w:t>CI: 0.6, 18.39)</w:t>
      </w:r>
      <w:r w:rsidR="0069284F" w:rsidRPr="05042C88">
        <w:t>,</w:t>
      </w:r>
      <w:r w:rsidR="009A6725" w:rsidRPr="05042C88">
        <w:t xml:space="preserve"> </w:t>
      </w:r>
      <w:r w:rsidR="00B8439F" w:rsidRPr="05042C88">
        <w:t>and</w:t>
      </w:r>
      <w:r w:rsidR="009A6725" w:rsidRPr="05042C88">
        <w:t xml:space="preserve"> </w:t>
      </w:r>
      <w:r w:rsidR="006A2BE3" w:rsidRPr="05042C88">
        <w:t xml:space="preserve">numerically </w:t>
      </w:r>
      <w:r w:rsidR="00441FA6" w:rsidRPr="05042C88">
        <w:t xml:space="preserve">more </w:t>
      </w:r>
      <w:r w:rsidR="006010D1" w:rsidRPr="05042C88">
        <w:t xml:space="preserve">patients </w:t>
      </w:r>
      <w:r w:rsidR="00441FA6" w:rsidRPr="05042C88">
        <w:t xml:space="preserve">experiencing ALP normalisation </w:t>
      </w:r>
      <w:r w:rsidR="009A6725" w:rsidRPr="05042C88">
        <w:t>compared to</w:t>
      </w:r>
      <w:r w:rsidR="001E564E" w:rsidRPr="05042C88">
        <w:t xml:space="preserve"> OCA 5-10</w:t>
      </w:r>
      <w:r w:rsidR="007E5A7A" w:rsidRPr="05042C88">
        <w:t xml:space="preserve"> </w:t>
      </w:r>
      <w:r w:rsidR="001E564E" w:rsidRPr="05042C88">
        <w:t xml:space="preserve">mg </w:t>
      </w:r>
      <w:r w:rsidR="009A6725" w:rsidRPr="05042C88">
        <w:t>(</w:t>
      </w:r>
      <w:r w:rsidR="00713A61" w:rsidRPr="05042C88">
        <w:t>OR = 8.71</w:t>
      </w:r>
      <w:r w:rsidR="007E5A7A" w:rsidRPr="05042C88">
        <w:t>;</w:t>
      </w:r>
      <w:r w:rsidR="00713A61" w:rsidRPr="05042C88">
        <w:t xml:space="preserve"> 95%</w:t>
      </w:r>
      <w:r w:rsidR="00B8439F" w:rsidRPr="05042C88">
        <w:t xml:space="preserve"> </w:t>
      </w:r>
      <w:r w:rsidR="00713A61" w:rsidRPr="05042C88">
        <w:t>CI: 0.10, 734.86) and OCA 10</w:t>
      </w:r>
      <w:r w:rsidR="007E5A7A" w:rsidRPr="05042C88">
        <w:t xml:space="preserve"> </w:t>
      </w:r>
      <w:r w:rsidR="00713A61" w:rsidRPr="05042C88">
        <w:t>mg (</w:t>
      </w:r>
      <w:r w:rsidR="009A6725" w:rsidRPr="05042C88">
        <w:t>OR = 1.72</w:t>
      </w:r>
      <w:r w:rsidR="007E5A7A" w:rsidRPr="05042C88">
        <w:t>;</w:t>
      </w:r>
      <w:r w:rsidR="009A6725" w:rsidRPr="05042C88">
        <w:t xml:space="preserve"> 95%</w:t>
      </w:r>
      <w:r w:rsidR="00B8439F" w:rsidRPr="05042C88">
        <w:t xml:space="preserve"> </w:t>
      </w:r>
      <w:r w:rsidR="009A6725" w:rsidRPr="05042C88">
        <w:t>C</w:t>
      </w:r>
      <w:r w:rsidR="00B8439F" w:rsidRPr="05042C88">
        <w:t>I</w:t>
      </w:r>
      <w:r w:rsidR="009A6725" w:rsidRPr="05042C88">
        <w:t>: 0.03, 100.96)</w:t>
      </w:r>
      <w:r w:rsidR="00DA33AF" w:rsidRPr="05042C88">
        <w:t xml:space="preserve">. </w:t>
      </w:r>
      <w:proofErr w:type="spellStart"/>
      <w:r w:rsidR="00CF6EF8" w:rsidRPr="05042C88">
        <w:t>Elafibranor</w:t>
      </w:r>
      <w:proofErr w:type="spellEnd"/>
      <w:r w:rsidR="00CF6EF8" w:rsidRPr="05042C88">
        <w:t xml:space="preserve"> also resulted in </w:t>
      </w:r>
      <w:r w:rsidR="005B24D1" w:rsidRPr="05042C88">
        <w:t xml:space="preserve">a </w:t>
      </w:r>
      <w:r w:rsidR="000D05FD" w:rsidRPr="05042C88">
        <w:t xml:space="preserve">numerically </w:t>
      </w:r>
      <w:r w:rsidR="005B24D1" w:rsidRPr="05042C88">
        <w:t>greater reduction in</w:t>
      </w:r>
      <w:r w:rsidR="001E564E" w:rsidRPr="05042C88">
        <w:t xml:space="preserve"> </w:t>
      </w:r>
      <w:r w:rsidRPr="05042C88">
        <w:t>ALP compared with OCA 5-10 mg (</w:t>
      </w:r>
      <w:r w:rsidR="009C1D24" w:rsidRPr="05042C88">
        <w:t>mean</w:t>
      </w:r>
      <w:r w:rsidR="002C5D78" w:rsidRPr="05042C88">
        <w:t xml:space="preserve"> </w:t>
      </w:r>
      <w:r w:rsidRPr="05042C88">
        <w:t>difference</w:t>
      </w:r>
      <w:r w:rsidR="009C1D24" w:rsidRPr="05042C88">
        <w:t xml:space="preserve"> = </w:t>
      </w:r>
      <w:r w:rsidRPr="05042C88">
        <w:t>-13.10</w:t>
      </w:r>
      <w:r w:rsidR="007E5A7A" w:rsidRPr="05042C88">
        <w:t>;</w:t>
      </w:r>
      <w:r w:rsidRPr="05042C88">
        <w:t xml:space="preserve"> 95% CI: -57.14, 30.94) and a smaller decrease compared with OCA 10 mg (mea</w:t>
      </w:r>
      <w:r w:rsidR="00E63569" w:rsidRPr="05042C88">
        <w:t>n</w:t>
      </w:r>
      <w:r w:rsidRPr="05042C88">
        <w:t xml:space="preserve"> difference </w:t>
      </w:r>
      <w:r w:rsidR="007E5A7A" w:rsidRPr="05042C88">
        <w:t xml:space="preserve">= </w:t>
      </w:r>
      <w:r w:rsidRPr="05042C88">
        <w:t>1.10</w:t>
      </w:r>
      <w:r w:rsidR="007E5A7A" w:rsidRPr="05042C88">
        <w:t>;</w:t>
      </w:r>
      <w:r w:rsidRPr="05042C88">
        <w:t xml:space="preserve"> </w:t>
      </w:r>
      <w:r w:rsidR="00B8439F" w:rsidRPr="05042C88">
        <w:t xml:space="preserve">95% CI: </w:t>
      </w:r>
      <w:r w:rsidR="00B12EDF">
        <w:noBreakHyphen/>
      </w:r>
      <w:r w:rsidRPr="05042C88">
        <w:t>41.54, 43.74)</w:t>
      </w:r>
      <w:r w:rsidR="00E63569" w:rsidRPr="05042C88">
        <w:t xml:space="preserve">. However, none of the differences were </w:t>
      </w:r>
      <w:r w:rsidRPr="05042C88">
        <w:t>statistically significant.</w:t>
      </w:r>
      <w:r w:rsidR="00C04ADD" w:rsidRPr="05042C88">
        <w:t xml:space="preserve"> </w:t>
      </w:r>
    </w:p>
    <w:p w14:paraId="16CB01F9" w14:textId="763223E5" w:rsidR="0029417A" w:rsidRPr="00D100E6" w:rsidRDefault="0031156F" w:rsidP="00B2673F">
      <w:pPr>
        <w:pStyle w:val="3-BodyText"/>
      </w:pPr>
      <w:r w:rsidRPr="00D100E6">
        <w:t>Th</w:t>
      </w:r>
      <w:r w:rsidR="00C04ADD" w:rsidRPr="00D100E6">
        <w:t>ese results were</w:t>
      </w:r>
      <w:r w:rsidRPr="00D100E6">
        <w:t xml:space="preserve"> uncertain as the submission did not propose a</w:t>
      </w:r>
      <w:r w:rsidR="00BA5A2A" w:rsidRPr="00D100E6">
        <w:t>ny</w:t>
      </w:r>
      <w:r w:rsidRPr="00D100E6">
        <w:t xml:space="preserve"> MCID</w:t>
      </w:r>
      <w:r w:rsidR="00BA5A2A" w:rsidRPr="00D100E6">
        <w:t>s</w:t>
      </w:r>
      <w:r w:rsidRPr="00D100E6">
        <w:t xml:space="preserve"> </w:t>
      </w:r>
      <w:r w:rsidR="00B53E5F" w:rsidRPr="00D100E6">
        <w:t>nor define</w:t>
      </w:r>
      <w:r w:rsidRPr="00D100E6">
        <w:t xml:space="preserve"> non</w:t>
      </w:r>
      <w:r w:rsidR="007F7EA7" w:rsidRPr="00D100E6">
        <w:t>-</w:t>
      </w:r>
      <w:r w:rsidRPr="00D100E6">
        <w:t xml:space="preserve">inferiority </w:t>
      </w:r>
      <w:r w:rsidR="00B53E5F" w:rsidRPr="00D100E6">
        <w:t>margins</w:t>
      </w:r>
      <w:r w:rsidR="00EB46D2">
        <w:t>,</w:t>
      </w:r>
      <w:r w:rsidRPr="00D100E6">
        <w:t xml:space="preserve"> the sample sizes in the ELATIVE trial (N=161) and the POISE trial (N=217) were small, which reduced the statistical power to detect differences across the treatment arms and there were differences across the ELATIVE and POISE trials that affected the assumption of transitivity </w:t>
      </w:r>
      <w:r w:rsidR="00B21F4F" w:rsidRPr="00D100E6">
        <w:t>(</w:t>
      </w:r>
      <w:r w:rsidR="00B21F4F" w:rsidRPr="00BD30BE">
        <w:t>see para</w:t>
      </w:r>
      <w:r w:rsidR="00533E36" w:rsidRPr="00BD30BE">
        <w:t>graph</w:t>
      </w:r>
      <w:r w:rsidR="00B21F4F" w:rsidRPr="00BD30BE">
        <w:t xml:space="preserve"> </w:t>
      </w:r>
      <w:r w:rsidR="00B21F4F" w:rsidRPr="00BD30BE">
        <w:fldChar w:fldCharType="begin" w:fldLock="1"/>
      </w:r>
      <w:r w:rsidR="00B21F4F" w:rsidRPr="00BD30BE">
        <w:instrText xml:space="preserve"> REF _Ref184673533 \r \h  \* MERGEFORMAT </w:instrText>
      </w:r>
      <w:r w:rsidR="00B21F4F" w:rsidRPr="00BD30BE">
        <w:fldChar w:fldCharType="separate"/>
      </w:r>
      <w:r w:rsidR="00A56EA5">
        <w:t>6.14</w:t>
      </w:r>
      <w:r w:rsidR="00B21F4F" w:rsidRPr="00BD30BE">
        <w:fldChar w:fldCharType="end"/>
      </w:r>
      <w:r w:rsidR="00B21F4F" w:rsidRPr="00D100E6">
        <w:t>)</w:t>
      </w:r>
      <w:r w:rsidR="0029417A" w:rsidRPr="00D100E6">
        <w:t>.</w:t>
      </w:r>
    </w:p>
    <w:p w14:paraId="1452C351" w14:textId="0D19F1B0" w:rsidR="00B60939" w:rsidRPr="0098262F" w:rsidRDefault="00B60939" w:rsidP="00D86231">
      <w:pPr>
        <w:pStyle w:val="4-SubsectionHeading"/>
      </w:pPr>
      <w:bookmarkStart w:id="48" w:name="_Toc22897642"/>
      <w:bookmarkStart w:id="49" w:name="_Toc187914752"/>
      <w:r w:rsidRPr="0098262F">
        <w:t>Comparative harms</w:t>
      </w:r>
      <w:bookmarkEnd w:id="48"/>
      <w:bookmarkEnd w:id="49"/>
    </w:p>
    <w:p w14:paraId="1F06AA83" w14:textId="44900E77" w:rsidR="00B62C4C" w:rsidRPr="002C79B6" w:rsidRDefault="002C79B6" w:rsidP="00DC7BB7">
      <w:pPr>
        <w:pStyle w:val="3-BodyText"/>
      </w:pPr>
      <w:r w:rsidRPr="002C79B6">
        <w:fldChar w:fldCharType="begin" w:fldLock="1"/>
      </w:r>
      <w:r w:rsidRPr="002C79B6">
        <w:instrText xml:space="preserve"> REF _Ref184672990 \h </w:instrText>
      </w:r>
      <w:r>
        <w:instrText xml:space="preserve"> \* MERGEFORMAT </w:instrText>
      </w:r>
      <w:r w:rsidRPr="002C79B6">
        <w:fldChar w:fldCharType="separate"/>
      </w:r>
      <w:r w:rsidR="002B3034">
        <w:t xml:space="preserve">Table </w:t>
      </w:r>
      <w:r w:rsidR="002B3034">
        <w:rPr>
          <w:noProof/>
        </w:rPr>
        <w:t>9</w:t>
      </w:r>
      <w:r w:rsidRPr="002C79B6">
        <w:fldChar w:fldCharType="end"/>
      </w:r>
      <w:r w:rsidRPr="002C79B6">
        <w:t xml:space="preserve"> </w:t>
      </w:r>
      <w:r w:rsidR="00B62C4C" w:rsidRPr="002C79B6">
        <w:t xml:space="preserve">presents the key safety outcomes reported in the ELATIVE trial. </w:t>
      </w:r>
    </w:p>
    <w:p w14:paraId="207273BA" w14:textId="54C09146" w:rsidR="00B62C4C" w:rsidRPr="008E1EC7" w:rsidRDefault="002C79B6" w:rsidP="00DC7BB7">
      <w:pPr>
        <w:pStyle w:val="Caption"/>
      </w:pPr>
      <w:bookmarkStart w:id="50" w:name="_Ref184672990"/>
      <w:r>
        <w:lastRenderedPageBreak/>
        <w:t xml:space="preserve">Table </w:t>
      </w:r>
      <w:r w:rsidR="00780A90">
        <w:fldChar w:fldCharType="begin" w:fldLock="1"/>
      </w:r>
      <w:r w:rsidR="00780A90">
        <w:instrText xml:space="preserve"> SEQ Table \* ARABIC </w:instrText>
      </w:r>
      <w:r w:rsidR="00780A90">
        <w:fldChar w:fldCharType="separate"/>
      </w:r>
      <w:r w:rsidR="00780A90">
        <w:rPr>
          <w:noProof/>
        </w:rPr>
        <w:t>9</w:t>
      </w:r>
      <w:r w:rsidR="00780A90">
        <w:rPr>
          <w:noProof/>
        </w:rPr>
        <w:fldChar w:fldCharType="end"/>
      </w:r>
      <w:bookmarkEnd w:id="50"/>
      <w:r>
        <w:t xml:space="preserve">: </w:t>
      </w:r>
      <w:r w:rsidR="00B62C4C" w:rsidRPr="008E1EC7">
        <w:t xml:space="preserve">Summary of </w:t>
      </w:r>
      <w:r w:rsidR="00B62C4C">
        <w:t xml:space="preserve">key </w:t>
      </w:r>
      <w:r w:rsidR="00B62C4C" w:rsidRPr="008E1EC7">
        <w:t>adverse events reported in the ELATIVE trial (Safety analysis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360"/>
        <w:gridCol w:w="1372"/>
        <w:gridCol w:w="1841"/>
      </w:tblGrid>
      <w:tr w:rsidR="00B62C4C" w:rsidRPr="008E1EC7" w14:paraId="592D42AE" w14:textId="77777777" w:rsidTr="05042C88">
        <w:trPr>
          <w:tblHeader/>
        </w:trPr>
        <w:tc>
          <w:tcPr>
            <w:tcW w:w="2464" w:type="pct"/>
            <w:tcBorders>
              <w:top w:val="single" w:sz="4" w:space="0" w:color="auto"/>
              <w:left w:val="single" w:sz="4" w:space="0" w:color="auto"/>
              <w:bottom w:val="single" w:sz="4" w:space="0" w:color="auto"/>
              <w:right w:val="single" w:sz="4" w:space="0" w:color="auto"/>
            </w:tcBorders>
            <w:vAlign w:val="center"/>
            <w:hideMark/>
          </w:tcPr>
          <w:p w14:paraId="61CE70F9" w14:textId="47D2C7A3" w:rsidR="00B62C4C" w:rsidRPr="00750EA8" w:rsidRDefault="00B62C4C" w:rsidP="00E654C5">
            <w:pPr>
              <w:pStyle w:val="In-tableHeading"/>
              <w:jc w:val="center"/>
              <w:rPr>
                <w:lang w:val="en-AU"/>
              </w:rPr>
            </w:pPr>
          </w:p>
        </w:tc>
        <w:tc>
          <w:tcPr>
            <w:tcW w:w="754" w:type="pct"/>
            <w:tcBorders>
              <w:top w:val="single" w:sz="4" w:space="0" w:color="auto"/>
              <w:left w:val="single" w:sz="4" w:space="0" w:color="auto"/>
              <w:bottom w:val="single" w:sz="4" w:space="0" w:color="auto"/>
              <w:right w:val="single" w:sz="4" w:space="0" w:color="auto"/>
            </w:tcBorders>
            <w:vAlign w:val="center"/>
            <w:hideMark/>
          </w:tcPr>
          <w:p w14:paraId="47D0E875" w14:textId="77777777" w:rsidR="00B62C4C" w:rsidRPr="00750EA8" w:rsidRDefault="00B62C4C" w:rsidP="00E654C5">
            <w:pPr>
              <w:pStyle w:val="In-tableHeading"/>
              <w:jc w:val="center"/>
              <w:rPr>
                <w:lang w:val="en-AU"/>
              </w:rPr>
            </w:pPr>
            <w:r>
              <w:rPr>
                <w:lang w:val="en-AU"/>
              </w:rPr>
              <w:t>ELA</w:t>
            </w:r>
            <w:r w:rsidRPr="00750EA8">
              <w:rPr>
                <w:lang w:val="en-AU"/>
              </w:rPr>
              <w:t xml:space="preserve"> 80mg</w:t>
            </w:r>
          </w:p>
          <w:p w14:paraId="3472AED7" w14:textId="669C169E" w:rsidR="009E3487" w:rsidRPr="00750EA8" w:rsidRDefault="00B62C4C" w:rsidP="00EB46D2">
            <w:pPr>
              <w:pStyle w:val="In-tableHeading"/>
              <w:jc w:val="center"/>
              <w:rPr>
                <w:lang w:val="en-AU"/>
              </w:rPr>
            </w:pPr>
            <w:r w:rsidRPr="00750EA8">
              <w:rPr>
                <w:lang w:val="en-AU"/>
              </w:rPr>
              <w:t>n with event/N (%)</w:t>
            </w:r>
          </w:p>
        </w:tc>
        <w:tc>
          <w:tcPr>
            <w:tcW w:w="761" w:type="pct"/>
            <w:tcBorders>
              <w:top w:val="single" w:sz="4" w:space="0" w:color="auto"/>
              <w:left w:val="single" w:sz="4" w:space="0" w:color="auto"/>
              <w:bottom w:val="single" w:sz="4" w:space="0" w:color="auto"/>
              <w:right w:val="single" w:sz="4" w:space="0" w:color="auto"/>
            </w:tcBorders>
            <w:vAlign w:val="center"/>
            <w:hideMark/>
          </w:tcPr>
          <w:p w14:paraId="2EAA3BE2" w14:textId="77777777" w:rsidR="00B62C4C" w:rsidRPr="00750EA8" w:rsidRDefault="00B62C4C" w:rsidP="00E654C5">
            <w:pPr>
              <w:pStyle w:val="In-tableHeading"/>
              <w:jc w:val="center"/>
              <w:rPr>
                <w:lang w:val="en-AU"/>
              </w:rPr>
            </w:pPr>
            <w:r w:rsidRPr="00750EA8">
              <w:rPr>
                <w:lang w:val="en-AU"/>
              </w:rPr>
              <w:t>Placebo</w:t>
            </w:r>
          </w:p>
          <w:p w14:paraId="53C81568" w14:textId="3C47FE52" w:rsidR="009E3487" w:rsidRPr="00750EA8" w:rsidRDefault="00B62C4C" w:rsidP="00EB46D2">
            <w:pPr>
              <w:pStyle w:val="In-tableHeading"/>
              <w:jc w:val="center"/>
              <w:rPr>
                <w:lang w:val="en-AU"/>
              </w:rPr>
            </w:pPr>
            <w:r w:rsidRPr="00750EA8">
              <w:rPr>
                <w:lang w:val="en-AU"/>
              </w:rPr>
              <w:t>n with event/N (%)</w:t>
            </w:r>
          </w:p>
        </w:tc>
        <w:tc>
          <w:tcPr>
            <w:tcW w:w="1021" w:type="pct"/>
            <w:tcBorders>
              <w:top w:val="single" w:sz="4" w:space="0" w:color="auto"/>
              <w:left w:val="single" w:sz="4" w:space="0" w:color="auto"/>
              <w:bottom w:val="single" w:sz="4" w:space="0" w:color="auto"/>
              <w:right w:val="single" w:sz="4" w:space="0" w:color="auto"/>
            </w:tcBorders>
            <w:vAlign w:val="center"/>
          </w:tcPr>
          <w:p w14:paraId="3DEA1B7C" w14:textId="2AAB1348" w:rsidR="00B62C4C" w:rsidRPr="00750EA8" w:rsidRDefault="00B62C4C" w:rsidP="00E654C5">
            <w:pPr>
              <w:pStyle w:val="In-tableHeading"/>
              <w:jc w:val="center"/>
              <w:rPr>
                <w:lang w:val="en-AU"/>
              </w:rPr>
            </w:pPr>
            <w:r w:rsidRPr="00B40222">
              <w:rPr>
                <w:bCs/>
              </w:rPr>
              <w:t xml:space="preserve">EAIR </w:t>
            </w:r>
            <w:r w:rsidR="00EB46D2">
              <w:rPr>
                <w:bCs/>
              </w:rPr>
              <w:t>d</w:t>
            </w:r>
            <w:r w:rsidRPr="00B40222">
              <w:rPr>
                <w:bCs/>
              </w:rPr>
              <w:t xml:space="preserve">ifference </w:t>
            </w:r>
            <w:r w:rsidR="00EB46D2">
              <w:rPr>
                <w:bCs/>
              </w:rPr>
              <w:t>e</w:t>
            </w:r>
            <w:r w:rsidRPr="00B40222">
              <w:rPr>
                <w:bCs/>
              </w:rPr>
              <w:t>stimate</w:t>
            </w:r>
            <w:r>
              <w:rPr>
                <w:bCs/>
              </w:rPr>
              <w:t xml:space="preserve"> </w:t>
            </w:r>
            <w:r w:rsidR="00EB46D2">
              <w:rPr>
                <w:bCs/>
              </w:rPr>
              <w:br/>
            </w:r>
            <w:r>
              <w:rPr>
                <w:bCs/>
              </w:rPr>
              <w:t>(95% CI)</w:t>
            </w:r>
          </w:p>
        </w:tc>
      </w:tr>
      <w:tr w:rsidR="00B62C4C" w:rsidRPr="008E1EC7" w14:paraId="728BAE2B"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3863F6DC" w14:textId="77777777" w:rsidR="00B62C4C" w:rsidRPr="008E1EC7" w:rsidRDefault="00B62C4C" w:rsidP="00777D20">
            <w:pPr>
              <w:pStyle w:val="TableText0"/>
            </w:pPr>
            <w:r w:rsidRPr="008E1EC7">
              <w:t>TEAEs</w:t>
            </w:r>
          </w:p>
        </w:tc>
        <w:tc>
          <w:tcPr>
            <w:tcW w:w="754" w:type="pct"/>
            <w:tcBorders>
              <w:top w:val="single" w:sz="4" w:space="0" w:color="auto"/>
              <w:left w:val="single" w:sz="4" w:space="0" w:color="auto"/>
              <w:bottom w:val="single" w:sz="4" w:space="0" w:color="auto"/>
              <w:right w:val="single" w:sz="4" w:space="0" w:color="auto"/>
            </w:tcBorders>
            <w:vAlign w:val="center"/>
            <w:hideMark/>
          </w:tcPr>
          <w:p w14:paraId="6E02341B" w14:textId="77777777" w:rsidR="00B62C4C" w:rsidRPr="008E1EC7" w:rsidRDefault="00B62C4C" w:rsidP="00777D20">
            <w:pPr>
              <w:pStyle w:val="TableText0"/>
              <w:jc w:val="center"/>
            </w:pPr>
            <w:r w:rsidRPr="008E1EC7">
              <w:t>104/108 (96.3)</w:t>
            </w:r>
          </w:p>
        </w:tc>
        <w:tc>
          <w:tcPr>
            <w:tcW w:w="761" w:type="pct"/>
            <w:tcBorders>
              <w:top w:val="single" w:sz="4" w:space="0" w:color="auto"/>
              <w:left w:val="single" w:sz="4" w:space="0" w:color="auto"/>
              <w:bottom w:val="single" w:sz="4" w:space="0" w:color="auto"/>
              <w:right w:val="single" w:sz="4" w:space="0" w:color="auto"/>
            </w:tcBorders>
            <w:vAlign w:val="center"/>
            <w:hideMark/>
          </w:tcPr>
          <w:p w14:paraId="6595D602" w14:textId="77777777" w:rsidR="00B62C4C" w:rsidRPr="008E1EC7" w:rsidRDefault="00B62C4C" w:rsidP="00777D20">
            <w:pPr>
              <w:pStyle w:val="TableText0"/>
              <w:jc w:val="center"/>
            </w:pPr>
            <w:r w:rsidRPr="008E1EC7">
              <w:t>48/53 (90.6)</w:t>
            </w:r>
          </w:p>
        </w:tc>
        <w:tc>
          <w:tcPr>
            <w:tcW w:w="1021" w:type="pct"/>
            <w:tcBorders>
              <w:top w:val="single" w:sz="4" w:space="0" w:color="auto"/>
              <w:left w:val="single" w:sz="4" w:space="0" w:color="auto"/>
              <w:bottom w:val="single" w:sz="4" w:space="0" w:color="auto"/>
              <w:right w:val="single" w:sz="4" w:space="0" w:color="auto"/>
            </w:tcBorders>
            <w:vAlign w:val="center"/>
          </w:tcPr>
          <w:p w14:paraId="404001A3" w14:textId="59B4558D" w:rsidR="00B62C4C" w:rsidRPr="00BB7C8E" w:rsidRDefault="00B62C4C" w:rsidP="00777D20">
            <w:pPr>
              <w:pStyle w:val="TableText0"/>
              <w:jc w:val="center"/>
            </w:pPr>
            <w:r w:rsidRPr="00BB7C8E">
              <w:t>0.957</w:t>
            </w:r>
            <w:r>
              <w:t xml:space="preserve"> (</w:t>
            </w:r>
            <w:r w:rsidRPr="00BB7C8E">
              <w:t>-0.853;</w:t>
            </w:r>
            <w:r w:rsidR="00DB131A">
              <w:t xml:space="preserve"> </w:t>
            </w:r>
            <w:r w:rsidRPr="00BB7C8E">
              <w:t>2.766</w:t>
            </w:r>
            <w:r>
              <w:t>)</w:t>
            </w:r>
          </w:p>
        </w:tc>
      </w:tr>
      <w:tr w:rsidR="00B62C4C" w:rsidRPr="008E1EC7" w14:paraId="2421206E"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73A58D4C" w14:textId="77777777" w:rsidR="00B62C4C" w:rsidRPr="008E1EC7" w:rsidRDefault="00B62C4C" w:rsidP="00777D20">
            <w:pPr>
              <w:pStyle w:val="TableText0"/>
            </w:pPr>
            <w:r w:rsidRPr="008E1EC7">
              <w:t>TEAEs related to study medication</w:t>
            </w:r>
          </w:p>
        </w:tc>
        <w:tc>
          <w:tcPr>
            <w:tcW w:w="754" w:type="pct"/>
            <w:tcBorders>
              <w:top w:val="single" w:sz="4" w:space="0" w:color="auto"/>
              <w:left w:val="single" w:sz="4" w:space="0" w:color="auto"/>
              <w:bottom w:val="single" w:sz="4" w:space="0" w:color="auto"/>
              <w:right w:val="single" w:sz="4" w:space="0" w:color="auto"/>
            </w:tcBorders>
            <w:vAlign w:val="center"/>
            <w:hideMark/>
          </w:tcPr>
          <w:p w14:paraId="312A892F" w14:textId="77777777" w:rsidR="00B62C4C" w:rsidRPr="008E1EC7" w:rsidRDefault="00B62C4C" w:rsidP="00777D20">
            <w:pPr>
              <w:pStyle w:val="TableText0"/>
              <w:jc w:val="center"/>
            </w:pPr>
            <w:r w:rsidRPr="008E1EC7">
              <w:t>42/108 (38.9)</w:t>
            </w:r>
          </w:p>
        </w:tc>
        <w:tc>
          <w:tcPr>
            <w:tcW w:w="761" w:type="pct"/>
            <w:tcBorders>
              <w:top w:val="single" w:sz="4" w:space="0" w:color="auto"/>
              <w:left w:val="single" w:sz="4" w:space="0" w:color="auto"/>
              <w:bottom w:val="single" w:sz="4" w:space="0" w:color="auto"/>
              <w:right w:val="single" w:sz="4" w:space="0" w:color="auto"/>
            </w:tcBorders>
            <w:vAlign w:val="center"/>
            <w:hideMark/>
          </w:tcPr>
          <w:p w14:paraId="47DD8B31" w14:textId="77777777" w:rsidR="00B62C4C" w:rsidRPr="008E1EC7" w:rsidRDefault="00B62C4C" w:rsidP="00777D20">
            <w:pPr>
              <w:pStyle w:val="TableText0"/>
              <w:jc w:val="center"/>
            </w:pPr>
            <w:r w:rsidRPr="008E1EC7">
              <w:t>21/53 (39.6)</w:t>
            </w:r>
          </w:p>
        </w:tc>
        <w:tc>
          <w:tcPr>
            <w:tcW w:w="1021" w:type="pct"/>
            <w:tcBorders>
              <w:top w:val="single" w:sz="4" w:space="0" w:color="auto"/>
              <w:left w:val="single" w:sz="4" w:space="0" w:color="auto"/>
              <w:bottom w:val="single" w:sz="4" w:space="0" w:color="auto"/>
              <w:right w:val="single" w:sz="4" w:space="0" w:color="auto"/>
            </w:tcBorders>
            <w:vAlign w:val="center"/>
          </w:tcPr>
          <w:p w14:paraId="1931BCB5" w14:textId="77777777" w:rsidR="00B62C4C" w:rsidRPr="00BB7C8E" w:rsidRDefault="00B62C4C" w:rsidP="00777D20">
            <w:pPr>
              <w:pStyle w:val="TableText0"/>
              <w:jc w:val="center"/>
            </w:pPr>
            <w:r w:rsidRPr="00BB7C8E">
              <w:t>-0.020</w:t>
            </w:r>
            <w:r>
              <w:t xml:space="preserve"> (</w:t>
            </w:r>
            <w:r w:rsidRPr="00BB7C8E">
              <w:t>-0.282; 0.242</w:t>
            </w:r>
            <w:r>
              <w:t>)</w:t>
            </w:r>
          </w:p>
        </w:tc>
      </w:tr>
      <w:tr w:rsidR="00B62C4C" w:rsidRPr="008E1EC7" w14:paraId="5E736F83"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25E5EA0A" w14:textId="77777777" w:rsidR="00B62C4C" w:rsidRPr="008E1EC7" w:rsidRDefault="00B62C4C" w:rsidP="05042C88">
            <w:pPr>
              <w:pStyle w:val="TableText0"/>
              <w:rPr>
                <w:vertAlign w:val="superscript"/>
              </w:rPr>
            </w:pPr>
            <w:proofErr w:type="spellStart"/>
            <w:r w:rsidRPr="05042C88">
              <w:t>AESIs</w:t>
            </w:r>
            <w:r w:rsidRPr="05042C88">
              <w:rPr>
                <w:vertAlign w:val="superscript"/>
              </w:rPr>
              <w:t>a</w:t>
            </w:r>
            <w:proofErr w:type="spellEnd"/>
          </w:p>
        </w:tc>
        <w:tc>
          <w:tcPr>
            <w:tcW w:w="754" w:type="pct"/>
            <w:tcBorders>
              <w:top w:val="single" w:sz="4" w:space="0" w:color="auto"/>
              <w:left w:val="single" w:sz="4" w:space="0" w:color="auto"/>
              <w:bottom w:val="single" w:sz="4" w:space="0" w:color="auto"/>
              <w:right w:val="single" w:sz="4" w:space="0" w:color="auto"/>
            </w:tcBorders>
            <w:vAlign w:val="center"/>
            <w:hideMark/>
          </w:tcPr>
          <w:p w14:paraId="00503F74" w14:textId="77777777" w:rsidR="00B62C4C" w:rsidRPr="008E1EC7" w:rsidRDefault="00B62C4C" w:rsidP="00777D20">
            <w:pPr>
              <w:pStyle w:val="TableText0"/>
              <w:jc w:val="center"/>
            </w:pPr>
            <w:r w:rsidRPr="008E1EC7">
              <w:t>32/108 (29.6)</w:t>
            </w:r>
          </w:p>
        </w:tc>
        <w:tc>
          <w:tcPr>
            <w:tcW w:w="761" w:type="pct"/>
            <w:tcBorders>
              <w:top w:val="single" w:sz="4" w:space="0" w:color="auto"/>
              <w:left w:val="single" w:sz="4" w:space="0" w:color="auto"/>
              <w:bottom w:val="single" w:sz="4" w:space="0" w:color="auto"/>
              <w:right w:val="single" w:sz="4" w:space="0" w:color="auto"/>
            </w:tcBorders>
            <w:vAlign w:val="center"/>
            <w:hideMark/>
          </w:tcPr>
          <w:p w14:paraId="219EF300" w14:textId="77777777" w:rsidR="00B62C4C" w:rsidRPr="008E1EC7" w:rsidRDefault="00B62C4C" w:rsidP="00777D20">
            <w:pPr>
              <w:pStyle w:val="TableText0"/>
              <w:jc w:val="center"/>
            </w:pPr>
            <w:r w:rsidRPr="008E1EC7">
              <w:t>14/53 (26.4)</w:t>
            </w:r>
          </w:p>
        </w:tc>
        <w:tc>
          <w:tcPr>
            <w:tcW w:w="1021" w:type="pct"/>
            <w:tcBorders>
              <w:top w:val="single" w:sz="4" w:space="0" w:color="auto"/>
              <w:left w:val="single" w:sz="4" w:space="0" w:color="auto"/>
              <w:bottom w:val="single" w:sz="4" w:space="0" w:color="auto"/>
              <w:right w:val="single" w:sz="4" w:space="0" w:color="auto"/>
            </w:tcBorders>
            <w:vAlign w:val="center"/>
          </w:tcPr>
          <w:p w14:paraId="69DD00C5" w14:textId="77777777" w:rsidR="00B62C4C" w:rsidRPr="00BB7C8E" w:rsidRDefault="00B62C4C" w:rsidP="00777D20">
            <w:pPr>
              <w:pStyle w:val="TableText0"/>
              <w:jc w:val="center"/>
            </w:pPr>
            <w:r w:rsidRPr="00BB7C8E">
              <w:t>0.016</w:t>
            </w:r>
            <w:r>
              <w:t xml:space="preserve"> (</w:t>
            </w:r>
            <w:r w:rsidRPr="00BB7C8E">
              <w:t>-0.141; 0.173</w:t>
            </w:r>
            <w:r>
              <w:t>)</w:t>
            </w:r>
          </w:p>
        </w:tc>
      </w:tr>
      <w:tr w:rsidR="00B62C4C" w:rsidRPr="008E1EC7" w14:paraId="16D0B90B"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0D89EEA7" w14:textId="77777777" w:rsidR="00B62C4C" w:rsidRPr="008E1EC7" w:rsidRDefault="00B62C4C" w:rsidP="00777D20">
            <w:pPr>
              <w:pStyle w:val="TableText0"/>
            </w:pPr>
            <w:r w:rsidRPr="008E1EC7">
              <w:t>Serious TEAEs</w:t>
            </w:r>
          </w:p>
        </w:tc>
        <w:tc>
          <w:tcPr>
            <w:tcW w:w="754" w:type="pct"/>
            <w:tcBorders>
              <w:top w:val="single" w:sz="4" w:space="0" w:color="auto"/>
              <w:left w:val="single" w:sz="4" w:space="0" w:color="auto"/>
              <w:bottom w:val="single" w:sz="4" w:space="0" w:color="auto"/>
              <w:right w:val="single" w:sz="4" w:space="0" w:color="auto"/>
            </w:tcBorders>
            <w:vAlign w:val="center"/>
            <w:hideMark/>
          </w:tcPr>
          <w:p w14:paraId="7F952C05" w14:textId="77777777" w:rsidR="00B62C4C" w:rsidRPr="008E1EC7" w:rsidRDefault="00B62C4C" w:rsidP="00777D20">
            <w:pPr>
              <w:pStyle w:val="TableText0"/>
              <w:jc w:val="center"/>
            </w:pPr>
            <w:r w:rsidRPr="008E1EC7">
              <w:t>11/108 (10.2)</w:t>
            </w:r>
          </w:p>
        </w:tc>
        <w:tc>
          <w:tcPr>
            <w:tcW w:w="761" w:type="pct"/>
            <w:tcBorders>
              <w:top w:val="single" w:sz="4" w:space="0" w:color="auto"/>
              <w:left w:val="single" w:sz="4" w:space="0" w:color="auto"/>
              <w:bottom w:val="single" w:sz="4" w:space="0" w:color="auto"/>
              <w:right w:val="single" w:sz="4" w:space="0" w:color="auto"/>
            </w:tcBorders>
            <w:vAlign w:val="center"/>
            <w:hideMark/>
          </w:tcPr>
          <w:p w14:paraId="18C6B43B" w14:textId="77777777" w:rsidR="00B62C4C" w:rsidRPr="008E1EC7" w:rsidRDefault="00B62C4C" w:rsidP="00777D20">
            <w:pPr>
              <w:pStyle w:val="TableText0"/>
              <w:jc w:val="center"/>
            </w:pPr>
            <w:r w:rsidRPr="008E1EC7">
              <w:t>7/53 (13.2)</w:t>
            </w:r>
          </w:p>
        </w:tc>
        <w:tc>
          <w:tcPr>
            <w:tcW w:w="1021" w:type="pct"/>
            <w:tcBorders>
              <w:top w:val="single" w:sz="4" w:space="0" w:color="auto"/>
              <w:left w:val="single" w:sz="4" w:space="0" w:color="auto"/>
              <w:bottom w:val="single" w:sz="4" w:space="0" w:color="auto"/>
              <w:right w:val="single" w:sz="4" w:space="0" w:color="auto"/>
            </w:tcBorders>
            <w:vAlign w:val="center"/>
          </w:tcPr>
          <w:p w14:paraId="19FCEB04" w14:textId="77777777" w:rsidR="00B62C4C" w:rsidRPr="00BB7C8E" w:rsidRDefault="00B62C4C" w:rsidP="00777D20">
            <w:pPr>
              <w:pStyle w:val="TableText0"/>
              <w:jc w:val="center"/>
            </w:pPr>
            <w:r w:rsidRPr="00BB7C8E">
              <w:t>-0.031</w:t>
            </w:r>
            <w:r>
              <w:t xml:space="preserve"> (</w:t>
            </w:r>
            <w:r w:rsidRPr="00BB7C8E">
              <w:t>-0.130; 0.068</w:t>
            </w:r>
            <w:r>
              <w:t>)</w:t>
            </w:r>
          </w:p>
        </w:tc>
      </w:tr>
      <w:tr w:rsidR="00B62C4C" w:rsidRPr="008E1EC7" w14:paraId="0279A51F"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6057A480" w14:textId="77777777" w:rsidR="00B62C4C" w:rsidRPr="008E1EC7" w:rsidRDefault="00B62C4C" w:rsidP="00777D20">
            <w:pPr>
              <w:pStyle w:val="TableText0"/>
            </w:pPr>
            <w:r w:rsidRPr="008E1EC7">
              <w:t>Serious TEAEs related to study medication</w:t>
            </w:r>
          </w:p>
        </w:tc>
        <w:tc>
          <w:tcPr>
            <w:tcW w:w="754" w:type="pct"/>
            <w:tcBorders>
              <w:top w:val="single" w:sz="4" w:space="0" w:color="auto"/>
              <w:left w:val="single" w:sz="4" w:space="0" w:color="auto"/>
              <w:bottom w:val="single" w:sz="4" w:space="0" w:color="auto"/>
              <w:right w:val="single" w:sz="4" w:space="0" w:color="auto"/>
            </w:tcBorders>
            <w:vAlign w:val="center"/>
            <w:hideMark/>
          </w:tcPr>
          <w:p w14:paraId="1D4EA39C" w14:textId="77777777" w:rsidR="00B62C4C" w:rsidRPr="008E1EC7" w:rsidRDefault="00B62C4C" w:rsidP="00777D20">
            <w:pPr>
              <w:pStyle w:val="TableText0"/>
              <w:jc w:val="center"/>
            </w:pPr>
            <w:r w:rsidRPr="008E1EC7">
              <w:t>3/108 (2.8)</w:t>
            </w:r>
          </w:p>
        </w:tc>
        <w:tc>
          <w:tcPr>
            <w:tcW w:w="761" w:type="pct"/>
            <w:tcBorders>
              <w:top w:val="single" w:sz="4" w:space="0" w:color="auto"/>
              <w:left w:val="single" w:sz="4" w:space="0" w:color="auto"/>
              <w:bottom w:val="single" w:sz="4" w:space="0" w:color="auto"/>
              <w:right w:val="single" w:sz="4" w:space="0" w:color="auto"/>
            </w:tcBorders>
            <w:vAlign w:val="center"/>
            <w:hideMark/>
          </w:tcPr>
          <w:p w14:paraId="6CE75ABB" w14:textId="77777777" w:rsidR="00B62C4C" w:rsidRPr="008E1EC7" w:rsidRDefault="00B62C4C" w:rsidP="00777D20">
            <w:pPr>
              <w:pStyle w:val="TableText0"/>
              <w:jc w:val="center"/>
            </w:pPr>
            <w:r w:rsidRPr="008E1EC7">
              <w:t>1/53 (1.9)</w:t>
            </w:r>
          </w:p>
        </w:tc>
        <w:tc>
          <w:tcPr>
            <w:tcW w:w="1021" w:type="pct"/>
            <w:tcBorders>
              <w:top w:val="single" w:sz="4" w:space="0" w:color="auto"/>
              <w:left w:val="single" w:sz="4" w:space="0" w:color="auto"/>
              <w:bottom w:val="single" w:sz="4" w:space="0" w:color="auto"/>
              <w:right w:val="single" w:sz="4" w:space="0" w:color="auto"/>
            </w:tcBorders>
            <w:vAlign w:val="center"/>
          </w:tcPr>
          <w:p w14:paraId="0290A795" w14:textId="77777777" w:rsidR="00B62C4C" w:rsidRPr="00BB7C8E" w:rsidRDefault="00B62C4C" w:rsidP="00777D20">
            <w:pPr>
              <w:pStyle w:val="TableText0"/>
              <w:jc w:val="center"/>
            </w:pPr>
            <w:r w:rsidRPr="00BB7C8E">
              <w:t>0.006</w:t>
            </w:r>
            <w:r>
              <w:t xml:space="preserve"> (</w:t>
            </w:r>
            <w:r w:rsidRPr="00BB7C8E">
              <w:t>-0.033; 0.046</w:t>
            </w:r>
            <w:r>
              <w:t>)</w:t>
            </w:r>
          </w:p>
        </w:tc>
      </w:tr>
      <w:tr w:rsidR="00B62C4C" w:rsidRPr="008E1EC7" w14:paraId="72D62F3A"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0FC04D44" w14:textId="77777777" w:rsidR="00B62C4C" w:rsidRPr="008E1EC7" w:rsidRDefault="00B62C4C" w:rsidP="00777D20">
            <w:pPr>
              <w:pStyle w:val="TableText0"/>
            </w:pPr>
            <w:r w:rsidRPr="008E1EC7">
              <w:t>TEAEs leading to treatment discontinuation</w:t>
            </w:r>
          </w:p>
        </w:tc>
        <w:tc>
          <w:tcPr>
            <w:tcW w:w="754" w:type="pct"/>
            <w:tcBorders>
              <w:top w:val="single" w:sz="4" w:space="0" w:color="auto"/>
              <w:left w:val="single" w:sz="4" w:space="0" w:color="auto"/>
              <w:bottom w:val="single" w:sz="4" w:space="0" w:color="auto"/>
              <w:right w:val="single" w:sz="4" w:space="0" w:color="auto"/>
            </w:tcBorders>
            <w:vAlign w:val="center"/>
            <w:hideMark/>
          </w:tcPr>
          <w:p w14:paraId="5F60DA40" w14:textId="77777777" w:rsidR="00B62C4C" w:rsidRPr="008E1EC7" w:rsidRDefault="00B62C4C" w:rsidP="00777D20">
            <w:pPr>
              <w:pStyle w:val="TableText0"/>
              <w:jc w:val="center"/>
            </w:pPr>
            <w:r w:rsidRPr="008E1EC7">
              <w:t>11/108 (10.2)</w:t>
            </w:r>
          </w:p>
        </w:tc>
        <w:tc>
          <w:tcPr>
            <w:tcW w:w="761" w:type="pct"/>
            <w:tcBorders>
              <w:top w:val="single" w:sz="4" w:space="0" w:color="auto"/>
              <w:left w:val="single" w:sz="4" w:space="0" w:color="auto"/>
              <w:bottom w:val="single" w:sz="4" w:space="0" w:color="auto"/>
              <w:right w:val="single" w:sz="4" w:space="0" w:color="auto"/>
            </w:tcBorders>
            <w:vAlign w:val="center"/>
            <w:hideMark/>
          </w:tcPr>
          <w:p w14:paraId="21A1B671" w14:textId="77777777" w:rsidR="00B62C4C" w:rsidRPr="008E1EC7" w:rsidRDefault="00B62C4C" w:rsidP="00777D20">
            <w:pPr>
              <w:pStyle w:val="TableText0"/>
              <w:jc w:val="center"/>
            </w:pPr>
            <w:r w:rsidRPr="008E1EC7">
              <w:t>5/53 (9.4)</w:t>
            </w:r>
          </w:p>
        </w:tc>
        <w:tc>
          <w:tcPr>
            <w:tcW w:w="1021" w:type="pct"/>
            <w:tcBorders>
              <w:top w:val="single" w:sz="4" w:space="0" w:color="auto"/>
              <w:left w:val="single" w:sz="4" w:space="0" w:color="auto"/>
              <w:bottom w:val="single" w:sz="4" w:space="0" w:color="auto"/>
              <w:right w:val="single" w:sz="4" w:space="0" w:color="auto"/>
            </w:tcBorders>
            <w:vAlign w:val="center"/>
          </w:tcPr>
          <w:p w14:paraId="53E0D19C" w14:textId="77777777" w:rsidR="00B62C4C" w:rsidRPr="00BB7C8E" w:rsidRDefault="00B62C4C" w:rsidP="00777D20">
            <w:pPr>
              <w:pStyle w:val="TableText0"/>
              <w:jc w:val="center"/>
            </w:pPr>
            <w:r w:rsidRPr="00BB7C8E">
              <w:t>0.002</w:t>
            </w:r>
            <w:r>
              <w:t xml:space="preserve"> (</w:t>
            </w:r>
            <w:r w:rsidRPr="00BB7C8E">
              <w:t>-0.084; 0.088</w:t>
            </w:r>
            <w:r>
              <w:t>)</w:t>
            </w:r>
          </w:p>
        </w:tc>
      </w:tr>
      <w:tr w:rsidR="00B62C4C" w:rsidRPr="008E1EC7" w14:paraId="351E0FDA"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1DDEB0F2" w14:textId="77777777" w:rsidR="00B62C4C" w:rsidRPr="008E1EC7" w:rsidRDefault="00B62C4C" w:rsidP="00777D20">
            <w:pPr>
              <w:pStyle w:val="TableText0"/>
            </w:pPr>
            <w:r w:rsidRPr="008E1EC7">
              <w:t>Serious TEAEs</w:t>
            </w:r>
            <w:r>
              <w:t xml:space="preserve"> related to study medication</w:t>
            </w:r>
            <w:r w:rsidRPr="008E1EC7">
              <w:t xml:space="preserve"> leading to treatment discontinuation</w:t>
            </w:r>
          </w:p>
        </w:tc>
        <w:tc>
          <w:tcPr>
            <w:tcW w:w="754" w:type="pct"/>
            <w:tcBorders>
              <w:top w:val="single" w:sz="4" w:space="0" w:color="auto"/>
              <w:left w:val="single" w:sz="4" w:space="0" w:color="auto"/>
              <w:bottom w:val="single" w:sz="4" w:space="0" w:color="auto"/>
              <w:right w:val="single" w:sz="4" w:space="0" w:color="auto"/>
            </w:tcBorders>
            <w:vAlign w:val="center"/>
            <w:hideMark/>
          </w:tcPr>
          <w:p w14:paraId="0336E48C" w14:textId="77777777" w:rsidR="00B62C4C" w:rsidRPr="008E1EC7" w:rsidRDefault="00B62C4C" w:rsidP="00777D20">
            <w:pPr>
              <w:pStyle w:val="TableText0"/>
              <w:jc w:val="center"/>
            </w:pPr>
            <w:r w:rsidRPr="008E1EC7">
              <w:t>2/108 (1.9)</w:t>
            </w:r>
          </w:p>
        </w:tc>
        <w:tc>
          <w:tcPr>
            <w:tcW w:w="761" w:type="pct"/>
            <w:tcBorders>
              <w:top w:val="single" w:sz="4" w:space="0" w:color="auto"/>
              <w:left w:val="single" w:sz="4" w:space="0" w:color="auto"/>
              <w:bottom w:val="single" w:sz="4" w:space="0" w:color="auto"/>
              <w:right w:val="single" w:sz="4" w:space="0" w:color="auto"/>
            </w:tcBorders>
            <w:vAlign w:val="center"/>
            <w:hideMark/>
          </w:tcPr>
          <w:p w14:paraId="6BEA7DE9" w14:textId="77777777" w:rsidR="00B62C4C" w:rsidRPr="008E1EC7" w:rsidRDefault="00B62C4C" w:rsidP="00777D20">
            <w:pPr>
              <w:pStyle w:val="TableText0"/>
              <w:jc w:val="center"/>
            </w:pPr>
            <w:r w:rsidRPr="008E1EC7">
              <w:t>1/53 (1.9)</w:t>
            </w:r>
          </w:p>
        </w:tc>
        <w:tc>
          <w:tcPr>
            <w:tcW w:w="1021" w:type="pct"/>
            <w:tcBorders>
              <w:top w:val="single" w:sz="4" w:space="0" w:color="auto"/>
              <w:left w:val="single" w:sz="4" w:space="0" w:color="auto"/>
              <w:bottom w:val="single" w:sz="4" w:space="0" w:color="auto"/>
              <w:right w:val="single" w:sz="4" w:space="0" w:color="auto"/>
            </w:tcBorders>
            <w:vAlign w:val="center"/>
          </w:tcPr>
          <w:p w14:paraId="1DED568D" w14:textId="77777777" w:rsidR="00B62C4C" w:rsidRPr="00BB7C8E" w:rsidRDefault="00B62C4C" w:rsidP="00777D20">
            <w:pPr>
              <w:pStyle w:val="TableText0"/>
              <w:jc w:val="center"/>
            </w:pPr>
            <w:r w:rsidRPr="00BB7C8E">
              <w:t>-0.001</w:t>
            </w:r>
            <w:r>
              <w:t xml:space="preserve"> (</w:t>
            </w:r>
            <w:r w:rsidRPr="00BB7C8E">
              <w:t>-0.038; 0.036</w:t>
            </w:r>
            <w:r>
              <w:t>)</w:t>
            </w:r>
          </w:p>
        </w:tc>
      </w:tr>
      <w:tr w:rsidR="00B62C4C" w:rsidRPr="008E1EC7" w14:paraId="096ACA47" w14:textId="77777777" w:rsidTr="05042C88">
        <w:tc>
          <w:tcPr>
            <w:tcW w:w="2464" w:type="pct"/>
            <w:tcBorders>
              <w:top w:val="single" w:sz="4" w:space="0" w:color="auto"/>
              <w:left w:val="single" w:sz="4" w:space="0" w:color="auto"/>
              <w:bottom w:val="single" w:sz="4" w:space="0" w:color="auto"/>
              <w:right w:val="single" w:sz="4" w:space="0" w:color="auto"/>
            </w:tcBorders>
            <w:vAlign w:val="center"/>
            <w:hideMark/>
          </w:tcPr>
          <w:p w14:paraId="5D52F39D" w14:textId="77777777" w:rsidR="00B62C4C" w:rsidRPr="008E1EC7" w:rsidRDefault="00B62C4C" w:rsidP="00777D20">
            <w:pPr>
              <w:pStyle w:val="TableText0"/>
            </w:pPr>
            <w:r w:rsidRPr="008E1EC7">
              <w:t>Severe AEs</w:t>
            </w:r>
          </w:p>
        </w:tc>
        <w:tc>
          <w:tcPr>
            <w:tcW w:w="754" w:type="pct"/>
            <w:tcBorders>
              <w:top w:val="single" w:sz="4" w:space="0" w:color="auto"/>
              <w:left w:val="single" w:sz="4" w:space="0" w:color="auto"/>
              <w:bottom w:val="single" w:sz="4" w:space="0" w:color="auto"/>
              <w:right w:val="single" w:sz="4" w:space="0" w:color="auto"/>
            </w:tcBorders>
            <w:vAlign w:val="center"/>
            <w:hideMark/>
          </w:tcPr>
          <w:p w14:paraId="5258AA92" w14:textId="77777777" w:rsidR="00B62C4C" w:rsidRPr="008E1EC7" w:rsidRDefault="00B62C4C" w:rsidP="00777D20">
            <w:pPr>
              <w:pStyle w:val="TableText0"/>
              <w:jc w:val="center"/>
            </w:pPr>
            <w:r w:rsidRPr="008E1EC7">
              <w:t>12/108 (11.1)</w:t>
            </w:r>
          </w:p>
        </w:tc>
        <w:tc>
          <w:tcPr>
            <w:tcW w:w="761" w:type="pct"/>
            <w:tcBorders>
              <w:top w:val="single" w:sz="4" w:space="0" w:color="auto"/>
              <w:left w:val="single" w:sz="4" w:space="0" w:color="auto"/>
              <w:bottom w:val="single" w:sz="4" w:space="0" w:color="auto"/>
              <w:right w:val="single" w:sz="4" w:space="0" w:color="auto"/>
            </w:tcBorders>
            <w:vAlign w:val="center"/>
            <w:hideMark/>
          </w:tcPr>
          <w:p w14:paraId="2E948964" w14:textId="77777777" w:rsidR="00B62C4C" w:rsidRPr="008E1EC7" w:rsidRDefault="00B62C4C" w:rsidP="00777D20">
            <w:pPr>
              <w:pStyle w:val="TableText0"/>
              <w:jc w:val="center"/>
            </w:pPr>
            <w:r w:rsidRPr="008E1EC7">
              <w:t>6/53 (11.3)</w:t>
            </w:r>
          </w:p>
        </w:tc>
        <w:tc>
          <w:tcPr>
            <w:tcW w:w="1021" w:type="pct"/>
            <w:tcBorders>
              <w:top w:val="single" w:sz="4" w:space="0" w:color="auto"/>
              <w:left w:val="single" w:sz="4" w:space="0" w:color="auto"/>
              <w:bottom w:val="single" w:sz="4" w:space="0" w:color="auto"/>
              <w:right w:val="single" w:sz="4" w:space="0" w:color="auto"/>
            </w:tcBorders>
          </w:tcPr>
          <w:p w14:paraId="13679FD1" w14:textId="77777777" w:rsidR="00B62C4C" w:rsidRPr="008E1EC7" w:rsidRDefault="00B62C4C" w:rsidP="00777D20">
            <w:pPr>
              <w:pStyle w:val="TableText0"/>
              <w:jc w:val="center"/>
              <w:rPr>
                <w:i/>
                <w:iCs/>
              </w:rPr>
            </w:pPr>
            <w:r>
              <w:rPr>
                <w:i/>
                <w:iCs/>
              </w:rPr>
              <w:t>-</w:t>
            </w:r>
          </w:p>
        </w:tc>
      </w:tr>
      <w:tr w:rsidR="00B62C4C" w:rsidRPr="008E1EC7" w14:paraId="6F61A905" w14:textId="77777777" w:rsidTr="05042C88">
        <w:tc>
          <w:tcPr>
            <w:tcW w:w="2464" w:type="pct"/>
            <w:tcBorders>
              <w:top w:val="single" w:sz="4" w:space="0" w:color="auto"/>
              <w:left w:val="single" w:sz="4" w:space="0" w:color="auto"/>
              <w:bottom w:val="single" w:sz="4" w:space="0" w:color="auto"/>
              <w:right w:val="single" w:sz="4" w:space="0" w:color="auto"/>
            </w:tcBorders>
            <w:hideMark/>
          </w:tcPr>
          <w:p w14:paraId="60DEC5DB" w14:textId="77777777" w:rsidR="00B62C4C" w:rsidRPr="008E1EC7" w:rsidRDefault="00B62C4C" w:rsidP="00777D20">
            <w:pPr>
              <w:pStyle w:val="TableText0"/>
            </w:pPr>
            <w:r w:rsidRPr="008E1EC7">
              <w:t>Fatal AE</w:t>
            </w:r>
          </w:p>
        </w:tc>
        <w:tc>
          <w:tcPr>
            <w:tcW w:w="754" w:type="pct"/>
            <w:tcBorders>
              <w:top w:val="single" w:sz="4" w:space="0" w:color="auto"/>
              <w:left w:val="single" w:sz="4" w:space="0" w:color="auto"/>
              <w:bottom w:val="single" w:sz="4" w:space="0" w:color="auto"/>
              <w:right w:val="single" w:sz="4" w:space="0" w:color="auto"/>
            </w:tcBorders>
            <w:vAlign w:val="center"/>
            <w:hideMark/>
          </w:tcPr>
          <w:p w14:paraId="5D594803" w14:textId="77777777" w:rsidR="00B62C4C" w:rsidRPr="008E1EC7" w:rsidRDefault="00B62C4C" w:rsidP="00777D20">
            <w:pPr>
              <w:pStyle w:val="TableText0"/>
              <w:jc w:val="center"/>
            </w:pPr>
            <w:r w:rsidRPr="008E1EC7">
              <w:t>2/108 (1.9)</w:t>
            </w:r>
          </w:p>
        </w:tc>
        <w:tc>
          <w:tcPr>
            <w:tcW w:w="761" w:type="pct"/>
            <w:tcBorders>
              <w:top w:val="single" w:sz="4" w:space="0" w:color="auto"/>
              <w:left w:val="single" w:sz="4" w:space="0" w:color="auto"/>
              <w:bottom w:val="single" w:sz="4" w:space="0" w:color="auto"/>
              <w:right w:val="single" w:sz="4" w:space="0" w:color="auto"/>
            </w:tcBorders>
            <w:vAlign w:val="center"/>
            <w:hideMark/>
          </w:tcPr>
          <w:p w14:paraId="452C72AE" w14:textId="5E73322A" w:rsidR="00B62C4C" w:rsidRPr="008E1EC7" w:rsidRDefault="009E3487" w:rsidP="00777D20">
            <w:pPr>
              <w:pStyle w:val="TableText0"/>
              <w:jc w:val="center"/>
            </w:pPr>
            <w:r>
              <w:t>0</w:t>
            </w:r>
          </w:p>
        </w:tc>
        <w:tc>
          <w:tcPr>
            <w:tcW w:w="1021" w:type="pct"/>
            <w:tcBorders>
              <w:top w:val="single" w:sz="4" w:space="0" w:color="auto"/>
              <w:left w:val="single" w:sz="4" w:space="0" w:color="auto"/>
              <w:bottom w:val="single" w:sz="4" w:space="0" w:color="auto"/>
              <w:right w:val="single" w:sz="4" w:space="0" w:color="auto"/>
            </w:tcBorders>
          </w:tcPr>
          <w:p w14:paraId="55386403" w14:textId="77777777" w:rsidR="00B62C4C" w:rsidRPr="008E1EC7" w:rsidRDefault="00B62C4C" w:rsidP="00777D20">
            <w:pPr>
              <w:pStyle w:val="TableText0"/>
              <w:jc w:val="center"/>
              <w:rPr>
                <w:i/>
                <w:iCs/>
              </w:rPr>
            </w:pPr>
            <w:r>
              <w:rPr>
                <w:i/>
                <w:iCs/>
              </w:rPr>
              <w:t>-</w:t>
            </w:r>
          </w:p>
        </w:tc>
      </w:tr>
    </w:tbl>
    <w:p w14:paraId="109E0E2B" w14:textId="77777777" w:rsidR="00B62C4C" w:rsidRPr="008E1EC7" w:rsidRDefault="00B62C4C" w:rsidP="00DC7BB7">
      <w:pPr>
        <w:pStyle w:val="FooterTableFigure"/>
      </w:pPr>
      <w:r w:rsidRPr="05042C88">
        <w:t xml:space="preserve">Source: Table 2-18, p102 of the submission; Table 2-19, p103 of the submission, and Table 33, p128 of ELATIVE CSR (gft505b3191 </w:t>
      </w:r>
      <w:proofErr w:type="spellStart"/>
      <w:r w:rsidRPr="05042C88">
        <w:t>csr</w:t>
      </w:r>
      <w:proofErr w:type="spellEnd"/>
      <w:r w:rsidRPr="05042C88">
        <w:t xml:space="preserve"> body-final.pdf).</w:t>
      </w:r>
    </w:p>
    <w:p w14:paraId="1A924A16" w14:textId="21E93CE2" w:rsidR="00B62C4C" w:rsidRPr="008E1EC7" w:rsidRDefault="00B62C4C" w:rsidP="00DC7BB7">
      <w:pPr>
        <w:pStyle w:val="FooterTableFigure"/>
      </w:pPr>
      <w:r w:rsidRPr="05042C88">
        <w:t>AE=adverse event; AESI= adverse event of special interest; CI= Confidence interval; EAIR= exposure-adjusted incidence rates (</w:t>
      </w:r>
      <w:r w:rsidR="006010D1" w:rsidRPr="05042C88">
        <w:t xml:space="preserve">patients </w:t>
      </w:r>
      <w:r w:rsidRPr="05042C88">
        <w:t xml:space="preserve">per patient-years); ELA = </w:t>
      </w:r>
      <w:proofErr w:type="spellStart"/>
      <w:r w:rsidRPr="05042C88">
        <w:t>Elafibranor</w:t>
      </w:r>
      <w:proofErr w:type="spellEnd"/>
      <w:r w:rsidRPr="05042C88">
        <w:t xml:space="preserve"> N = total </w:t>
      </w:r>
      <w:r w:rsidR="006010D1" w:rsidRPr="05042C88">
        <w:t xml:space="preserve">patients </w:t>
      </w:r>
      <w:r w:rsidRPr="05042C88">
        <w:t>in the treatment arm; RR = relative risk; TEAE= treatment emergent adverse event.</w:t>
      </w:r>
    </w:p>
    <w:p w14:paraId="7930E5E3" w14:textId="7BB1D4E8" w:rsidR="00B62C4C" w:rsidRDefault="00B62C4C" w:rsidP="00DC7BB7">
      <w:pPr>
        <w:pStyle w:val="FooterTableFigure"/>
      </w:pPr>
      <w:proofErr w:type="spellStart"/>
      <w:r w:rsidRPr="05042C88">
        <w:rPr>
          <w:vertAlign w:val="superscript"/>
        </w:rPr>
        <w:t>a</w:t>
      </w:r>
      <w:proofErr w:type="spellEnd"/>
      <w:r w:rsidRPr="05042C88">
        <w:rPr>
          <w:vertAlign w:val="superscript"/>
        </w:rPr>
        <w:t xml:space="preserve"> </w:t>
      </w:r>
      <w:r w:rsidRPr="05042C88">
        <w:t xml:space="preserve">The most frequently reported AESI in both treatment arms was weight gain of &gt;5% from baseline, which was reported for 25 (23.1%) </w:t>
      </w:r>
      <w:r w:rsidR="006010D1" w:rsidRPr="05042C88">
        <w:t xml:space="preserve">patients </w:t>
      </w:r>
      <w:r w:rsidRPr="05042C88">
        <w:t xml:space="preserve">in the </w:t>
      </w:r>
      <w:proofErr w:type="spellStart"/>
      <w:r w:rsidRPr="05042C88">
        <w:t>elafibranor</w:t>
      </w:r>
      <w:proofErr w:type="spellEnd"/>
      <w:r w:rsidRPr="05042C88">
        <w:t xml:space="preserve"> arm and 11 (20.8%) </w:t>
      </w:r>
      <w:r w:rsidR="006010D1" w:rsidRPr="05042C88">
        <w:t xml:space="preserve">patients </w:t>
      </w:r>
      <w:r w:rsidRPr="05042C88">
        <w:t>in the placebo arm.</w:t>
      </w:r>
    </w:p>
    <w:p w14:paraId="7E5DCDF0" w14:textId="773DFB64" w:rsidR="0098479F" w:rsidRDefault="0098479F" w:rsidP="00D86231">
      <w:pPr>
        <w:pStyle w:val="3-BodyText"/>
      </w:pPr>
      <w:r w:rsidRPr="05042C88">
        <w:t xml:space="preserve">Treatment-related treatment-emergent adverse events (TEAEs) were reported for 38.9% of </w:t>
      </w:r>
      <w:r w:rsidR="006010D1" w:rsidRPr="05042C88">
        <w:t xml:space="preserve">patients </w:t>
      </w:r>
      <w:r w:rsidRPr="05042C88">
        <w:t xml:space="preserve">in the </w:t>
      </w:r>
      <w:proofErr w:type="spellStart"/>
      <w:r w:rsidRPr="05042C88">
        <w:t>elafibranor</w:t>
      </w:r>
      <w:proofErr w:type="spellEnd"/>
      <w:r w:rsidRPr="05042C88">
        <w:t xml:space="preserve"> arm and 39.6% of </w:t>
      </w:r>
      <w:r w:rsidR="006010D1" w:rsidRPr="05042C88">
        <w:t>patients</w:t>
      </w:r>
      <w:r w:rsidRPr="05042C88">
        <w:t xml:space="preserve"> in the placebo arm. Serious TEAEs were reported for 10.2% of </w:t>
      </w:r>
      <w:r w:rsidR="006010D1" w:rsidRPr="05042C88">
        <w:t>patients</w:t>
      </w:r>
      <w:r w:rsidRPr="05042C88">
        <w:t xml:space="preserve"> in the </w:t>
      </w:r>
      <w:proofErr w:type="spellStart"/>
      <w:r w:rsidRPr="05042C88">
        <w:t>elafibranor</w:t>
      </w:r>
      <w:proofErr w:type="spellEnd"/>
      <w:r w:rsidRPr="05042C88">
        <w:t xml:space="preserve"> arm and 13.2% of </w:t>
      </w:r>
      <w:r w:rsidR="006010D1" w:rsidRPr="05042C88">
        <w:t>patients</w:t>
      </w:r>
      <w:r w:rsidRPr="05042C88">
        <w:t xml:space="preserve"> in the placebo arm. The serious TEAEs for 2.8% of </w:t>
      </w:r>
      <w:r w:rsidR="006010D1" w:rsidRPr="05042C88">
        <w:t>patients</w:t>
      </w:r>
      <w:r w:rsidRPr="05042C88">
        <w:t xml:space="preserve"> in the </w:t>
      </w:r>
      <w:proofErr w:type="spellStart"/>
      <w:r w:rsidRPr="05042C88">
        <w:t>elafibranor</w:t>
      </w:r>
      <w:proofErr w:type="spellEnd"/>
      <w:r w:rsidRPr="05042C88">
        <w:t xml:space="preserve"> arm and 1.9% of </w:t>
      </w:r>
      <w:r w:rsidR="006010D1" w:rsidRPr="05042C88">
        <w:t xml:space="preserve">patients </w:t>
      </w:r>
      <w:r w:rsidRPr="05042C88">
        <w:t xml:space="preserve">in the placebo arm were considered to be related to study treatment. Two </w:t>
      </w:r>
      <w:r w:rsidR="006010D1" w:rsidRPr="05042C88">
        <w:t>patients</w:t>
      </w:r>
      <w:r w:rsidRPr="05042C88">
        <w:t xml:space="preserve"> experienced serious TEAEs that led to death; both </w:t>
      </w:r>
      <w:r w:rsidR="006010D1" w:rsidRPr="05042C88">
        <w:t>patients</w:t>
      </w:r>
      <w:r w:rsidRPr="05042C88">
        <w:t xml:space="preserve"> were in the </w:t>
      </w:r>
      <w:proofErr w:type="spellStart"/>
      <w:r w:rsidRPr="05042C88">
        <w:t>elafibranor</w:t>
      </w:r>
      <w:proofErr w:type="spellEnd"/>
      <w:r w:rsidRPr="05042C88">
        <w:t xml:space="preserve"> arm and were considered unrelated to study treatment.</w:t>
      </w:r>
    </w:p>
    <w:p w14:paraId="57F6F934" w14:textId="5CD3255F" w:rsidR="00A1254E" w:rsidRDefault="00A1254E" w:rsidP="00A1254E">
      <w:pPr>
        <w:pStyle w:val="3-BodyText"/>
      </w:pPr>
      <w:r w:rsidRPr="008E1EC7">
        <w:t>The TEAEs were mostly gastrointestinal in nature, including vomiting (11.1% versus 1.9%</w:t>
      </w:r>
      <w:r w:rsidR="00384818">
        <w:t>;</w:t>
      </w:r>
      <w:r w:rsidR="00D71BE8">
        <w:t xml:space="preserve"> </w:t>
      </w:r>
      <w:r w:rsidR="004075C8">
        <w:t>exposure-adjusted incidence rate</w:t>
      </w:r>
      <w:r w:rsidR="00EB46D2">
        <w:t xml:space="preserve"> (</w:t>
      </w:r>
      <w:r w:rsidR="00D71BE8" w:rsidRPr="00721FB7">
        <w:t>EAIR</w:t>
      </w:r>
      <w:r w:rsidR="00384818">
        <w:t>)</w:t>
      </w:r>
      <w:r w:rsidR="00D71BE8" w:rsidRPr="00721FB7">
        <w:t xml:space="preserve"> </w:t>
      </w:r>
      <w:r w:rsidR="004075C8">
        <w:t>d</w:t>
      </w:r>
      <w:r w:rsidR="00D71BE8" w:rsidRPr="00721FB7">
        <w:t>ifference</w:t>
      </w:r>
      <w:r w:rsidR="00384818">
        <w:t xml:space="preserve"> =</w:t>
      </w:r>
      <w:r w:rsidR="00D71BE8" w:rsidRPr="00721FB7">
        <w:t xml:space="preserve"> 0.077</w:t>
      </w:r>
      <w:r w:rsidR="00384818">
        <w:t>;</w:t>
      </w:r>
      <w:r w:rsidR="00D71BE8" w:rsidRPr="00721FB7">
        <w:t xml:space="preserve"> 95%</w:t>
      </w:r>
      <w:r w:rsidR="00384818">
        <w:t xml:space="preserve"> </w:t>
      </w:r>
      <w:r w:rsidR="00D71BE8" w:rsidRPr="00721FB7">
        <w:t>CI: 0.015</w:t>
      </w:r>
      <w:r w:rsidR="00384818">
        <w:t>,</w:t>
      </w:r>
      <w:r w:rsidR="00D71BE8" w:rsidRPr="00721FB7">
        <w:t xml:space="preserve"> 0.139</w:t>
      </w:r>
      <w:r w:rsidRPr="008E1EC7">
        <w:t xml:space="preserve">), diarrhoea (11.1% versus 9.4%), nausea (11.1% versus 5.7%), constipation (8.3% versus 1.9%), abdominal pain upper (7.4% versus 5.7%), and </w:t>
      </w:r>
      <w:r w:rsidR="00AF27D8" w:rsidRPr="008E1EC7">
        <w:t>gastroesophageal</w:t>
      </w:r>
      <w:r w:rsidRPr="008E1EC7">
        <w:t xml:space="preserve"> reflux disease (6.5% versus 1.9%).</w:t>
      </w:r>
    </w:p>
    <w:p w14:paraId="10B81DC6" w14:textId="268B0DCB" w:rsidR="0079601C" w:rsidRPr="00FA6ED1" w:rsidRDefault="00FA6ED1" w:rsidP="0079601C">
      <w:pPr>
        <w:rPr>
          <w:u w:val="single"/>
        </w:rPr>
      </w:pPr>
      <w:r w:rsidRPr="00FA6ED1">
        <w:rPr>
          <w:u w:val="single"/>
        </w:rPr>
        <w:t>Indirect comparison</w:t>
      </w:r>
      <w:r w:rsidR="00D93521">
        <w:rPr>
          <w:u w:val="single"/>
        </w:rPr>
        <w:t>s</w:t>
      </w:r>
      <w:r w:rsidR="000005F1">
        <w:rPr>
          <w:u w:val="single"/>
        </w:rPr>
        <w:t xml:space="preserve"> of </w:t>
      </w:r>
      <w:r w:rsidR="00100B9F">
        <w:rPr>
          <w:u w:val="single"/>
        </w:rPr>
        <w:t>the pruritus and safety endpoints</w:t>
      </w:r>
    </w:p>
    <w:p w14:paraId="5A80A4A8" w14:textId="1C0B91D1" w:rsidR="00FA6ED1" w:rsidRPr="00D93521" w:rsidRDefault="00FA6ED1" w:rsidP="00FA6ED1">
      <w:pPr>
        <w:pStyle w:val="3-BodyText"/>
      </w:pPr>
      <w:r w:rsidRPr="05042C88">
        <w:t xml:space="preserve">The submission conducted pairwise indirect comparisons of </w:t>
      </w:r>
      <w:proofErr w:type="spellStart"/>
      <w:r w:rsidRPr="05042C88">
        <w:t>elafibranor</w:t>
      </w:r>
      <w:proofErr w:type="spellEnd"/>
      <w:r w:rsidRPr="05042C88">
        <w:t xml:space="preserve"> compared to OCA with placebo as the common comparator</w:t>
      </w:r>
      <w:r w:rsidR="00D93521" w:rsidRPr="05042C88">
        <w:t xml:space="preserve"> </w:t>
      </w:r>
      <w:r w:rsidRPr="05042C88">
        <w:t xml:space="preserve">for the following safety </w:t>
      </w:r>
      <w:r w:rsidR="003034FF" w:rsidRPr="05042C88">
        <w:t>endpoints</w:t>
      </w:r>
      <w:r w:rsidRPr="05042C88">
        <w:t>:</w:t>
      </w:r>
    </w:p>
    <w:p w14:paraId="58995997" w14:textId="6A3FB84D" w:rsidR="00FA6ED1" w:rsidRDefault="00FA6ED1" w:rsidP="007F52AA">
      <w:pPr>
        <w:pStyle w:val="ListParagraph"/>
        <w:ind w:left="1080"/>
        <w:jc w:val="both"/>
      </w:pPr>
      <w:r>
        <w:t>Change from baseline in pruritus according to the 5-D Itch</w:t>
      </w:r>
      <w:r w:rsidR="00164049">
        <w:t xml:space="preserve"> Scale</w:t>
      </w:r>
      <w:r>
        <w:t xml:space="preserve"> score questionnaire at 52 weeks (continuous endpoint)</w:t>
      </w:r>
      <w:r w:rsidR="008F6C35">
        <w:t>.</w:t>
      </w:r>
    </w:p>
    <w:p w14:paraId="0E0ECC53" w14:textId="2554B863" w:rsidR="00FA6ED1" w:rsidRDefault="00FA6ED1" w:rsidP="007F52AA">
      <w:pPr>
        <w:pStyle w:val="ListParagraph"/>
        <w:ind w:left="1080"/>
        <w:jc w:val="both"/>
      </w:pPr>
      <w:r>
        <w:t xml:space="preserve">Change from baseline in pruritus according to the 5-D Itch </w:t>
      </w:r>
      <w:r w:rsidR="00164049">
        <w:t xml:space="preserve">Scale </w:t>
      </w:r>
      <w:r>
        <w:t xml:space="preserve">score questionnaire using the earliest reported data after commencement of treatment (week 2 and week 4 data for </w:t>
      </w:r>
      <w:r w:rsidR="00DA5012">
        <w:t xml:space="preserve">the </w:t>
      </w:r>
      <w:r>
        <w:t>POISE and ELATIVE</w:t>
      </w:r>
      <w:r w:rsidR="00DA5012">
        <w:t xml:space="preserve"> trials</w:t>
      </w:r>
      <w:r>
        <w:t>, respectively; continuous endpoint)</w:t>
      </w:r>
      <w:r w:rsidR="008F6C35">
        <w:t>.</w:t>
      </w:r>
    </w:p>
    <w:p w14:paraId="68C15727" w14:textId="58F7855B" w:rsidR="00FA6ED1" w:rsidRDefault="00FA6ED1" w:rsidP="007F52AA">
      <w:pPr>
        <w:pStyle w:val="ListParagraph"/>
        <w:ind w:left="1080"/>
        <w:jc w:val="both"/>
      </w:pPr>
      <w:r>
        <w:t xml:space="preserve">Change from baseline in pruritus according to the PBC-40 Itch domain score using the earliest reported data after commencement of treatment (week 2 and week 4 data for </w:t>
      </w:r>
      <w:r w:rsidR="00DA5012">
        <w:t xml:space="preserve">the </w:t>
      </w:r>
      <w:r>
        <w:t>POISE and ELATIVE</w:t>
      </w:r>
      <w:r w:rsidR="00DA5012">
        <w:t xml:space="preserve"> trials</w:t>
      </w:r>
      <w:r>
        <w:t>, respectively; continuous endpoint)</w:t>
      </w:r>
      <w:r w:rsidR="008F6C35">
        <w:t>.</w:t>
      </w:r>
    </w:p>
    <w:p w14:paraId="5C396C8D" w14:textId="2AC5B4F8" w:rsidR="00FA6ED1" w:rsidRDefault="00FA6ED1" w:rsidP="007F52AA">
      <w:pPr>
        <w:pStyle w:val="ListParagraph"/>
        <w:ind w:left="1080"/>
        <w:jc w:val="both"/>
      </w:pPr>
      <w:r>
        <w:lastRenderedPageBreak/>
        <w:t>Change from baseline in pruritus according to the PBC-40 Itch domain score at 52 weeks (continuous endpoint)</w:t>
      </w:r>
      <w:r w:rsidR="008F6C35">
        <w:t>.</w:t>
      </w:r>
    </w:p>
    <w:p w14:paraId="220640F4" w14:textId="7DBC54BF" w:rsidR="00FA6ED1" w:rsidRDefault="00FA6ED1" w:rsidP="007F52AA">
      <w:pPr>
        <w:pStyle w:val="ListParagraph"/>
        <w:ind w:left="1080"/>
        <w:jc w:val="both"/>
      </w:pPr>
      <w:r>
        <w:t>Occurrence of pruritus of any severity as a TEAE within 52 weeks (binary outcome)</w:t>
      </w:r>
      <w:r w:rsidR="008F6C35">
        <w:t>.</w:t>
      </w:r>
    </w:p>
    <w:p w14:paraId="64F6A169" w14:textId="3D0C2E9B" w:rsidR="00FA6ED1" w:rsidRDefault="00FA6ED1" w:rsidP="007F52AA">
      <w:pPr>
        <w:pStyle w:val="ListParagraph"/>
        <w:ind w:left="1080"/>
        <w:jc w:val="both"/>
      </w:pPr>
      <w:r>
        <w:t>Discontinuation due to pruritus within 52 weeks (binary outcome)</w:t>
      </w:r>
      <w:r w:rsidR="008F6C35">
        <w:t>.</w:t>
      </w:r>
    </w:p>
    <w:p w14:paraId="649B3201" w14:textId="1764B6AB" w:rsidR="00FA6ED1" w:rsidRDefault="00FA6ED1" w:rsidP="007F52AA">
      <w:pPr>
        <w:pStyle w:val="ListParagraph"/>
        <w:ind w:left="1080"/>
        <w:jc w:val="both"/>
      </w:pPr>
      <w:r>
        <w:t>Change from baseline in high-density lipoprotein (HDL) cholesterol at 52 weeks (continuous endpoint)</w:t>
      </w:r>
      <w:r w:rsidR="008F6C35">
        <w:t>.</w:t>
      </w:r>
    </w:p>
    <w:p w14:paraId="30DA29AE" w14:textId="2A6DC156" w:rsidR="00FA6ED1" w:rsidRPr="00D100E6" w:rsidRDefault="00FA6ED1" w:rsidP="001D79E0">
      <w:pPr>
        <w:pStyle w:val="3-BodyText"/>
      </w:pPr>
      <w:r w:rsidRPr="00D100E6">
        <w:t xml:space="preserve">The submission did not conduct an indirect comparison of the change in PBC WI-NRS score from baseline through Week 24 and Week 52 in </w:t>
      </w:r>
      <w:r w:rsidR="007848B1">
        <w:t>patients</w:t>
      </w:r>
      <w:r w:rsidR="007848B1" w:rsidRPr="00D100E6" w:rsidDel="007848B1">
        <w:t xml:space="preserve"> </w:t>
      </w:r>
      <w:r w:rsidRPr="00D100E6">
        <w:t>with baseline PBC WI-NRS score ≥</w:t>
      </w:r>
      <w:r w:rsidR="00384818">
        <w:t xml:space="preserve"> </w:t>
      </w:r>
      <w:r w:rsidRPr="00D100E6">
        <w:t>4</w:t>
      </w:r>
      <w:r w:rsidR="001D79E0" w:rsidRPr="00D100E6">
        <w:t xml:space="preserve"> as this endpoint was not reported by the POISE trial</w:t>
      </w:r>
      <w:r w:rsidRPr="00D100E6">
        <w:t>. This was a key secondary outcome of the ELATIVE trial.</w:t>
      </w:r>
    </w:p>
    <w:p w14:paraId="454034FC" w14:textId="19984A2E" w:rsidR="00705607" w:rsidRPr="00D100E6" w:rsidRDefault="00705607" w:rsidP="001D79E0">
      <w:pPr>
        <w:pStyle w:val="3-BodyText"/>
      </w:pPr>
      <w:r w:rsidRPr="05042C88">
        <w:t>The submission also did not conduct an indirect comparison of vomiting</w:t>
      </w:r>
      <w:r w:rsidR="009B2C52" w:rsidRPr="05042C88">
        <w:t xml:space="preserve">, which was higher with </w:t>
      </w:r>
      <w:proofErr w:type="spellStart"/>
      <w:r w:rsidR="009B2C52" w:rsidRPr="05042C88">
        <w:t>elafibranor</w:t>
      </w:r>
      <w:proofErr w:type="spellEnd"/>
      <w:r w:rsidR="009B2C52" w:rsidRPr="05042C88">
        <w:t xml:space="preserve"> </w:t>
      </w:r>
      <w:r w:rsidR="00947C8E" w:rsidRPr="05042C88">
        <w:t>v</w:t>
      </w:r>
      <w:r w:rsidR="00384818" w:rsidRPr="05042C88">
        <w:t>ersu</w:t>
      </w:r>
      <w:r w:rsidR="00947C8E" w:rsidRPr="05042C88">
        <w:t>s</w:t>
      </w:r>
      <w:r w:rsidR="009B2C52" w:rsidRPr="05042C88">
        <w:t xml:space="preserve"> placebo in the ELATIVE trial</w:t>
      </w:r>
      <w:r w:rsidRPr="05042C88">
        <w:t>.</w:t>
      </w:r>
      <w:r w:rsidR="007B1A5E" w:rsidRPr="05042C88">
        <w:t xml:space="preserve"> The POISE trial did not publicly report the </w:t>
      </w:r>
      <w:r w:rsidR="002E1B73" w:rsidRPr="05042C88">
        <w:t>incidence of vomiting.</w:t>
      </w:r>
    </w:p>
    <w:p w14:paraId="61975833" w14:textId="025CEB2F" w:rsidR="00917DFD" w:rsidRDefault="00917DFD" w:rsidP="00920E7E">
      <w:pPr>
        <w:pStyle w:val="3-BodyText"/>
      </w:pPr>
      <w:r>
        <w:t>The indirect comparisons were conducted on both the ITT analysis set and the Pruritus ITT analysis set.</w:t>
      </w:r>
    </w:p>
    <w:p w14:paraId="44F131C1" w14:textId="366B982B" w:rsidR="00920E7E" w:rsidRPr="008D6372" w:rsidRDefault="00985573" w:rsidP="00920E7E">
      <w:pPr>
        <w:pStyle w:val="3-BodyText"/>
      </w:pPr>
      <w:r>
        <w:fldChar w:fldCharType="begin" w:fldLock="1"/>
      </w:r>
      <w:r>
        <w:instrText xml:space="preserve"> REF _Ref184675316 \h </w:instrText>
      </w:r>
      <w:r>
        <w:fldChar w:fldCharType="separate"/>
      </w:r>
      <w:r w:rsidR="002B3034">
        <w:t xml:space="preserve">Table </w:t>
      </w:r>
      <w:r w:rsidR="002B3034">
        <w:rPr>
          <w:noProof/>
        </w:rPr>
        <w:t>10</w:t>
      </w:r>
      <w:r>
        <w:fldChar w:fldCharType="end"/>
      </w:r>
      <w:r w:rsidR="00917DFD">
        <w:t xml:space="preserve"> </w:t>
      </w:r>
      <w:r>
        <w:t xml:space="preserve">and </w:t>
      </w:r>
      <w:r>
        <w:fldChar w:fldCharType="begin" w:fldLock="1"/>
      </w:r>
      <w:r>
        <w:instrText xml:space="preserve"> REF _Ref184675317 \h </w:instrText>
      </w:r>
      <w:r>
        <w:fldChar w:fldCharType="separate"/>
      </w:r>
      <w:r w:rsidR="002B3034">
        <w:t xml:space="preserve">Table </w:t>
      </w:r>
      <w:r w:rsidR="002B3034">
        <w:rPr>
          <w:noProof/>
        </w:rPr>
        <w:t>11</w:t>
      </w:r>
      <w:r>
        <w:fldChar w:fldCharType="end"/>
      </w:r>
      <w:r w:rsidR="00920E7E">
        <w:t xml:space="preserve"> </w:t>
      </w:r>
      <w:r w:rsidR="00920E7E" w:rsidRPr="008D6372">
        <w:t>present the results of the indirect comparisons</w:t>
      </w:r>
      <w:r w:rsidR="00FB1310">
        <w:t xml:space="preserve"> for the safety endpoints</w:t>
      </w:r>
      <w:r w:rsidR="00920E7E" w:rsidRPr="008D6372">
        <w:t>.</w:t>
      </w:r>
    </w:p>
    <w:p w14:paraId="408B7206" w14:textId="53B91C60" w:rsidR="0045600F" w:rsidRPr="0098262F" w:rsidRDefault="00985573" w:rsidP="00D7615E">
      <w:pPr>
        <w:pStyle w:val="Caption"/>
      </w:pPr>
      <w:bookmarkStart w:id="51" w:name="_Ref184675316"/>
      <w:r>
        <w:lastRenderedPageBreak/>
        <w:t xml:space="preserve">Table </w:t>
      </w:r>
      <w:r w:rsidR="00780A90">
        <w:fldChar w:fldCharType="begin" w:fldLock="1"/>
      </w:r>
      <w:r w:rsidR="00780A90">
        <w:instrText xml:space="preserve"> SEQ Table \* ARABIC </w:instrText>
      </w:r>
      <w:r w:rsidR="00780A90">
        <w:fldChar w:fldCharType="separate"/>
      </w:r>
      <w:r w:rsidR="00780A90">
        <w:rPr>
          <w:noProof/>
        </w:rPr>
        <w:t>10</w:t>
      </w:r>
      <w:r w:rsidR="00780A90">
        <w:rPr>
          <w:noProof/>
        </w:rPr>
        <w:fldChar w:fldCharType="end"/>
      </w:r>
      <w:bookmarkEnd w:id="51"/>
      <w:r>
        <w:t xml:space="preserve">: </w:t>
      </w:r>
      <w:r w:rsidR="0045600F" w:rsidRPr="0098262F">
        <w:rPr>
          <w:rStyle w:val="CommentReference"/>
          <w:b/>
          <w:szCs w:val="24"/>
        </w:rPr>
        <w:t xml:space="preserve">Results of the indirect comparison for </w:t>
      </w:r>
      <w:r w:rsidR="0045600F">
        <w:rPr>
          <w:rStyle w:val="CommentReference"/>
          <w:b/>
          <w:szCs w:val="24"/>
        </w:rPr>
        <w:t>m</w:t>
      </w:r>
      <w:r w:rsidR="0045600F" w:rsidRPr="00A022BB">
        <w:rPr>
          <w:rStyle w:val="CommentReference"/>
          <w:b/>
          <w:szCs w:val="24"/>
        </w:rPr>
        <w:t xml:space="preserve">ean change in </w:t>
      </w:r>
      <w:r w:rsidR="0045600F" w:rsidRPr="00F003AB">
        <w:rPr>
          <w:rStyle w:val="CommentReference"/>
          <w:b/>
          <w:szCs w:val="24"/>
        </w:rPr>
        <w:t xml:space="preserve">pruritus </w:t>
      </w:r>
      <w:r w:rsidR="0045600F" w:rsidRPr="00A022BB">
        <w:rPr>
          <w:rStyle w:val="CommentReference"/>
          <w:b/>
          <w:szCs w:val="24"/>
        </w:rPr>
        <w:t xml:space="preserve">from baseline at </w:t>
      </w:r>
      <w:r w:rsidR="0026445C">
        <w:rPr>
          <w:rStyle w:val="CommentReference"/>
          <w:b/>
          <w:szCs w:val="24"/>
        </w:rPr>
        <w:t>52 weeks/</w:t>
      </w:r>
      <w:r w:rsidR="0045600F" w:rsidRPr="00A022BB">
        <w:rPr>
          <w:rStyle w:val="CommentReference"/>
          <w:b/>
          <w:szCs w:val="24"/>
        </w:rPr>
        <w:t>12 months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288"/>
        <w:gridCol w:w="1347"/>
        <w:gridCol w:w="1425"/>
        <w:gridCol w:w="2182"/>
      </w:tblGrid>
      <w:tr w:rsidR="0070209F" w:rsidRPr="00384818" w14:paraId="5C275C04" w14:textId="77777777" w:rsidTr="009B22E5">
        <w:trPr>
          <w:tblHeader/>
          <w:jc w:val="center"/>
        </w:trPr>
        <w:tc>
          <w:tcPr>
            <w:tcW w:w="1539" w:type="pct"/>
            <w:vMerge w:val="restart"/>
            <w:shd w:val="clear" w:color="auto" w:fill="auto"/>
            <w:vAlign w:val="center"/>
          </w:tcPr>
          <w:p w14:paraId="7954A1BE" w14:textId="77777777" w:rsidR="0070209F" w:rsidRPr="00384818" w:rsidRDefault="0070209F" w:rsidP="00777D20">
            <w:pPr>
              <w:pStyle w:val="In-tableHeading"/>
              <w:jc w:val="center"/>
              <w:rPr>
                <w:lang w:val="en-AU"/>
              </w:rPr>
            </w:pPr>
            <w:r w:rsidRPr="00384818">
              <w:rPr>
                <w:lang w:val="en-AU"/>
              </w:rPr>
              <w:t>Trial</w:t>
            </w:r>
          </w:p>
        </w:tc>
        <w:tc>
          <w:tcPr>
            <w:tcW w:w="2251" w:type="pct"/>
            <w:gridSpan w:val="3"/>
            <w:shd w:val="clear" w:color="auto" w:fill="auto"/>
            <w:vAlign w:val="center"/>
          </w:tcPr>
          <w:p w14:paraId="3ECDFE8B" w14:textId="06316D60" w:rsidR="0070209F" w:rsidRPr="00384818" w:rsidRDefault="0069284F" w:rsidP="00777D20">
            <w:pPr>
              <w:pStyle w:val="In-tableHeading"/>
              <w:jc w:val="center"/>
              <w:rPr>
                <w:lang w:val="en-AU"/>
              </w:rPr>
            </w:pPr>
            <w:r w:rsidRPr="00384818">
              <w:rPr>
                <w:lang w:val="en-AU"/>
              </w:rPr>
              <w:t>Treatment</w:t>
            </w:r>
          </w:p>
        </w:tc>
        <w:tc>
          <w:tcPr>
            <w:tcW w:w="1210" w:type="pct"/>
            <w:vMerge w:val="restart"/>
            <w:shd w:val="clear" w:color="auto" w:fill="auto"/>
            <w:vAlign w:val="center"/>
          </w:tcPr>
          <w:p w14:paraId="7FAAF289" w14:textId="77777777" w:rsidR="0070209F" w:rsidRPr="00384818" w:rsidRDefault="0070209F" w:rsidP="00777D20">
            <w:pPr>
              <w:pStyle w:val="In-tableHeading"/>
              <w:jc w:val="center"/>
              <w:rPr>
                <w:lang w:val="en-AU"/>
              </w:rPr>
            </w:pPr>
            <w:r w:rsidRPr="00384818">
              <w:rPr>
                <w:lang w:val="en-AU"/>
              </w:rPr>
              <w:t>LSM (95% CI)</w:t>
            </w:r>
          </w:p>
        </w:tc>
      </w:tr>
      <w:tr w:rsidR="0070209F" w:rsidRPr="00384818" w14:paraId="01901C6B" w14:textId="77777777" w:rsidTr="009B22E5">
        <w:trPr>
          <w:tblHeader/>
          <w:jc w:val="center"/>
        </w:trPr>
        <w:tc>
          <w:tcPr>
            <w:tcW w:w="1539" w:type="pct"/>
            <w:vMerge/>
            <w:shd w:val="clear" w:color="auto" w:fill="auto"/>
            <w:vAlign w:val="center"/>
          </w:tcPr>
          <w:p w14:paraId="6D01F52B" w14:textId="77777777" w:rsidR="0070209F" w:rsidRPr="00384818" w:rsidRDefault="0070209F" w:rsidP="00777D20">
            <w:pPr>
              <w:pStyle w:val="Tabletext"/>
              <w:jc w:val="center"/>
            </w:pPr>
          </w:p>
        </w:tc>
        <w:tc>
          <w:tcPr>
            <w:tcW w:w="714" w:type="pct"/>
            <w:shd w:val="clear" w:color="auto" w:fill="auto"/>
            <w:vAlign w:val="center"/>
          </w:tcPr>
          <w:p w14:paraId="7F276C27" w14:textId="157D51DF" w:rsidR="0070209F" w:rsidRPr="00384818" w:rsidRDefault="007C7E82" w:rsidP="00777D20">
            <w:pPr>
              <w:pStyle w:val="In-tableHeading"/>
              <w:jc w:val="center"/>
              <w:rPr>
                <w:lang w:val="en-AU"/>
              </w:rPr>
            </w:pPr>
            <w:r w:rsidRPr="00384818">
              <w:t>ELA</w:t>
            </w:r>
          </w:p>
        </w:tc>
        <w:tc>
          <w:tcPr>
            <w:tcW w:w="747" w:type="pct"/>
            <w:shd w:val="clear" w:color="auto" w:fill="auto"/>
            <w:vAlign w:val="center"/>
          </w:tcPr>
          <w:p w14:paraId="266D05FC" w14:textId="77777777" w:rsidR="0070209F" w:rsidRPr="00384818" w:rsidRDefault="0070209F" w:rsidP="00777D20">
            <w:pPr>
              <w:pStyle w:val="In-tableHeading"/>
              <w:jc w:val="center"/>
              <w:rPr>
                <w:lang w:val="en-AU"/>
              </w:rPr>
            </w:pPr>
            <w:r w:rsidRPr="00384818">
              <w:rPr>
                <w:lang w:val="en-AU"/>
              </w:rPr>
              <w:t>Placebo</w:t>
            </w:r>
          </w:p>
        </w:tc>
        <w:tc>
          <w:tcPr>
            <w:tcW w:w="790" w:type="pct"/>
            <w:shd w:val="clear" w:color="auto" w:fill="auto"/>
            <w:vAlign w:val="center"/>
          </w:tcPr>
          <w:p w14:paraId="3F8B6B17" w14:textId="77777777" w:rsidR="0070209F" w:rsidRPr="00384818" w:rsidRDefault="0070209F" w:rsidP="00777D20">
            <w:pPr>
              <w:pStyle w:val="In-tableHeading"/>
              <w:jc w:val="center"/>
              <w:rPr>
                <w:lang w:val="en-AU"/>
              </w:rPr>
            </w:pPr>
            <w:r w:rsidRPr="00384818">
              <w:rPr>
                <w:lang w:val="en-AU"/>
              </w:rPr>
              <w:t>OCA</w:t>
            </w:r>
          </w:p>
        </w:tc>
        <w:tc>
          <w:tcPr>
            <w:tcW w:w="1210" w:type="pct"/>
            <w:vMerge/>
            <w:shd w:val="clear" w:color="auto" w:fill="auto"/>
            <w:vAlign w:val="center"/>
          </w:tcPr>
          <w:p w14:paraId="62982353" w14:textId="77777777" w:rsidR="0070209F" w:rsidRPr="00384818" w:rsidRDefault="0070209F" w:rsidP="00777D20">
            <w:pPr>
              <w:pStyle w:val="Tabletext"/>
              <w:jc w:val="center"/>
            </w:pPr>
          </w:p>
        </w:tc>
      </w:tr>
      <w:tr w:rsidR="0070209F" w:rsidRPr="00384818" w14:paraId="3CCE3E4A" w14:textId="77777777" w:rsidTr="00777D20">
        <w:trPr>
          <w:jc w:val="center"/>
        </w:trPr>
        <w:tc>
          <w:tcPr>
            <w:tcW w:w="5000" w:type="pct"/>
            <w:gridSpan w:val="5"/>
            <w:shd w:val="clear" w:color="auto" w:fill="auto"/>
            <w:vAlign w:val="center"/>
          </w:tcPr>
          <w:p w14:paraId="109EF29D" w14:textId="22ED8D0B" w:rsidR="0070209F" w:rsidRPr="00384818" w:rsidRDefault="0070209F" w:rsidP="00777D20">
            <w:pPr>
              <w:pStyle w:val="TableText0"/>
              <w:rPr>
                <w:highlight w:val="yellow"/>
              </w:rPr>
            </w:pPr>
            <w:r w:rsidRPr="00384818">
              <w:rPr>
                <w:b/>
                <w:bCs w:val="0"/>
              </w:rPr>
              <w:t xml:space="preserve">Change from baseline at 52 weeks/12 months in </w:t>
            </w:r>
            <w:r w:rsidRPr="00384818">
              <w:rPr>
                <w:rStyle w:val="CommentReference"/>
                <w:szCs w:val="24"/>
              </w:rPr>
              <w:t>pruritus (5-D Itch</w:t>
            </w:r>
            <w:r w:rsidR="00164049" w:rsidRPr="00384818">
              <w:rPr>
                <w:rStyle w:val="CommentReference"/>
                <w:szCs w:val="24"/>
              </w:rPr>
              <w:t xml:space="preserve"> Scale</w:t>
            </w:r>
            <w:r w:rsidRPr="00384818">
              <w:rPr>
                <w:rStyle w:val="CommentReference"/>
                <w:szCs w:val="24"/>
              </w:rPr>
              <w:t>)</w:t>
            </w:r>
            <w:r w:rsidRPr="00384818">
              <w:rPr>
                <w:b/>
                <w:bCs w:val="0"/>
              </w:rPr>
              <w:t xml:space="preserve"> (ITT)</w:t>
            </w:r>
          </w:p>
        </w:tc>
      </w:tr>
      <w:tr w:rsidR="0070209F" w:rsidRPr="00384818" w14:paraId="48DBA7B0" w14:textId="77777777" w:rsidTr="009B22E5">
        <w:trPr>
          <w:jc w:val="center"/>
        </w:trPr>
        <w:tc>
          <w:tcPr>
            <w:tcW w:w="1539" w:type="pct"/>
            <w:shd w:val="clear" w:color="auto" w:fill="auto"/>
            <w:vAlign w:val="center"/>
          </w:tcPr>
          <w:p w14:paraId="4F386646" w14:textId="77777777" w:rsidR="0070209F" w:rsidRPr="00384818" w:rsidRDefault="0070209F" w:rsidP="00777D20">
            <w:pPr>
              <w:pStyle w:val="TableText0"/>
            </w:pPr>
            <w:r w:rsidRPr="00384818">
              <w:t>ELATIVE, mean (SE)</w:t>
            </w:r>
          </w:p>
        </w:tc>
        <w:tc>
          <w:tcPr>
            <w:tcW w:w="714" w:type="pct"/>
            <w:shd w:val="clear" w:color="auto" w:fill="auto"/>
            <w:vAlign w:val="center"/>
          </w:tcPr>
          <w:p w14:paraId="41B8753B" w14:textId="77777777" w:rsidR="0070209F" w:rsidRPr="00384818" w:rsidRDefault="0070209F" w:rsidP="00777D20">
            <w:pPr>
              <w:pStyle w:val="TableText0"/>
              <w:jc w:val="center"/>
            </w:pPr>
            <w:r w:rsidRPr="00384818">
              <w:t>N=95</w:t>
            </w:r>
          </w:p>
          <w:p w14:paraId="5C761E31" w14:textId="77777777" w:rsidR="0070209F" w:rsidRPr="00384818" w:rsidRDefault="0070209F" w:rsidP="00777D20">
            <w:pPr>
              <w:pStyle w:val="TableText0"/>
              <w:jc w:val="center"/>
            </w:pPr>
            <w:r w:rsidRPr="00384818">
              <w:t>-2.1 (0.41)</w:t>
            </w:r>
          </w:p>
        </w:tc>
        <w:tc>
          <w:tcPr>
            <w:tcW w:w="747" w:type="pct"/>
            <w:shd w:val="clear" w:color="auto" w:fill="auto"/>
            <w:vAlign w:val="center"/>
          </w:tcPr>
          <w:p w14:paraId="3A711BC3" w14:textId="77777777" w:rsidR="0070209F" w:rsidRPr="00384818" w:rsidRDefault="0070209F" w:rsidP="00777D20">
            <w:pPr>
              <w:pStyle w:val="TableText0"/>
              <w:jc w:val="center"/>
            </w:pPr>
            <w:r w:rsidRPr="00384818">
              <w:t>N=48</w:t>
            </w:r>
          </w:p>
          <w:p w14:paraId="2042D924" w14:textId="77777777" w:rsidR="0070209F" w:rsidRPr="00384818" w:rsidRDefault="0070209F" w:rsidP="00777D20">
            <w:pPr>
              <w:pStyle w:val="TableText0"/>
              <w:jc w:val="center"/>
            </w:pPr>
            <w:r w:rsidRPr="00384818">
              <w:t>-0.9 (0.43)</w:t>
            </w:r>
          </w:p>
        </w:tc>
        <w:tc>
          <w:tcPr>
            <w:tcW w:w="790" w:type="pct"/>
            <w:shd w:val="clear" w:color="auto" w:fill="auto"/>
            <w:vAlign w:val="center"/>
          </w:tcPr>
          <w:p w14:paraId="3F90F0A0" w14:textId="77777777" w:rsidR="0070209F" w:rsidRPr="00384818" w:rsidRDefault="0070209F" w:rsidP="00777D20">
            <w:pPr>
              <w:pStyle w:val="TableText0"/>
              <w:jc w:val="center"/>
            </w:pPr>
            <w:r w:rsidRPr="00384818">
              <w:t>-</w:t>
            </w:r>
          </w:p>
        </w:tc>
        <w:tc>
          <w:tcPr>
            <w:tcW w:w="1210" w:type="pct"/>
            <w:vMerge w:val="restart"/>
            <w:shd w:val="clear" w:color="auto" w:fill="auto"/>
            <w:vAlign w:val="center"/>
          </w:tcPr>
          <w:p w14:paraId="366C0CF5" w14:textId="77777777" w:rsidR="0070209F" w:rsidRPr="00384818" w:rsidRDefault="0070209F" w:rsidP="00777D20">
            <w:pPr>
              <w:pStyle w:val="TableText0"/>
              <w:jc w:val="center"/>
            </w:pPr>
            <w:r w:rsidRPr="00384818">
              <w:t>-1.3</w:t>
            </w:r>
          </w:p>
          <w:p w14:paraId="6A39DCE2" w14:textId="77777777" w:rsidR="0070209F" w:rsidRPr="00384818" w:rsidRDefault="0070209F" w:rsidP="00777D20">
            <w:pPr>
              <w:pStyle w:val="TableText0"/>
              <w:jc w:val="center"/>
              <w:rPr>
                <w:highlight w:val="yellow"/>
              </w:rPr>
            </w:pPr>
            <w:r w:rsidRPr="00384818">
              <w:t>(-2.4, -0.2)</w:t>
            </w:r>
          </w:p>
        </w:tc>
      </w:tr>
      <w:tr w:rsidR="0070209F" w:rsidRPr="00384818" w14:paraId="05BA6917" w14:textId="77777777" w:rsidTr="009B22E5">
        <w:trPr>
          <w:jc w:val="center"/>
        </w:trPr>
        <w:tc>
          <w:tcPr>
            <w:tcW w:w="1539" w:type="pct"/>
            <w:shd w:val="clear" w:color="auto" w:fill="auto"/>
            <w:vAlign w:val="center"/>
          </w:tcPr>
          <w:p w14:paraId="2DBCDFC2" w14:textId="77777777" w:rsidR="0070209F" w:rsidRPr="00384818" w:rsidRDefault="0070209F" w:rsidP="00777D20">
            <w:pPr>
              <w:pStyle w:val="TableText0"/>
            </w:pPr>
            <w:r w:rsidRPr="00384818">
              <w:t>ELATIVE, LSM (SE)</w:t>
            </w:r>
          </w:p>
        </w:tc>
        <w:tc>
          <w:tcPr>
            <w:tcW w:w="714" w:type="pct"/>
            <w:shd w:val="clear" w:color="auto" w:fill="auto"/>
            <w:vAlign w:val="center"/>
          </w:tcPr>
          <w:p w14:paraId="41E0E0A1" w14:textId="77777777" w:rsidR="0070209F" w:rsidRPr="00384818" w:rsidRDefault="0070209F" w:rsidP="00777D20">
            <w:pPr>
              <w:pStyle w:val="TableText0"/>
              <w:jc w:val="center"/>
            </w:pPr>
            <w:r w:rsidRPr="00384818">
              <w:t>N=95</w:t>
            </w:r>
          </w:p>
          <w:p w14:paraId="6B166171" w14:textId="77777777" w:rsidR="0070209F" w:rsidRPr="00384818" w:rsidRDefault="0070209F" w:rsidP="00777D20">
            <w:pPr>
              <w:pStyle w:val="TableText0"/>
              <w:jc w:val="center"/>
            </w:pPr>
            <w:r w:rsidRPr="00384818">
              <w:t>-1.9 (0.33)</w:t>
            </w:r>
          </w:p>
        </w:tc>
        <w:tc>
          <w:tcPr>
            <w:tcW w:w="747" w:type="pct"/>
            <w:shd w:val="clear" w:color="auto" w:fill="auto"/>
            <w:vAlign w:val="center"/>
          </w:tcPr>
          <w:p w14:paraId="54A52DE7" w14:textId="77777777" w:rsidR="0070209F" w:rsidRPr="00384818" w:rsidRDefault="0070209F" w:rsidP="00777D20">
            <w:pPr>
              <w:pStyle w:val="TableText0"/>
              <w:jc w:val="center"/>
            </w:pPr>
            <w:r w:rsidRPr="00384818">
              <w:t>N=46</w:t>
            </w:r>
          </w:p>
          <w:p w14:paraId="5FDEC883" w14:textId="77777777" w:rsidR="0070209F" w:rsidRPr="00384818" w:rsidRDefault="0070209F" w:rsidP="00777D20">
            <w:pPr>
              <w:pStyle w:val="TableText0"/>
              <w:jc w:val="center"/>
            </w:pPr>
            <w:r w:rsidRPr="00384818">
              <w:t>-0.6 (0.48)</w:t>
            </w:r>
          </w:p>
        </w:tc>
        <w:tc>
          <w:tcPr>
            <w:tcW w:w="790" w:type="pct"/>
            <w:shd w:val="clear" w:color="auto" w:fill="auto"/>
            <w:vAlign w:val="center"/>
          </w:tcPr>
          <w:p w14:paraId="00BF4261" w14:textId="77777777" w:rsidR="0070209F" w:rsidRPr="00384818" w:rsidRDefault="0070209F" w:rsidP="00777D20">
            <w:pPr>
              <w:pStyle w:val="TableText0"/>
              <w:jc w:val="center"/>
            </w:pPr>
            <w:r w:rsidRPr="00384818">
              <w:t>-</w:t>
            </w:r>
          </w:p>
        </w:tc>
        <w:tc>
          <w:tcPr>
            <w:tcW w:w="1210" w:type="pct"/>
            <w:vMerge/>
            <w:shd w:val="clear" w:color="auto" w:fill="auto"/>
            <w:vAlign w:val="center"/>
          </w:tcPr>
          <w:p w14:paraId="44622F39" w14:textId="77777777" w:rsidR="0070209F" w:rsidRPr="00384818" w:rsidRDefault="0070209F" w:rsidP="00777D20">
            <w:pPr>
              <w:pStyle w:val="TableText0"/>
              <w:jc w:val="center"/>
              <w:rPr>
                <w:highlight w:val="yellow"/>
              </w:rPr>
            </w:pPr>
          </w:p>
        </w:tc>
      </w:tr>
      <w:tr w:rsidR="0070209F" w:rsidRPr="00384818" w14:paraId="5F2F2DB9" w14:textId="77777777" w:rsidTr="009B22E5">
        <w:trPr>
          <w:jc w:val="center"/>
        </w:trPr>
        <w:tc>
          <w:tcPr>
            <w:tcW w:w="1539" w:type="pct"/>
            <w:shd w:val="clear" w:color="auto" w:fill="auto"/>
            <w:vAlign w:val="center"/>
          </w:tcPr>
          <w:p w14:paraId="5B5E4BF4" w14:textId="77777777" w:rsidR="0070209F" w:rsidRPr="00384818" w:rsidRDefault="0070209F" w:rsidP="00777D20">
            <w:pPr>
              <w:pStyle w:val="TableText0"/>
            </w:pPr>
            <w:r w:rsidRPr="00384818">
              <w:t>POISE (OCA 5-10mg), mean (SE)</w:t>
            </w:r>
            <w:r w:rsidRPr="00384818">
              <w:rPr>
                <w:vertAlign w:val="superscript"/>
              </w:rPr>
              <w:t>a</w:t>
            </w:r>
          </w:p>
        </w:tc>
        <w:tc>
          <w:tcPr>
            <w:tcW w:w="714" w:type="pct"/>
            <w:shd w:val="clear" w:color="auto" w:fill="auto"/>
            <w:vAlign w:val="center"/>
          </w:tcPr>
          <w:p w14:paraId="4B94BD1C" w14:textId="77777777" w:rsidR="0070209F" w:rsidRPr="00384818" w:rsidRDefault="0070209F" w:rsidP="00777D20">
            <w:pPr>
              <w:pStyle w:val="TableText0"/>
              <w:jc w:val="center"/>
            </w:pPr>
            <w:r w:rsidRPr="00384818">
              <w:t>-</w:t>
            </w:r>
          </w:p>
        </w:tc>
        <w:tc>
          <w:tcPr>
            <w:tcW w:w="747" w:type="pct"/>
            <w:shd w:val="clear" w:color="auto" w:fill="auto"/>
            <w:vAlign w:val="center"/>
          </w:tcPr>
          <w:p w14:paraId="2427C379" w14:textId="77777777" w:rsidR="0070209F" w:rsidRPr="00384818" w:rsidRDefault="0070209F" w:rsidP="00777D20">
            <w:pPr>
              <w:pStyle w:val="TableText0"/>
              <w:jc w:val="center"/>
            </w:pPr>
            <w:r w:rsidRPr="00384818">
              <w:t>N=73</w:t>
            </w:r>
          </w:p>
          <w:p w14:paraId="2482CCCE" w14:textId="77777777" w:rsidR="0070209F" w:rsidRPr="00384818" w:rsidRDefault="0070209F" w:rsidP="00777D20">
            <w:pPr>
              <w:pStyle w:val="TableText0"/>
              <w:jc w:val="center"/>
            </w:pPr>
            <w:r w:rsidRPr="00384818">
              <w:t>0.5 (0.75)</w:t>
            </w:r>
          </w:p>
        </w:tc>
        <w:tc>
          <w:tcPr>
            <w:tcW w:w="790" w:type="pct"/>
            <w:shd w:val="clear" w:color="auto" w:fill="auto"/>
            <w:vAlign w:val="center"/>
          </w:tcPr>
          <w:p w14:paraId="48F7B821" w14:textId="77777777" w:rsidR="0070209F" w:rsidRPr="00384818" w:rsidRDefault="0070209F" w:rsidP="00777D20">
            <w:pPr>
              <w:pStyle w:val="TableText0"/>
              <w:jc w:val="center"/>
            </w:pPr>
            <w:r w:rsidRPr="00384818">
              <w:t>N=70</w:t>
            </w:r>
          </w:p>
          <w:p w14:paraId="625F93CA" w14:textId="77777777" w:rsidR="0070209F" w:rsidRPr="00384818" w:rsidRDefault="0070209F" w:rsidP="00777D20">
            <w:pPr>
              <w:pStyle w:val="TableText0"/>
              <w:jc w:val="center"/>
            </w:pPr>
            <w:r w:rsidRPr="00384818">
              <w:t>1.7 (0.74)</w:t>
            </w:r>
          </w:p>
        </w:tc>
        <w:tc>
          <w:tcPr>
            <w:tcW w:w="1210" w:type="pct"/>
            <w:shd w:val="clear" w:color="auto" w:fill="auto"/>
            <w:vAlign w:val="center"/>
          </w:tcPr>
          <w:p w14:paraId="07B5A95E" w14:textId="77777777" w:rsidR="0070209F" w:rsidRPr="00384818" w:rsidRDefault="0070209F" w:rsidP="00777D20">
            <w:pPr>
              <w:pStyle w:val="TableText0"/>
              <w:jc w:val="center"/>
              <w:rPr>
                <w:highlight w:val="yellow"/>
              </w:rPr>
            </w:pPr>
            <w:r w:rsidRPr="00384818">
              <w:t>NR</w:t>
            </w:r>
          </w:p>
        </w:tc>
      </w:tr>
      <w:tr w:rsidR="0070209F" w:rsidRPr="00384818" w14:paraId="0B53517B" w14:textId="77777777" w:rsidTr="009B22E5">
        <w:trPr>
          <w:jc w:val="center"/>
        </w:trPr>
        <w:tc>
          <w:tcPr>
            <w:tcW w:w="1539" w:type="pct"/>
            <w:shd w:val="clear" w:color="auto" w:fill="auto"/>
            <w:vAlign w:val="center"/>
          </w:tcPr>
          <w:p w14:paraId="2FFA035A" w14:textId="77777777" w:rsidR="0070209F" w:rsidRPr="00807FD7" w:rsidRDefault="0070209F" w:rsidP="00777D20">
            <w:pPr>
              <w:pStyle w:val="TableText0"/>
              <w:rPr>
                <w:lang w:val="it-IT"/>
              </w:rPr>
            </w:pPr>
            <w:r w:rsidRPr="00807FD7">
              <w:rPr>
                <w:lang w:val="it-IT"/>
              </w:rPr>
              <w:t>POISE (OCA 5-10mg), LSM (SE)</w:t>
            </w:r>
            <w:r w:rsidRPr="00807FD7">
              <w:rPr>
                <w:vertAlign w:val="superscript"/>
                <w:lang w:val="it-IT"/>
              </w:rPr>
              <w:t>a</w:t>
            </w:r>
          </w:p>
        </w:tc>
        <w:tc>
          <w:tcPr>
            <w:tcW w:w="714" w:type="pct"/>
            <w:shd w:val="clear" w:color="auto" w:fill="auto"/>
            <w:vAlign w:val="center"/>
          </w:tcPr>
          <w:p w14:paraId="255F51D0" w14:textId="77777777" w:rsidR="0070209F" w:rsidRPr="00384818" w:rsidRDefault="0070209F" w:rsidP="00777D20">
            <w:pPr>
              <w:pStyle w:val="TableText0"/>
              <w:jc w:val="center"/>
            </w:pPr>
            <w:r w:rsidRPr="00384818">
              <w:t>-</w:t>
            </w:r>
          </w:p>
        </w:tc>
        <w:tc>
          <w:tcPr>
            <w:tcW w:w="747" w:type="pct"/>
            <w:shd w:val="clear" w:color="auto" w:fill="auto"/>
            <w:vAlign w:val="center"/>
          </w:tcPr>
          <w:p w14:paraId="54D2624A" w14:textId="77777777" w:rsidR="0070209F" w:rsidRPr="00384818" w:rsidRDefault="0070209F" w:rsidP="00777D20">
            <w:pPr>
              <w:pStyle w:val="TableText0"/>
              <w:jc w:val="center"/>
            </w:pPr>
            <w:r w:rsidRPr="00384818">
              <w:t>N=73</w:t>
            </w:r>
          </w:p>
          <w:p w14:paraId="2611A6E6" w14:textId="77777777" w:rsidR="0070209F" w:rsidRPr="00384818" w:rsidRDefault="0070209F" w:rsidP="00777D20">
            <w:pPr>
              <w:pStyle w:val="TableText0"/>
              <w:jc w:val="center"/>
            </w:pPr>
            <w:r w:rsidRPr="00384818">
              <w:t>0.5 (0.75)</w:t>
            </w:r>
          </w:p>
        </w:tc>
        <w:tc>
          <w:tcPr>
            <w:tcW w:w="790" w:type="pct"/>
            <w:shd w:val="clear" w:color="auto" w:fill="auto"/>
            <w:vAlign w:val="center"/>
          </w:tcPr>
          <w:p w14:paraId="0E3C7C41" w14:textId="77777777" w:rsidR="0070209F" w:rsidRPr="00384818" w:rsidRDefault="0070209F" w:rsidP="00777D20">
            <w:pPr>
              <w:pStyle w:val="TableText0"/>
              <w:jc w:val="center"/>
            </w:pPr>
            <w:r w:rsidRPr="00384818">
              <w:t>N=70</w:t>
            </w:r>
          </w:p>
          <w:p w14:paraId="41779404" w14:textId="77777777" w:rsidR="0070209F" w:rsidRPr="00384818" w:rsidRDefault="0070209F" w:rsidP="00777D20">
            <w:pPr>
              <w:pStyle w:val="TableText0"/>
              <w:jc w:val="center"/>
            </w:pPr>
            <w:r w:rsidRPr="00384818">
              <w:t>1.7 (0.74)</w:t>
            </w:r>
          </w:p>
        </w:tc>
        <w:tc>
          <w:tcPr>
            <w:tcW w:w="1210" w:type="pct"/>
            <w:shd w:val="clear" w:color="auto" w:fill="auto"/>
            <w:vAlign w:val="center"/>
          </w:tcPr>
          <w:p w14:paraId="23764575" w14:textId="77777777" w:rsidR="0070209F" w:rsidRPr="00384818" w:rsidRDefault="0070209F" w:rsidP="00777D20">
            <w:pPr>
              <w:pStyle w:val="TableText0"/>
              <w:jc w:val="center"/>
              <w:rPr>
                <w:highlight w:val="yellow"/>
              </w:rPr>
            </w:pPr>
            <w:r w:rsidRPr="00384818">
              <w:t>NR</w:t>
            </w:r>
          </w:p>
        </w:tc>
      </w:tr>
      <w:tr w:rsidR="0070209F" w:rsidRPr="00384818" w14:paraId="346AD227" w14:textId="77777777" w:rsidTr="009B22E5">
        <w:trPr>
          <w:jc w:val="center"/>
        </w:trPr>
        <w:tc>
          <w:tcPr>
            <w:tcW w:w="1539" w:type="pct"/>
            <w:shd w:val="clear" w:color="auto" w:fill="auto"/>
            <w:vAlign w:val="center"/>
          </w:tcPr>
          <w:p w14:paraId="16698319" w14:textId="77777777" w:rsidR="0070209F" w:rsidRPr="00384818" w:rsidRDefault="0070209F" w:rsidP="00777D20">
            <w:pPr>
              <w:pStyle w:val="TableText0"/>
            </w:pPr>
            <w:r w:rsidRPr="00384818">
              <w:t>POISE (OCA 10mg), mean (SE)</w:t>
            </w:r>
            <w:r w:rsidRPr="00384818">
              <w:rPr>
                <w:vertAlign w:val="superscript"/>
              </w:rPr>
              <w:t>a</w:t>
            </w:r>
          </w:p>
        </w:tc>
        <w:tc>
          <w:tcPr>
            <w:tcW w:w="714" w:type="pct"/>
            <w:shd w:val="clear" w:color="auto" w:fill="auto"/>
            <w:vAlign w:val="center"/>
          </w:tcPr>
          <w:p w14:paraId="68D71E63" w14:textId="77777777" w:rsidR="0070209F" w:rsidRPr="00384818" w:rsidRDefault="0070209F" w:rsidP="00777D20">
            <w:pPr>
              <w:pStyle w:val="TableText0"/>
              <w:jc w:val="center"/>
            </w:pPr>
            <w:r w:rsidRPr="00384818">
              <w:t>-</w:t>
            </w:r>
          </w:p>
        </w:tc>
        <w:tc>
          <w:tcPr>
            <w:tcW w:w="747" w:type="pct"/>
            <w:shd w:val="clear" w:color="auto" w:fill="auto"/>
            <w:vAlign w:val="center"/>
          </w:tcPr>
          <w:p w14:paraId="1FB5A0AC" w14:textId="77777777" w:rsidR="0070209F" w:rsidRPr="00384818" w:rsidRDefault="0070209F" w:rsidP="00777D20">
            <w:pPr>
              <w:pStyle w:val="TableText0"/>
              <w:jc w:val="center"/>
            </w:pPr>
            <w:r w:rsidRPr="00384818">
              <w:t>N=73</w:t>
            </w:r>
          </w:p>
          <w:p w14:paraId="15E19EC2" w14:textId="77777777" w:rsidR="0070209F" w:rsidRPr="00384818" w:rsidRDefault="0070209F" w:rsidP="00777D20">
            <w:pPr>
              <w:pStyle w:val="TableText0"/>
              <w:jc w:val="center"/>
            </w:pPr>
            <w:r w:rsidRPr="00384818">
              <w:t>0.5 (0.75)</w:t>
            </w:r>
          </w:p>
        </w:tc>
        <w:tc>
          <w:tcPr>
            <w:tcW w:w="790" w:type="pct"/>
            <w:shd w:val="clear" w:color="auto" w:fill="auto"/>
            <w:vAlign w:val="center"/>
          </w:tcPr>
          <w:p w14:paraId="0B943BC4" w14:textId="77777777" w:rsidR="0070209F" w:rsidRPr="00384818" w:rsidRDefault="0070209F" w:rsidP="00777D20">
            <w:pPr>
              <w:pStyle w:val="TableText0"/>
              <w:jc w:val="center"/>
            </w:pPr>
            <w:r w:rsidRPr="00384818">
              <w:t>N=73</w:t>
            </w:r>
          </w:p>
          <w:p w14:paraId="50C58606" w14:textId="77777777" w:rsidR="0070209F" w:rsidRPr="00384818" w:rsidRDefault="0070209F" w:rsidP="00777D20">
            <w:pPr>
              <w:pStyle w:val="TableText0"/>
              <w:jc w:val="center"/>
            </w:pPr>
            <w:r w:rsidRPr="00384818">
              <w:t>1.4 (0.74)</w:t>
            </w:r>
          </w:p>
        </w:tc>
        <w:tc>
          <w:tcPr>
            <w:tcW w:w="1210" w:type="pct"/>
            <w:shd w:val="clear" w:color="auto" w:fill="auto"/>
            <w:vAlign w:val="center"/>
          </w:tcPr>
          <w:p w14:paraId="44B37A62" w14:textId="77777777" w:rsidR="0070209F" w:rsidRPr="00384818" w:rsidRDefault="0070209F" w:rsidP="00777D20">
            <w:pPr>
              <w:pStyle w:val="TableText0"/>
              <w:jc w:val="center"/>
              <w:rPr>
                <w:highlight w:val="yellow"/>
              </w:rPr>
            </w:pPr>
            <w:r w:rsidRPr="00384818">
              <w:t>NR</w:t>
            </w:r>
          </w:p>
        </w:tc>
      </w:tr>
      <w:tr w:rsidR="0070209F" w:rsidRPr="00384818" w14:paraId="1F16F10F" w14:textId="77777777" w:rsidTr="009B22E5">
        <w:trPr>
          <w:jc w:val="center"/>
        </w:trPr>
        <w:tc>
          <w:tcPr>
            <w:tcW w:w="1539" w:type="pct"/>
            <w:shd w:val="clear" w:color="auto" w:fill="auto"/>
            <w:vAlign w:val="center"/>
          </w:tcPr>
          <w:p w14:paraId="010CDFC3" w14:textId="77777777" w:rsidR="0070209F" w:rsidRPr="00807FD7" w:rsidRDefault="0070209F" w:rsidP="00777D20">
            <w:pPr>
              <w:pStyle w:val="TableText0"/>
              <w:rPr>
                <w:lang w:val="it-IT"/>
              </w:rPr>
            </w:pPr>
            <w:r w:rsidRPr="00807FD7">
              <w:rPr>
                <w:lang w:val="it-IT"/>
              </w:rPr>
              <w:t>POISE (OCA 10mg), LSM (SE)</w:t>
            </w:r>
            <w:r w:rsidRPr="00807FD7">
              <w:rPr>
                <w:vertAlign w:val="superscript"/>
                <w:lang w:val="it-IT"/>
              </w:rPr>
              <w:t>a</w:t>
            </w:r>
          </w:p>
        </w:tc>
        <w:tc>
          <w:tcPr>
            <w:tcW w:w="714" w:type="pct"/>
            <w:shd w:val="clear" w:color="auto" w:fill="auto"/>
            <w:vAlign w:val="center"/>
          </w:tcPr>
          <w:p w14:paraId="65F0FB27" w14:textId="77777777" w:rsidR="0070209F" w:rsidRPr="00384818" w:rsidRDefault="0070209F" w:rsidP="00777D20">
            <w:pPr>
              <w:pStyle w:val="TableText0"/>
              <w:jc w:val="center"/>
            </w:pPr>
            <w:r w:rsidRPr="00384818">
              <w:t>-</w:t>
            </w:r>
          </w:p>
        </w:tc>
        <w:tc>
          <w:tcPr>
            <w:tcW w:w="747" w:type="pct"/>
            <w:shd w:val="clear" w:color="auto" w:fill="auto"/>
            <w:vAlign w:val="center"/>
          </w:tcPr>
          <w:p w14:paraId="68DFF3AA" w14:textId="77777777" w:rsidR="0070209F" w:rsidRPr="00384818" w:rsidRDefault="0070209F" w:rsidP="00777D20">
            <w:pPr>
              <w:pStyle w:val="TableText0"/>
              <w:jc w:val="center"/>
            </w:pPr>
            <w:r w:rsidRPr="00384818">
              <w:t>N=73</w:t>
            </w:r>
          </w:p>
          <w:p w14:paraId="7293A6A8" w14:textId="77777777" w:rsidR="0070209F" w:rsidRPr="00384818" w:rsidRDefault="0070209F" w:rsidP="00777D20">
            <w:pPr>
              <w:pStyle w:val="TableText0"/>
              <w:jc w:val="center"/>
            </w:pPr>
            <w:r w:rsidRPr="00384818">
              <w:t>0.5 (0.75)</w:t>
            </w:r>
          </w:p>
        </w:tc>
        <w:tc>
          <w:tcPr>
            <w:tcW w:w="790" w:type="pct"/>
            <w:shd w:val="clear" w:color="auto" w:fill="auto"/>
            <w:vAlign w:val="center"/>
          </w:tcPr>
          <w:p w14:paraId="256D7C6F" w14:textId="77777777" w:rsidR="0070209F" w:rsidRPr="00384818" w:rsidRDefault="0070209F" w:rsidP="00777D20">
            <w:pPr>
              <w:pStyle w:val="TableText0"/>
              <w:jc w:val="center"/>
            </w:pPr>
            <w:r w:rsidRPr="00384818">
              <w:t>N=73</w:t>
            </w:r>
          </w:p>
          <w:p w14:paraId="744B7C79" w14:textId="77777777" w:rsidR="0070209F" w:rsidRPr="00384818" w:rsidRDefault="0070209F" w:rsidP="00777D20">
            <w:pPr>
              <w:pStyle w:val="TableText0"/>
              <w:jc w:val="center"/>
            </w:pPr>
            <w:r w:rsidRPr="00384818">
              <w:t>1.4 (0.74)</w:t>
            </w:r>
          </w:p>
        </w:tc>
        <w:tc>
          <w:tcPr>
            <w:tcW w:w="1210" w:type="pct"/>
            <w:shd w:val="clear" w:color="auto" w:fill="auto"/>
            <w:vAlign w:val="center"/>
          </w:tcPr>
          <w:p w14:paraId="0EF3191C" w14:textId="77777777" w:rsidR="0070209F" w:rsidRPr="00384818" w:rsidRDefault="0070209F" w:rsidP="00777D20">
            <w:pPr>
              <w:pStyle w:val="TableText0"/>
              <w:jc w:val="center"/>
              <w:rPr>
                <w:highlight w:val="yellow"/>
              </w:rPr>
            </w:pPr>
            <w:r w:rsidRPr="00384818">
              <w:t>NR</w:t>
            </w:r>
          </w:p>
        </w:tc>
      </w:tr>
      <w:tr w:rsidR="0070209F" w:rsidRPr="00384818" w14:paraId="1E1BB6E4" w14:textId="77777777" w:rsidTr="009B22E5">
        <w:trPr>
          <w:jc w:val="center"/>
        </w:trPr>
        <w:tc>
          <w:tcPr>
            <w:tcW w:w="3790" w:type="pct"/>
            <w:gridSpan w:val="4"/>
            <w:shd w:val="clear" w:color="auto" w:fill="auto"/>
            <w:vAlign w:val="center"/>
          </w:tcPr>
          <w:p w14:paraId="4E2A9488" w14:textId="0EE975E2" w:rsidR="0070209F" w:rsidRPr="00807FD7" w:rsidRDefault="0070209F" w:rsidP="005E29AF">
            <w:pPr>
              <w:pStyle w:val="TableText0"/>
              <w:rPr>
                <w:lang w:val="it-IT"/>
              </w:rPr>
            </w:pPr>
            <w:r w:rsidRPr="00807FD7">
              <w:rPr>
                <w:lang w:val="it-IT"/>
              </w:rPr>
              <w:t xml:space="preserve">Indirect comparison, </w:t>
            </w:r>
            <w:r w:rsidR="007C7E82" w:rsidRPr="00807FD7">
              <w:rPr>
                <w:lang w:val="it-IT"/>
              </w:rPr>
              <w:t xml:space="preserve">ELA </w:t>
            </w:r>
            <w:r w:rsidRPr="00807FD7">
              <w:rPr>
                <w:lang w:val="it-IT"/>
              </w:rPr>
              <w:t>vs OCA 5-10mg (95% CI)</w:t>
            </w:r>
          </w:p>
        </w:tc>
        <w:tc>
          <w:tcPr>
            <w:tcW w:w="1210" w:type="pct"/>
            <w:shd w:val="clear" w:color="auto" w:fill="auto"/>
            <w:vAlign w:val="center"/>
          </w:tcPr>
          <w:p w14:paraId="5290F534" w14:textId="6E023DC9" w:rsidR="0070209F" w:rsidRPr="00384818" w:rsidRDefault="0070209F" w:rsidP="00777D20">
            <w:pPr>
              <w:pStyle w:val="TableText0"/>
              <w:jc w:val="center"/>
              <w:rPr>
                <w:bCs w:val="0"/>
              </w:rPr>
            </w:pPr>
            <w:r w:rsidRPr="00384818">
              <w:rPr>
                <w:bCs w:val="0"/>
              </w:rPr>
              <w:t>MD</w:t>
            </w:r>
            <w:r w:rsidR="009E5974" w:rsidRPr="00384818">
              <w:rPr>
                <w:bCs w:val="0"/>
              </w:rPr>
              <w:t xml:space="preserve"> </w:t>
            </w:r>
            <w:r w:rsidRPr="00384818">
              <w:rPr>
                <w:bCs w:val="0"/>
              </w:rPr>
              <w:t>= -2.37 (-4.75, 0.01)</w:t>
            </w:r>
          </w:p>
        </w:tc>
      </w:tr>
      <w:tr w:rsidR="0070209F" w:rsidRPr="00384818" w14:paraId="56964EAF" w14:textId="77777777" w:rsidTr="009B22E5">
        <w:trPr>
          <w:jc w:val="center"/>
        </w:trPr>
        <w:tc>
          <w:tcPr>
            <w:tcW w:w="3790" w:type="pct"/>
            <w:gridSpan w:val="4"/>
            <w:shd w:val="clear" w:color="auto" w:fill="auto"/>
            <w:vAlign w:val="center"/>
          </w:tcPr>
          <w:p w14:paraId="28440AFE" w14:textId="092E83F7" w:rsidR="0070209F" w:rsidRPr="00807FD7" w:rsidRDefault="0070209F" w:rsidP="005E29AF">
            <w:pPr>
              <w:pStyle w:val="TableText0"/>
              <w:rPr>
                <w:lang w:val="it-IT"/>
              </w:rPr>
            </w:pPr>
            <w:r w:rsidRPr="00807FD7">
              <w:rPr>
                <w:lang w:val="it-IT"/>
              </w:rPr>
              <w:t xml:space="preserve">Indirect comparison, </w:t>
            </w:r>
            <w:r w:rsidR="007C7E82" w:rsidRPr="00807FD7">
              <w:rPr>
                <w:lang w:val="it-IT"/>
              </w:rPr>
              <w:t xml:space="preserve">ELA </w:t>
            </w:r>
            <w:r w:rsidRPr="00807FD7">
              <w:rPr>
                <w:lang w:val="it-IT"/>
              </w:rPr>
              <w:t>vs OCA 10mg (95% CI)</w:t>
            </w:r>
          </w:p>
        </w:tc>
        <w:tc>
          <w:tcPr>
            <w:tcW w:w="1210" w:type="pct"/>
            <w:shd w:val="clear" w:color="auto" w:fill="auto"/>
            <w:vAlign w:val="center"/>
          </w:tcPr>
          <w:p w14:paraId="556674A9" w14:textId="09F09C5E" w:rsidR="0070209F" w:rsidRPr="00384818" w:rsidRDefault="0070209F" w:rsidP="00777D20">
            <w:pPr>
              <w:pStyle w:val="TableText0"/>
              <w:jc w:val="center"/>
              <w:rPr>
                <w:bCs w:val="0"/>
              </w:rPr>
            </w:pPr>
            <w:r w:rsidRPr="00384818">
              <w:rPr>
                <w:bCs w:val="0"/>
              </w:rPr>
              <w:t>MD</w:t>
            </w:r>
            <w:r w:rsidR="009E5974" w:rsidRPr="00384818">
              <w:rPr>
                <w:bCs w:val="0"/>
              </w:rPr>
              <w:t xml:space="preserve"> </w:t>
            </w:r>
            <w:r w:rsidRPr="00384818">
              <w:rPr>
                <w:bCs w:val="0"/>
              </w:rPr>
              <w:t>= -2.06 (-4.43, 0.31)</w:t>
            </w:r>
          </w:p>
        </w:tc>
      </w:tr>
      <w:tr w:rsidR="0070209F" w:rsidRPr="00384818" w14:paraId="4AE50AE1" w14:textId="77777777" w:rsidTr="009B22E5">
        <w:trPr>
          <w:jc w:val="center"/>
        </w:trPr>
        <w:tc>
          <w:tcPr>
            <w:tcW w:w="3790" w:type="pct"/>
            <w:gridSpan w:val="4"/>
            <w:shd w:val="clear" w:color="auto" w:fill="auto"/>
            <w:vAlign w:val="center"/>
          </w:tcPr>
          <w:p w14:paraId="5F5580DD" w14:textId="29A7D7CE" w:rsidR="0070209F" w:rsidRPr="00807FD7" w:rsidRDefault="0070209F" w:rsidP="005E29AF">
            <w:pPr>
              <w:pStyle w:val="TableText0"/>
              <w:rPr>
                <w:lang w:val="it-IT"/>
              </w:rPr>
            </w:pPr>
            <w:r w:rsidRPr="00807FD7">
              <w:rPr>
                <w:lang w:val="it-IT"/>
              </w:rPr>
              <w:t xml:space="preserve">Indirect comparison, </w:t>
            </w:r>
            <w:r w:rsidR="007C7E82" w:rsidRPr="00807FD7">
              <w:rPr>
                <w:lang w:val="it-IT"/>
              </w:rPr>
              <w:t xml:space="preserve">ELA </w:t>
            </w:r>
            <w:r w:rsidRPr="00807FD7">
              <w:rPr>
                <w:lang w:val="it-IT"/>
              </w:rPr>
              <w:t>vs OCA 5-10mg (95% CI), LSM</w:t>
            </w:r>
          </w:p>
        </w:tc>
        <w:tc>
          <w:tcPr>
            <w:tcW w:w="1210" w:type="pct"/>
            <w:shd w:val="clear" w:color="auto" w:fill="auto"/>
            <w:vAlign w:val="center"/>
          </w:tcPr>
          <w:p w14:paraId="6E3D90B3" w14:textId="0CDFC766" w:rsidR="0070209F" w:rsidRPr="00384818" w:rsidRDefault="0070209F" w:rsidP="00777D20">
            <w:pPr>
              <w:pStyle w:val="TableText0"/>
              <w:jc w:val="center"/>
              <w:rPr>
                <w:b/>
              </w:rPr>
            </w:pPr>
            <w:r w:rsidRPr="00384818">
              <w:rPr>
                <w:b/>
              </w:rPr>
              <w:t>MD</w:t>
            </w:r>
            <w:r w:rsidR="009E5974" w:rsidRPr="00384818">
              <w:rPr>
                <w:b/>
              </w:rPr>
              <w:t xml:space="preserve"> </w:t>
            </w:r>
            <w:r w:rsidRPr="00384818">
              <w:rPr>
                <w:b/>
              </w:rPr>
              <w:t xml:space="preserve">= -2.47 (-4.84, -0.10) </w:t>
            </w:r>
            <w:r w:rsidRPr="00384818">
              <w:rPr>
                <w:b/>
                <w:vertAlign w:val="superscript"/>
              </w:rPr>
              <w:t>b</w:t>
            </w:r>
          </w:p>
        </w:tc>
      </w:tr>
      <w:tr w:rsidR="0070209F" w:rsidRPr="00384818" w14:paraId="4A7905A2" w14:textId="77777777" w:rsidTr="009B22E5">
        <w:trPr>
          <w:jc w:val="center"/>
        </w:trPr>
        <w:tc>
          <w:tcPr>
            <w:tcW w:w="3790" w:type="pct"/>
            <w:gridSpan w:val="4"/>
            <w:shd w:val="clear" w:color="auto" w:fill="auto"/>
            <w:vAlign w:val="center"/>
          </w:tcPr>
          <w:p w14:paraId="4FDF2A49" w14:textId="18AC10D1" w:rsidR="0070209F" w:rsidRPr="00807FD7" w:rsidRDefault="0070209F" w:rsidP="005E29AF">
            <w:pPr>
              <w:pStyle w:val="TableText0"/>
              <w:rPr>
                <w:lang w:val="it-IT"/>
              </w:rPr>
            </w:pPr>
            <w:r w:rsidRPr="00807FD7">
              <w:rPr>
                <w:lang w:val="it-IT"/>
              </w:rPr>
              <w:t xml:space="preserve">Indirect comparison, </w:t>
            </w:r>
            <w:r w:rsidR="007C7E82" w:rsidRPr="00807FD7">
              <w:rPr>
                <w:lang w:val="it-IT"/>
              </w:rPr>
              <w:t xml:space="preserve">ELA </w:t>
            </w:r>
            <w:r w:rsidRPr="00807FD7">
              <w:rPr>
                <w:lang w:val="it-IT"/>
              </w:rPr>
              <w:t>vs OCA 10mg (95% CI), LSM</w:t>
            </w:r>
          </w:p>
        </w:tc>
        <w:tc>
          <w:tcPr>
            <w:tcW w:w="1210" w:type="pct"/>
            <w:shd w:val="clear" w:color="auto" w:fill="auto"/>
            <w:vAlign w:val="center"/>
          </w:tcPr>
          <w:p w14:paraId="3F661679" w14:textId="2DCC302D" w:rsidR="0070209F" w:rsidRPr="00384818" w:rsidRDefault="0070209F" w:rsidP="00777D20">
            <w:pPr>
              <w:pStyle w:val="TableText0"/>
              <w:jc w:val="center"/>
              <w:rPr>
                <w:bCs w:val="0"/>
              </w:rPr>
            </w:pPr>
            <w:r w:rsidRPr="00384818">
              <w:rPr>
                <w:bCs w:val="0"/>
              </w:rPr>
              <w:t>MD</w:t>
            </w:r>
            <w:r w:rsidR="009E5974" w:rsidRPr="00384818">
              <w:rPr>
                <w:bCs w:val="0"/>
              </w:rPr>
              <w:t xml:space="preserve"> </w:t>
            </w:r>
            <w:r w:rsidRPr="00384818">
              <w:rPr>
                <w:bCs w:val="0"/>
              </w:rPr>
              <w:t xml:space="preserve">= -2.16 (-4.52, 0.20) </w:t>
            </w:r>
            <w:r w:rsidRPr="00384818">
              <w:rPr>
                <w:bCs w:val="0"/>
                <w:vertAlign w:val="superscript"/>
              </w:rPr>
              <w:t>b</w:t>
            </w:r>
          </w:p>
        </w:tc>
      </w:tr>
      <w:tr w:rsidR="0070209F" w:rsidRPr="00384818" w14:paraId="09E5A4C6" w14:textId="77777777" w:rsidTr="00777D20">
        <w:trPr>
          <w:jc w:val="center"/>
        </w:trPr>
        <w:tc>
          <w:tcPr>
            <w:tcW w:w="5000" w:type="pct"/>
            <w:gridSpan w:val="5"/>
            <w:shd w:val="clear" w:color="auto" w:fill="auto"/>
            <w:vAlign w:val="center"/>
          </w:tcPr>
          <w:p w14:paraId="1FDA045A" w14:textId="20456EE7" w:rsidR="0070209F" w:rsidRPr="00384818" w:rsidRDefault="0070209F" w:rsidP="00777D20">
            <w:pPr>
              <w:pStyle w:val="TableText0"/>
              <w:rPr>
                <w:b/>
                <w:bCs w:val="0"/>
                <w:highlight w:val="yellow"/>
              </w:rPr>
            </w:pPr>
            <w:r w:rsidRPr="00384818">
              <w:rPr>
                <w:b/>
                <w:bCs w:val="0"/>
              </w:rPr>
              <w:t xml:space="preserve">Change from baseline in </w:t>
            </w:r>
            <w:r w:rsidRPr="00384818">
              <w:rPr>
                <w:rStyle w:val="CommentReference"/>
                <w:szCs w:val="24"/>
              </w:rPr>
              <w:t>pruritus (PBC</w:t>
            </w:r>
            <w:r w:rsidR="00813693" w:rsidRPr="00384818">
              <w:rPr>
                <w:rStyle w:val="CommentReference"/>
                <w:szCs w:val="24"/>
              </w:rPr>
              <w:t>-40</w:t>
            </w:r>
            <w:r w:rsidRPr="00384818">
              <w:rPr>
                <w:rStyle w:val="CommentReference"/>
                <w:szCs w:val="24"/>
              </w:rPr>
              <w:t xml:space="preserve"> Itch domain)</w:t>
            </w:r>
            <w:r w:rsidRPr="00384818">
              <w:rPr>
                <w:b/>
                <w:bCs w:val="0"/>
              </w:rPr>
              <w:t xml:space="preserve"> LSM (SE) (ITT)</w:t>
            </w:r>
          </w:p>
        </w:tc>
      </w:tr>
      <w:tr w:rsidR="0070209F" w:rsidRPr="00384818" w14:paraId="767C01F6" w14:textId="77777777" w:rsidTr="009B22E5">
        <w:trPr>
          <w:jc w:val="center"/>
        </w:trPr>
        <w:tc>
          <w:tcPr>
            <w:tcW w:w="1539" w:type="pct"/>
            <w:shd w:val="clear" w:color="auto" w:fill="auto"/>
            <w:vAlign w:val="center"/>
          </w:tcPr>
          <w:p w14:paraId="49EEFC9F" w14:textId="77777777" w:rsidR="0070209F" w:rsidRPr="00384818" w:rsidRDefault="0070209F" w:rsidP="00777D20">
            <w:pPr>
              <w:pStyle w:val="TableText0"/>
            </w:pPr>
            <w:r w:rsidRPr="00384818">
              <w:t>ELATIVE, mean (SE)</w:t>
            </w:r>
          </w:p>
        </w:tc>
        <w:tc>
          <w:tcPr>
            <w:tcW w:w="714" w:type="pct"/>
            <w:shd w:val="clear" w:color="auto" w:fill="auto"/>
            <w:vAlign w:val="center"/>
          </w:tcPr>
          <w:p w14:paraId="705E3E8B" w14:textId="77777777" w:rsidR="0070209F" w:rsidRPr="00384818" w:rsidRDefault="0070209F" w:rsidP="00777D20">
            <w:pPr>
              <w:pStyle w:val="TableText0"/>
              <w:jc w:val="center"/>
            </w:pPr>
            <w:r w:rsidRPr="00384818">
              <w:t>N=95</w:t>
            </w:r>
          </w:p>
          <w:p w14:paraId="6A925214" w14:textId="77777777" w:rsidR="0070209F" w:rsidRPr="00384818" w:rsidRDefault="0070209F" w:rsidP="00777D20">
            <w:pPr>
              <w:pStyle w:val="TableText0"/>
              <w:jc w:val="center"/>
            </w:pPr>
            <w:r w:rsidRPr="00384818">
              <w:t>-1.6 (0.28)</w:t>
            </w:r>
          </w:p>
        </w:tc>
        <w:tc>
          <w:tcPr>
            <w:tcW w:w="747" w:type="pct"/>
            <w:shd w:val="clear" w:color="auto" w:fill="auto"/>
            <w:vAlign w:val="center"/>
          </w:tcPr>
          <w:p w14:paraId="0A63C593" w14:textId="77777777" w:rsidR="0070209F" w:rsidRPr="00384818" w:rsidRDefault="0070209F" w:rsidP="00777D20">
            <w:pPr>
              <w:pStyle w:val="TableText0"/>
              <w:jc w:val="center"/>
            </w:pPr>
            <w:r w:rsidRPr="00384818">
              <w:t>N=48</w:t>
            </w:r>
          </w:p>
          <w:p w14:paraId="309F58FE" w14:textId="77777777" w:rsidR="0070209F" w:rsidRPr="00384818" w:rsidRDefault="0070209F" w:rsidP="00777D20">
            <w:pPr>
              <w:pStyle w:val="TableText0"/>
              <w:jc w:val="center"/>
            </w:pPr>
            <w:r w:rsidRPr="00384818">
              <w:t>-0.2 (0.32)</w:t>
            </w:r>
          </w:p>
        </w:tc>
        <w:tc>
          <w:tcPr>
            <w:tcW w:w="790" w:type="pct"/>
            <w:shd w:val="clear" w:color="auto" w:fill="auto"/>
            <w:vAlign w:val="center"/>
          </w:tcPr>
          <w:p w14:paraId="6C25D1C7" w14:textId="77777777" w:rsidR="0070209F" w:rsidRPr="00384818" w:rsidRDefault="0070209F" w:rsidP="00777D20">
            <w:pPr>
              <w:pStyle w:val="TableText0"/>
              <w:jc w:val="center"/>
            </w:pPr>
            <w:r w:rsidRPr="00384818">
              <w:t>-</w:t>
            </w:r>
          </w:p>
        </w:tc>
        <w:tc>
          <w:tcPr>
            <w:tcW w:w="1210" w:type="pct"/>
            <w:vMerge w:val="restart"/>
            <w:shd w:val="clear" w:color="auto" w:fill="auto"/>
            <w:vAlign w:val="center"/>
          </w:tcPr>
          <w:p w14:paraId="01EDA067" w14:textId="77777777" w:rsidR="0070209F" w:rsidRPr="00384818" w:rsidRDefault="0070209F" w:rsidP="00777D20">
            <w:pPr>
              <w:pStyle w:val="TableText0"/>
              <w:jc w:val="center"/>
            </w:pPr>
            <w:r w:rsidRPr="00384818">
              <w:t>-1.2</w:t>
            </w:r>
          </w:p>
          <w:p w14:paraId="142F527B" w14:textId="77777777" w:rsidR="0070209F" w:rsidRPr="00384818" w:rsidRDefault="0070209F" w:rsidP="00777D20">
            <w:pPr>
              <w:pStyle w:val="TableText0"/>
              <w:jc w:val="center"/>
              <w:rPr>
                <w:highlight w:val="yellow"/>
              </w:rPr>
            </w:pPr>
            <w:r w:rsidRPr="00384818">
              <w:t>(-2.0, -0.3)</w:t>
            </w:r>
          </w:p>
        </w:tc>
      </w:tr>
      <w:tr w:rsidR="0070209F" w:rsidRPr="00384818" w14:paraId="47E378C5" w14:textId="77777777" w:rsidTr="009B22E5">
        <w:trPr>
          <w:jc w:val="center"/>
        </w:trPr>
        <w:tc>
          <w:tcPr>
            <w:tcW w:w="1539" w:type="pct"/>
            <w:shd w:val="clear" w:color="auto" w:fill="auto"/>
            <w:vAlign w:val="center"/>
          </w:tcPr>
          <w:p w14:paraId="0E6443F0" w14:textId="77777777" w:rsidR="0070209F" w:rsidRPr="00384818" w:rsidRDefault="0070209F" w:rsidP="00777D20">
            <w:pPr>
              <w:pStyle w:val="TableText0"/>
            </w:pPr>
            <w:r w:rsidRPr="00384818">
              <w:t>ELATIVE, LSM (SE)</w:t>
            </w:r>
          </w:p>
        </w:tc>
        <w:tc>
          <w:tcPr>
            <w:tcW w:w="714" w:type="pct"/>
            <w:shd w:val="clear" w:color="auto" w:fill="auto"/>
            <w:vAlign w:val="center"/>
          </w:tcPr>
          <w:p w14:paraId="378F148C" w14:textId="77777777" w:rsidR="0070209F" w:rsidRPr="00384818" w:rsidRDefault="0070209F" w:rsidP="00777D20">
            <w:pPr>
              <w:pStyle w:val="TableText0"/>
              <w:jc w:val="center"/>
            </w:pPr>
            <w:r w:rsidRPr="00384818">
              <w:t>N=95</w:t>
            </w:r>
          </w:p>
          <w:p w14:paraId="071407D8" w14:textId="77777777" w:rsidR="0070209F" w:rsidRPr="00384818" w:rsidRDefault="0070209F" w:rsidP="00777D20">
            <w:pPr>
              <w:pStyle w:val="TableText0"/>
              <w:jc w:val="center"/>
            </w:pPr>
            <w:r w:rsidRPr="00384818">
              <w:t>-1.4 (0.23)</w:t>
            </w:r>
          </w:p>
        </w:tc>
        <w:tc>
          <w:tcPr>
            <w:tcW w:w="747" w:type="pct"/>
            <w:shd w:val="clear" w:color="auto" w:fill="auto"/>
            <w:vAlign w:val="center"/>
          </w:tcPr>
          <w:p w14:paraId="267D99CD" w14:textId="77777777" w:rsidR="0070209F" w:rsidRPr="00384818" w:rsidRDefault="0070209F" w:rsidP="00777D20">
            <w:pPr>
              <w:pStyle w:val="TableText0"/>
              <w:jc w:val="center"/>
            </w:pPr>
            <w:r w:rsidRPr="00384818">
              <w:t>N=46</w:t>
            </w:r>
          </w:p>
          <w:p w14:paraId="3B820705" w14:textId="77777777" w:rsidR="0070209F" w:rsidRPr="00384818" w:rsidRDefault="0070209F" w:rsidP="00777D20">
            <w:pPr>
              <w:pStyle w:val="TableText0"/>
              <w:jc w:val="center"/>
            </w:pPr>
            <w:r w:rsidRPr="00384818">
              <w:t>-0.2 (0.36)</w:t>
            </w:r>
          </w:p>
        </w:tc>
        <w:tc>
          <w:tcPr>
            <w:tcW w:w="790" w:type="pct"/>
            <w:shd w:val="clear" w:color="auto" w:fill="auto"/>
            <w:vAlign w:val="center"/>
          </w:tcPr>
          <w:p w14:paraId="0654117A" w14:textId="77777777" w:rsidR="0070209F" w:rsidRPr="00384818" w:rsidRDefault="0070209F" w:rsidP="00777D20">
            <w:pPr>
              <w:pStyle w:val="TableText0"/>
              <w:jc w:val="center"/>
            </w:pPr>
            <w:r w:rsidRPr="00384818">
              <w:t>-</w:t>
            </w:r>
          </w:p>
        </w:tc>
        <w:tc>
          <w:tcPr>
            <w:tcW w:w="1210" w:type="pct"/>
            <w:vMerge/>
            <w:shd w:val="clear" w:color="auto" w:fill="auto"/>
            <w:vAlign w:val="center"/>
          </w:tcPr>
          <w:p w14:paraId="622F33CF" w14:textId="77777777" w:rsidR="0070209F" w:rsidRPr="00384818" w:rsidRDefault="0070209F" w:rsidP="00777D20">
            <w:pPr>
              <w:pStyle w:val="TableText0"/>
              <w:jc w:val="center"/>
              <w:rPr>
                <w:highlight w:val="yellow"/>
              </w:rPr>
            </w:pPr>
          </w:p>
        </w:tc>
      </w:tr>
      <w:tr w:rsidR="0070209F" w:rsidRPr="00384818" w14:paraId="330856D7" w14:textId="77777777" w:rsidTr="009B22E5">
        <w:trPr>
          <w:jc w:val="center"/>
        </w:trPr>
        <w:tc>
          <w:tcPr>
            <w:tcW w:w="1539" w:type="pct"/>
            <w:shd w:val="clear" w:color="auto" w:fill="auto"/>
            <w:vAlign w:val="center"/>
          </w:tcPr>
          <w:p w14:paraId="7C9CFEF8" w14:textId="77777777" w:rsidR="0070209F" w:rsidRPr="00384818" w:rsidRDefault="0070209F" w:rsidP="00777D20">
            <w:pPr>
              <w:pStyle w:val="TableText0"/>
            </w:pPr>
            <w:r w:rsidRPr="00384818">
              <w:t>POISE (OCA 5-10mg), mean (SE)</w:t>
            </w:r>
            <w:r w:rsidRPr="00384818">
              <w:rPr>
                <w:vertAlign w:val="superscript"/>
              </w:rPr>
              <w:t>a</w:t>
            </w:r>
          </w:p>
        </w:tc>
        <w:tc>
          <w:tcPr>
            <w:tcW w:w="714" w:type="pct"/>
            <w:shd w:val="clear" w:color="auto" w:fill="auto"/>
            <w:vAlign w:val="center"/>
          </w:tcPr>
          <w:p w14:paraId="2DEE7565" w14:textId="77777777" w:rsidR="0070209F" w:rsidRPr="00384818" w:rsidRDefault="0070209F" w:rsidP="00777D20">
            <w:pPr>
              <w:pStyle w:val="TableText0"/>
              <w:jc w:val="center"/>
            </w:pPr>
            <w:r w:rsidRPr="00384818">
              <w:t>-</w:t>
            </w:r>
          </w:p>
        </w:tc>
        <w:tc>
          <w:tcPr>
            <w:tcW w:w="747" w:type="pct"/>
            <w:shd w:val="clear" w:color="auto" w:fill="auto"/>
            <w:vAlign w:val="center"/>
          </w:tcPr>
          <w:p w14:paraId="301A5C90" w14:textId="77777777" w:rsidR="0070209F" w:rsidRPr="00384818" w:rsidRDefault="0070209F" w:rsidP="00777D20">
            <w:pPr>
              <w:pStyle w:val="TableText0"/>
              <w:jc w:val="center"/>
            </w:pPr>
            <w:r w:rsidRPr="00384818">
              <w:t>N=73</w:t>
            </w:r>
          </w:p>
          <w:p w14:paraId="7E5DD4FA" w14:textId="77777777" w:rsidR="0070209F" w:rsidRPr="00384818" w:rsidRDefault="0070209F" w:rsidP="00777D20">
            <w:pPr>
              <w:pStyle w:val="TableText0"/>
              <w:jc w:val="center"/>
            </w:pPr>
            <w:r w:rsidRPr="00384818">
              <w:t>0.8 (0.47)</w:t>
            </w:r>
          </w:p>
        </w:tc>
        <w:tc>
          <w:tcPr>
            <w:tcW w:w="790" w:type="pct"/>
            <w:shd w:val="clear" w:color="auto" w:fill="auto"/>
            <w:vAlign w:val="center"/>
          </w:tcPr>
          <w:p w14:paraId="70C084C3" w14:textId="77777777" w:rsidR="0070209F" w:rsidRPr="00384818" w:rsidRDefault="0070209F" w:rsidP="00777D20">
            <w:pPr>
              <w:pStyle w:val="TableText0"/>
              <w:jc w:val="center"/>
            </w:pPr>
            <w:r w:rsidRPr="00384818">
              <w:t>N=70</w:t>
            </w:r>
          </w:p>
          <w:p w14:paraId="24B2161E" w14:textId="77777777" w:rsidR="0070209F" w:rsidRPr="00384818" w:rsidRDefault="0070209F" w:rsidP="00777D20">
            <w:pPr>
              <w:pStyle w:val="TableText0"/>
              <w:jc w:val="center"/>
            </w:pPr>
            <w:r w:rsidRPr="00384818">
              <w:t>1.3 (0.44)</w:t>
            </w:r>
          </w:p>
        </w:tc>
        <w:tc>
          <w:tcPr>
            <w:tcW w:w="1210" w:type="pct"/>
            <w:shd w:val="clear" w:color="auto" w:fill="auto"/>
            <w:vAlign w:val="center"/>
          </w:tcPr>
          <w:p w14:paraId="5F073851" w14:textId="77777777" w:rsidR="0070209F" w:rsidRPr="00384818" w:rsidRDefault="0070209F" w:rsidP="00777D20">
            <w:pPr>
              <w:pStyle w:val="TableText0"/>
              <w:jc w:val="center"/>
              <w:rPr>
                <w:highlight w:val="yellow"/>
              </w:rPr>
            </w:pPr>
            <w:r w:rsidRPr="00384818">
              <w:t>NR</w:t>
            </w:r>
          </w:p>
        </w:tc>
      </w:tr>
      <w:tr w:rsidR="0070209F" w:rsidRPr="00384818" w14:paraId="6E7C9DF2" w14:textId="77777777" w:rsidTr="009B22E5">
        <w:trPr>
          <w:jc w:val="center"/>
        </w:trPr>
        <w:tc>
          <w:tcPr>
            <w:tcW w:w="1539" w:type="pct"/>
            <w:shd w:val="clear" w:color="auto" w:fill="auto"/>
            <w:vAlign w:val="center"/>
          </w:tcPr>
          <w:p w14:paraId="61F840A8" w14:textId="77777777" w:rsidR="0070209F" w:rsidRPr="00807FD7" w:rsidRDefault="0070209F" w:rsidP="00777D20">
            <w:pPr>
              <w:pStyle w:val="TableText0"/>
              <w:rPr>
                <w:lang w:val="it-IT"/>
              </w:rPr>
            </w:pPr>
            <w:r w:rsidRPr="00807FD7">
              <w:rPr>
                <w:lang w:val="it-IT"/>
              </w:rPr>
              <w:t>POISE (OCA 5-10mg), LSM (SE)</w:t>
            </w:r>
            <w:r w:rsidRPr="00807FD7">
              <w:rPr>
                <w:vertAlign w:val="superscript"/>
                <w:lang w:val="it-IT"/>
              </w:rPr>
              <w:t>a</w:t>
            </w:r>
          </w:p>
        </w:tc>
        <w:tc>
          <w:tcPr>
            <w:tcW w:w="714" w:type="pct"/>
            <w:shd w:val="clear" w:color="auto" w:fill="auto"/>
            <w:vAlign w:val="center"/>
          </w:tcPr>
          <w:p w14:paraId="0BD562F9" w14:textId="77777777" w:rsidR="0070209F" w:rsidRPr="00807FD7" w:rsidRDefault="0070209F" w:rsidP="00777D20">
            <w:pPr>
              <w:pStyle w:val="TableText0"/>
              <w:jc w:val="center"/>
              <w:rPr>
                <w:lang w:val="it-IT"/>
              </w:rPr>
            </w:pPr>
          </w:p>
        </w:tc>
        <w:tc>
          <w:tcPr>
            <w:tcW w:w="747" w:type="pct"/>
            <w:shd w:val="clear" w:color="auto" w:fill="auto"/>
            <w:vAlign w:val="center"/>
          </w:tcPr>
          <w:p w14:paraId="14429A30" w14:textId="77777777" w:rsidR="0070209F" w:rsidRPr="00384818" w:rsidRDefault="0070209F" w:rsidP="00777D20">
            <w:pPr>
              <w:pStyle w:val="TableText0"/>
              <w:jc w:val="center"/>
            </w:pPr>
            <w:r w:rsidRPr="00384818">
              <w:t>N=73</w:t>
            </w:r>
          </w:p>
          <w:p w14:paraId="5A21F1F6" w14:textId="77777777" w:rsidR="0070209F" w:rsidRPr="00384818" w:rsidRDefault="0070209F" w:rsidP="00777D20">
            <w:pPr>
              <w:pStyle w:val="TableText0"/>
              <w:jc w:val="center"/>
            </w:pPr>
            <w:r w:rsidRPr="00384818">
              <w:t>0.8 (0.47)</w:t>
            </w:r>
          </w:p>
        </w:tc>
        <w:tc>
          <w:tcPr>
            <w:tcW w:w="790" w:type="pct"/>
            <w:shd w:val="clear" w:color="auto" w:fill="auto"/>
            <w:vAlign w:val="center"/>
          </w:tcPr>
          <w:p w14:paraId="634C51FE" w14:textId="77777777" w:rsidR="0070209F" w:rsidRPr="00384818" w:rsidRDefault="0070209F" w:rsidP="00777D20">
            <w:pPr>
              <w:pStyle w:val="TableText0"/>
              <w:jc w:val="center"/>
            </w:pPr>
            <w:r w:rsidRPr="00384818">
              <w:t>N=70</w:t>
            </w:r>
          </w:p>
          <w:p w14:paraId="01F25F22" w14:textId="77777777" w:rsidR="0070209F" w:rsidRPr="00384818" w:rsidRDefault="0070209F" w:rsidP="00777D20">
            <w:pPr>
              <w:pStyle w:val="TableText0"/>
              <w:jc w:val="center"/>
            </w:pPr>
            <w:r w:rsidRPr="00384818">
              <w:t>1.3 (0.44)</w:t>
            </w:r>
          </w:p>
        </w:tc>
        <w:tc>
          <w:tcPr>
            <w:tcW w:w="1210" w:type="pct"/>
            <w:shd w:val="clear" w:color="auto" w:fill="auto"/>
            <w:vAlign w:val="center"/>
          </w:tcPr>
          <w:p w14:paraId="4A38575E" w14:textId="77777777" w:rsidR="0070209F" w:rsidRPr="00384818" w:rsidRDefault="0070209F" w:rsidP="00777D20">
            <w:pPr>
              <w:pStyle w:val="TableText0"/>
              <w:jc w:val="center"/>
              <w:rPr>
                <w:highlight w:val="yellow"/>
              </w:rPr>
            </w:pPr>
            <w:r w:rsidRPr="00384818">
              <w:t>NR</w:t>
            </w:r>
          </w:p>
        </w:tc>
      </w:tr>
      <w:tr w:rsidR="0070209F" w:rsidRPr="00384818" w14:paraId="025DA03E" w14:textId="77777777" w:rsidTr="009B22E5">
        <w:trPr>
          <w:jc w:val="center"/>
        </w:trPr>
        <w:tc>
          <w:tcPr>
            <w:tcW w:w="1539" w:type="pct"/>
            <w:shd w:val="clear" w:color="auto" w:fill="auto"/>
            <w:vAlign w:val="center"/>
          </w:tcPr>
          <w:p w14:paraId="3DC433DE" w14:textId="77777777" w:rsidR="0070209F" w:rsidRPr="00384818" w:rsidRDefault="0070209F" w:rsidP="00777D20">
            <w:pPr>
              <w:pStyle w:val="TableText0"/>
            </w:pPr>
            <w:r w:rsidRPr="00384818">
              <w:t>POISE (OCA 10mg), mean (SE)</w:t>
            </w:r>
            <w:r w:rsidRPr="00384818">
              <w:rPr>
                <w:vertAlign w:val="superscript"/>
              </w:rPr>
              <w:t>a</w:t>
            </w:r>
          </w:p>
        </w:tc>
        <w:tc>
          <w:tcPr>
            <w:tcW w:w="714" w:type="pct"/>
            <w:shd w:val="clear" w:color="auto" w:fill="auto"/>
            <w:vAlign w:val="center"/>
          </w:tcPr>
          <w:p w14:paraId="2B06954E" w14:textId="77777777" w:rsidR="0070209F" w:rsidRPr="00384818" w:rsidRDefault="0070209F" w:rsidP="00777D20">
            <w:pPr>
              <w:pStyle w:val="TableText0"/>
              <w:jc w:val="center"/>
            </w:pPr>
            <w:r w:rsidRPr="00384818">
              <w:t>-</w:t>
            </w:r>
          </w:p>
        </w:tc>
        <w:tc>
          <w:tcPr>
            <w:tcW w:w="747" w:type="pct"/>
            <w:shd w:val="clear" w:color="auto" w:fill="auto"/>
            <w:vAlign w:val="center"/>
          </w:tcPr>
          <w:p w14:paraId="369A9A04" w14:textId="77777777" w:rsidR="0070209F" w:rsidRPr="00384818" w:rsidRDefault="0070209F" w:rsidP="00777D20">
            <w:pPr>
              <w:pStyle w:val="TableText0"/>
              <w:jc w:val="center"/>
            </w:pPr>
            <w:r w:rsidRPr="00384818">
              <w:t>N=73</w:t>
            </w:r>
          </w:p>
          <w:p w14:paraId="64136CA2" w14:textId="77777777" w:rsidR="0070209F" w:rsidRPr="00384818" w:rsidRDefault="0070209F" w:rsidP="00777D20">
            <w:pPr>
              <w:pStyle w:val="TableText0"/>
              <w:jc w:val="center"/>
            </w:pPr>
            <w:r w:rsidRPr="00384818">
              <w:t>0.8 (0.47)</w:t>
            </w:r>
          </w:p>
        </w:tc>
        <w:tc>
          <w:tcPr>
            <w:tcW w:w="790" w:type="pct"/>
            <w:shd w:val="clear" w:color="auto" w:fill="auto"/>
            <w:vAlign w:val="center"/>
          </w:tcPr>
          <w:p w14:paraId="583B733E" w14:textId="77777777" w:rsidR="0070209F" w:rsidRPr="00384818" w:rsidRDefault="0070209F" w:rsidP="00777D20">
            <w:pPr>
              <w:pStyle w:val="TableText0"/>
              <w:jc w:val="center"/>
            </w:pPr>
            <w:r w:rsidRPr="00384818">
              <w:t>N=73</w:t>
            </w:r>
          </w:p>
          <w:p w14:paraId="7BC0FD0B" w14:textId="77777777" w:rsidR="0070209F" w:rsidRPr="00384818" w:rsidRDefault="0070209F" w:rsidP="00777D20">
            <w:pPr>
              <w:pStyle w:val="TableText0"/>
              <w:jc w:val="center"/>
            </w:pPr>
            <w:r w:rsidRPr="00384818">
              <w:t>1.5 (0.47)</w:t>
            </w:r>
          </w:p>
        </w:tc>
        <w:tc>
          <w:tcPr>
            <w:tcW w:w="1210" w:type="pct"/>
            <w:shd w:val="clear" w:color="auto" w:fill="auto"/>
            <w:vAlign w:val="center"/>
          </w:tcPr>
          <w:p w14:paraId="35B881F0" w14:textId="77777777" w:rsidR="0070209F" w:rsidRPr="00384818" w:rsidRDefault="0070209F" w:rsidP="00777D20">
            <w:pPr>
              <w:pStyle w:val="TableText0"/>
              <w:jc w:val="center"/>
              <w:rPr>
                <w:highlight w:val="yellow"/>
              </w:rPr>
            </w:pPr>
            <w:r w:rsidRPr="00384818">
              <w:t>NR</w:t>
            </w:r>
          </w:p>
        </w:tc>
      </w:tr>
      <w:tr w:rsidR="0070209F" w:rsidRPr="00384818" w14:paraId="13F63AC1" w14:textId="77777777" w:rsidTr="009B22E5">
        <w:trPr>
          <w:jc w:val="center"/>
        </w:trPr>
        <w:tc>
          <w:tcPr>
            <w:tcW w:w="1539" w:type="pct"/>
            <w:shd w:val="clear" w:color="auto" w:fill="auto"/>
            <w:vAlign w:val="center"/>
          </w:tcPr>
          <w:p w14:paraId="5CD92C02" w14:textId="77777777" w:rsidR="0070209F" w:rsidRPr="00807FD7" w:rsidRDefault="0070209F" w:rsidP="00777D20">
            <w:pPr>
              <w:pStyle w:val="TableText0"/>
              <w:rPr>
                <w:lang w:val="it-IT"/>
              </w:rPr>
            </w:pPr>
            <w:r w:rsidRPr="00807FD7">
              <w:rPr>
                <w:lang w:val="it-IT"/>
              </w:rPr>
              <w:t>POISE (OCA 10mg), LSM (SE)</w:t>
            </w:r>
            <w:r w:rsidRPr="00807FD7">
              <w:rPr>
                <w:vertAlign w:val="superscript"/>
                <w:lang w:val="it-IT"/>
              </w:rPr>
              <w:t>a</w:t>
            </w:r>
          </w:p>
        </w:tc>
        <w:tc>
          <w:tcPr>
            <w:tcW w:w="714" w:type="pct"/>
            <w:shd w:val="clear" w:color="auto" w:fill="auto"/>
            <w:vAlign w:val="center"/>
          </w:tcPr>
          <w:p w14:paraId="127A3F7E" w14:textId="77777777" w:rsidR="0070209F" w:rsidRPr="00807FD7" w:rsidRDefault="0070209F" w:rsidP="00777D20">
            <w:pPr>
              <w:pStyle w:val="TableText0"/>
              <w:jc w:val="center"/>
              <w:rPr>
                <w:lang w:val="it-IT"/>
              </w:rPr>
            </w:pPr>
          </w:p>
        </w:tc>
        <w:tc>
          <w:tcPr>
            <w:tcW w:w="747" w:type="pct"/>
            <w:shd w:val="clear" w:color="auto" w:fill="auto"/>
            <w:vAlign w:val="center"/>
          </w:tcPr>
          <w:p w14:paraId="76E28B6E" w14:textId="77777777" w:rsidR="0070209F" w:rsidRPr="00384818" w:rsidRDefault="0070209F" w:rsidP="00777D20">
            <w:pPr>
              <w:pStyle w:val="TableText0"/>
              <w:jc w:val="center"/>
            </w:pPr>
            <w:r w:rsidRPr="00384818">
              <w:t>N=73</w:t>
            </w:r>
          </w:p>
          <w:p w14:paraId="6C0BDFD0" w14:textId="77777777" w:rsidR="0070209F" w:rsidRPr="00384818" w:rsidRDefault="0070209F" w:rsidP="00777D20">
            <w:pPr>
              <w:pStyle w:val="TableText0"/>
              <w:jc w:val="center"/>
            </w:pPr>
            <w:r w:rsidRPr="00384818">
              <w:t>0.8 (0.47)</w:t>
            </w:r>
          </w:p>
        </w:tc>
        <w:tc>
          <w:tcPr>
            <w:tcW w:w="790" w:type="pct"/>
            <w:shd w:val="clear" w:color="auto" w:fill="auto"/>
            <w:vAlign w:val="center"/>
          </w:tcPr>
          <w:p w14:paraId="1E961B49" w14:textId="77777777" w:rsidR="0070209F" w:rsidRPr="00384818" w:rsidRDefault="0070209F" w:rsidP="00777D20">
            <w:pPr>
              <w:pStyle w:val="TableText0"/>
              <w:jc w:val="center"/>
            </w:pPr>
            <w:r w:rsidRPr="00384818">
              <w:t>N=73</w:t>
            </w:r>
          </w:p>
          <w:p w14:paraId="7FA18892" w14:textId="77777777" w:rsidR="0070209F" w:rsidRPr="00384818" w:rsidRDefault="0070209F" w:rsidP="00777D20">
            <w:pPr>
              <w:pStyle w:val="TableText0"/>
              <w:jc w:val="center"/>
            </w:pPr>
            <w:r w:rsidRPr="00384818">
              <w:t>1.5 (0.47)</w:t>
            </w:r>
          </w:p>
        </w:tc>
        <w:tc>
          <w:tcPr>
            <w:tcW w:w="1210" w:type="pct"/>
            <w:shd w:val="clear" w:color="auto" w:fill="auto"/>
            <w:vAlign w:val="center"/>
          </w:tcPr>
          <w:p w14:paraId="73014D0F" w14:textId="77777777" w:rsidR="0070209F" w:rsidRPr="00384818" w:rsidRDefault="0070209F" w:rsidP="00777D20">
            <w:pPr>
              <w:pStyle w:val="TableText0"/>
              <w:jc w:val="center"/>
              <w:rPr>
                <w:highlight w:val="yellow"/>
              </w:rPr>
            </w:pPr>
            <w:r w:rsidRPr="00384818">
              <w:t>NR</w:t>
            </w:r>
          </w:p>
        </w:tc>
      </w:tr>
      <w:tr w:rsidR="0070209F" w:rsidRPr="00384818" w14:paraId="6682FE6E" w14:textId="77777777" w:rsidTr="009B22E5">
        <w:trPr>
          <w:jc w:val="center"/>
        </w:trPr>
        <w:tc>
          <w:tcPr>
            <w:tcW w:w="3790" w:type="pct"/>
            <w:gridSpan w:val="4"/>
            <w:shd w:val="clear" w:color="auto" w:fill="auto"/>
            <w:vAlign w:val="center"/>
          </w:tcPr>
          <w:p w14:paraId="6838ACCB" w14:textId="1A1AC4E6" w:rsidR="0070209F" w:rsidRPr="00384818" w:rsidRDefault="0070209F" w:rsidP="005E29AF">
            <w:pPr>
              <w:pStyle w:val="TableText0"/>
            </w:pPr>
            <w:r w:rsidRPr="00384818">
              <w:t xml:space="preserve">Indirect comparison, </w:t>
            </w:r>
            <w:r w:rsidR="007C7E82" w:rsidRPr="00384818">
              <w:t xml:space="preserve">ELA </w:t>
            </w:r>
            <w:r w:rsidRPr="00384818">
              <w:t>vs OCA 5-10mg (95% CI), mean</w:t>
            </w:r>
          </w:p>
        </w:tc>
        <w:tc>
          <w:tcPr>
            <w:tcW w:w="1210" w:type="pct"/>
            <w:shd w:val="clear" w:color="auto" w:fill="auto"/>
            <w:vAlign w:val="center"/>
          </w:tcPr>
          <w:p w14:paraId="6149C7CD" w14:textId="2583124F" w:rsidR="0070209F" w:rsidRPr="00384818" w:rsidRDefault="0070209F" w:rsidP="00777D20">
            <w:pPr>
              <w:pStyle w:val="TableText0"/>
              <w:jc w:val="center"/>
              <w:rPr>
                <w:b/>
              </w:rPr>
            </w:pPr>
            <w:r w:rsidRPr="00384818">
              <w:rPr>
                <w:b/>
              </w:rPr>
              <w:t>MD</w:t>
            </w:r>
            <w:r w:rsidR="009E5974" w:rsidRPr="00384818">
              <w:rPr>
                <w:b/>
              </w:rPr>
              <w:t xml:space="preserve"> </w:t>
            </w:r>
            <w:r w:rsidRPr="00384818">
              <w:rPr>
                <w:b/>
              </w:rPr>
              <w:t>= -1.87 (-3.38, -0.36)</w:t>
            </w:r>
          </w:p>
        </w:tc>
      </w:tr>
      <w:tr w:rsidR="0070209F" w:rsidRPr="00384818" w14:paraId="6E5487C8" w14:textId="77777777" w:rsidTr="009B22E5">
        <w:trPr>
          <w:jc w:val="center"/>
        </w:trPr>
        <w:tc>
          <w:tcPr>
            <w:tcW w:w="3790" w:type="pct"/>
            <w:gridSpan w:val="4"/>
            <w:shd w:val="clear" w:color="auto" w:fill="auto"/>
            <w:vAlign w:val="center"/>
          </w:tcPr>
          <w:p w14:paraId="4A679E92" w14:textId="4079C75C" w:rsidR="0070209F" w:rsidRPr="00384818" w:rsidRDefault="0070209F" w:rsidP="005E29AF">
            <w:pPr>
              <w:pStyle w:val="TableText0"/>
            </w:pPr>
            <w:r w:rsidRPr="00384818">
              <w:t xml:space="preserve">Indirect comparison, </w:t>
            </w:r>
            <w:r w:rsidR="007C7E82" w:rsidRPr="00384818">
              <w:t xml:space="preserve">ELA </w:t>
            </w:r>
            <w:r w:rsidRPr="00384818">
              <w:t>vs OCA 10mg (95% CI), mean</w:t>
            </w:r>
          </w:p>
        </w:tc>
        <w:tc>
          <w:tcPr>
            <w:tcW w:w="1210" w:type="pct"/>
            <w:shd w:val="clear" w:color="auto" w:fill="auto"/>
            <w:vAlign w:val="center"/>
          </w:tcPr>
          <w:p w14:paraId="043B345D" w14:textId="64BBC527" w:rsidR="0070209F" w:rsidRPr="00384818" w:rsidRDefault="0070209F" w:rsidP="00777D20">
            <w:pPr>
              <w:pStyle w:val="TableText0"/>
              <w:jc w:val="center"/>
              <w:rPr>
                <w:b/>
              </w:rPr>
            </w:pPr>
            <w:r w:rsidRPr="00384818">
              <w:rPr>
                <w:b/>
              </w:rPr>
              <w:t>MD</w:t>
            </w:r>
            <w:r w:rsidR="009E5974" w:rsidRPr="00384818">
              <w:rPr>
                <w:b/>
              </w:rPr>
              <w:t xml:space="preserve"> </w:t>
            </w:r>
            <w:r w:rsidRPr="00384818">
              <w:rPr>
                <w:b/>
              </w:rPr>
              <w:t>= -2.03 (-3.57, -0.49)</w:t>
            </w:r>
          </w:p>
        </w:tc>
      </w:tr>
      <w:tr w:rsidR="0070209F" w:rsidRPr="00384818" w14:paraId="3ED24933" w14:textId="77777777" w:rsidTr="009B22E5">
        <w:trPr>
          <w:jc w:val="center"/>
        </w:trPr>
        <w:tc>
          <w:tcPr>
            <w:tcW w:w="3790" w:type="pct"/>
            <w:gridSpan w:val="4"/>
            <w:shd w:val="clear" w:color="auto" w:fill="auto"/>
            <w:vAlign w:val="center"/>
          </w:tcPr>
          <w:p w14:paraId="3BEA061B" w14:textId="7A0AB82B" w:rsidR="0070209F" w:rsidRPr="00807FD7" w:rsidRDefault="0070209F" w:rsidP="005E29AF">
            <w:pPr>
              <w:pStyle w:val="TableText0"/>
              <w:rPr>
                <w:lang w:val="it-IT"/>
              </w:rPr>
            </w:pPr>
            <w:r w:rsidRPr="00807FD7">
              <w:rPr>
                <w:lang w:val="it-IT"/>
              </w:rPr>
              <w:t xml:space="preserve">Indirect comparison, </w:t>
            </w:r>
            <w:r w:rsidR="007C7E82" w:rsidRPr="00807FD7">
              <w:rPr>
                <w:lang w:val="it-IT"/>
              </w:rPr>
              <w:t xml:space="preserve">ELA </w:t>
            </w:r>
            <w:r w:rsidRPr="00807FD7">
              <w:rPr>
                <w:lang w:val="it-IT"/>
              </w:rPr>
              <w:t>vs OCA 5-10mg (95% CI), LSM</w:t>
            </w:r>
          </w:p>
        </w:tc>
        <w:tc>
          <w:tcPr>
            <w:tcW w:w="1210" w:type="pct"/>
            <w:shd w:val="clear" w:color="auto" w:fill="auto"/>
            <w:vAlign w:val="center"/>
          </w:tcPr>
          <w:p w14:paraId="1BF91CCB" w14:textId="7CBD6B91" w:rsidR="0070209F" w:rsidRPr="00384818" w:rsidRDefault="0070209F" w:rsidP="00777D20">
            <w:pPr>
              <w:pStyle w:val="TableText0"/>
              <w:jc w:val="center"/>
              <w:rPr>
                <w:b/>
              </w:rPr>
            </w:pPr>
            <w:r w:rsidRPr="00384818">
              <w:rPr>
                <w:b/>
              </w:rPr>
              <w:t>MD</w:t>
            </w:r>
            <w:r w:rsidR="009E5974" w:rsidRPr="00384818">
              <w:rPr>
                <w:b/>
              </w:rPr>
              <w:t xml:space="preserve"> </w:t>
            </w:r>
            <w:r w:rsidRPr="00384818">
              <w:rPr>
                <w:b/>
              </w:rPr>
              <w:t xml:space="preserve">= -1.67 (-3.18, -0.16) </w:t>
            </w:r>
            <w:r w:rsidRPr="00384818">
              <w:rPr>
                <w:bCs w:val="0"/>
                <w:vertAlign w:val="superscript"/>
              </w:rPr>
              <w:t>a</w:t>
            </w:r>
          </w:p>
        </w:tc>
      </w:tr>
      <w:tr w:rsidR="0070209F" w:rsidRPr="00384818" w14:paraId="2DFBC63D" w14:textId="77777777" w:rsidTr="009B22E5">
        <w:trPr>
          <w:jc w:val="center"/>
        </w:trPr>
        <w:tc>
          <w:tcPr>
            <w:tcW w:w="3790" w:type="pct"/>
            <w:gridSpan w:val="4"/>
            <w:shd w:val="clear" w:color="auto" w:fill="auto"/>
            <w:vAlign w:val="center"/>
          </w:tcPr>
          <w:p w14:paraId="244EFEDF" w14:textId="3ECDC3F1" w:rsidR="0070209F" w:rsidRPr="00807FD7" w:rsidRDefault="0070209F" w:rsidP="005E29AF">
            <w:pPr>
              <w:pStyle w:val="TableText0"/>
              <w:rPr>
                <w:lang w:val="it-IT"/>
              </w:rPr>
            </w:pPr>
            <w:r w:rsidRPr="00807FD7">
              <w:rPr>
                <w:lang w:val="it-IT"/>
              </w:rPr>
              <w:t xml:space="preserve">Indirect comparison, </w:t>
            </w:r>
            <w:r w:rsidR="007C7E82" w:rsidRPr="00807FD7">
              <w:rPr>
                <w:lang w:val="it-IT"/>
              </w:rPr>
              <w:t xml:space="preserve">ELA </w:t>
            </w:r>
            <w:r w:rsidRPr="00807FD7">
              <w:rPr>
                <w:lang w:val="it-IT"/>
              </w:rPr>
              <w:t>vs OCA 10mg (95% CI), LSM</w:t>
            </w:r>
          </w:p>
        </w:tc>
        <w:tc>
          <w:tcPr>
            <w:tcW w:w="1210" w:type="pct"/>
            <w:shd w:val="clear" w:color="auto" w:fill="auto"/>
            <w:vAlign w:val="center"/>
          </w:tcPr>
          <w:p w14:paraId="05948695" w14:textId="6F2CB1E0" w:rsidR="0070209F" w:rsidRPr="00384818" w:rsidRDefault="0070209F" w:rsidP="00777D20">
            <w:pPr>
              <w:pStyle w:val="TableText0"/>
              <w:jc w:val="center"/>
              <w:rPr>
                <w:b/>
              </w:rPr>
            </w:pPr>
            <w:r w:rsidRPr="00384818">
              <w:rPr>
                <w:b/>
              </w:rPr>
              <w:t>MD</w:t>
            </w:r>
            <w:r w:rsidR="009E5974" w:rsidRPr="00384818">
              <w:rPr>
                <w:b/>
              </w:rPr>
              <w:t xml:space="preserve"> </w:t>
            </w:r>
            <w:r w:rsidRPr="00384818">
              <w:rPr>
                <w:b/>
              </w:rPr>
              <w:t xml:space="preserve">= -1.83 (-3.37, -0.29) </w:t>
            </w:r>
            <w:r w:rsidRPr="00384818">
              <w:rPr>
                <w:bCs w:val="0"/>
                <w:vertAlign w:val="superscript"/>
              </w:rPr>
              <w:t>a</w:t>
            </w:r>
          </w:p>
        </w:tc>
      </w:tr>
    </w:tbl>
    <w:p w14:paraId="2EF0F045" w14:textId="77777777" w:rsidR="0070209F" w:rsidRPr="009B22E5" w:rsidRDefault="0070209F" w:rsidP="0070209F">
      <w:pPr>
        <w:pStyle w:val="FooterTableFigure"/>
      </w:pPr>
      <w:r w:rsidRPr="05042C88">
        <w:t xml:space="preserve">Source: Table 2-26 to 2-27, Figure 2-26 to 2-27 pp116-17 of the submission, Table 5, Table 8, Figure 8 and Figure 11, p20-24 of ‘Ipsen FIECON </w:t>
      </w:r>
      <w:proofErr w:type="spellStart"/>
      <w:r w:rsidRPr="05042C88">
        <w:t>Elafibranor</w:t>
      </w:r>
      <w:proofErr w:type="spellEnd"/>
      <w:r w:rsidRPr="05042C88">
        <w:t xml:space="preserve"> Bucher technical report_v2.0_FINAL_17Apr2024’, and Table 12.2.6.25.1, p724, Table 14.2.6.28.1, p760 of ELATIVE CSR appendices (gft505b-319-1-14-tfg.pdf).</w:t>
      </w:r>
    </w:p>
    <w:p w14:paraId="6C3E664C" w14:textId="77777777" w:rsidR="0070209F" w:rsidRPr="009B22E5" w:rsidRDefault="0070209F" w:rsidP="0070209F">
      <w:pPr>
        <w:pStyle w:val="FooterTableFigure"/>
        <w:rPr>
          <w:lang w:val="en-GB"/>
        </w:rPr>
      </w:pPr>
      <w:r w:rsidRPr="05042C88">
        <w:rPr>
          <w:lang w:val="en-GB"/>
        </w:rPr>
        <w:t xml:space="preserve">CI = confidence interval; ELA = </w:t>
      </w:r>
      <w:proofErr w:type="spellStart"/>
      <w:r w:rsidRPr="05042C88">
        <w:rPr>
          <w:lang w:val="en-GB"/>
        </w:rPr>
        <w:t>elafibranor</w:t>
      </w:r>
      <w:proofErr w:type="spellEnd"/>
      <w:r w:rsidRPr="05042C88">
        <w:rPr>
          <w:lang w:val="en-GB"/>
        </w:rPr>
        <w:t xml:space="preserve">; LSM = least square mean; OCA= </w:t>
      </w:r>
      <w:proofErr w:type="spellStart"/>
      <w:r w:rsidRPr="05042C88">
        <w:rPr>
          <w:lang w:val="en-GB"/>
        </w:rPr>
        <w:t>obeticholic</w:t>
      </w:r>
      <w:proofErr w:type="spellEnd"/>
      <w:r w:rsidRPr="05042C88">
        <w:rPr>
          <w:lang w:val="en-GB"/>
        </w:rPr>
        <w:t xml:space="preserve"> acid; SE = standard error; MD = mean difference; </w:t>
      </w:r>
      <w:r w:rsidRPr="05042C88">
        <w:rPr>
          <w:b/>
          <w:bCs/>
          <w:lang w:val="en-GB"/>
        </w:rPr>
        <w:t xml:space="preserve">Bold </w:t>
      </w:r>
      <w:r w:rsidRPr="05042C88">
        <w:rPr>
          <w:lang w:val="en-GB"/>
        </w:rPr>
        <w:t>indicates statistical significance. Italicised text indicates information added during the evaluation.</w:t>
      </w:r>
    </w:p>
    <w:p w14:paraId="30E76CA5" w14:textId="77777777" w:rsidR="0070209F" w:rsidRDefault="0070209F" w:rsidP="0070209F">
      <w:pPr>
        <w:pStyle w:val="FooterTableFigure"/>
      </w:pPr>
      <w:r w:rsidRPr="05042C88">
        <w:rPr>
          <w:vertAlign w:val="superscript"/>
        </w:rPr>
        <w:t>a</w:t>
      </w:r>
      <w:r w:rsidRPr="05042C88">
        <w:t xml:space="preserve"> Based on Figure S8, Supplementary Appendix of Nevens et al. A placebo-controlled trial of </w:t>
      </w:r>
      <w:proofErr w:type="spellStart"/>
      <w:r w:rsidRPr="05042C88">
        <w:t>obeticholic</w:t>
      </w:r>
      <w:proofErr w:type="spellEnd"/>
      <w:r w:rsidRPr="05042C88">
        <w:t xml:space="preserve"> acid in primary biliary cholangitis. N Engl J Med 2016;375:631-43. </w:t>
      </w:r>
      <w:r w:rsidRPr="05042C88">
        <w:rPr>
          <w:i/>
          <w:iCs/>
        </w:rPr>
        <w:t>Unable to be verified.</w:t>
      </w:r>
    </w:p>
    <w:p w14:paraId="4C40545D" w14:textId="22C4514E" w:rsidR="00E654C5" w:rsidRPr="0098262F" w:rsidRDefault="0070209F" w:rsidP="05042C88">
      <w:pPr>
        <w:pStyle w:val="FooterTableFigure"/>
        <w:rPr>
          <w:sz w:val="20"/>
          <w:szCs w:val="20"/>
        </w:rPr>
      </w:pPr>
      <w:r w:rsidRPr="05042C88">
        <w:rPr>
          <w:vertAlign w:val="superscript"/>
        </w:rPr>
        <w:t>b</w:t>
      </w:r>
      <w:r w:rsidRPr="05042C88">
        <w:t xml:space="preserve"> Presented in Table 8, Figure 8 and Figure 11, p20-24 of ‘Ipsen FIECON </w:t>
      </w:r>
      <w:proofErr w:type="spellStart"/>
      <w:r w:rsidRPr="05042C88">
        <w:t>Elafibranor</w:t>
      </w:r>
      <w:proofErr w:type="spellEnd"/>
      <w:r w:rsidRPr="05042C88">
        <w:t xml:space="preserve"> Bucher technical report_v2.0_FINAL_17Apr2024’</w:t>
      </w:r>
      <w:r w:rsidR="0057523D" w:rsidRPr="05042C88">
        <w:t>.</w:t>
      </w:r>
    </w:p>
    <w:p w14:paraId="0DB184F1" w14:textId="77777777" w:rsidR="00610831" w:rsidRPr="0098262F" w:rsidRDefault="00610831" w:rsidP="00D7615E">
      <w:pPr>
        <w:pStyle w:val="FooterTableFigure"/>
        <w:rPr>
          <w:sz w:val="20"/>
        </w:rPr>
      </w:pPr>
    </w:p>
    <w:p w14:paraId="10D16A43" w14:textId="524F3A58" w:rsidR="0045600F" w:rsidRPr="0098262F" w:rsidRDefault="00985573" w:rsidP="007A25DE">
      <w:pPr>
        <w:pStyle w:val="TableFigureHeading"/>
        <w:rPr>
          <w:rStyle w:val="CommentReference"/>
          <w:b/>
          <w:szCs w:val="24"/>
        </w:rPr>
      </w:pPr>
      <w:bookmarkStart w:id="52" w:name="_Ref184675317"/>
      <w:r>
        <w:lastRenderedPageBreak/>
        <w:t xml:space="preserve">Table </w:t>
      </w:r>
      <w:r w:rsidR="00780A90">
        <w:fldChar w:fldCharType="begin" w:fldLock="1"/>
      </w:r>
      <w:r w:rsidR="00780A90">
        <w:instrText xml:space="preserve"> SEQ Table \* ARABIC </w:instrText>
      </w:r>
      <w:r w:rsidR="00780A90">
        <w:fldChar w:fldCharType="separate"/>
      </w:r>
      <w:r w:rsidR="00780A90">
        <w:rPr>
          <w:noProof/>
        </w:rPr>
        <w:t>11</w:t>
      </w:r>
      <w:r w:rsidR="00780A90">
        <w:rPr>
          <w:noProof/>
        </w:rPr>
        <w:fldChar w:fldCharType="end"/>
      </w:r>
      <w:bookmarkEnd w:id="52"/>
      <w:r>
        <w:t xml:space="preserve">: </w:t>
      </w:r>
      <w:r w:rsidR="0045600F" w:rsidRPr="0098262F">
        <w:rPr>
          <w:rStyle w:val="CommentReference"/>
          <w:b/>
          <w:szCs w:val="24"/>
        </w:rPr>
        <w:t xml:space="preserve">Summary of results of the indirect comparison for </w:t>
      </w:r>
      <w:r w:rsidR="0045600F" w:rsidRPr="00FE3B6E">
        <w:t xml:space="preserve">occurrence of pruritus TEAE </w:t>
      </w:r>
      <w:r w:rsidR="00C36842">
        <w:t>and discontinuation due to pruritus</w:t>
      </w:r>
      <w:r w:rsidR="007A25DE">
        <w:t xml:space="preserve"> </w:t>
      </w:r>
      <w:r w:rsidR="007A25DE" w:rsidRPr="00FE3B6E">
        <w:t>within</w:t>
      </w:r>
      <w:r w:rsidR="007A25DE">
        <w:t xml:space="preserve"> 52 weeks/</w:t>
      </w:r>
      <w:r w:rsidR="007A25DE" w:rsidRPr="00FE3B6E">
        <w:t>12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004"/>
        <w:gridCol w:w="1921"/>
        <w:gridCol w:w="1913"/>
        <w:gridCol w:w="1948"/>
      </w:tblGrid>
      <w:tr w:rsidR="00A35145" w:rsidRPr="0098262F" w14:paraId="6E19A22C" w14:textId="77777777" w:rsidTr="00D3687B">
        <w:trPr>
          <w:tblHeader/>
        </w:trPr>
        <w:tc>
          <w:tcPr>
            <w:tcW w:w="1237" w:type="pct"/>
            <w:vAlign w:val="center"/>
          </w:tcPr>
          <w:p w14:paraId="110FD94A" w14:textId="77777777" w:rsidR="00A35145" w:rsidRPr="0098262F" w:rsidRDefault="00A35145" w:rsidP="00777D20">
            <w:pPr>
              <w:pStyle w:val="In-tableHeading"/>
              <w:rPr>
                <w:lang w:val="en-AU"/>
              </w:rPr>
            </w:pPr>
            <w:r w:rsidRPr="0098262F">
              <w:rPr>
                <w:lang w:val="en-AU"/>
              </w:rPr>
              <w:t>Trial type or estimate</w:t>
            </w:r>
          </w:p>
        </w:tc>
        <w:tc>
          <w:tcPr>
            <w:tcW w:w="557" w:type="pct"/>
            <w:shd w:val="clear" w:color="auto" w:fill="auto"/>
            <w:vAlign w:val="center"/>
          </w:tcPr>
          <w:p w14:paraId="280FA282" w14:textId="77777777" w:rsidR="00A35145" w:rsidRPr="0098262F" w:rsidRDefault="00A35145" w:rsidP="00D3687B">
            <w:pPr>
              <w:pStyle w:val="In-tableHeading"/>
              <w:jc w:val="center"/>
              <w:rPr>
                <w:lang w:val="en-AU"/>
              </w:rPr>
            </w:pPr>
            <w:r w:rsidRPr="0098262F">
              <w:rPr>
                <w:lang w:val="en-AU"/>
              </w:rPr>
              <w:t>Trial ID</w:t>
            </w:r>
          </w:p>
        </w:tc>
        <w:tc>
          <w:tcPr>
            <w:tcW w:w="1065" w:type="pct"/>
            <w:shd w:val="clear" w:color="auto" w:fill="auto"/>
            <w:vAlign w:val="center"/>
          </w:tcPr>
          <w:p w14:paraId="18EF2388" w14:textId="77777777" w:rsidR="00D3687B" w:rsidRDefault="00D3687B" w:rsidP="00D3687B">
            <w:pPr>
              <w:pStyle w:val="In-tableHeading"/>
              <w:jc w:val="center"/>
              <w:rPr>
                <w:lang w:val="en-AU"/>
              </w:rPr>
            </w:pPr>
            <w:r>
              <w:rPr>
                <w:lang w:val="en-AU"/>
              </w:rPr>
              <w:t>Treatment,</w:t>
            </w:r>
          </w:p>
          <w:p w14:paraId="7ADA18A9" w14:textId="62E22696" w:rsidR="00A35145" w:rsidRPr="0098262F" w:rsidRDefault="00A35145" w:rsidP="00D3687B">
            <w:pPr>
              <w:pStyle w:val="In-tableHeading"/>
              <w:jc w:val="center"/>
              <w:rPr>
                <w:lang w:val="en-AU"/>
              </w:rPr>
            </w:pPr>
            <w:r w:rsidRPr="0098262F">
              <w:rPr>
                <w:lang w:val="en-AU"/>
              </w:rPr>
              <w:t>n with event/N (%)</w:t>
            </w:r>
          </w:p>
        </w:tc>
        <w:tc>
          <w:tcPr>
            <w:tcW w:w="1061" w:type="pct"/>
            <w:shd w:val="clear" w:color="auto" w:fill="auto"/>
            <w:vAlign w:val="center"/>
          </w:tcPr>
          <w:p w14:paraId="1BF0F785" w14:textId="3AEE0F96" w:rsidR="00A35145" w:rsidRPr="0098262F" w:rsidRDefault="00A35145" w:rsidP="00D3687B">
            <w:pPr>
              <w:pStyle w:val="In-tableHeading"/>
              <w:jc w:val="center"/>
              <w:rPr>
                <w:lang w:val="en-AU"/>
              </w:rPr>
            </w:pPr>
            <w:r>
              <w:rPr>
                <w:lang w:val="en-AU"/>
              </w:rPr>
              <w:t>Placebo</w:t>
            </w:r>
            <w:r w:rsidR="00D3687B">
              <w:rPr>
                <w:lang w:val="en-AU"/>
              </w:rPr>
              <w:t>,</w:t>
            </w:r>
            <w:r w:rsidRPr="0098262F">
              <w:rPr>
                <w:lang w:val="en-AU"/>
              </w:rPr>
              <w:t xml:space="preserve"> </w:t>
            </w:r>
            <w:r w:rsidR="00D3687B">
              <w:rPr>
                <w:lang w:val="en-AU"/>
              </w:rPr>
              <w:br/>
            </w:r>
            <w:r w:rsidRPr="0098262F">
              <w:rPr>
                <w:lang w:val="en-AU"/>
              </w:rPr>
              <w:t>n with event/N (%)</w:t>
            </w:r>
          </w:p>
        </w:tc>
        <w:tc>
          <w:tcPr>
            <w:tcW w:w="1080" w:type="pct"/>
            <w:shd w:val="clear" w:color="auto" w:fill="auto"/>
            <w:vAlign w:val="center"/>
          </w:tcPr>
          <w:p w14:paraId="065460FE" w14:textId="77777777" w:rsidR="00A35145" w:rsidRPr="0098262F" w:rsidRDefault="00A35145" w:rsidP="00D3687B">
            <w:pPr>
              <w:pStyle w:val="In-tableHeading"/>
              <w:jc w:val="center"/>
              <w:rPr>
                <w:lang w:val="en-AU"/>
              </w:rPr>
            </w:pPr>
            <w:r w:rsidRPr="0098262F">
              <w:rPr>
                <w:lang w:val="en-AU"/>
              </w:rPr>
              <w:t>Treatment effect (OR)</w:t>
            </w:r>
          </w:p>
        </w:tc>
      </w:tr>
      <w:tr w:rsidR="00A35145" w:rsidRPr="0098262F" w14:paraId="16542EFF" w14:textId="77777777" w:rsidTr="00777D20">
        <w:trPr>
          <w:tblHeader/>
        </w:trPr>
        <w:tc>
          <w:tcPr>
            <w:tcW w:w="5000" w:type="pct"/>
            <w:gridSpan w:val="5"/>
            <w:vAlign w:val="center"/>
          </w:tcPr>
          <w:p w14:paraId="686F7123" w14:textId="77777777" w:rsidR="00A35145" w:rsidRPr="0098262F" w:rsidRDefault="00A35145" w:rsidP="00777D20">
            <w:pPr>
              <w:pStyle w:val="In-tableHeading"/>
              <w:rPr>
                <w:lang w:val="en-AU"/>
              </w:rPr>
            </w:pPr>
            <w:r>
              <w:t>Occ</w:t>
            </w:r>
            <w:r w:rsidRPr="00FE3B6E">
              <w:t>urrence of pruritus TEAE of any severity within 12 months</w:t>
            </w:r>
          </w:p>
        </w:tc>
      </w:tr>
      <w:tr w:rsidR="00A35145" w:rsidRPr="0098262F" w14:paraId="778AA692" w14:textId="77777777" w:rsidTr="00D3687B">
        <w:trPr>
          <w:trHeight w:val="77"/>
        </w:trPr>
        <w:tc>
          <w:tcPr>
            <w:tcW w:w="1237" w:type="pct"/>
            <w:vAlign w:val="center"/>
          </w:tcPr>
          <w:p w14:paraId="369BB9F7" w14:textId="31EEE8DA" w:rsidR="00A35145" w:rsidRPr="0098262F" w:rsidRDefault="00A35145" w:rsidP="00777D20">
            <w:pPr>
              <w:pStyle w:val="TableText0"/>
            </w:pPr>
            <w:r>
              <w:t>ELA</w:t>
            </w:r>
            <w:r w:rsidRPr="0098262F">
              <w:t xml:space="preserve"> </w:t>
            </w:r>
            <w:r w:rsidR="00947C8E">
              <w:t>vs</w:t>
            </w:r>
            <w:r w:rsidRPr="0098262F">
              <w:t xml:space="preserve"> </w:t>
            </w:r>
            <w:r>
              <w:t>placebo</w:t>
            </w:r>
          </w:p>
        </w:tc>
        <w:tc>
          <w:tcPr>
            <w:tcW w:w="557" w:type="pct"/>
            <w:shd w:val="clear" w:color="auto" w:fill="auto"/>
            <w:vAlign w:val="center"/>
          </w:tcPr>
          <w:p w14:paraId="0F39FD98" w14:textId="77777777" w:rsidR="00A35145" w:rsidRPr="0098262F" w:rsidRDefault="00A35145" w:rsidP="00777D20">
            <w:pPr>
              <w:pStyle w:val="TableText0"/>
            </w:pPr>
            <w:r>
              <w:t>ELATIVE</w:t>
            </w:r>
          </w:p>
        </w:tc>
        <w:tc>
          <w:tcPr>
            <w:tcW w:w="1065" w:type="pct"/>
            <w:shd w:val="clear" w:color="auto" w:fill="auto"/>
            <w:vAlign w:val="center"/>
          </w:tcPr>
          <w:p w14:paraId="3EC260EC" w14:textId="77777777" w:rsidR="00A35145" w:rsidRPr="0098262F" w:rsidRDefault="00A35145" w:rsidP="00777D20">
            <w:pPr>
              <w:pStyle w:val="TableText0"/>
              <w:jc w:val="center"/>
            </w:pPr>
            <w:r w:rsidRPr="005B489B">
              <w:t>22</w:t>
            </w:r>
            <w:r>
              <w:t>/108</w:t>
            </w:r>
            <w:r w:rsidRPr="005B489B">
              <w:t xml:space="preserve"> (20.4)</w:t>
            </w:r>
          </w:p>
        </w:tc>
        <w:tc>
          <w:tcPr>
            <w:tcW w:w="1061" w:type="pct"/>
            <w:shd w:val="clear" w:color="auto" w:fill="auto"/>
            <w:vAlign w:val="center"/>
          </w:tcPr>
          <w:p w14:paraId="420D1A1F" w14:textId="3C400020" w:rsidR="00A35145" w:rsidRPr="0098262F" w:rsidRDefault="00A35145" w:rsidP="00777D20">
            <w:pPr>
              <w:pStyle w:val="TableText0"/>
              <w:jc w:val="center"/>
            </w:pPr>
            <w:r w:rsidRPr="005B489B">
              <w:t>14</w:t>
            </w:r>
            <w:r>
              <w:t>/53</w:t>
            </w:r>
            <w:r w:rsidRPr="005B489B">
              <w:t xml:space="preserve"> (26.4)</w:t>
            </w:r>
          </w:p>
        </w:tc>
        <w:tc>
          <w:tcPr>
            <w:tcW w:w="1080" w:type="pct"/>
            <w:shd w:val="clear" w:color="auto" w:fill="auto"/>
            <w:vAlign w:val="center"/>
          </w:tcPr>
          <w:p w14:paraId="0BAFEFAE" w14:textId="77777777" w:rsidR="00A35145" w:rsidRPr="006E4DC7" w:rsidRDefault="00A35145" w:rsidP="00777D20">
            <w:pPr>
              <w:pStyle w:val="TableText0"/>
              <w:jc w:val="center"/>
            </w:pPr>
            <w:r w:rsidRPr="006E4DC7">
              <w:t>NR</w:t>
            </w:r>
          </w:p>
        </w:tc>
      </w:tr>
      <w:tr w:rsidR="00A35145" w:rsidRPr="0098262F" w14:paraId="4CDDD3BD" w14:textId="77777777" w:rsidTr="00D3687B">
        <w:trPr>
          <w:trHeight w:val="77"/>
        </w:trPr>
        <w:tc>
          <w:tcPr>
            <w:tcW w:w="1237" w:type="pct"/>
            <w:vAlign w:val="center"/>
          </w:tcPr>
          <w:p w14:paraId="1D25305E" w14:textId="6AB8BDDC" w:rsidR="00A35145" w:rsidRPr="0098262F" w:rsidRDefault="00A35145" w:rsidP="00777D20">
            <w:pPr>
              <w:pStyle w:val="TableText0"/>
            </w:pPr>
            <w:r>
              <w:t>OCA</w:t>
            </w:r>
            <w:r w:rsidRPr="0098262F">
              <w:t xml:space="preserve"> </w:t>
            </w:r>
            <w:r>
              <w:t xml:space="preserve">5-10mg </w:t>
            </w:r>
            <w:r w:rsidR="00947C8E">
              <w:t>vs</w:t>
            </w:r>
            <w:r w:rsidRPr="0098262F">
              <w:t xml:space="preserve"> </w:t>
            </w:r>
            <w:r>
              <w:t>placebo</w:t>
            </w:r>
          </w:p>
        </w:tc>
        <w:tc>
          <w:tcPr>
            <w:tcW w:w="557" w:type="pct"/>
            <w:shd w:val="clear" w:color="auto" w:fill="auto"/>
            <w:vAlign w:val="center"/>
          </w:tcPr>
          <w:p w14:paraId="36BD4D68" w14:textId="77777777" w:rsidR="00A35145" w:rsidRPr="0098262F" w:rsidRDefault="00A35145" w:rsidP="00777D20">
            <w:pPr>
              <w:pStyle w:val="TableText0"/>
            </w:pPr>
            <w:r>
              <w:t>POISE</w:t>
            </w:r>
          </w:p>
        </w:tc>
        <w:tc>
          <w:tcPr>
            <w:tcW w:w="1065" w:type="pct"/>
            <w:shd w:val="clear" w:color="auto" w:fill="auto"/>
            <w:vAlign w:val="center"/>
          </w:tcPr>
          <w:p w14:paraId="174F5EA8" w14:textId="77777777" w:rsidR="00A35145" w:rsidRPr="0098262F" w:rsidRDefault="00A35145" w:rsidP="00777D20">
            <w:pPr>
              <w:pStyle w:val="TableText0"/>
              <w:jc w:val="center"/>
            </w:pPr>
            <w:r w:rsidRPr="005B489B">
              <w:t>39</w:t>
            </w:r>
            <w:r>
              <w:t>/70</w:t>
            </w:r>
            <w:r w:rsidRPr="005B489B">
              <w:t xml:space="preserve"> (55.7)</w:t>
            </w:r>
          </w:p>
        </w:tc>
        <w:tc>
          <w:tcPr>
            <w:tcW w:w="1061" w:type="pct"/>
            <w:shd w:val="clear" w:color="auto" w:fill="auto"/>
            <w:vAlign w:val="center"/>
          </w:tcPr>
          <w:p w14:paraId="5AEF1EA2" w14:textId="77777777" w:rsidR="00A35145" w:rsidRPr="0098262F" w:rsidRDefault="00A35145" w:rsidP="00777D20">
            <w:pPr>
              <w:pStyle w:val="TableText0"/>
              <w:jc w:val="center"/>
            </w:pPr>
            <w:r w:rsidRPr="005B489B">
              <w:t>28</w:t>
            </w:r>
            <w:r>
              <w:t>/73</w:t>
            </w:r>
            <w:r w:rsidRPr="005B489B">
              <w:t xml:space="preserve"> (38.4)</w:t>
            </w:r>
          </w:p>
        </w:tc>
        <w:tc>
          <w:tcPr>
            <w:tcW w:w="1080" w:type="pct"/>
            <w:shd w:val="clear" w:color="auto" w:fill="auto"/>
            <w:vAlign w:val="center"/>
          </w:tcPr>
          <w:p w14:paraId="22771142" w14:textId="77777777" w:rsidR="00A35145" w:rsidRPr="006E4DC7" w:rsidRDefault="00A35145" w:rsidP="00777D20">
            <w:pPr>
              <w:pStyle w:val="TableText0"/>
              <w:jc w:val="center"/>
            </w:pPr>
            <w:r w:rsidRPr="006E4DC7">
              <w:t>NR</w:t>
            </w:r>
          </w:p>
        </w:tc>
      </w:tr>
      <w:tr w:rsidR="00A35145" w:rsidRPr="0098262F" w14:paraId="7532E748" w14:textId="77777777" w:rsidTr="00D3687B">
        <w:trPr>
          <w:trHeight w:val="77"/>
        </w:trPr>
        <w:tc>
          <w:tcPr>
            <w:tcW w:w="1237" w:type="pct"/>
            <w:vAlign w:val="center"/>
          </w:tcPr>
          <w:p w14:paraId="7510CD6D" w14:textId="7ED0FE4D" w:rsidR="00A35145" w:rsidRDefault="00A35145" w:rsidP="00777D20">
            <w:pPr>
              <w:pStyle w:val="TableText0"/>
            </w:pPr>
            <w:r>
              <w:t>OCA</w:t>
            </w:r>
            <w:r w:rsidRPr="0098262F">
              <w:t xml:space="preserve"> </w:t>
            </w:r>
            <w:r>
              <w:t xml:space="preserve">10mg </w:t>
            </w:r>
            <w:r w:rsidR="00947C8E">
              <w:t>vs</w:t>
            </w:r>
            <w:r w:rsidRPr="0098262F">
              <w:t xml:space="preserve"> </w:t>
            </w:r>
            <w:r>
              <w:t>placebo</w:t>
            </w:r>
          </w:p>
        </w:tc>
        <w:tc>
          <w:tcPr>
            <w:tcW w:w="557" w:type="pct"/>
            <w:shd w:val="clear" w:color="auto" w:fill="auto"/>
            <w:vAlign w:val="center"/>
          </w:tcPr>
          <w:p w14:paraId="20A5D1A6" w14:textId="77777777" w:rsidR="00A35145" w:rsidRDefault="00A35145" w:rsidP="00777D20">
            <w:pPr>
              <w:pStyle w:val="TableText0"/>
            </w:pPr>
            <w:r>
              <w:t>POISE</w:t>
            </w:r>
          </w:p>
        </w:tc>
        <w:tc>
          <w:tcPr>
            <w:tcW w:w="1065" w:type="pct"/>
            <w:shd w:val="clear" w:color="auto" w:fill="auto"/>
            <w:vAlign w:val="center"/>
          </w:tcPr>
          <w:p w14:paraId="14689B4F" w14:textId="77777777" w:rsidR="00A35145" w:rsidRPr="005B489B" w:rsidRDefault="00A35145" w:rsidP="00777D20">
            <w:pPr>
              <w:pStyle w:val="TableText0"/>
              <w:jc w:val="center"/>
            </w:pPr>
            <w:r w:rsidRPr="005B489B">
              <w:t>50</w:t>
            </w:r>
            <w:r>
              <w:t>/73</w:t>
            </w:r>
            <w:r w:rsidRPr="005B489B">
              <w:t xml:space="preserve"> (68.5)</w:t>
            </w:r>
          </w:p>
        </w:tc>
        <w:tc>
          <w:tcPr>
            <w:tcW w:w="1061" w:type="pct"/>
            <w:shd w:val="clear" w:color="auto" w:fill="auto"/>
            <w:vAlign w:val="center"/>
          </w:tcPr>
          <w:p w14:paraId="0C1ADC8D" w14:textId="77777777" w:rsidR="00A35145" w:rsidRPr="005B489B" w:rsidRDefault="00A35145" w:rsidP="00777D20">
            <w:pPr>
              <w:pStyle w:val="TableText0"/>
              <w:jc w:val="center"/>
            </w:pPr>
            <w:r w:rsidRPr="005B489B">
              <w:t>28</w:t>
            </w:r>
            <w:r>
              <w:t>/73</w:t>
            </w:r>
            <w:r w:rsidRPr="005B489B">
              <w:t xml:space="preserve"> (38.4)</w:t>
            </w:r>
          </w:p>
        </w:tc>
        <w:tc>
          <w:tcPr>
            <w:tcW w:w="1080" w:type="pct"/>
            <w:shd w:val="clear" w:color="auto" w:fill="auto"/>
            <w:vAlign w:val="center"/>
          </w:tcPr>
          <w:p w14:paraId="7D8BBF32" w14:textId="77777777" w:rsidR="00A35145" w:rsidRPr="006E4DC7" w:rsidRDefault="00A35145" w:rsidP="00777D20">
            <w:pPr>
              <w:pStyle w:val="TableText0"/>
              <w:jc w:val="center"/>
            </w:pPr>
            <w:r w:rsidRPr="006E4DC7">
              <w:t>NR</w:t>
            </w:r>
          </w:p>
        </w:tc>
      </w:tr>
      <w:tr w:rsidR="00A35145" w:rsidRPr="0098262F" w14:paraId="6E0C52DB" w14:textId="77777777" w:rsidTr="00777D20">
        <w:tc>
          <w:tcPr>
            <w:tcW w:w="5000" w:type="pct"/>
            <w:gridSpan w:val="5"/>
            <w:vAlign w:val="center"/>
          </w:tcPr>
          <w:p w14:paraId="3CDFBAC1" w14:textId="77777777" w:rsidR="00A35145" w:rsidRPr="0098262F" w:rsidRDefault="00A35145" w:rsidP="00777D20">
            <w:pPr>
              <w:pStyle w:val="TableText0"/>
            </w:pPr>
            <w:r w:rsidRPr="0098262F">
              <w:t>Indirect estimate of effect adjusted for the common reference</w:t>
            </w:r>
          </w:p>
        </w:tc>
      </w:tr>
      <w:tr w:rsidR="00A35145" w:rsidRPr="0098262F" w14:paraId="4C8D5717" w14:textId="77777777" w:rsidTr="00D3687B">
        <w:tc>
          <w:tcPr>
            <w:tcW w:w="1237" w:type="pct"/>
            <w:vAlign w:val="center"/>
          </w:tcPr>
          <w:p w14:paraId="69D3861B" w14:textId="77777777" w:rsidR="00A35145" w:rsidRPr="0098262F" w:rsidRDefault="00A35145" w:rsidP="00777D20">
            <w:pPr>
              <w:pStyle w:val="TableText0"/>
            </w:pPr>
            <w:r>
              <w:t>ELA</w:t>
            </w:r>
            <w:r w:rsidRPr="0098262F">
              <w:t xml:space="preserve"> </w:t>
            </w:r>
            <w:r>
              <w:t>vs OCA 5-10mg</w:t>
            </w:r>
          </w:p>
        </w:tc>
        <w:tc>
          <w:tcPr>
            <w:tcW w:w="557" w:type="pct"/>
            <w:shd w:val="clear" w:color="auto" w:fill="auto"/>
            <w:vAlign w:val="center"/>
          </w:tcPr>
          <w:p w14:paraId="72CC9F09" w14:textId="77777777" w:rsidR="00A35145" w:rsidRPr="0098262F" w:rsidRDefault="00A35145" w:rsidP="00777D20">
            <w:pPr>
              <w:pStyle w:val="TableText0"/>
              <w:jc w:val="center"/>
            </w:pPr>
            <w:r w:rsidRPr="0098262F">
              <w:t>–</w:t>
            </w:r>
          </w:p>
        </w:tc>
        <w:tc>
          <w:tcPr>
            <w:tcW w:w="1065" w:type="pct"/>
            <w:shd w:val="clear" w:color="auto" w:fill="auto"/>
            <w:vAlign w:val="center"/>
          </w:tcPr>
          <w:p w14:paraId="2EFE0552" w14:textId="77777777" w:rsidR="00A35145" w:rsidRPr="0098262F" w:rsidRDefault="00A35145" w:rsidP="00777D20">
            <w:pPr>
              <w:pStyle w:val="TableText0"/>
              <w:jc w:val="center"/>
            </w:pPr>
            <w:r w:rsidRPr="0098262F">
              <w:t>–</w:t>
            </w:r>
          </w:p>
        </w:tc>
        <w:tc>
          <w:tcPr>
            <w:tcW w:w="1061" w:type="pct"/>
            <w:shd w:val="clear" w:color="auto" w:fill="auto"/>
            <w:vAlign w:val="center"/>
          </w:tcPr>
          <w:p w14:paraId="621EE7BD" w14:textId="77777777" w:rsidR="00A35145" w:rsidRPr="0098262F" w:rsidRDefault="00A35145" w:rsidP="00777D20">
            <w:pPr>
              <w:pStyle w:val="TableText0"/>
              <w:jc w:val="center"/>
            </w:pPr>
            <w:r w:rsidRPr="0098262F">
              <w:t>–</w:t>
            </w:r>
          </w:p>
        </w:tc>
        <w:tc>
          <w:tcPr>
            <w:tcW w:w="1080" w:type="pct"/>
            <w:shd w:val="clear" w:color="auto" w:fill="auto"/>
            <w:vAlign w:val="center"/>
          </w:tcPr>
          <w:p w14:paraId="56AD2C67" w14:textId="77777777" w:rsidR="00A35145" w:rsidRPr="004170A2" w:rsidRDefault="00A35145" w:rsidP="00777D20">
            <w:pPr>
              <w:pStyle w:val="TableText0"/>
              <w:jc w:val="center"/>
              <w:rPr>
                <w:b/>
                <w:bCs w:val="0"/>
              </w:rPr>
            </w:pPr>
            <w:r w:rsidRPr="004170A2">
              <w:rPr>
                <w:b/>
                <w:bCs w:val="0"/>
              </w:rPr>
              <w:t>0.35 (0.13, 0.98)</w:t>
            </w:r>
          </w:p>
        </w:tc>
      </w:tr>
      <w:tr w:rsidR="00A35145" w:rsidRPr="0098262F" w14:paraId="6E7BF052" w14:textId="77777777" w:rsidTr="00D3687B">
        <w:tc>
          <w:tcPr>
            <w:tcW w:w="1237" w:type="pct"/>
            <w:vAlign w:val="center"/>
          </w:tcPr>
          <w:p w14:paraId="6552E7DE" w14:textId="77777777" w:rsidR="00A35145" w:rsidRPr="0098262F" w:rsidRDefault="00A35145" w:rsidP="00777D20">
            <w:pPr>
              <w:pStyle w:val="TableText0"/>
            </w:pPr>
            <w:r>
              <w:t>ELA</w:t>
            </w:r>
            <w:r w:rsidRPr="0098262F">
              <w:t xml:space="preserve"> </w:t>
            </w:r>
            <w:r>
              <w:t>vs OCA 10mg</w:t>
            </w:r>
          </w:p>
        </w:tc>
        <w:tc>
          <w:tcPr>
            <w:tcW w:w="557" w:type="pct"/>
            <w:shd w:val="clear" w:color="auto" w:fill="auto"/>
            <w:vAlign w:val="center"/>
          </w:tcPr>
          <w:p w14:paraId="389619AC" w14:textId="77777777" w:rsidR="00A35145" w:rsidRPr="0098262F" w:rsidRDefault="00A35145" w:rsidP="00777D20">
            <w:pPr>
              <w:pStyle w:val="TableText0"/>
              <w:jc w:val="center"/>
            </w:pPr>
            <w:r w:rsidRPr="0098262F">
              <w:t>–</w:t>
            </w:r>
          </w:p>
        </w:tc>
        <w:tc>
          <w:tcPr>
            <w:tcW w:w="1065" w:type="pct"/>
            <w:shd w:val="clear" w:color="auto" w:fill="auto"/>
            <w:vAlign w:val="center"/>
          </w:tcPr>
          <w:p w14:paraId="7163B625" w14:textId="77777777" w:rsidR="00A35145" w:rsidRPr="0098262F" w:rsidRDefault="00A35145" w:rsidP="00777D20">
            <w:pPr>
              <w:pStyle w:val="TableText0"/>
              <w:jc w:val="center"/>
            </w:pPr>
            <w:r w:rsidRPr="0098262F">
              <w:t>–</w:t>
            </w:r>
          </w:p>
        </w:tc>
        <w:tc>
          <w:tcPr>
            <w:tcW w:w="1061" w:type="pct"/>
            <w:shd w:val="clear" w:color="auto" w:fill="auto"/>
            <w:vAlign w:val="center"/>
          </w:tcPr>
          <w:p w14:paraId="194FA167" w14:textId="77777777" w:rsidR="00A35145" w:rsidRPr="0098262F" w:rsidRDefault="00A35145" w:rsidP="00777D20">
            <w:pPr>
              <w:pStyle w:val="TableText0"/>
              <w:jc w:val="center"/>
            </w:pPr>
            <w:r w:rsidRPr="0098262F">
              <w:t>–</w:t>
            </w:r>
          </w:p>
        </w:tc>
        <w:tc>
          <w:tcPr>
            <w:tcW w:w="1080" w:type="pct"/>
            <w:shd w:val="clear" w:color="auto" w:fill="auto"/>
            <w:vAlign w:val="center"/>
          </w:tcPr>
          <w:p w14:paraId="1EEFBEEB" w14:textId="77777777" w:rsidR="00A35145" w:rsidRPr="0098262F" w:rsidRDefault="00A35145" w:rsidP="00777D20">
            <w:pPr>
              <w:pStyle w:val="TableText0"/>
              <w:jc w:val="center"/>
            </w:pPr>
            <w:r w:rsidRPr="00141430">
              <w:rPr>
                <w:b/>
                <w:bCs w:val="0"/>
              </w:rPr>
              <w:t>0.20 (0.07, 0.57)</w:t>
            </w:r>
          </w:p>
        </w:tc>
      </w:tr>
      <w:tr w:rsidR="00A35145" w:rsidRPr="0098262F" w14:paraId="00EEF719" w14:textId="77777777" w:rsidTr="00777D20">
        <w:trPr>
          <w:tblHeader/>
        </w:trPr>
        <w:tc>
          <w:tcPr>
            <w:tcW w:w="5000" w:type="pct"/>
            <w:gridSpan w:val="5"/>
            <w:vAlign w:val="center"/>
          </w:tcPr>
          <w:p w14:paraId="23BF6769" w14:textId="52C07EF4" w:rsidR="00A35145" w:rsidRPr="0098262F" w:rsidRDefault="00A35145" w:rsidP="00777D20">
            <w:pPr>
              <w:pStyle w:val="In-tableHeading"/>
              <w:rPr>
                <w:lang w:val="en-AU"/>
              </w:rPr>
            </w:pPr>
            <w:r>
              <w:t>D</w:t>
            </w:r>
            <w:r w:rsidRPr="008924B9">
              <w:t>iscontinuation</w:t>
            </w:r>
            <w:r w:rsidR="005522A4">
              <w:t>s</w:t>
            </w:r>
            <w:r w:rsidRPr="008924B9">
              <w:t xml:space="preserve"> due to pruritus within 12 months</w:t>
            </w:r>
          </w:p>
        </w:tc>
      </w:tr>
      <w:tr w:rsidR="00A35145" w:rsidRPr="0098262F" w14:paraId="48CBBB7D" w14:textId="77777777" w:rsidTr="00D3687B">
        <w:trPr>
          <w:trHeight w:val="70"/>
        </w:trPr>
        <w:tc>
          <w:tcPr>
            <w:tcW w:w="1237" w:type="pct"/>
            <w:vAlign w:val="center"/>
          </w:tcPr>
          <w:p w14:paraId="6A8A264A" w14:textId="78EBAB16" w:rsidR="00A35145" w:rsidRPr="0098262F" w:rsidRDefault="00A35145" w:rsidP="00777D20">
            <w:pPr>
              <w:pStyle w:val="TableText0"/>
            </w:pPr>
            <w:r>
              <w:t>ELA</w:t>
            </w:r>
            <w:r w:rsidRPr="0098262F">
              <w:t xml:space="preserve"> </w:t>
            </w:r>
            <w:r w:rsidR="00947C8E">
              <w:t>vs</w:t>
            </w:r>
            <w:r w:rsidRPr="0098262F">
              <w:t xml:space="preserve"> </w:t>
            </w:r>
            <w:r>
              <w:t>placebo</w:t>
            </w:r>
          </w:p>
        </w:tc>
        <w:tc>
          <w:tcPr>
            <w:tcW w:w="557" w:type="pct"/>
            <w:shd w:val="clear" w:color="auto" w:fill="auto"/>
            <w:vAlign w:val="center"/>
          </w:tcPr>
          <w:p w14:paraId="50EBC52B" w14:textId="77777777" w:rsidR="00A35145" w:rsidRPr="0098262F" w:rsidRDefault="00A35145" w:rsidP="00777D20">
            <w:pPr>
              <w:pStyle w:val="TableText0"/>
            </w:pPr>
            <w:r>
              <w:t>ELATIVE</w:t>
            </w:r>
          </w:p>
        </w:tc>
        <w:tc>
          <w:tcPr>
            <w:tcW w:w="1065" w:type="pct"/>
            <w:shd w:val="clear" w:color="auto" w:fill="auto"/>
            <w:vAlign w:val="center"/>
          </w:tcPr>
          <w:p w14:paraId="7FF7D138" w14:textId="77777777" w:rsidR="00A35145" w:rsidRPr="0098262F" w:rsidRDefault="00A35145" w:rsidP="00777D20">
            <w:pPr>
              <w:pStyle w:val="TableText0"/>
              <w:jc w:val="center"/>
            </w:pPr>
            <w:r w:rsidRPr="005B489B">
              <w:t>1</w:t>
            </w:r>
            <w:r>
              <w:t>/108</w:t>
            </w:r>
            <w:r w:rsidRPr="005B489B">
              <w:t xml:space="preserve"> (0.9)</w:t>
            </w:r>
          </w:p>
        </w:tc>
        <w:tc>
          <w:tcPr>
            <w:tcW w:w="1061" w:type="pct"/>
            <w:shd w:val="clear" w:color="auto" w:fill="auto"/>
            <w:vAlign w:val="center"/>
          </w:tcPr>
          <w:p w14:paraId="61223FF0" w14:textId="77777777" w:rsidR="00A35145" w:rsidRPr="0098262F" w:rsidRDefault="00A35145" w:rsidP="00777D20">
            <w:pPr>
              <w:pStyle w:val="TableText0"/>
              <w:jc w:val="center"/>
            </w:pPr>
            <w:r w:rsidRPr="005B489B">
              <w:t>1</w:t>
            </w:r>
            <w:r>
              <w:t>/53</w:t>
            </w:r>
            <w:r w:rsidRPr="005B489B">
              <w:t xml:space="preserve"> (1.9)</w:t>
            </w:r>
          </w:p>
        </w:tc>
        <w:tc>
          <w:tcPr>
            <w:tcW w:w="1080" w:type="pct"/>
            <w:shd w:val="clear" w:color="auto" w:fill="auto"/>
            <w:vAlign w:val="center"/>
          </w:tcPr>
          <w:p w14:paraId="79FBB7EB" w14:textId="77777777" w:rsidR="00A35145" w:rsidRPr="009B4B92" w:rsidRDefault="00A35145" w:rsidP="00777D20">
            <w:pPr>
              <w:pStyle w:val="TableText0"/>
              <w:jc w:val="center"/>
              <w:rPr>
                <w:highlight w:val="yellow"/>
              </w:rPr>
            </w:pPr>
            <w:r w:rsidRPr="006E4DC7">
              <w:t>NR</w:t>
            </w:r>
          </w:p>
        </w:tc>
      </w:tr>
      <w:tr w:rsidR="00A35145" w:rsidRPr="0098262F" w14:paraId="7A9FC0CB" w14:textId="77777777" w:rsidTr="00D3687B">
        <w:trPr>
          <w:trHeight w:val="70"/>
        </w:trPr>
        <w:tc>
          <w:tcPr>
            <w:tcW w:w="1237" w:type="pct"/>
            <w:vAlign w:val="center"/>
          </w:tcPr>
          <w:p w14:paraId="4AE493D5" w14:textId="5DA75976" w:rsidR="00A35145" w:rsidRPr="0098262F" w:rsidRDefault="00A35145" w:rsidP="00777D20">
            <w:pPr>
              <w:pStyle w:val="TableText0"/>
            </w:pPr>
            <w:r>
              <w:t>OCA</w:t>
            </w:r>
            <w:r w:rsidRPr="0098262F">
              <w:t xml:space="preserve"> </w:t>
            </w:r>
            <w:r>
              <w:t xml:space="preserve">5-10mg </w:t>
            </w:r>
            <w:r w:rsidR="00947C8E">
              <w:t>vs</w:t>
            </w:r>
            <w:r w:rsidRPr="0098262F">
              <w:t xml:space="preserve"> </w:t>
            </w:r>
            <w:r>
              <w:t>placebo</w:t>
            </w:r>
          </w:p>
        </w:tc>
        <w:tc>
          <w:tcPr>
            <w:tcW w:w="557" w:type="pct"/>
            <w:shd w:val="clear" w:color="auto" w:fill="auto"/>
            <w:vAlign w:val="center"/>
          </w:tcPr>
          <w:p w14:paraId="3E084206" w14:textId="77777777" w:rsidR="00A35145" w:rsidRPr="0098262F" w:rsidRDefault="00A35145" w:rsidP="00777D20">
            <w:pPr>
              <w:pStyle w:val="TableText0"/>
            </w:pPr>
            <w:r>
              <w:t>POISE</w:t>
            </w:r>
          </w:p>
        </w:tc>
        <w:tc>
          <w:tcPr>
            <w:tcW w:w="1065" w:type="pct"/>
            <w:shd w:val="clear" w:color="auto" w:fill="auto"/>
            <w:vAlign w:val="center"/>
          </w:tcPr>
          <w:p w14:paraId="5DD9AC61" w14:textId="77777777" w:rsidR="00A35145" w:rsidRPr="0098262F" w:rsidRDefault="00A35145" w:rsidP="00777D20">
            <w:pPr>
              <w:pStyle w:val="TableText0"/>
              <w:jc w:val="center"/>
            </w:pPr>
            <w:r w:rsidRPr="005B489B">
              <w:t>1</w:t>
            </w:r>
            <w:r>
              <w:t>/70</w:t>
            </w:r>
            <w:r w:rsidRPr="005B489B">
              <w:t xml:space="preserve"> (1.4)</w:t>
            </w:r>
          </w:p>
        </w:tc>
        <w:tc>
          <w:tcPr>
            <w:tcW w:w="1061" w:type="pct"/>
            <w:shd w:val="clear" w:color="auto" w:fill="auto"/>
            <w:vAlign w:val="center"/>
          </w:tcPr>
          <w:p w14:paraId="02B6FB08" w14:textId="06072B4D" w:rsidR="00A35145" w:rsidRPr="0098262F" w:rsidRDefault="00BC3AE9" w:rsidP="00777D20">
            <w:pPr>
              <w:pStyle w:val="TableText0"/>
              <w:jc w:val="center"/>
            </w:pPr>
            <w:r>
              <w:t>0</w:t>
            </w:r>
          </w:p>
        </w:tc>
        <w:tc>
          <w:tcPr>
            <w:tcW w:w="1080" w:type="pct"/>
            <w:shd w:val="clear" w:color="auto" w:fill="auto"/>
            <w:vAlign w:val="center"/>
          </w:tcPr>
          <w:p w14:paraId="40C903B3" w14:textId="77777777" w:rsidR="00A35145" w:rsidRPr="00CB6FC9" w:rsidRDefault="00A35145" w:rsidP="00777D20">
            <w:pPr>
              <w:pStyle w:val="TableText0"/>
              <w:jc w:val="center"/>
              <w:rPr>
                <w:highlight w:val="yellow"/>
              </w:rPr>
            </w:pPr>
            <w:r w:rsidRPr="006E4DC7">
              <w:t>NR</w:t>
            </w:r>
          </w:p>
        </w:tc>
      </w:tr>
      <w:tr w:rsidR="00A35145" w:rsidRPr="0098262F" w14:paraId="3B36FEDF" w14:textId="77777777" w:rsidTr="00D3687B">
        <w:trPr>
          <w:trHeight w:val="70"/>
        </w:trPr>
        <w:tc>
          <w:tcPr>
            <w:tcW w:w="1237" w:type="pct"/>
            <w:vAlign w:val="center"/>
          </w:tcPr>
          <w:p w14:paraId="5DB429A0" w14:textId="79D6D6EE" w:rsidR="00A35145" w:rsidRDefault="00A35145" w:rsidP="00777D20">
            <w:pPr>
              <w:pStyle w:val="TableText0"/>
            </w:pPr>
            <w:r>
              <w:t>OCA</w:t>
            </w:r>
            <w:r w:rsidRPr="0098262F">
              <w:t xml:space="preserve"> </w:t>
            </w:r>
            <w:r>
              <w:t xml:space="preserve">10mg </w:t>
            </w:r>
            <w:r w:rsidR="00947C8E">
              <w:t>vs</w:t>
            </w:r>
            <w:r w:rsidRPr="0098262F">
              <w:t xml:space="preserve"> </w:t>
            </w:r>
            <w:r>
              <w:t>placebo</w:t>
            </w:r>
          </w:p>
        </w:tc>
        <w:tc>
          <w:tcPr>
            <w:tcW w:w="557" w:type="pct"/>
            <w:shd w:val="clear" w:color="auto" w:fill="auto"/>
            <w:vAlign w:val="center"/>
          </w:tcPr>
          <w:p w14:paraId="63ADBEF5" w14:textId="77777777" w:rsidR="00A35145" w:rsidRDefault="00A35145" w:rsidP="00777D20">
            <w:pPr>
              <w:pStyle w:val="TableText0"/>
            </w:pPr>
            <w:r>
              <w:t>POISE</w:t>
            </w:r>
          </w:p>
        </w:tc>
        <w:tc>
          <w:tcPr>
            <w:tcW w:w="1065" w:type="pct"/>
            <w:shd w:val="clear" w:color="auto" w:fill="auto"/>
            <w:vAlign w:val="center"/>
          </w:tcPr>
          <w:p w14:paraId="1B83A30F" w14:textId="77777777" w:rsidR="00A35145" w:rsidRPr="005B489B" w:rsidRDefault="00A35145" w:rsidP="00777D20">
            <w:pPr>
              <w:pStyle w:val="TableText0"/>
              <w:jc w:val="center"/>
            </w:pPr>
            <w:r w:rsidRPr="005B489B">
              <w:t>7</w:t>
            </w:r>
            <w:r>
              <w:t>/73</w:t>
            </w:r>
            <w:r w:rsidRPr="005B489B">
              <w:t xml:space="preserve"> (9.6)</w:t>
            </w:r>
          </w:p>
        </w:tc>
        <w:tc>
          <w:tcPr>
            <w:tcW w:w="1061" w:type="pct"/>
            <w:shd w:val="clear" w:color="auto" w:fill="auto"/>
            <w:vAlign w:val="center"/>
          </w:tcPr>
          <w:p w14:paraId="24133910" w14:textId="3CEAA5EA" w:rsidR="00A35145" w:rsidRPr="005B489B" w:rsidRDefault="00BC3AE9" w:rsidP="00777D20">
            <w:pPr>
              <w:pStyle w:val="TableText0"/>
              <w:jc w:val="center"/>
            </w:pPr>
            <w:r>
              <w:t>0</w:t>
            </w:r>
          </w:p>
        </w:tc>
        <w:tc>
          <w:tcPr>
            <w:tcW w:w="1080" w:type="pct"/>
            <w:shd w:val="clear" w:color="auto" w:fill="auto"/>
            <w:vAlign w:val="center"/>
          </w:tcPr>
          <w:p w14:paraId="1080E0A6" w14:textId="77777777" w:rsidR="00A35145" w:rsidRPr="00CB6FC9" w:rsidRDefault="00A35145" w:rsidP="00777D20">
            <w:pPr>
              <w:pStyle w:val="TableText0"/>
              <w:jc w:val="center"/>
              <w:rPr>
                <w:highlight w:val="yellow"/>
              </w:rPr>
            </w:pPr>
            <w:r w:rsidRPr="006E4DC7">
              <w:t>NR</w:t>
            </w:r>
          </w:p>
        </w:tc>
      </w:tr>
      <w:tr w:rsidR="00A35145" w:rsidRPr="0098262F" w14:paraId="70E1D4B8" w14:textId="77777777" w:rsidTr="00777D20">
        <w:tc>
          <w:tcPr>
            <w:tcW w:w="5000" w:type="pct"/>
            <w:gridSpan w:val="5"/>
            <w:vAlign w:val="center"/>
          </w:tcPr>
          <w:p w14:paraId="47DC7E30" w14:textId="77777777" w:rsidR="00A35145" w:rsidRPr="0098262F" w:rsidRDefault="00A35145" w:rsidP="00777D20">
            <w:pPr>
              <w:pStyle w:val="TableText0"/>
            </w:pPr>
            <w:r w:rsidRPr="0098262F">
              <w:t>Indirect estimate of effect adjusted for the common reference</w:t>
            </w:r>
          </w:p>
        </w:tc>
      </w:tr>
      <w:tr w:rsidR="00A35145" w:rsidRPr="0098262F" w14:paraId="1787AF49" w14:textId="77777777" w:rsidTr="00D3687B">
        <w:tc>
          <w:tcPr>
            <w:tcW w:w="1237" w:type="pct"/>
            <w:vAlign w:val="center"/>
          </w:tcPr>
          <w:p w14:paraId="22AA9C85" w14:textId="77777777" w:rsidR="00A35145" w:rsidRPr="0098262F" w:rsidRDefault="00A35145" w:rsidP="00777D20">
            <w:pPr>
              <w:pStyle w:val="TableText0"/>
            </w:pPr>
            <w:r>
              <w:t>ELA</w:t>
            </w:r>
            <w:r w:rsidRPr="0098262F">
              <w:t xml:space="preserve"> </w:t>
            </w:r>
            <w:r>
              <w:t>vs OCA 5-10mg</w:t>
            </w:r>
          </w:p>
        </w:tc>
        <w:tc>
          <w:tcPr>
            <w:tcW w:w="557" w:type="pct"/>
            <w:shd w:val="clear" w:color="auto" w:fill="auto"/>
            <w:vAlign w:val="center"/>
          </w:tcPr>
          <w:p w14:paraId="06434F98" w14:textId="77777777" w:rsidR="00A35145" w:rsidRPr="0098262F" w:rsidRDefault="00A35145" w:rsidP="00777D20">
            <w:pPr>
              <w:pStyle w:val="TableText0"/>
              <w:jc w:val="center"/>
            </w:pPr>
            <w:r w:rsidRPr="0098262F">
              <w:t>–</w:t>
            </w:r>
          </w:p>
        </w:tc>
        <w:tc>
          <w:tcPr>
            <w:tcW w:w="1065" w:type="pct"/>
            <w:shd w:val="clear" w:color="auto" w:fill="auto"/>
            <w:vAlign w:val="center"/>
          </w:tcPr>
          <w:p w14:paraId="5F513350" w14:textId="77777777" w:rsidR="00A35145" w:rsidRPr="0098262F" w:rsidRDefault="00A35145" w:rsidP="00777D20">
            <w:pPr>
              <w:pStyle w:val="TableText0"/>
              <w:jc w:val="center"/>
            </w:pPr>
            <w:r w:rsidRPr="0098262F">
              <w:t>–</w:t>
            </w:r>
          </w:p>
        </w:tc>
        <w:tc>
          <w:tcPr>
            <w:tcW w:w="1061" w:type="pct"/>
            <w:shd w:val="clear" w:color="auto" w:fill="auto"/>
            <w:vAlign w:val="center"/>
          </w:tcPr>
          <w:p w14:paraId="492A6DA3" w14:textId="77777777" w:rsidR="00A35145" w:rsidRPr="0098262F" w:rsidRDefault="00A35145" w:rsidP="00777D20">
            <w:pPr>
              <w:pStyle w:val="TableText0"/>
              <w:jc w:val="center"/>
            </w:pPr>
            <w:r w:rsidRPr="0098262F">
              <w:t>–</w:t>
            </w:r>
          </w:p>
        </w:tc>
        <w:tc>
          <w:tcPr>
            <w:tcW w:w="1080" w:type="pct"/>
            <w:shd w:val="clear" w:color="auto" w:fill="auto"/>
            <w:vAlign w:val="center"/>
          </w:tcPr>
          <w:p w14:paraId="7BBCDD6E" w14:textId="77777777" w:rsidR="00A35145" w:rsidRPr="0098262F" w:rsidRDefault="00A35145" w:rsidP="00777D20">
            <w:pPr>
              <w:pStyle w:val="TableText0"/>
              <w:jc w:val="center"/>
            </w:pPr>
            <w:r>
              <w:t>0.23 (0.00, 18.85)</w:t>
            </w:r>
          </w:p>
        </w:tc>
      </w:tr>
      <w:tr w:rsidR="00A35145" w:rsidRPr="0098262F" w14:paraId="13D49628" w14:textId="77777777" w:rsidTr="00D3687B">
        <w:tc>
          <w:tcPr>
            <w:tcW w:w="1237" w:type="pct"/>
            <w:vAlign w:val="center"/>
          </w:tcPr>
          <w:p w14:paraId="4B5C53C4" w14:textId="77777777" w:rsidR="00A35145" w:rsidRPr="0098262F" w:rsidRDefault="00A35145" w:rsidP="00777D20">
            <w:pPr>
              <w:pStyle w:val="TableText0"/>
            </w:pPr>
            <w:r>
              <w:t>ELA</w:t>
            </w:r>
            <w:r w:rsidRPr="0098262F">
              <w:t xml:space="preserve"> </w:t>
            </w:r>
            <w:r>
              <w:t>vs OCA 10mg</w:t>
            </w:r>
          </w:p>
        </w:tc>
        <w:tc>
          <w:tcPr>
            <w:tcW w:w="557" w:type="pct"/>
            <w:shd w:val="clear" w:color="auto" w:fill="auto"/>
            <w:vAlign w:val="center"/>
          </w:tcPr>
          <w:p w14:paraId="300674A6" w14:textId="77777777" w:rsidR="00A35145" w:rsidRPr="0098262F" w:rsidRDefault="00A35145" w:rsidP="00777D20">
            <w:pPr>
              <w:pStyle w:val="TableText0"/>
              <w:jc w:val="center"/>
            </w:pPr>
            <w:r w:rsidRPr="0098262F">
              <w:t>–</w:t>
            </w:r>
          </w:p>
        </w:tc>
        <w:tc>
          <w:tcPr>
            <w:tcW w:w="1065" w:type="pct"/>
            <w:shd w:val="clear" w:color="auto" w:fill="auto"/>
            <w:vAlign w:val="center"/>
          </w:tcPr>
          <w:p w14:paraId="02B5D41B" w14:textId="77777777" w:rsidR="00A35145" w:rsidRPr="0098262F" w:rsidRDefault="00A35145" w:rsidP="00777D20">
            <w:pPr>
              <w:pStyle w:val="TableText0"/>
              <w:jc w:val="center"/>
            </w:pPr>
            <w:r w:rsidRPr="0098262F">
              <w:t>–</w:t>
            </w:r>
          </w:p>
        </w:tc>
        <w:tc>
          <w:tcPr>
            <w:tcW w:w="1061" w:type="pct"/>
            <w:shd w:val="clear" w:color="auto" w:fill="auto"/>
            <w:vAlign w:val="center"/>
          </w:tcPr>
          <w:p w14:paraId="1496D472" w14:textId="77777777" w:rsidR="00A35145" w:rsidRPr="0098262F" w:rsidRDefault="00A35145" w:rsidP="00777D20">
            <w:pPr>
              <w:pStyle w:val="TableText0"/>
              <w:jc w:val="center"/>
            </w:pPr>
            <w:r w:rsidRPr="0098262F">
              <w:t>–</w:t>
            </w:r>
          </w:p>
        </w:tc>
        <w:tc>
          <w:tcPr>
            <w:tcW w:w="1080" w:type="pct"/>
            <w:shd w:val="clear" w:color="auto" w:fill="auto"/>
            <w:vAlign w:val="center"/>
          </w:tcPr>
          <w:p w14:paraId="7960DB93" w14:textId="77777777" w:rsidR="00A35145" w:rsidRPr="0098262F" w:rsidRDefault="00A35145" w:rsidP="00777D20">
            <w:pPr>
              <w:pStyle w:val="TableText0"/>
              <w:jc w:val="center"/>
            </w:pPr>
            <w:r>
              <w:t>0.03 (0.00, 1.74)</w:t>
            </w:r>
          </w:p>
        </w:tc>
      </w:tr>
    </w:tbl>
    <w:p w14:paraId="5D914AD4" w14:textId="77777777" w:rsidR="00A35145" w:rsidRDefault="00A35145" w:rsidP="00A35145">
      <w:pPr>
        <w:pStyle w:val="FooterTableFigure"/>
      </w:pPr>
      <w:r w:rsidRPr="0098262F">
        <w:t>Source:</w:t>
      </w:r>
      <w:r>
        <w:t xml:space="preserve"> Table 2-28 to 2-29, Figure 2-28 to 2-29, pp118-9 of the submission</w:t>
      </w:r>
      <w:r w:rsidRPr="0098262F">
        <w:t>.</w:t>
      </w:r>
    </w:p>
    <w:p w14:paraId="0ADEE876" w14:textId="02C58129" w:rsidR="0045600F" w:rsidRPr="0098262F" w:rsidRDefault="00A35145" w:rsidP="05042C88">
      <w:pPr>
        <w:pStyle w:val="FooterTableFigure"/>
        <w:rPr>
          <w:sz w:val="20"/>
          <w:szCs w:val="20"/>
        </w:rPr>
      </w:pPr>
      <w:r w:rsidRPr="05042C88">
        <w:t xml:space="preserve">ELA = </w:t>
      </w:r>
      <w:proofErr w:type="spellStart"/>
      <w:r w:rsidRPr="05042C88">
        <w:t>elafibranor</w:t>
      </w:r>
      <w:proofErr w:type="spellEnd"/>
      <w:r w:rsidRPr="05042C88">
        <w:t xml:space="preserve">; OCA= </w:t>
      </w:r>
      <w:proofErr w:type="spellStart"/>
      <w:r w:rsidRPr="05042C88">
        <w:t>obeticholic</w:t>
      </w:r>
      <w:proofErr w:type="spellEnd"/>
      <w:r w:rsidRPr="05042C88">
        <w:t xml:space="preserve"> acid; </w:t>
      </w:r>
      <w:r w:rsidR="00D4719C" w:rsidRPr="05042C88">
        <w:t xml:space="preserve">N= total </w:t>
      </w:r>
      <w:r w:rsidR="007848B1" w:rsidRPr="05042C88">
        <w:t>patients</w:t>
      </w:r>
      <w:r w:rsidR="00D4719C" w:rsidRPr="05042C88">
        <w:t xml:space="preserve"> in the treatment arm; </w:t>
      </w:r>
      <w:r w:rsidRPr="05042C88">
        <w:t xml:space="preserve">OR= odds ratio; TEAE= treatment emergent adverse events; </w:t>
      </w:r>
      <w:r w:rsidRPr="05042C88">
        <w:rPr>
          <w:b/>
          <w:bCs/>
        </w:rPr>
        <w:t xml:space="preserve">Bold </w:t>
      </w:r>
      <w:r w:rsidRPr="05042C88">
        <w:t>indicates statistically significant results.</w:t>
      </w:r>
    </w:p>
    <w:p w14:paraId="0CFB03B7" w14:textId="3C77E6F1" w:rsidR="00935E11" w:rsidRPr="00935E11" w:rsidRDefault="003219D1" w:rsidP="05042C88">
      <w:pPr>
        <w:pStyle w:val="3-BodyText"/>
        <w:rPr>
          <w:i/>
          <w:iCs/>
        </w:rPr>
      </w:pPr>
      <w:bookmarkStart w:id="53" w:name="_Hlk184674778"/>
      <w:proofErr w:type="spellStart"/>
      <w:r w:rsidRPr="05042C88">
        <w:t>Elafibranor</w:t>
      </w:r>
      <w:proofErr w:type="spellEnd"/>
      <w:r w:rsidRPr="05042C88">
        <w:t xml:space="preserve"> resulted in </w:t>
      </w:r>
      <w:r w:rsidR="00A13834" w:rsidRPr="05042C88">
        <w:t xml:space="preserve">a greater reduction in the 5-D Itch Scale </w:t>
      </w:r>
      <w:r w:rsidR="00D95E55" w:rsidRPr="05042C88">
        <w:t xml:space="preserve">and the PBC Itch Domain Score </w:t>
      </w:r>
      <w:r w:rsidR="007E1299" w:rsidRPr="05042C88">
        <w:t>compared with OCA</w:t>
      </w:r>
      <w:r w:rsidR="00D95E55" w:rsidRPr="05042C88">
        <w:t xml:space="preserve"> </w:t>
      </w:r>
      <w:r w:rsidR="007E1299" w:rsidRPr="05042C88">
        <w:t xml:space="preserve">5-10 mg </w:t>
      </w:r>
      <w:r w:rsidR="00AB519B" w:rsidRPr="05042C88">
        <w:t>and OCA 10</w:t>
      </w:r>
      <w:r w:rsidR="00567E9C" w:rsidRPr="05042C88">
        <w:t xml:space="preserve"> </w:t>
      </w:r>
      <w:r w:rsidR="00AB519B" w:rsidRPr="05042C88">
        <w:t>mg</w:t>
      </w:r>
      <w:r w:rsidR="00293C97" w:rsidRPr="05042C88">
        <w:t xml:space="preserve">. </w:t>
      </w:r>
      <w:proofErr w:type="spellStart"/>
      <w:r w:rsidR="00E72FAB" w:rsidRPr="05042C88">
        <w:t>Elafibranor</w:t>
      </w:r>
      <w:proofErr w:type="spellEnd"/>
      <w:r w:rsidR="00E72FAB" w:rsidRPr="05042C88">
        <w:t xml:space="preserve"> also resulted in fewer </w:t>
      </w:r>
      <w:r w:rsidR="00567E9C" w:rsidRPr="05042C88">
        <w:t xml:space="preserve">patients </w:t>
      </w:r>
      <w:r w:rsidR="00E72FAB" w:rsidRPr="05042C88">
        <w:t>experiencing p</w:t>
      </w:r>
      <w:r w:rsidR="00AC5E0A" w:rsidRPr="05042C88">
        <w:t>r</w:t>
      </w:r>
      <w:r w:rsidR="00E72FAB" w:rsidRPr="05042C88">
        <w:t xml:space="preserve">uritus TEAEs </w:t>
      </w:r>
      <w:r w:rsidRPr="05042C88">
        <w:t xml:space="preserve">compared to OCA 5-10 mg and OCA 10 mg </w:t>
      </w:r>
      <w:r w:rsidR="00BA2D40" w:rsidRPr="05042C88">
        <w:t xml:space="preserve">and discontinuations due to pruritus </w:t>
      </w:r>
      <w:r w:rsidRPr="05042C88">
        <w:t>compared to OCA 5-10</w:t>
      </w:r>
      <w:r w:rsidR="00567E9C" w:rsidRPr="05042C88">
        <w:t xml:space="preserve"> </w:t>
      </w:r>
      <w:r w:rsidRPr="05042C88">
        <w:t>mg and OCA 10</w:t>
      </w:r>
      <w:r w:rsidR="00567E9C" w:rsidRPr="05042C88">
        <w:t xml:space="preserve"> </w:t>
      </w:r>
      <w:r w:rsidRPr="05042C88">
        <w:t>mg.</w:t>
      </w:r>
      <w:r w:rsidR="00AC5E0A" w:rsidRPr="05042C88">
        <w:t xml:space="preserve"> </w:t>
      </w:r>
      <w:r w:rsidR="00196179" w:rsidRPr="05042C88">
        <w:t xml:space="preserve">The submission claimed that statistically significant differences were observed between </w:t>
      </w:r>
      <w:proofErr w:type="spellStart"/>
      <w:r w:rsidR="00196179" w:rsidRPr="05042C88">
        <w:t>elafibranor</w:t>
      </w:r>
      <w:proofErr w:type="spellEnd"/>
      <w:r w:rsidR="00196179" w:rsidRPr="05042C88">
        <w:t xml:space="preserve"> and </w:t>
      </w:r>
      <w:r w:rsidR="00863F6B" w:rsidRPr="05042C88">
        <w:t xml:space="preserve">OCA </w:t>
      </w:r>
      <w:r w:rsidR="00196179" w:rsidRPr="05042C88">
        <w:t>for mean change in pruritus (PBC-40 Itch</w:t>
      </w:r>
      <w:r w:rsidR="007A22C5" w:rsidRPr="05042C88">
        <w:t xml:space="preserve"> Domain</w:t>
      </w:r>
      <w:r w:rsidR="00196179" w:rsidRPr="05042C88">
        <w:t xml:space="preserve">) from baseline at 12 months and occurrence of pruritus TEAE of any severity within 12 months. </w:t>
      </w:r>
      <w:bookmarkEnd w:id="53"/>
      <w:r w:rsidR="00196179" w:rsidRPr="05042C88">
        <w:t xml:space="preserve">The submission </w:t>
      </w:r>
      <w:r w:rsidR="00BD084D" w:rsidRPr="05042C88">
        <w:t xml:space="preserve">noted </w:t>
      </w:r>
      <w:r w:rsidR="00196179" w:rsidRPr="05042C88">
        <w:t xml:space="preserve">that </w:t>
      </w:r>
      <w:r w:rsidR="00935E11" w:rsidRPr="05042C88">
        <w:t>statistically significant differences</w:t>
      </w:r>
      <w:r w:rsidR="00196179" w:rsidRPr="05042C88">
        <w:t xml:space="preserve"> between </w:t>
      </w:r>
      <w:proofErr w:type="spellStart"/>
      <w:r w:rsidR="00196179" w:rsidRPr="05042C88">
        <w:t>elafibranor</w:t>
      </w:r>
      <w:proofErr w:type="spellEnd"/>
      <w:r w:rsidR="00196179" w:rsidRPr="05042C88">
        <w:t xml:space="preserve"> and OCA could not be concluded for the analyses of mean change in pruritus (5-D Itch</w:t>
      </w:r>
      <w:r w:rsidR="00164049" w:rsidRPr="05042C88">
        <w:t xml:space="preserve"> Scale</w:t>
      </w:r>
      <w:r w:rsidR="00196179" w:rsidRPr="05042C88">
        <w:t>) at 12 months and odds of discontinuation due to pruritus.</w:t>
      </w:r>
    </w:p>
    <w:p w14:paraId="3F29E33D" w14:textId="494B237D" w:rsidR="00C93774" w:rsidRPr="00D100E6" w:rsidRDefault="00935E11" w:rsidP="00B2673F">
      <w:pPr>
        <w:pStyle w:val="3-BodyText"/>
      </w:pPr>
      <w:r w:rsidRPr="00D100E6">
        <w:t xml:space="preserve">These results were </w:t>
      </w:r>
      <w:r w:rsidR="00196179" w:rsidRPr="00D100E6">
        <w:t>uncertain as there were differences across the ELATIVE and POISE trials that affected the assumption of transitivity</w:t>
      </w:r>
      <w:r w:rsidR="00B665E0">
        <w:t>;</w:t>
      </w:r>
      <w:r w:rsidR="00196179" w:rsidRPr="00D100E6">
        <w:t xml:space="preserve"> in particular</w:t>
      </w:r>
      <w:r w:rsidR="0085738F" w:rsidRPr="00D100E6">
        <w:t>,</w:t>
      </w:r>
      <w:r w:rsidR="00196179" w:rsidRPr="00D100E6">
        <w:t xml:space="preserve"> the POISE trial excluded </w:t>
      </w:r>
      <w:r w:rsidR="007848B1">
        <w:t>patients</w:t>
      </w:r>
      <w:r w:rsidR="00AA433A" w:rsidRPr="00D100E6">
        <w:t xml:space="preserve"> </w:t>
      </w:r>
      <w:r w:rsidR="00196179" w:rsidRPr="00D100E6">
        <w:t>with severe pruritus</w:t>
      </w:r>
      <w:r w:rsidR="006A6D74" w:rsidRPr="00D100E6">
        <w:t xml:space="preserve"> (</w:t>
      </w:r>
      <w:r w:rsidR="006A6D74" w:rsidRPr="00814C03">
        <w:t>see para</w:t>
      </w:r>
      <w:r w:rsidR="0066320D" w:rsidRPr="00814C03">
        <w:t>graph</w:t>
      </w:r>
      <w:r w:rsidR="006A6D74" w:rsidRPr="00814C03">
        <w:t xml:space="preserve"> </w:t>
      </w:r>
      <w:r w:rsidR="006A6D74" w:rsidRPr="00814C03">
        <w:fldChar w:fldCharType="begin" w:fldLock="1"/>
      </w:r>
      <w:r w:rsidR="006A6D74" w:rsidRPr="00814C03">
        <w:instrText xml:space="preserve"> REF _Ref184673533 \r \h  \* MERGEFORMAT </w:instrText>
      </w:r>
      <w:r w:rsidR="006A6D74" w:rsidRPr="00814C03">
        <w:fldChar w:fldCharType="separate"/>
      </w:r>
      <w:r w:rsidR="00A56EA5">
        <w:t>6.14</w:t>
      </w:r>
      <w:r w:rsidR="006A6D74" w:rsidRPr="00814C03">
        <w:fldChar w:fldCharType="end"/>
      </w:r>
      <w:r w:rsidR="006A6D74" w:rsidRPr="00D100E6">
        <w:t>)</w:t>
      </w:r>
      <w:r w:rsidR="00E26E86" w:rsidRPr="00D100E6">
        <w:t xml:space="preserve"> and the occurrence of pruritus TEAEs in the placebo arm were lower in the ELATIVE trial</w:t>
      </w:r>
      <w:r w:rsidR="00196179" w:rsidRPr="00D100E6">
        <w:t xml:space="preserve">. Furthermore, </w:t>
      </w:r>
      <w:r w:rsidR="00C93774" w:rsidRPr="00D100E6">
        <w:t>t</w:t>
      </w:r>
      <w:r w:rsidR="00196179" w:rsidRPr="00D100E6">
        <w:rPr>
          <w:lang w:val="en-GB"/>
        </w:rPr>
        <w:t>he analysis of the PBC-40 Itch Domain score was an exploratory analysis</w:t>
      </w:r>
      <w:r w:rsidR="00BD1C53" w:rsidRPr="00D100E6">
        <w:rPr>
          <w:lang w:val="en-GB"/>
        </w:rPr>
        <w:t>. I</w:t>
      </w:r>
      <w:r w:rsidR="00196179" w:rsidRPr="00D100E6">
        <w:rPr>
          <w:lang w:val="en-GB"/>
        </w:rPr>
        <w:t xml:space="preserve">t was </w:t>
      </w:r>
      <w:r w:rsidR="00BD1C53" w:rsidRPr="00D100E6">
        <w:rPr>
          <w:lang w:val="en-GB"/>
        </w:rPr>
        <w:t xml:space="preserve">also </w:t>
      </w:r>
      <w:r w:rsidR="00196179" w:rsidRPr="00D100E6">
        <w:rPr>
          <w:lang w:val="en-GB"/>
        </w:rPr>
        <w:t xml:space="preserve">unclear whether the </w:t>
      </w:r>
      <w:r w:rsidR="00FF2B9D" w:rsidRPr="00D100E6">
        <w:rPr>
          <w:lang w:val="en-GB"/>
        </w:rPr>
        <w:t xml:space="preserve">difference in the PBC-40 Itch Domain </w:t>
      </w:r>
      <w:r w:rsidR="009502EA" w:rsidRPr="00D100E6">
        <w:rPr>
          <w:lang w:val="en-GB"/>
        </w:rPr>
        <w:t xml:space="preserve">was </w:t>
      </w:r>
      <w:r w:rsidR="00196179" w:rsidRPr="00D100E6">
        <w:rPr>
          <w:lang w:val="en-GB"/>
        </w:rPr>
        <w:t>clinically significant.</w:t>
      </w:r>
    </w:p>
    <w:p w14:paraId="052C29E3" w14:textId="3E72055F" w:rsidR="000E0DDB" w:rsidRPr="00512AE3" w:rsidRDefault="00DF7835">
      <w:pPr>
        <w:pStyle w:val="3-BodyText"/>
        <w:rPr>
          <w:i/>
          <w:iCs/>
        </w:rPr>
      </w:pPr>
      <w:r>
        <w:fldChar w:fldCharType="begin" w:fldLock="1"/>
      </w:r>
      <w:r>
        <w:instrText xml:space="preserve"> REF _Ref184813359 \h </w:instrText>
      </w:r>
      <w:r>
        <w:fldChar w:fldCharType="separate"/>
      </w:r>
      <w:r w:rsidR="002B3034">
        <w:t xml:space="preserve">Table </w:t>
      </w:r>
      <w:r w:rsidR="002B3034">
        <w:rPr>
          <w:noProof/>
        </w:rPr>
        <w:t>12</w:t>
      </w:r>
      <w:r>
        <w:fldChar w:fldCharType="end"/>
      </w:r>
      <w:r>
        <w:t xml:space="preserve"> presents the r</w:t>
      </w:r>
      <w:r w:rsidRPr="00DF7835">
        <w:t xml:space="preserve">esults of the indirect comparison for mean change in </w:t>
      </w:r>
      <w:r w:rsidR="004075C8" w:rsidRPr="004075C8">
        <w:t>high density lipoprotein</w:t>
      </w:r>
      <w:r w:rsidR="004075C8">
        <w:t xml:space="preserve"> (</w:t>
      </w:r>
      <w:r w:rsidRPr="00DF7835">
        <w:t>HDL</w:t>
      </w:r>
      <w:r w:rsidR="004075C8">
        <w:t>)</w:t>
      </w:r>
      <w:r w:rsidRPr="00DF7835">
        <w:t xml:space="preserve"> cholesterol (mg/dL)</w:t>
      </w:r>
      <w:r>
        <w:t>.</w:t>
      </w:r>
    </w:p>
    <w:p w14:paraId="2A14FE67" w14:textId="02A7C11E" w:rsidR="007E04B9" w:rsidRPr="0098262F" w:rsidRDefault="00DF7835" w:rsidP="00DF7835">
      <w:pPr>
        <w:pStyle w:val="Caption"/>
      </w:pPr>
      <w:bookmarkStart w:id="54" w:name="_Ref184813359"/>
      <w:r>
        <w:lastRenderedPageBreak/>
        <w:t xml:space="preserve">Table </w:t>
      </w:r>
      <w:r w:rsidR="00780A90">
        <w:fldChar w:fldCharType="begin" w:fldLock="1"/>
      </w:r>
      <w:r w:rsidR="00780A90">
        <w:instrText xml:space="preserve"> SEQ Table \* ARABIC </w:instrText>
      </w:r>
      <w:r w:rsidR="00780A90">
        <w:fldChar w:fldCharType="separate"/>
      </w:r>
      <w:r w:rsidR="00780A90">
        <w:rPr>
          <w:noProof/>
        </w:rPr>
        <w:t>12</w:t>
      </w:r>
      <w:r w:rsidR="00780A90">
        <w:rPr>
          <w:noProof/>
        </w:rPr>
        <w:fldChar w:fldCharType="end"/>
      </w:r>
      <w:bookmarkEnd w:id="54"/>
      <w:r>
        <w:t xml:space="preserve">: </w:t>
      </w:r>
      <w:r w:rsidR="007E04B9" w:rsidRPr="0098262F">
        <w:rPr>
          <w:rStyle w:val="CommentReference"/>
          <w:b/>
          <w:szCs w:val="24"/>
        </w:rPr>
        <w:t xml:space="preserve">Results of the indirect comparison for </w:t>
      </w:r>
      <w:r w:rsidR="007E04B9">
        <w:rPr>
          <w:rStyle w:val="CommentReference"/>
          <w:b/>
          <w:szCs w:val="24"/>
        </w:rPr>
        <w:t>m</w:t>
      </w:r>
      <w:r w:rsidR="007E04B9" w:rsidRPr="00A022BB">
        <w:rPr>
          <w:rStyle w:val="CommentReference"/>
          <w:b/>
          <w:szCs w:val="24"/>
        </w:rPr>
        <w:t xml:space="preserve">ean change in </w:t>
      </w:r>
      <w:r w:rsidR="007E04B9" w:rsidRPr="00A11BB9">
        <w:t xml:space="preserve">HDL cholesterol </w:t>
      </w:r>
      <w:r w:rsidR="007E04B9">
        <w:t xml:space="preserve">(mg/dL) </w:t>
      </w:r>
      <w:r w:rsidR="007E04B9" w:rsidRPr="00A022BB">
        <w:rPr>
          <w:rStyle w:val="CommentReference"/>
          <w:b/>
          <w:szCs w:val="24"/>
        </w:rPr>
        <w:t>from baseline at 12 months</w:t>
      </w:r>
      <w:r w:rsidR="001929B7">
        <w:rPr>
          <w:rStyle w:val="CommentReference"/>
          <w:b/>
          <w:szCs w:val="24"/>
        </w:rPr>
        <w:t xml:space="preserve"> (ITT)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320"/>
        <w:gridCol w:w="1439"/>
        <w:gridCol w:w="1441"/>
        <w:gridCol w:w="2182"/>
      </w:tblGrid>
      <w:tr w:rsidR="007E04B9" w:rsidRPr="00AD45E9" w14:paraId="2F2A61EF" w14:textId="77777777" w:rsidTr="00AD45E9">
        <w:trPr>
          <w:tblHeader/>
          <w:jc w:val="center"/>
        </w:trPr>
        <w:tc>
          <w:tcPr>
            <w:tcW w:w="1461" w:type="pct"/>
            <w:vMerge w:val="restart"/>
            <w:shd w:val="clear" w:color="auto" w:fill="auto"/>
            <w:vAlign w:val="center"/>
          </w:tcPr>
          <w:p w14:paraId="02709063" w14:textId="77777777" w:rsidR="007E04B9" w:rsidRPr="00AD45E9" w:rsidRDefault="007E04B9" w:rsidP="00DF7835">
            <w:pPr>
              <w:pStyle w:val="In-tableHeading"/>
              <w:jc w:val="center"/>
              <w:rPr>
                <w:lang w:val="en-AU"/>
              </w:rPr>
            </w:pPr>
            <w:r w:rsidRPr="00AD45E9">
              <w:rPr>
                <w:lang w:val="en-AU"/>
              </w:rPr>
              <w:t>Trial</w:t>
            </w:r>
          </w:p>
        </w:tc>
        <w:tc>
          <w:tcPr>
            <w:tcW w:w="2329" w:type="pct"/>
            <w:gridSpan w:val="3"/>
            <w:shd w:val="clear" w:color="auto" w:fill="auto"/>
            <w:vAlign w:val="center"/>
          </w:tcPr>
          <w:p w14:paraId="335FC6B6" w14:textId="77777777" w:rsidR="007E04B9" w:rsidRPr="00AD45E9" w:rsidRDefault="007E04B9" w:rsidP="00DF7835">
            <w:pPr>
              <w:pStyle w:val="In-tableHeading"/>
              <w:jc w:val="center"/>
              <w:rPr>
                <w:lang w:val="en-AU"/>
              </w:rPr>
            </w:pPr>
            <w:r w:rsidRPr="00AD45E9">
              <w:rPr>
                <w:lang w:val="en-AU"/>
              </w:rPr>
              <w:t xml:space="preserve">Change from baseline in </w:t>
            </w:r>
            <w:r w:rsidRPr="00AD45E9">
              <w:t xml:space="preserve">HDL cholesterol </w:t>
            </w:r>
            <w:r w:rsidRPr="00AD45E9">
              <w:rPr>
                <w:lang w:val="en-AU"/>
              </w:rPr>
              <w:t>LSM (SE)</w:t>
            </w:r>
          </w:p>
        </w:tc>
        <w:tc>
          <w:tcPr>
            <w:tcW w:w="1210" w:type="pct"/>
            <w:vMerge w:val="restart"/>
            <w:shd w:val="clear" w:color="auto" w:fill="auto"/>
            <w:vAlign w:val="center"/>
          </w:tcPr>
          <w:p w14:paraId="7C56F60E" w14:textId="77777777" w:rsidR="007E04B9" w:rsidRPr="00AD45E9" w:rsidRDefault="007E04B9" w:rsidP="00DF7835">
            <w:pPr>
              <w:pStyle w:val="In-tableHeading"/>
              <w:jc w:val="center"/>
              <w:rPr>
                <w:lang w:val="en-AU"/>
              </w:rPr>
            </w:pPr>
            <w:r w:rsidRPr="00AD45E9">
              <w:rPr>
                <w:lang w:val="en-AU"/>
              </w:rPr>
              <w:t>LSM (95% CI)</w:t>
            </w:r>
          </w:p>
        </w:tc>
      </w:tr>
      <w:tr w:rsidR="007E04B9" w:rsidRPr="00AD45E9" w14:paraId="44096844" w14:textId="77777777" w:rsidTr="00AD45E9">
        <w:trPr>
          <w:tblHeader/>
          <w:jc w:val="center"/>
        </w:trPr>
        <w:tc>
          <w:tcPr>
            <w:tcW w:w="1461" w:type="pct"/>
            <w:vMerge/>
            <w:shd w:val="clear" w:color="auto" w:fill="auto"/>
            <w:vAlign w:val="center"/>
          </w:tcPr>
          <w:p w14:paraId="07FBE891" w14:textId="77777777" w:rsidR="007E04B9" w:rsidRPr="00AD45E9" w:rsidRDefault="007E04B9">
            <w:pPr>
              <w:pStyle w:val="Tabletext"/>
            </w:pPr>
          </w:p>
        </w:tc>
        <w:tc>
          <w:tcPr>
            <w:tcW w:w="732" w:type="pct"/>
            <w:shd w:val="clear" w:color="auto" w:fill="auto"/>
            <w:vAlign w:val="center"/>
          </w:tcPr>
          <w:p w14:paraId="6615B4E0" w14:textId="77777777" w:rsidR="007E04B9" w:rsidRPr="00AD45E9" w:rsidRDefault="007E04B9" w:rsidP="00DF7835">
            <w:pPr>
              <w:pStyle w:val="In-tableHeading"/>
              <w:jc w:val="center"/>
              <w:rPr>
                <w:lang w:val="en-AU"/>
              </w:rPr>
            </w:pPr>
            <w:r w:rsidRPr="00AD45E9">
              <w:rPr>
                <w:lang w:val="en-AU"/>
              </w:rPr>
              <w:t>ELA</w:t>
            </w:r>
          </w:p>
        </w:tc>
        <w:tc>
          <w:tcPr>
            <w:tcW w:w="798" w:type="pct"/>
            <w:shd w:val="clear" w:color="auto" w:fill="auto"/>
            <w:vAlign w:val="center"/>
          </w:tcPr>
          <w:p w14:paraId="69C8EA09" w14:textId="77777777" w:rsidR="007E04B9" w:rsidRPr="00AD45E9" w:rsidRDefault="007E04B9" w:rsidP="00DF7835">
            <w:pPr>
              <w:pStyle w:val="In-tableHeading"/>
              <w:jc w:val="center"/>
              <w:rPr>
                <w:lang w:val="en-AU"/>
              </w:rPr>
            </w:pPr>
            <w:r w:rsidRPr="00AD45E9">
              <w:rPr>
                <w:lang w:val="en-AU"/>
              </w:rPr>
              <w:t>Placebo</w:t>
            </w:r>
          </w:p>
        </w:tc>
        <w:tc>
          <w:tcPr>
            <w:tcW w:w="798" w:type="pct"/>
            <w:shd w:val="clear" w:color="auto" w:fill="auto"/>
            <w:vAlign w:val="center"/>
          </w:tcPr>
          <w:p w14:paraId="5BC7545A" w14:textId="77777777" w:rsidR="007E04B9" w:rsidRPr="00AD45E9" w:rsidRDefault="007E04B9" w:rsidP="00DF7835">
            <w:pPr>
              <w:pStyle w:val="In-tableHeading"/>
              <w:jc w:val="center"/>
              <w:rPr>
                <w:lang w:val="en-AU"/>
              </w:rPr>
            </w:pPr>
            <w:r w:rsidRPr="00AD45E9">
              <w:rPr>
                <w:lang w:val="en-AU"/>
              </w:rPr>
              <w:t>OCA</w:t>
            </w:r>
          </w:p>
        </w:tc>
        <w:tc>
          <w:tcPr>
            <w:tcW w:w="1210" w:type="pct"/>
            <w:vMerge/>
            <w:shd w:val="clear" w:color="auto" w:fill="auto"/>
            <w:vAlign w:val="center"/>
          </w:tcPr>
          <w:p w14:paraId="08FBEEEB" w14:textId="77777777" w:rsidR="007E04B9" w:rsidRPr="00AD45E9" w:rsidRDefault="007E04B9">
            <w:pPr>
              <w:pStyle w:val="Tabletext"/>
              <w:jc w:val="center"/>
            </w:pPr>
          </w:p>
        </w:tc>
      </w:tr>
      <w:tr w:rsidR="00DE533A" w:rsidRPr="00AD45E9" w14:paraId="0005A2E3" w14:textId="77777777" w:rsidTr="00AD45E9">
        <w:trPr>
          <w:jc w:val="center"/>
        </w:trPr>
        <w:tc>
          <w:tcPr>
            <w:tcW w:w="1461" w:type="pct"/>
            <w:shd w:val="clear" w:color="auto" w:fill="auto"/>
            <w:vAlign w:val="center"/>
          </w:tcPr>
          <w:p w14:paraId="37F1C9B4" w14:textId="77777777" w:rsidR="00DE533A" w:rsidRPr="00AD45E9" w:rsidRDefault="00DE533A" w:rsidP="00DE533A">
            <w:pPr>
              <w:pStyle w:val="TableText0"/>
            </w:pPr>
            <w:r w:rsidRPr="00AD45E9">
              <w:t>ELATIVE</w:t>
            </w:r>
          </w:p>
        </w:tc>
        <w:tc>
          <w:tcPr>
            <w:tcW w:w="732" w:type="pct"/>
            <w:shd w:val="clear" w:color="auto" w:fill="auto"/>
            <w:vAlign w:val="center"/>
          </w:tcPr>
          <w:p w14:paraId="1BD232A2" w14:textId="77777777" w:rsidR="00DE533A" w:rsidRPr="00AD45E9" w:rsidRDefault="00DE533A" w:rsidP="00DE533A">
            <w:pPr>
              <w:pStyle w:val="TableText0"/>
              <w:jc w:val="center"/>
            </w:pPr>
            <w:r w:rsidRPr="00AD45E9">
              <w:t>N=95</w:t>
            </w:r>
          </w:p>
          <w:p w14:paraId="4363ABEA" w14:textId="69ED247A" w:rsidR="00DE533A" w:rsidRPr="00AD45E9" w:rsidRDefault="00DE533A" w:rsidP="00DE533A">
            <w:pPr>
              <w:pStyle w:val="TableText0"/>
              <w:jc w:val="center"/>
            </w:pPr>
            <w:r w:rsidRPr="00AD45E9">
              <w:t>0.4 (1.4)</w:t>
            </w:r>
          </w:p>
        </w:tc>
        <w:tc>
          <w:tcPr>
            <w:tcW w:w="798" w:type="pct"/>
            <w:shd w:val="clear" w:color="auto" w:fill="auto"/>
            <w:vAlign w:val="center"/>
          </w:tcPr>
          <w:p w14:paraId="3010EA9C" w14:textId="77777777" w:rsidR="00DE533A" w:rsidRPr="00AD45E9" w:rsidRDefault="00DE533A" w:rsidP="00DE533A">
            <w:pPr>
              <w:pStyle w:val="TableText0"/>
              <w:jc w:val="center"/>
            </w:pPr>
            <w:r w:rsidRPr="00AD45E9">
              <w:t>N=47</w:t>
            </w:r>
          </w:p>
          <w:p w14:paraId="2933D9A3" w14:textId="140531A6" w:rsidR="00DE533A" w:rsidRPr="00AD45E9" w:rsidRDefault="00DE533A" w:rsidP="00DE533A">
            <w:pPr>
              <w:pStyle w:val="TableText0"/>
              <w:jc w:val="center"/>
            </w:pPr>
            <w:r w:rsidRPr="00AD45E9">
              <w:t>-2.2 (2.3)</w:t>
            </w:r>
          </w:p>
        </w:tc>
        <w:tc>
          <w:tcPr>
            <w:tcW w:w="798" w:type="pct"/>
            <w:shd w:val="clear" w:color="auto" w:fill="auto"/>
            <w:vAlign w:val="center"/>
          </w:tcPr>
          <w:p w14:paraId="45311CBA" w14:textId="2A78CC96" w:rsidR="00DE533A" w:rsidRPr="00AD45E9" w:rsidRDefault="00DE533A" w:rsidP="00DE533A">
            <w:pPr>
              <w:pStyle w:val="TableText0"/>
              <w:jc w:val="center"/>
            </w:pPr>
            <w:r w:rsidRPr="00AD45E9">
              <w:t>-</w:t>
            </w:r>
          </w:p>
        </w:tc>
        <w:tc>
          <w:tcPr>
            <w:tcW w:w="1210" w:type="pct"/>
            <w:shd w:val="clear" w:color="auto" w:fill="auto"/>
            <w:vAlign w:val="center"/>
          </w:tcPr>
          <w:p w14:paraId="0827F599" w14:textId="6CB96E24" w:rsidR="00DE533A" w:rsidRPr="00AD45E9" w:rsidRDefault="00DE533A" w:rsidP="00DE533A">
            <w:pPr>
              <w:pStyle w:val="TableText0"/>
              <w:jc w:val="center"/>
            </w:pPr>
            <w:r w:rsidRPr="00AD45E9">
              <w:t>1.55 (-0.36, 6.6504)</w:t>
            </w:r>
          </w:p>
        </w:tc>
      </w:tr>
      <w:tr w:rsidR="007E04B9" w:rsidRPr="00AD45E9" w14:paraId="0774AB9B" w14:textId="77777777" w:rsidTr="00AD45E9">
        <w:trPr>
          <w:jc w:val="center"/>
        </w:trPr>
        <w:tc>
          <w:tcPr>
            <w:tcW w:w="1461" w:type="pct"/>
            <w:shd w:val="clear" w:color="auto" w:fill="auto"/>
            <w:vAlign w:val="center"/>
          </w:tcPr>
          <w:p w14:paraId="734689B2" w14:textId="77777777" w:rsidR="007E04B9" w:rsidRPr="00AD45E9" w:rsidRDefault="007E04B9">
            <w:pPr>
              <w:pStyle w:val="TableText0"/>
            </w:pPr>
            <w:r w:rsidRPr="00AD45E9">
              <w:t>POISE (OCA 5-10mg)</w:t>
            </w:r>
          </w:p>
        </w:tc>
        <w:tc>
          <w:tcPr>
            <w:tcW w:w="732" w:type="pct"/>
            <w:shd w:val="clear" w:color="auto" w:fill="auto"/>
            <w:vAlign w:val="center"/>
          </w:tcPr>
          <w:p w14:paraId="741D6A72" w14:textId="77777777" w:rsidR="007E04B9" w:rsidRPr="00AD45E9" w:rsidRDefault="007E04B9">
            <w:pPr>
              <w:pStyle w:val="TableText0"/>
              <w:jc w:val="center"/>
            </w:pPr>
            <w:r w:rsidRPr="00AD45E9">
              <w:t>-</w:t>
            </w:r>
          </w:p>
        </w:tc>
        <w:tc>
          <w:tcPr>
            <w:tcW w:w="798" w:type="pct"/>
            <w:shd w:val="clear" w:color="auto" w:fill="auto"/>
            <w:vAlign w:val="center"/>
          </w:tcPr>
          <w:p w14:paraId="27899E10" w14:textId="77777777" w:rsidR="007E04B9" w:rsidRPr="00AD45E9" w:rsidRDefault="007E04B9">
            <w:pPr>
              <w:pStyle w:val="TableText0"/>
              <w:jc w:val="center"/>
            </w:pPr>
            <w:r w:rsidRPr="00AD45E9">
              <w:t>N=73</w:t>
            </w:r>
          </w:p>
          <w:p w14:paraId="65818F05" w14:textId="77777777" w:rsidR="007E04B9" w:rsidRPr="00AD45E9" w:rsidRDefault="007E04B9">
            <w:pPr>
              <w:pStyle w:val="TableText0"/>
              <w:jc w:val="center"/>
            </w:pPr>
            <w:r w:rsidRPr="00AD45E9">
              <w:t>-2.7 (2.3)</w:t>
            </w:r>
          </w:p>
        </w:tc>
        <w:tc>
          <w:tcPr>
            <w:tcW w:w="798" w:type="pct"/>
            <w:shd w:val="clear" w:color="auto" w:fill="auto"/>
            <w:vAlign w:val="center"/>
          </w:tcPr>
          <w:p w14:paraId="3658B066" w14:textId="77777777" w:rsidR="007E04B9" w:rsidRPr="00AD45E9" w:rsidRDefault="007E04B9">
            <w:pPr>
              <w:pStyle w:val="TableText0"/>
              <w:jc w:val="center"/>
            </w:pPr>
            <w:r w:rsidRPr="00AD45E9">
              <w:t>N=70</w:t>
            </w:r>
          </w:p>
          <w:p w14:paraId="0373FD05" w14:textId="77777777" w:rsidR="007E04B9" w:rsidRPr="00AD45E9" w:rsidRDefault="007E04B9">
            <w:pPr>
              <w:pStyle w:val="TableText0"/>
              <w:jc w:val="center"/>
            </w:pPr>
            <w:r w:rsidRPr="00AD45E9">
              <w:t>-13.3 (3.2)</w:t>
            </w:r>
          </w:p>
        </w:tc>
        <w:tc>
          <w:tcPr>
            <w:tcW w:w="1210" w:type="pct"/>
            <w:shd w:val="clear" w:color="auto" w:fill="auto"/>
            <w:vAlign w:val="center"/>
          </w:tcPr>
          <w:p w14:paraId="13BE52A1" w14:textId="77777777" w:rsidR="007E04B9" w:rsidRPr="00AD45E9" w:rsidRDefault="007E04B9">
            <w:pPr>
              <w:pStyle w:val="TableText0"/>
              <w:jc w:val="center"/>
            </w:pPr>
            <w:r w:rsidRPr="00AD45E9">
              <w:t>NR</w:t>
            </w:r>
          </w:p>
        </w:tc>
      </w:tr>
      <w:tr w:rsidR="007E04B9" w:rsidRPr="00AD45E9" w14:paraId="2997C3D7" w14:textId="77777777" w:rsidTr="00AD45E9">
        <w:trPr>
          <w:jc w:val="center"/>
        </w:trPr>
        <w:tc>
          <w:tcPr>
            <w:tcW w:w="1461" w:type="pct"/>
            <w:shd w:val="clear" w:color="auto" w:fill="auto"/>
            <w:vAlign w:val="center"/>
          </w:tcPr>
          <w:p w14:paraId="21E806DE" w14:textId="77777777" w:rsidR="007E04B9" w:rsidRPr="00AD45E9" w:rsidRDefault="007E04B9">
            <w:pPr>
              <w:pStyle w:val="TableText0"/>
            </w:pPr>
            <w:r w:rsidRPr="00AD45E9">
              <w:t>POISE (OCA 10mg)</w:t>
            </w:r>
          </w:p>
        </w:tc>
        <w:tc>
          <w:tcPr>
            <w:tcW w:w="732" w:type="pct"/>
            <w:shd w:val="clear" w:color="auto" w:fill="auto"/>
            <w:vAlign w:val="center"/>
          </w:tcPr>
          <w:p w14:paraId="5D5C36E8" w14:textId="77777777" w:rsidR="007E04B9" w:rsidRPr="00AD45E9" w:rsidRDefault="007E04B9">
            <w:pPr>
              <w:pStyle w:val="TableText0"/>
              <w:jc w:val="center"/>
            </w:pPr>
            <w:r w:rsidRPr="00AD45E9">
              <w:t>-</w:t>
            </w:r>
          </w:p>
        </w:tc>
        <w:tc>
          <w:tcPr>
            <w:tcW w:w="798" w:type="pct"/>
            <w:shd w:val="clear" w:color="auto" w:fill="auto"/>
            <w:vAlign w:val="center"/>
          </w:tcPr>
          <w:p w14:paraId="35B34E54" w14:textId="77777777" w:rsidR="007E04B9" w:rsidRPr="00AD45E9" w:rsidRDefault="007E04B9">
            <w:pPr>
              <w:pStyle w:val="TableText0"/>
              <w:jc w:val="center"/>
            </w:pPr>
            <w:r w:rsidRPr="00AD45E9">
              <w:t>N=73</w:t>
            </w:r>
          </w:p>
          <w:p w14:paraId="3AD0C382" w14:textId="77777777" w:rsidR="007E04B9" w:rsidRPr="00AD45E9" w:rsidRDefault="007E04B9">
            <w:pPr>
              <w:pStyle w:val="TableText0"/>
              <w:jc w:val="center"/>
            </w:pPr>
            <w:r w:rsidRPr="00AD45E9">
              <w:t>-2.7 (2.3)</w:t>
            </w:r>
          </w:p>
        </w:tc>
        <w:tc>
          <w:tcPr>
            <w:tcW w:w="798" w:type="pct"/>
            <w:shd w:val="clear" w:color="auto" w:fill="auto"/>
            <w:vAlign w:val="center"/>
          </w:tcPr>
          <w:p w14:paraId="75E927A4" w14:textId="77777777" w:rsidR="007E04B9" w:rsidRPr="00AD45E9" w:rsidRDefault="007E04B9">
            <w:pPr>
              <w:pStyle w:val="TableText0"/>
              <w:jc w:val="center"/>
            </w:pPr>
            <w:r w:rsidRPr="00AD45E9">
              <w:t>N=73</w:t>
            </w:r>
          </w:p>
          <w:p w14:paraId="0CA2C17B" w14:textId="77777777" w:rsidR="007E04B9" w:rsidRPr="00AD45E9" w:rsidRDefault="007E04B9">
            <w:pPr>
              <w:pStyle w:val="TableText0"/>
              <w:jc w:val="center"/>
            </w:pPr>
            <w:r w:rsidRPr="00AD45E9">
              <w:t>-9.2 (2.7)</w:t>
            </w:r>
          </w:p>
        </w:tc>
        <w:tc>
          <w:tcPr>
            <w:tcW w:w="1210" w:type="pct"/>
            <w:shd w:val="clear" w:color="auto" w:fill="auto"/>
            <w:vAlign w:val="center"/>
          </w:tcPr>
          <w:p w14:paraId="5AE54BBF" w14:textId="77777777" w:rsidR="007E04B9" w:rsidRPr="00AD45E9" w:rsidRDefault="007E04B9">
            <w:pPr>
              <w:pStyle w:val="TableText0"/>
              <w:jc w:val="center"/>
            </w:pPr>
            <w:r w:rsidRPr="00AD45E9">
              <w:t>NR</w:t>
            </w:r>
          </w:p>
        </w:tc>
      </w:tr>
      <w:tr w:rsidR="007E04B9" w:rsidRPr="00AD45E9" w14:paraId="3D13B42A" w14:textId="77777777" w:rsidTr="00AD45E9">
        <w:trPr>
          <w:jc w:val="center"/>
        </w:trPr>
        <w:tc>
          <w:tcPr>
            <w:tcW w:w="3790" w:type="pct"/>
            <w:gridSpan w:val="4"/>
            <w:shd w:val="clear" w:color="auto" w:fill="auto"/>
            <w:vAlign w:val="center"/>
          </w:tcPr>
          <w:p w14:paraId="3E40E6B2" w14:textId="089DC58B" w:rsidR="007E04B9" w:rsidRPr="00807FD7" w:rsidRDefault="007E04B9" w:rsidP="00AD45E9">
            <w:pPr>
              <w:pStyle w:val="TableText0"/>
              <w:rPr>
                <w:lang w:val="it-IT"/>
              </w:rPr>
            </w:pPr>
            <w:r w:rsidRPr="00807FD7">
              <w:rPr>
                <w:lang w:val="it-IT"/>
              </w:rPr>
              <w:t xml:space="preserve">Indirect comparison, </w:t>
            </w:r>
            <w:r w:rsidR="00DE533A" w:rsidRPr="00807FD7">
              <w:rPr>
                <w:lang w:val="it-IT"/>
              </w:rPr>
              <w:t>ELA</w:t>
            </w:r>
            <w:r w:rsidRPr="00807FD7">
              <w:rPr>
                <w:lang w:val="it-IT"/>
              </w:rPr>
              <w:t xml:space="preserve"> vs OCA 5-10mg (95% CI)</w:t>
            </w:r>
          </w:p>
        </w:tc>
        <w:tc>
          <w:tcPr>
            <w:tcW w:w="1210" w:type="pct"/>
            <w:shd w:val="clear" w:color="auto" w:fill="auto"/>
            <w:vAlign w:val="center"/>
          </w:tcPr>
          <w:p w14:paraId="5ADF2177" w14:textId="397D5959" w:rsidR="007E04B9" w:rsidRPr="00AD45E9" w:rsidRDefault="007E04B9">
            <w:pPr>
              <w:pStyle w:val="TableText0"/>
              <w:jc w:val="center"/>
              <w:rPr>
                <w:b/>
              </w:rPr>
            </w:pPr>
            <w:r w:rsidRPr="00AD45E9">
              <w:rPr>
                <w:b/>
              </w:rPr>
              <w:t>MD</w:t>
            </w:r>
            <w:r w:rsidR="00783342" w:rsidRPr="00AD45E9">
              <w:rPr>
                <w:b/>
              </w:rPr>
              <w:t xml:space="preserve"> </w:t>
            </w:r>
            <w:r w:rsidRPr="00AD45E9">
              <w:rPr>
                <w:b/>
              </w:rPr>
              <w:t>= 13.16 (3.86, 22.45)</w:t>
            </w:r>
          </w:p>
        </w:tc>
      </w:tr>
      <w:tr w:rsidR="007E04B9" w:rsidRPr="00AD45E9" w14:paraId="75057DD9" w14:textId="77777777" w:rsidTr="00AD45E9">
        <w:trPr>
          <w:jc w:val="center"/>
        </w:trPr>
        <w:tc>
          <w:tcPr>
            <w:tcW w:w="3790" w:type="pct"/>
            <w:gridSpan w:val="4"/>
            <w:shd w:val="clear" w:color="auto" w:fill="auto"/>
            <w:vAlign w:val="center"/>
          </w:tcPr>
          <w:p w14:paraId="37F3723F" w14:textId="318EE0B6" w:rsidR="007E04B9" w:rsidRPr="00807FD7" w:rsidRDefault="007E04B9" w:rsidP="00AD45E9">
            <w:pPr>
              <w:pStyle w:val="TableText0"/>
              <w:rPr>
                <w:lang w:val="it-IT"/>
              </w:rPr>
            </w:pPr>
            <w:r w:rsidRPr="00807FD7">
              <w:rPr>
                <w:lang w:val="it-IT"/>
              </w:rPr>
              <w:t xml:space="preserve">Indirect comparison, </w:t>
            </w:r>
            <w:r w:rsidR="00DE533A" w:rsidRPr="00807FD7">
              <w:rPr>
                <w:lang w:val="it-IT"/>
              </w:rPr>
              <w:t>ELA</w:t>
            </w:r>
            <w:r w:rsidRPr="00807FD7">
              <w:rPr>
                <w:lang w:val="it-IT"/>
              </w:rPr>
              <w:t xml:space="preserve"> vs OCA 10mg (95% CI)</w:t>
            </w:r>
          </w:p>
        </w:tc>
        <w:tc>
          <w:tcPr>
            <w:tcW w:w="1210" w:type="pct"/>
            <w:shd w:val="clear" w:color="auto" w:fill="auto"/>
            <w:vAlign w:val="center"/>
          </w:tcPr>
          <w:p w14:paraId="11729D34" w14:textId="04D108A1" w:rsidR="007E04B9" w:rsidRPr="00AD45E9" w:rsidRDefault="007E04B9">
            <w:pPr>
              <w:pStyle w:val="TableText0"/>
              <w:jc w:val="center"/>
              <w:rPr>
                <w:b/>
              </w:rPr>
            </w:pPr>
            <w:r w:rsidRPr="00AD45E9">
              <w:rPr>
                <w:b/>
              </w:rPr>
              <w:t>MD</w:t>
            </w:r>
            <w:r w:rsidR="00783342" w:rsidRPr="00AD45E9">
              <w:rPr>
                <w:b/>
              </w:rPr>
              <w:t xml:space="preserve"> </w:t>
            </w:r>
            <w:r w:rsidRPr="00AD45E9">
              <w:rPr>
                <w:b/>
              </w:rPr>
              <w:t>= 9.07 (0.42, 17.72)</w:t>
            </w:r>
          </w:p>
        </w:tc>
      </w:tr>
    </w:tbl>
    <w:p w14:paraId="6EB9E33E" w14:textId="3718C1C4" w:rsidR="007E04B9" w:rsidRPr="00AD45E9" w:rsidRDefault="007E04B9" w:rsidP="000E0DDB">
      <w:pPr>
        <w:pStyle w:val="FooterTableFigure"/>
      </w:pPr>
      <w:r w:rsidRPr="00AD45E9">
        <w:t>Source: Table 2-27 and Figure 2-27, p117 of the submission</w:t>
      </w:r>
      <w:r w:rsidR="00AC4110" w:rsidRPr="00AD45E9">
        <w:t xml:space="preserve"> and p631, Table 14.2.6.18 of ELATIVE CSR appendices (gft505b-319-1-14-tfg.pdf). Estimates for the POISE study were unable to be verified.</w:t>
      </w:r>
    </w:p>
    <w:p w14:paraId="6C4FB3A3" w14:textId="18CF02DF" w:rsidR="007E04B9" w:rsidRPr="0098262F" w:rsidRDefault="007E04B9" w:rsidP="000E0DDB">
      <w:pPr>
        <w:pStyle w:val="FooterTableFigure"/>
      </w:pPr>
      <w:r w:rsidRPr="05042C88">
        <w:t xml:space="preserve">CI = confidence interval; ELA = </w:t>
      </w:r>
      <w:proofErr w:type="spellStart"/>
      <w:r w:rsidRPr="05042C88">
        <w:t>elafibranor</w:t>
      </w:r>
      <w:proofErr w:type="spellEnd"/>
      <w:r w:rsidRPr="05042C88">
        <w:t xml:space="preserve">; </w:t>
      </w:r>
      <w:r w:rsidR="00DE4B28" w:rsidRPr="05042C88">
        <w:t xml:space="preserve">HDL= high density lipoprotein; </w:t>
      </w:r>
      <w:r w:rsidRPr="05042C88">
        <w:t xml:space="preserve">LSM = least square mean; </w:t>
      </w:r>
      <w:r w:rsidR="00384293" w:rsidRPr="05042C88">
        <w:t xml:space="preserve">MD = mean difference; NR=Not reported; </w:t>
      </w:r>
      <w:r w:rsidRPr="05042C88">
        <w:t xml:space="preserve">OCA= </w:t>
      </w:r>
      <w:proofErr w:type="spellStart"/>
      <w:r w:rsidRPr="05042C88">
        <w:t>obeticholic</w:t>
      </w:r>
      <w:proofErr w:type="spellEnd"/>
      <w:r w:rsidRPr="05042C88">
        <w:t xml:space="preserve"> acid; SE = standard error; </w:t>
      </w:r>
      <w:r w:rsidRPr="05042C88">
        <w:rPr>
          <w:b/>
          <w:bCs/>
        </w:rPr>
        <w:t xml:space="preserve">Bold </w:t>
      </w:r>
      <w:r w:rsidRPr="05042C88">
        <w:t>indicates statistically significant results</w:t>
      </w:r>
    </w:p>
    <w:p w14:paraId="27BAAE78" w14:textId="695D9997" w:rsidR="00FA6ED1" w:rsidRPr="00D100E6" w:rsidRDefault="00896C8A" w:rsidP="000416B8">
      <w:pPr>
        <w:pStyle w:val="3-BodyText"/>
      </w:pPr>
      <w:proofErr w:type="spellStart"/>
      <w:r w:rsidRPr="05042C88">
        <w:t>Elafibranor</w:t>
      </w:r>
      <w:proofErr w:type="spellEnd"/>
      <w:r w:rsidRPr="05042C88">
        <w:t xml:space="preserve"> resulted in a greater increase in HDL cholesterol compared with OCA </w:t>
      </w:r>
      <w:r>
        <w:br/>
      </w:r>
      <w:r w:rsidRPr="05042C88">
        <w:t xml:space="preserve">5-10 mg </w:t>
      </w:r>
      <w:r w:rsidR="00B665E0" w:rsidRPr="05042C88">
        <w:t>(0.34</w:t>
      </w:r>
      <w:r w:rsidR="005051D0" w:rsidRPr="05042C88">
        <w:t xml:space="preserve"> </w:t>
      </w:r>
      <w:r w:rsidR="00B665E0" w:rsidRPr="05042C88">
        <w:t xml:space="preserve">mmol/L) </w:t>
      </w:r>
      <w:r w:rsidRPr="05042C88">
        <w:t>and OCA 10</w:t>
      </w:r>
      <w:r w:rsidR="00814C03" w:rsidRPr="05042C88">
        <w:t xml:space="preserve"> </w:t>
      </w:r>
      <w:r w:rsidRPr="05042C88">
        <w:t>mg</w:t>
      </w:r>
      <w:r w:rsidR="00B665E0" w:rsidRPr="05042C88">
        <w:t xml:space="preserve"> (0.23</w:t>
      </w:r>
      <w:r w:rsidR="005051D0" w:rsidRPr="05042C88">
        <w:t xml:space="preserve"> </w:t>
      </w:r>
      <w:r w:rsidR="00B665E0" w:rsidRPr="05042C88">
        <w:t>mmol/L)</w:t>
      </w:r>
      <w:r w:rsidR="00387097" w:rsidRPr="05042C88">
        <w:t>.</w:t>
      </w:r>
      <w:r w:rsidRPr="05042C88">
        <w:t xml:space="preserve"> </w:t>
      </w:r>
      <w:r w:rsidR="000416B8" w:rsidRPr="05042C88">
        <w:t xml:space="preserve">The submission </w:t>
      </w:r>
      <w:r w:rsidR="004B6B23" w:rsidRPr="05042C88">
        <w:t xml:space="preserve">also </w:t>
      </w:r>
      <w:r w:rsidR="000416B8" w:rsidRPr="05042C88">
        <w:t xml:space="preserve">claimed that statistically significant differences were observed between </w:t>
      </w:r>
      <w:proofErr w:type="spellStart"/>
      <w:r w:rsidR="000416B8" w:rsidRPr="05042C88">
        <w:t>elafibranor</w:t>
      </w:r>
      <w:proofErr w:type="spellEnd"/>
      <w:r w:rsidR="000416B8" w:rsidRPr="05042C88">
        <w:t xml:space="preserve"> and </w:t>
      </w:r>
      <w:r w:rsidR="00725948" w:rsidRPr="05042C88">
        <w:t>OCA</w:t>
      </w:r>
      <w:r w:rsidR="000416B8" w:rsidRPr="05042C88">
        <w:t xml:space="preserve"> for mean change from baseline in HDL cholesterol at 12 months.</w:t>
      </w:r>
      <w:r w:rsidR="001929B7" w:rsidRPr="05042C88">
        <w:t xml:space="preserve"> </w:t>
      </w:r>
    </w:p>
    <w:p w14:paraId="14B2F8C7" w14:textId="47A03435" w:rsidR="00BD0B40" w:rsidRPr="00D100E6" w:rsidRDefault="00BD0B40" w:rsidP="000416B8">
      <w:pPr>
        <w:pStyle w:val="3-BodyText"/>
      </w:pPr>
      <w:r w:rsidRPr="00D100E6">
        <w:t>The economic model applied the results of an indirect comparison of all-cause discontinuations. This</w:t>
      </w:r>
      <w:r w:rsidR="00137128">
        <w:t xml:space="preserve"> comparison</w:t>
      </w:r>
      <w:r w:rsidRPr="00D100E6">
        <w:t xml:space="preserve"> was not presented by the submission.</w:t>
      </w:r>
    </w:p>
    <w:p w14:paraId="40875894" w14:textId="174DFC71" w:rsidR="004A29D1" w:rsidRPr="00C9624D" w:rsidRDefault="004A29D1" w:rsidP="004A29D1">
      <w:pPr>
        <w:pStyle w:val="4-SubsectionHeading"/>
      </w:pPr>
      <w:bookmarkStart w:id="55" w:name="_Toc22897643"/>
      <w:bookmarkStart w:id="56" w:name="_Toc187914753"/>
      <w:r w:rsidRPr="00C9624D">
        <w:t>Benefits/harms</w:t>
      </w:r>
      <w:bookmarkEnd w:id="55"/>
      <w:bookmarkEnd w:id="56"/>
    </w:p>
    <w:p w14:paraId="1CB772FF" w14:textId="744822A8" w:rsidR="00E723BA" w:rsidRPr="00D100E6" w:rsidRDefault="00EC00C9" w:rsidP="05042C88">
      <w:pPr>
        <w:pStyle w:val="3-BodyText"/>
        <w:rPr>
          <w:b/>
          <w:bCs/>
        </w:rPr>
      </w:pPr>
      <w:r w:rsidRPr="00E2449A">
        <w:t xml:space="preserve">A summary of the </w:t>
      </w:r>
      <w:r w:rsidR="005525EF" w:rsidRPr="00E2449A">
        <w:t xml:space="preserve">pruritus safety outcomes </w:t>
      </w:r>
      <w:r w:rsidRPr="00E2449A">
        <w:t>for</w:t>
      </w:r>
      <w:r w:rsidR="001A2049" w:rsidRPr="00E2449A">
        <w:t xml:space="preserve"> </w:t>
      </w:r>
      <w:proofErr w:type="spellStart"/>
      <w:r w:rsidR="001A2049" w:rsidRPr="00E2449A">
        <w:t>elafibranor</w:t>
      </w:r>
      <w:proofErr w:type="spellEnd"/>
      <w:r w:rsidR="001A2049" w:rsidRPr="00E2449A">
        <w:t xml:space="preserve"> </w:t>
      </w:r>
      <w:r w:rsidRPr="00E2449A">
        <w:t xml:space="preserve">versus </w:t>
      </w:r>
      <w:r w:rsidR="001A2049" w:rsidRPr="00E2449A">
        <w:t>OCA</w:t>
      </w:r>
      <w:r w:rsidRPr="00E2449A">
        <w:t xml:space="preserve"> is presented in</w:t>
      </w:r>
      <w:r w:rsidR="00E16AD8" w:rsidRPr="00E2449A">
        <w:t xml:space="preserve"> </w:t>
      </w:r>
      <w:r w:rsidRPr="00E2449A">
        <w:fldChar w:fldCharType="begin" w:fldLock="1"/>
      </w:r>
      <w:r w:rsidRPr="00E2449A">
        <w:instrText xml:space="preserve"> REF _Ref184822925 \h </w:instrText>
      </w:r>
      <w:r w:rsidR="00E2449A" w:rsidRPr="00E2449A">
        <w:instrText xml:space="preserve"> \* MERGEFORMAT </w:instrText>
      </w:r>
      <w:r w:rsidRPr="00E2449A">
        <w:fldChar w:fldCharType="separate"/>
      </w:r>
      <w:r w:rsidR="002B3034" w:rsidRPr="00E2449A">
        <w:t xml:space="preserve">Table </w:t>
      </w:r>
      <w:r w:rsidR="002B3034" w:rsidRPr="00E2449A">
        <w:rPr>
          <w:noProof/>
        </w:rPr>
        <w:t>13</w:t>
      </w:r>
      <w:r w:rsidRPr="00E2449A">
        <w:fldChar w:fldCharType="end"/>
      </w:r>
      <w:r w:rsidR="00D31ED7" w:rsidRPr="00E2449A">
        <w:t xml:space="preserve">. </w:t>
      </w:r>
      <w:r w:rsidR="00EA319B" w:rsidRPr="00E2449A">
        <w:t xml:space="preserve">The ESC noted that pruritus is </w:t>
      </w:r>
      <w:r w:rsidR="00413743" w:rsidRPr="00E2449A">
        <w:t xml:space="preserve">a </w:t>
      </w:r>
      <w:r w:rsidR="00EA319B" w:rsidRPr="00E2449A">
        <w:t>symptom of PBC</w:t>
      </w:r>
      <w:r w:rsidR="00413743" w:rsidRPr="00E2449A">
        <w:t>.</w:t>
      </w:r>
      <w:r w:rsidR="00E37C76" w:rsidRPr="00E2449A">
        <w:t xml:space="preserve"> </w:t>
      </w:r>
      <w:r w:rsidR="00282368" w:rsidRPr="00E2449A">
        <w:t>The benefits portion of the table was not presented as the submission made a claim of</w:t>
      </w:r>
      <w:r w:rsidR="00282368" w:rsidRPr="05042C88">
        <w:t xml:space="preserve"> non-inferior efficacy.</w:t>
      </w:r>
    </w:p>
    <w:p w14:paraId="50F0477A" w14:textId="4D3B838E" w:rsidR="00B62715" w:rsidRPr="0098262F" w:rsidRDefault="001458AE" w:rsidP="05042C88">
      <w:pPr>
        <w:pStyle w:val="Caption"/>
        <w:rPr>
          <w:rStyle w:val="CommentReference"/>
          <w:b/>
        </w:rPr>
      </w:pPr>
      <w:bookmarkStart w:id="57" w:name="_Ref184737267"/>
      <w:bookmarkStart w:id="58" w:name="_Ref184822925"/>
      <w:r w:rsidRPr="05042C88">
        <w:lastRenderedPageBreak/>
        <w:t xml:space="preserve">Table </w:t>
      </w:r>
      <w:r w:rsidRPr="05042C88">
        <w:fldChar w:fldCharType="begin" w:fldLock="1"/>
      </w:r>
      <w:r>
        <w:instrText xml:space="preserve"> SEQ Table \* ARABIC </w:instrText>
      </w:r>
      <w:r w:rsidRPr="05042C88">
        <w:fldChar w:fldCharType="separate"/>
      </w:r>
      <w:r w:rsidR="00780A90" w:rsidRPr="05042C88">
        <w:rPr>
          <w:noProof/>
        </w:rPr>
        <w:t>13</w:t>
      </w:r>
      <w:r w:rsidRPr="05042C88">
        <w:rPr>
          <w:noProof/>
        </w:rPr>
        <w:fldChar w:fldCharType="end"/>
      </w:r>
      <w:bookmarkEnd w:id="57"/>
      <w:bookmarkEnd w:id="58"/>
      <w:r w:rsidRPr="05042C88">
        <w:t xml:space="preserve">: </w:t>
      </w:r>
      <w:r w:rsidR="00B62715" w:rsidRPr="05042C88">
        <w:rPr>
          <w:rStyle w:val="CommentReference"/>
          <w:b/>
        </w:rPr>
        <w:t xml:space="preserve">Summary of comparative benefits and harms for </w:t>
      </w:r>
      <w:proofErr w:type="spellStart"/>
      <w:r w:rsidR="00C6695C" w:rsidRPr="05042C88">
        <w:rPr>
          <w:rStyle w:val="CommentReference"/>
          <w:b/>
        </w:rPr>
        <w:t>elafibranor</w:t>
      </w:r>
      <w:proofErr w:type="spellEnd"/>
      <w:r w:rsidR="00C6695C" w:rsidRPr="05042C88">
        <w:rPr>
          <w:rStyle w:val="CommentReference"/>
          <w:b/>
        </w:rPr>
        <w:t xml:space="preserve"> </w:t>
      </w:r>
      <w:r w:rsidR="00B62715" w:rsidRPr="05042C88">
        <w:rPr>
          <w:rStyle w:val="CommentReference"/>
          <w:b/>
        </w:rPr>
        <w:t xml:space="preserve">and </w:t>
      </w:r>
      <w:r w:rsidR="00C6695C" w:rsidRPr="05042C88">
        <w:rPr>
          <w:rStyle w:val="CommentReference"/>
          <w:b/>
        </w:rPr>
        <w:t>OCA</w:t>
      </w:r>
    </w:p>
    <w:tbl>
      <w:tblPr>
        <w:tblW w:w="5000" w:type="pct"/>
        <w:tblCellMar>
          <w:left w:w="28" w:type="dxa"/>
          <w:right w:w="28" w:type="dxa"/>
        </w:tblCellMar>
        <w:tblLook w:val="04A0" w:firstRow="1" w:lastRow="0" w:firstColumn="1" w:lastColumn="0" w:noHBand="0" w:noVBand="1"/>
      </w:tblPr>
      <w:tblGrid>
        <w:gridCol w:w="1151"/>
        <w:gridCol w:w="846"/>
        <w:gridCol w:w="707"/>
        <w:gridCol w:w="260"/>
        <w:gridCol w:w="721"/>
        <w:gridCol w:w="709"/>
        <w:gridCol w:w="427"/>
        <w:gridCol w:w="604"/>
        <w:gridCol w:w="391"/>
        <w:gridCol w:w="1021"/>
        <w:gridCol w:w="1105"/>
        <w:gridCol w:w="1075"/>
      </w:tblGrid>
      <w:tr w:rsidR="005D044D" w:rsidRPr="00085918" w14:paraId="77A72A91" w14:textId="77777777" w:rsidTr="005E29AF">
        <w:trPr>
          <w:cantSplit/>
        </w:trPr>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14:paraId="74F50AAB" w14:textId="3E2F0B4A" w:rsidR="00B62715" w:rsidRPr="00085918" w:rsidRDefault="009D23E8" w:rsidP="00A67931">
            <w:pPr>
              <w:pStyle w:val="In-tableHeading"/>
              <w:rPr>
                <w:lang w:val="en-AU"/>
              </w:rPr>
            </w:pPr>
            <w:r w:rsidRPr="00085918">
              <w:rPr>
                <w:lang w:val="en-AU"/>
              </w:rPr>
              <w:t>Harms</w:t>
            </w:r>
          </w:p>
        </w:tc>
      </w:tr>
      <w:tr w:rsidR="005D044D" w:rsidRPr="00085918" w14:paraId="51E08784" w14:textId="77777777" w:rsidTr="005E29AF">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631904F8" w14:textId="1760CEBF" w:rsidR="00B62715" w:rsidRPr="00085918" w:rsidRDefault="0099474C" w:rsidP="00A67931">
            <w:pPr>
              <w:pStyle w:val="In-tableHeading"/>
              <w:rPr>
                <w:lang w:val="en-AU"/>
              </w:rPr>
            </w:pPr>
            <w:r w:rsidRPr="00085918">
              <w:t>Occurrence of pruritus TEAE of any severity within 12 months</w:t>
            </w:r>
          </w:p>
        </w:tc>
      </w:tr>
      <w:tr w:rsidR="003D4A30" w:rsidRPr="00085918" w14:paraId="6C2CAA24" w14:textId="77777777" w:rsidTr="007330DB">
        <w:trPr>
          <w:cantSplit/>
          <w:trHeight w:val="105"/>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BBC299" w14:textId="77777777" w:rsidR="00B62715" w:rsidRPr="00085918" w:rsidRDefault="00B62715" w:rsidP="00A67931">
            <w:pPr>
              <w:pStyle w:val="In-tableHeading"/>
              <w:jc w:val="center"/>
              <w:rPr>
                <w:lang w:val="en-AU"/>
              </w:rPr>
            </w:pP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3B639C8E" w14:textId="5E28978C" w:rsidR="00B62715" w:rsidRPr="00085918" w:rsidRDefault="0099474C" w:rsidP="00A67931">
            <w:pPr>
              <w:pStyle w:val="In-tableHeading"/>
              <w:jc w:val="center"/>
              <w:rPr>
                <w:lang w:val="en-AU"/>
              </w:rPr>
            </w:pPr>
            <w:r w:rsidRPr="00085918">
              <w:rPr>
                <w:lang w:val="en-AU"/>
              </w:rPr>
              <w:t>ELA</w:t>
            </w:r>
            <w:r w:rsidR="00085918">
              <w:rPr>
                <w:lang w:val="en-AU"/>
              </w:rPr>
              <w:t>,</w:t>
            </w:r>
          </w:p>
          <w:p w14:paraId="172533C9" w14:textId="7779C57B" w:rsidR="002C5889" w:rsidRPr="00085918" w:rsidRDefault="002C5889" w:rsidP="00A67931">
            <w:pPr>
              <w:pStyle w:val="In-tableHeading"/>
              <w:jc w:val="center"/>
              <w:rPr>
                <w:lang w:val="en-AU"/>
              </w:rPr>
            </w:pPr>
            <w:r w:rsidRPr="00085918">
              <w:rPr>
                <w:lang w:val="en-AU"/>
              </w:rPr>
              <w:t>n/N</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1599EDFB" w14:textId="313E7EF1" w:rsidR="00B62715" w:rsidRPr="00085918" w:rsidRDefault="00B62715" w:rsidP="00A67931">
            <w:pPr>
              <w:pStyle w:val="In-tableHeading"/>
              <w:jc w:val="center"/>
              <w:rPr>
                <w:lang w:val="en-AU"/>
              </w:rPr>
            </w:pPr>
            <w:r w:rsidRPr="00085918">
              <w:rPr>
                <w:lang w:val="en-AU"/>
              </w:rPr>
              <w:t>PBO</w:t>
            </w:r>
            <w:r w:rsidR="00085918">
              <w:rPr>
                <w:lang w:val="en-AU"/>
              </w:rPr>
              <w:t>,</w:t>
            </w:r>
          </w:p>
          <w:p w14:paraId="09407572" w14:textId="4D4B780C" w:rsidR="002C5889" w:rsidRPr="00085918" w:rsidRDefault="002C5889" w:rsidP="00A67931">
            <w:pPr>
              <w:pStyle w:val="In-tableHeading"/>
              <w:jc w:val="center"/>
              <w:rPr>
                <w:lang w:val="en-AU"/>
              </w:rPr>
            </w:pPr>
            <w:r w:rsidRPr="00085918">
              <w:rPr>
                <w:lang w:val="en-AU"/>
              </w:rPr>
              <w:t>n/N</w:t>
            </w:r>
          </w:p>
        </w:tc>
        <w:tc>
          <w:tcPr>
            <w:tcW w:w="544" w:type="pct"/>
            <w:gridSpan w:val="2"/>
            <w:vMerge w:val="restart"/>
            <w:tcBorders>
              <w:top w:val="single" w:sz="4" w:space="0" w:color="auto"/>
              <w:left w:val="single" w:sz="4" w:space="0" w:color="auto"/>
              <w:bottom w:val="single" w:sz="4" w:space="0" w:color="auto"/>
              <w:right w:val="single" w:sz="4" w:space="0" w:color="auto"/>
            </w:tcBorders>
            <w:vAlign w:val="center"/>
          </w:tcPr>
          <w:p w14:paraId="5B83D6A5" w14:textId="77777777" w:rsidR="006D39BF" w:rsidRPr="00085918" w:rsidRDefault="006D39BF" w:rsidP="00A67931">
            <w:pPr>
              <w:pStyle w:val="In-tableHeading"/>
              <w:jc w:val="center"/>
              <w:rPr>
                <w:lang w:val="en-AU"/>
              </w:rPr>
            </w:pPr>
            <w:r w:rsidRPr="00085918">
              <w:rPr>
                <w:lang w:val="en-AU"/>
              </w:rPr>
              <w:t>OCA</w:t>
            </w:r>
          </w:p>
          <w:p w14:paraId="6349313C" w14:textId="43249830" w:rsidR="00B62715" w:rsidRPr="00085918" w:rsidRDefault="006D39BF" w:rsidP="00A67931">
            <w:pPr>
              <w:pStyle w:val="In-tableHeading"/>
              <w:jc w:val="center"/>
              <w:rPr>
                <w:lang w:val="en-AU"/>
              </w:rPr>
            </w:pPr>
            <w:r w:rsidRPr="00085918">
              <w:rPr>
                <w:lang w:val="en-AU"/>
              </w:rPr>
              <w:t>5-10 mg</w:t>
            </w:r>
            <w:r w:rsidR="00085918">
              <w:rPr>
                <w:lang w:val="en-AU"/>
              </w:rPr>
              <w:t>,</w:t>
            </w:r>
          </w:p>
          <w:p w14:paraId="08E65E93" w14:textId="09F2B294" w:rsidR="002C5889" w:rsidRPr="00085918" w:rsidRDefault="002C5889" w:rsidP="00A67931">
            <w:pPr>
              <w:pStyle w:val="In-tableHeading"/>
              <w:jc w:val="center"/>
              <w:rPr>
                <w:lang w:val="en-AU"/>
              </w:rPr>
            </w:pPr>
            <w:r w:rsidRPr="00085918">
              <w:rPr>
                <w:lang w:val="en-AU"/>
              </w:rPr>
              <w:t>n/N</w:t>
            </w: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08C6DDCF" w14:textId="5836BDDB" w:rsidR="00B62715" w:rsidRPr="00085918" w:rsidRDefault="008F3EF1" w:rsidP="00A67931">
            <w:pPr>
              <w:pStyle w:val="In-tableHeading"/>
              <w:jc w:val="center"/>
              <w:rPr>
                <w:lang w:val="en-AU"/>
              </w:rPr>
            </w:pPr>
            <w:r w:rsidRPr="00085918">
              <w:rPr>
                <w:lang w:val="en-AU"/>
              </w:rPr>
              <w:t>O</w:t>
            </w:r>
            <w:r w:rsidR="00B62715" w:rsidRPr="00085918">
              <w:rPr>
                <w:lang w:val="en-AU"/>
              </w:rPr>
              <w:t>R</w:t>
            </w:r>
          </w:p>
          <w:p w14:paraId="50380EB6" w14:textId="77777777" w:rsidR="00B62715" w:rsidRPr="00085918" w:rsidRDefault="00B62715" w:rsidP="00A67931">
            <w:pPr>
              <w:pStyle w:val="In-tableHeading"/>
              <w:jc w:val="center"/>
              <w:rPr>
                <w:lang w:val="en-AU"/>
              </w:rPr>
            </w:pPr>
            <w:r w:rsidRPr="00085918">
              <w:rPr>
                <w:lang w:val="en-AU"/>
              </w:rPr>
              <w:t>(95% CI)</w:t>
            </w:r>
          </w:p>
        </w:tc>
        <w:tc>
          <w:tcPr>
            <w:tcW w:w="1731" w:type="pct"/>
            <w:gridSpan w:val="4"/>
            <w:tcBorders>
              <w:top w:val="single" w:sz="4" w:space="0" w:color="auto"/>
              <w:left w:val="single" w:sz="4" w:space="0" w:color="auto"/>
              <w:bottom w:val="single" w:sz="4" w:space="0" w:color="auto"/>
              <w:right w:val="single" w:sz="4" w:space="0" w:color="auto"/>
            </w:tcBorders>
            <w:vAlign w:val="center"/>
          </w:tcPr>
          <w:p w14:paraId="11994505" w14:textId="143CC18A" w:rsidR="00B62715" w:rsidRPr="00085918" w:rsidRDefault="00B62715" w:rsidP="00A67931">
            <w:pPr>
              <w:pStyle w:val="In-tableHeading"/>
              <w:jc w:val="center"/>
              <w:rPr>
                <w:lang w:val="en-AU"/>
              </w:rPr>
            </w:pPr>
            <w:r w:rsidRPr="00085918">
              <w:rPr>
                <w:lang w:val="en-AU"/>
              </w:rPr>
              <w:t xml:space="preserve">Event rate/100 </w:t>
            </w:r>
            <w:proofErr w:type="spellStart"/>
            <w:r w:rsidRPr="00085918">
              <w:rPr>
                <w:lang w:val="en-AU"/>
              </w:rPr>
              <w:t>patients</w:t>
            </w:r>
            <w:r w:rsidR="00187811" w:rsidRPr="00085918">
              <w:rPr>
                <w:vertAlign w:val="superscript"/>
                <w:lang w:val="en-AU"/>
              </w:rPr>
              <w:t>a</w:t>
            </w:r>
            <w:proofErr w:type="spellEnd"/>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3FF98FAE" w14:textId="77777777" w:rsidR="00B62715" w:rsidRPr="00085918" w:rsidRDefault="00B62715" w:rsidP="00A67931">
            <w:pPr>
              <w:pStyle w:val="In-tableHeading"/>
              <w:jc w:val="center"/>
              <w:rPr>
                <w:lang w:val="en-AU"/>
              </w:rPr>
            </w:pPr>
            <w:r w:rsidRPr="00085918">
              <w:rPr>
                <w:lang w:val="en-AU"/>
              </w:rPr>
              <w:t>RD</w:t>
            </w:r>
          </w:p>
          <w:p w14:paraId="6409EF42" w14:textId="77777777" w:rsidR="00B62715" w:rsidRPr="00085918" w:rsidRDefault="00B62715" w:rsidP="00A67931">
            <w:pPr>
              <w:pStyle w:val="In-tableHeading"/>
              <w:jc w:val="center"/>
              <w:rPr>
                <w:lang w:val="en-AU"/>
              </w:rPr>
            </w:pPr>
            <w:r w:rsidRPr="00085918">
              <w:rPr>
                <w:lang w:val="en-AU"/>
              </w:rPr>
              <w:t>(95% CI)</w:t>
            </w:r>
          </w:p>
        </w:tc>
      </w:tr>
      <w:tr w:rsidR="003D4A30" w:rsidRPr="00085918" w14:paraId="2D477782" w14:textId="77777777" w:rsidTr="00085918">
        <w:trPr>
          <w:cantSplit/>
          <w:trHeight w:val="7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8807E4" w14:textId="77777777" w:rsidR="00B62715" w:rsidRPr="00085918" w:rsidRDefault="00B62715" w:rsidP="00A67931">
            <w:pPr>
              <w:pStyle w:val="In-tableHeading"/>
              <w:jc w:val="center"/>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65A35D03" w14:textId="77777777" w:rsidR="00B62715" w:rsidRPr="00085918" w:rsidRDefault="00B62715" w:rsidP="00A67931">
            <w:pPr>
              <w:pStyle w:val="In-tableHeading"/>
              <w:jc w:val="center"/>
              <w:rPr>
                <w:lang w:val="en-A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47343C38" w14:textId="77777777" w:rsidR="00B62715" w:rsidRPr="00085918" w:rsidRDefault="00B62715" w:rsidP="00A67931">
            <w:pPr>
              <w:pStyle w:val="In-tableHeading"/>
              <w:jc w:val="center"/>
              <w:rPr>
                <w:lang w:val="en-AU"/>
              </w:rPr>
            </w:pPr>
          </w:p>
        </w:tc>
        <w:tc>
          <w:tcPr>
            <w:tcW w:w="544" w:type="pct"/>
            <w:gridSpan w:val="2"/>
            <w:vMerge/>
            <w:tcBorders>
              <w:top w:val="single" w:sz="4" w:space="0" w:color="auto"/>
              <w:left w:val="single" w:sz="4" w:space="0" w:color="auto"/>
              <w:bottom w:val="single" w:sz="4" w:space="0" w:color="auto"/>
              <w:right w:val="single" w:sz="4" w:space="0" w:color="auto"/>
            </w:tcBorders>
            <w:vAlign w:val="center"/>
          </w:tcPr>
          <w:p w14:paraId="39F6FB0C" w14:textId="77777777" w:rsidR="00B62715" w:rsidRPr="00085918" w:rsidRDefault="00B62715" w:rsidP="00A67931">
            <w:pPr>
              <w:pStyle w:val="In-tableHeading"/>
              <w:jc w:val="center"/>
              <w:rPr>
                <w:lang w:val="en-AU"/>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5309D8DE" w14:textId="77777777" w:rsidR="00B62715" w:rsidRPr="00085918" w:rsidRDefault="00B62715" w:rsidP="00A67931">
            <w:pPr>
              <w:pStyle w:val="In-tableHeading"/>
              <w:jc w:val="center"/>
              <w:rPr>
                <w:lang w:val="en-AU"/>
              </w:rPr>
            </w:pP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3BD1B0DD" w14:textId="69C266FD" w:rsidR="00B62715" w:rsidRPr="00085918" w:rsidRDefault="00FA270C" w:rsidP="00A67931">
            <w:pPr>
              <w:pStyle w:val="In-tableHeading"/>
              <w:jc w:val="center"/>
              <w:rPr>
                <w:lang w:val="en-AU"/>
              </w:rPr>
            </w:pPr>
            <w:r w:rsidRPr="00085918">
              <w:rPr>
                <w:lang w:val="en-AU"/>
              </w:rPr>
              <w:t>ELA</w:t>
            </w:r>
          </w:p>
        </w:tc>
        <w:tc>
          <w:tcPr>
            <w:tcW w:w="566" w:type="pct"/>
            <w:tcBorders>
              <w:top w:val="single" w:sz="4" w:space="0" w:color="auto"/>
              <w:left w:val="single" w:sz="4" w:space="0" w:color="auto"/>
              <w:bottom w:val="single" w:sz="4" w:space="0" w:color="auto"/>
              <w:right w:val="single" w:sz="4" w:space="0" w:color="auto"/>
            </w:tcBorders>
            <w:vAlign w:val="center"/>
          </w:tcPr>
          <w:p w14:paraId="767ADD8E" w14:textId="77777777" w:rsidR="00B62715" w:rsidRPr="00085918" w:rsidRDefault="00B62715" w:rsidP="00A67931">
            <w:pPr>
              <w:pStyle w:val="In-tableHeading"/>
              <w:jc w:val="center"/>
              <w:rPr>
                <w:lang w:val="en-AU"/>
              </w:rPr>
            </w:pPr>
            <w:r w:rsidRPr="00085918">
              <w:rPr>
                <w:lang w:val="en-AU"/>
              </w:rPr>
              <w:t>PBO</w:t>
            </w:r>
          </w:p>
        </w:tc>
        <w:tc>
          <w:tcPr>
            <w:tcW w:w="613" w:type="pct"/>
            <w:tcBorders>
              <w:top w:val="single" w:sz="4" w:space="0" w:color="auto"/>
              <w:left w:val="single" w:sz="4" w:space="0" w:color="auto"/>
              <w:bottom w:val="single" w:sz="4" w:space="0" w:color="auto"/>
              <w:right w:val="single" w:sz="4" w:space="0" w:color="auto"/>
            </w:tcBorders>
            <w:vAlign w:val="center"/>
          </w:tcPr>
          <w:p w14:paraId="62929788" w14:textId="3C18E077" w:rsidR="00B62715" w:rsidRPr="00085918" w:rsidRDefault="00FA270C" w:rsidP="00A67931">
            <w:pPr>
              <w:pStyle w:val="In-tableHeading"/>
              <w:jc w:val="center"/>
              <w:rPr>
                <w:lang w:val="en-AU"/>
              </w:rPr>
            </w:pPr>
            <w:r w:rsidRPr="00085918">
              <w:rPr>
                <w:lang w:val="en-AU"/>
              </w:rPr>
              <w:t>OCA 5-10 mg</w:t>
            </w:r>
          </w:p>
        </w:tc>
        <w:tc>
          <w:tcPr>
            <w:tcW w:w="596" w:type="pct"/>
            <w:vMerge/>
            <w:tcBorders>
              <w:top w:val="single" w:sz="4" w:space="0" w:color="auto"/>
              <w:left w:val="single" w:sz="4" w:space="0" w:color="auto"/>
              <w:bottom w:val="single" w:sz="4" w:space="0" w:color="auto"/>
              <w:right w:val="single" w:sz="4" w:space="0" w:color="auto"/>
            </w:tcBorders>
            <w:vAlign w:val="center"/>
          </w:tcPr>
          <w:p w14:paraId="2CCC1B7E" w14:textId="77777777" w:rsidR="00B62715" w:rsidRPr="00085918" w:rsidRDefault="00B62715" w:rsidP="00A67931">
            <w:pPr>
              <w:pStyle w:val="In-tableHeading"/>
              <w:jc w:val="center"/>
              <w:rPr>
                <w:lang w:val="en-AU"/>
              </w:rPr>
            </w:pPr>
          </w:p>
        </w:tc>
      </w:tr>
      <w:tr w:rsidR="003C5F69" w:rsidRPr="00085918" w14:paraId="106D3241" w14:textId="77777777" w:rsidTr="00085918">
        <w:trPr>
          <w:cantSplit/>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9C07BB0" w14:textId="243716F4" w:rsidR="003C5F69" w:rsidRPr="00085918" w:rsidRDefault="003C5F69" w:rsidP="003C5F69">
            <w:pPr>
              <w:pStyle w:val="TableText0"/>
            </w:pPr>
            <w:r w:rsidRPr="00085918">
              <w:t>ELATIVE</w:t>
            </w:r>
          </w:p>
        </w:tc>
        <w:tc>
          <w:tcPr>
            <w:tcW w:w="469" w:type="pct"/>
            <w:tcBorders>
              <w:top w:val="single" w:sz="4" w:space="0" w:color="auto"/>
              <w:left w:val="single" w:sz="4" w:space="0" w:color="auto"/>
              <w:bottom w:val="single" w:sz="4" w:space="0" w:color="auto"/>
              <w:right w:val="single" w:sz="4" w:space="0" w:color="auto"/>
            </w:tcBorders>
            <w:vAlign w:val="center"/>
          </w:tcPr>
          <w:p w14:paraId="5855D106" w14:textId="74D2C2D4" w:rsidR="003C5F69" w:rsidRPr="00085918" w:rsidRDefault="003C5F69" w:rsidP="003C5F69">
            <w:pPr>
              <w:pStyle w:val="TableText0"/>
              <w:jc w:val="center"/>
            </w:pPr>
            <w:r w:rsidRPr="00085918">
              <w:t>22/108</w:t>
            </w:r>
          </w:p>
        </w:tc>
        <w:tc>
          <w:tcPr>
            <w:tcW w:w="392" w:type="pct"/>
            <w:tcBorders>
              <w:top w:val="single" w:sz="4" w:space="0" w:color="auto"/>
              <w:left w:val="single" w:sz="4" w:space="0" w:color="auto"/>
              <w:bottom w:val="single" w:sz="4" w:space="0" w:color="auto"/>
              <w:right w:val="single" w:sz="4" w:space="0" w:color="auto"/>
            </w:tcBorders>
            <w:vAlign w:val="center"/>
          </w:tcPr>
          <w:p w14:paraId="6F40B4F5" w14:textId="5489406A" w:rsidR="003C5F69" w:rsidRPr="00085918" w:rsidRDefault="003C5F69" w:rsidP="003C5F69">
            <w:pPr>
              <w:pStyle w:val="TableText0"/>
              <w:jc w:val="center"/>
            </w:pPr>
            <w:r w:rsidRPr="00085918">
              <w:t>14/53</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206B1CC8" w14:textId="77777777" w:rsidR="003C5F69" w:rsidRPr="00085918" w:rsidRDefault="003C5F69" w:rsidP="003C5F69">
            <w:pPr>
              <w:pStyle w:val="TableText0"/>
              <w:jc w:val="center"/>
            </w:pPr>
            <w:r w:rsidRPr="00085918">
              <w:t>-</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E54BA31" w14:textId="71926A36" w:rsidR="003C5F69" w:rsidRPr="00085918" w:rsidRDefault="00560F4E" w:rsidP="003C5F69">
            <w:pPr>
              <w:pStyle w:val="TableText0"/>
              <w:jc w:val="center"/>
            </w:pPr>
            <w:r w:rsidRPr="00085918">
              <w:t>NR</w:t>
            </w: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5377BFE4" w14:textId="53EDE8FF" w:rsidR="003C5F69" w:rsidRPr="00085918" w:rsidRDefault="003C5F69" w:rsidP="003C5F69">
            <w:pPr>
              <w:pStyle w:val="TableText0"/>
              <w:jc w:val="center"/>
            </w:pPr>
            <w:r w:rsidRPr="00085918">
              <w:t>20.4</w:t>
            </w:r>
          </w:p>
        </w:tc>
        <w:tc>
          <w:tcPr>
            <w:tcW w:w="566" w:type="pct"/>
            <w:tcBorders>
              <w:top w:val="single" w:sz="4" w:space="0" w:color="auto"/>
              <w:left w:val="single" w:sz="4" w:space="0" w:color="auto"/>
              <w:bottom w:val="single" w:sz="4" w:space="0" w:color="auto"/>
              <w:right w:val="single" w:sz="4" w:space="0" w:color="auto"/>
            </w:tcBorders>
            <w:vAlign w:val="center"/>
          </w:tcPr>
          <w:p w14:paraId="340982B8" w14:textId="6E19F4D7" w:rsidR="003C5F69" w:rsidRPr="00085918" w:rsidRDefault="003C5F69" w:rsidP="003C5F69">
            <w:pPr>
              <w:pStyle w:val="TableText0"/>
              <w:jc w:val="center"/>
            </w:pPr>
            <w:r w:rsidRPr="00085918">
              <w:t>26.4</w:t>
            </w:r>
          </w:p>
        </w:tc>
        <w:tc>
          <w:tcPr>
            <w:tcW w:w="613" w:type="pct"/>
            <w:tcBorders>
              <w:top w:val="single" w:sz="4" w:space="0" w:color="auto"/>
              <w:left w:val="single" w:sz="4" w:space="0" w:color="auto"/>
              <w:bottom w:val="single" w:sz="4" w:space="0" w:color="auto"/>
              <w:right w:val="single" w:sz="4" w:space="0" w:color="auto"/>
            </w:tcBorders>
            <w:vAlign w:val="center"/>
          </w:tcPr>
          <w:p w14:paraId="6BE88E1B" w14:textId="77777777" w:rsidR="003C5F69" w:rsidRPr="00085918" w:rsidRDefault="003C5F69" w:rsidP="003C5F69">
            <w:pPr>
              <w:pStyle w:val="TableText0"/>
              <w:jc w:val="center"/>
            </w:pPr>
            <w:r w:rsidRPr="00085918">
              <w:t>-</w:t>
            </w:r>
          </w:p>
        </w:tc>
        <w:tc>
          <w:tcPr>
            <w:tcW w:w="596" w:type="pct"/>
            <w:tcBorders>
              <w:top w:val="single" w:sz="4" w:space="0" w:color="auto"/>
              <w:left w:val="single" w:sz="4" w:space="0" w:color="auto"/>
              <w:bottom w:val="single" w:sz="4" w:space="0" w:color="auto"/>
              <w:right w:val="single" w:sz="4" w:space="0" w:color="auto"/>
            </w:tcBorders>
            <w:vAlign w:val="center"/>
          </w:tcPr>
          <w:p w14:paraId="4FE7F34A" w14:textId="34B82295" w:rsidR="003C5F69" w:rsidRPr="00085918" w:rsidRDefault="00E81D8D" w:rsidP="003C5F69">
            <w:pPr>
              <w:pStyle w:val="TableText0"/>
              <w:jc w:val="center"/>
            </w:pPr>
            <w:r w:rsidRPr="00085918">
              <w:t>-6.0</w:t>
            </w:r>
          </w:p>
        </w:tc>
      </w:tr>
      <w:tr w:rsidR="00560F4E" w:rsidRPr="00085918" w14:paraId="6F2966D1" w14:textId="77777777" w:rsidTr="00085918">
        <w:trPr>
          <w:cantSplit/>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2DAF52" w14:textId="790BB7BB" w:rsidR="00560F4E" w:rsidRPr="00085918" w:rsidRDefault="00560F4E" w:rsidP="00560F4E">
            <w:pPr>
              <w:pStyle w:val="TableText0"/>
            </w:pPr>
            <w:r w:rsidRPr="00085918">
              <w:t>POISE</w:t>
            </w:r>
          </w:p>
        </w:tc>
        <w:tc>
          <w:tcPr>
            <w:tcW w:w="469" w:type="pct"/>
            <w:tcBorders>
              <w:top w:val="single" w:sz="4" w:space="0" w:color="auto"/>
              <w:left w:val="single" w:sz="4" w:space="0" w:color="auto"/>
              <w:bottom w:val="single" w:sz="4" w:space="0" w:color="auto"/>
              <w:right w:val="single" w:sz="4" w:space="0" w:color="auto"/>
            </w:tcBorders>
            <w:vAlign w:val="center"/>
          </w:tcPr>
          <w:p w14:paraId="1BABB01D" w14:textId="32BC3AC9" w:rsidR="00560F4E" w:rsidRPr="00085918" w:rsidRDefault="0022609E" w:rsidP="00560F4E">
            <w:pPr>
              <w:pStyle w:val="TableText0"/>
              <w:jc w:val="center"/>
            </w:pPr>
            <w:r w:rsidRPr="00085918">
              <w:t>-</w:t>
            </w:r>
          </w:p>
        </w:tc>
        <w:tc>
          <w:tcPr>
            <w:tcW w:w="392" w:type="pct"/>
            <w:tcBorders>
              <w:top w:val="single" w:sz="4" w:space="0" w:color="auto"/>
              <w:left w:val="single" w:sz="4" w:space="0" w:color="auto"/>
              <w:bottom w:val="single" w:sz="4" w:space="0" w:color="auto"/>
              <w:right w:val="single" w:sz="4" w:space="0" w:color="auto"/>
            </w:tcBorders>
            <w:vAlign w:val="center"/>
          </w:tcPr>
          <w:p w14:paraId="248FFB6A" w14:textId="003431BD" w:rsidR="00560F4E" w:rsidRPr="00085918" w:rsidRDefault="00560F4E" w:rsidP="00560F4E">
            <w:pPr>
              <w:pStyle w:val="TableText0"/>
              <w:jc w:val="center"/>
            </w:pPr>
            <w:r w:rsidRPr="00085918">
              <w:t>28/73</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42ACD1CC" w14:textId="6D64D408" w:rsidR="00560F4E" w:rsidRPr="00085918" w:rsidRDefault="00560F4E" w:rsidP="00560F4E">
            <w:pPr>
              <w:pStyle w:val="TableText0"/>
              <w:jc w:val="center"/>
            </w:pPr>
            <w:r w:rsidRPr="00085918">
              <w:t>39/70</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49F5FE09" w14:textId="7090F2A6" w:rsidR="00560F4E" w:rsidRPr="00085918" w:rsidRDefault="00560F4E" w:rsidP="00560F4E">
            <w:pPr>
              <w:pStyle w:val="TableText0"/>
              <w:jc w:val="center"/>
            </w:pPr>
            <w:r w:rsidRPr="00085918">
              <w:t>NR</w:t>
            </w: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7D1F8731" w14:textId="77777777" w:rsidR="00560F4E" w:rsidRPr="00085918" w:rsidRDefault="00560F4E" w:rsidP="00560F4E">
            <w:pPr>
              <w:pStyle w:val="TableText0"/>
              <w:jc w:val="center"/>
            </w:pPr>
            <w:r w:rsidRPr="00085918">
              <w:t>-</w:t>
            </w:r>
          </w:p>
        </w:tc>
        <w:tc>
          <w:tcPr>
            <w:tcW w:w="566" w:type="pct"/>
            <w:tcBorders>
              <w:top w:val="single" w:sz="4" w:space="0" w:color="auto"/>
              <w:left w:val="single" w:sz="4" w:space="0" w:color="auto"/>
              <w:bottom w:val="single" w:sz="4" w:space="0" w:color="auto"/>
              <w:right w:val="single" w:sz="4" w:space="0" w:color="auto"/>
            </w:tcBorders>
            <w:vAlign w:val="center"/>
          </w:tcPr>
          <w:p w14:paraId="3D926088" w14:textId="7186E12A" w:rsidR="00560F4E" w:rsidRPr="00085918" w:rsidRDefault="00560F4E" w:rsidP="00560F4E">
            <w:pPr>
              <w:pStyle w:val="TableText0"/>
              <w:jc w:val="center"/>
            </w:pPr>
            <w:r w:rsidRPr="00085918">
              <w:t>38.4</w:t>
            </w:r>
          </w:p>
        </w:tc>
        <w:tc>
          <w:tcPr>
            <w:tcW w:w="613" w:type="pct"/>
            <w:tcBorders>
              <w:top w:val="single" w:sz="4" w:space="0" w:color="auto"/>
              <w:left w:val="single" w:sz="4" w:space="0" w:color="auto"/>
              <w:bottom w:val="single" w:sz="4" w:space="0" w:color="auto"/>
              <w:right w:val="single" w:sz="4" w:space="0" w:color="auto"/>
            </w:tcBorders>
            <w:vAlign w:val="center"/>
          </w:tcPr>
          <w:p w14:paraId="338E1374" w14:textId="639FB01D" w:rsidR="00560F4E" w:rsidRPr="00085918" w:rsidRDefault="00560F4E" w:rsidP="00560F4E">
            <w:pPr>
              <w:pStyle w:val="TableText0"/>
              <w:jc w:val="center"/>
            </w:pPr>
            <w:r w:rsidRPr="00085918">
              <w:t>55.7</w:t>
            </w:r>
          </w:p>
        </w:tc>
        <w:tc>
          <w:tcPr>
            <w:tcW w:w="596" w:type="pct"/>
            <w:tcBorders>
              <w:top w:val="single" w:sz="4" w:space="0" w:color="auto"/>
              <w:left w:val="single" w:sz="4" w:space="0" w:color="auto"/>
              <w:bottom w:val="single" w:sz="4" w:space="0" w:color="auto"/>
              <w:right w:val="single" w:sz="4" w:space="0" w:color="auto"/>
            </w:tcBorders>
            <w:vAlign w:val="center"/>
          </w:tcPr>
          <w:p w14:paraId="7CEB6FB5" w14:textId="14A1FC60" w:rsidR="00560F4E" w:rsidRPr="00085918" w:rsidRDefault="001A4F31" w:rsidP="00560F4E">
            <w:pPr>
              <w:pStyle w:val="TableText0"/>
              <w:jc w:val="center"/>
            </w:pPr>
            <w:r w:rsidRPr="00085918">
              <w:t>17.3</w:t>
            </w:r>
          </w:p>
        </w:tc>
      </w:tr>
      <w:tr w:rsidR="003D4A30" w:rsidRPr="00085918" w14:paraId="2C2635EA" w14:textId="77777777" w:rsidTr="007330DB">
        <w:trPr>
          <w:cantSplit/>
        </w:trPr>
        <w:tc>
          <w:tcPr>
            <w:tcW w:w="2043" w:type="pct"/>
            <w:gridSpan w:val="5"/>
            <w:tcBorders>
              <w:top w:val="single" w:sz="4" w:space="0" w:color="auto"/>
              <w:left w:val="single" w:sz="4" w:space="0" w:color="auto"/>
              <w:bottom w:val="double" w:sz="4" w:space="0" w:color="auto"/>
              <w:right w:val="single" w:sz="4" w:space="0" w:color="auto"/>
            </w:tcBorders>
            <w:shd w:val="clear" w:color="auto" w:fill="auto"/>
            <w:vAlign w:val="center"/>
          </w:tcPr>
          <w:p w14:paraId="225A47B4" w14:textId="25404D8F" w:rsidR="00B62715" w:rsidRPr="00085918" w:rsidRDefault="00B62715" w:rsidP="00A67931">
            <w:pPr>
              <w:pStyle w:val="TableText0"/>
            </w:pPr>
            <w:r w:rsidRPr="00085918">
              <w:t xml:space="preserve">Indirect comparison: </w:t>
            </w:r>
            <w:r w:rsidR="004424C5" w:rsidRPr="00085918">
              <w:t>ELATIVE</w:t>
            </w:r>
            <w:r w:rsidRPr="00085918">
              <w:t xml:space="preserve"> </w:t>
            </w:r>
            <w:r w:rsidR="00947C8E" w:rsidRPr="00085918">
              <w:t>vs</w:t>
            </w:r>
            <w:r w:rsidRPr="00085918">
              <w:t xml:space="preserve"> </w:t>
            </w:r>
            <w:r w:rsidR="004424C5" w:rsidRPr="00085918">
              <w:t>POISE</w:t>
            </w:r>
          </w:p>
        </w:tc>
        <w:tc>
          <w:tcPr>
            <w:tcW w:w="630" w:type="pct"/>
            <w:gridSpan w:val="2"/>
            <w:tcBorders>
              <w:top w:val="single" w:sz="4" w:space="0" w:color="auto"/>
              <w:left w:val="single" w:sz="4" w:space="0" w:color="auto"/>
              <w:bottom w:val="double" w:sz="4" w:space="0" w:color="auto"/>
              <w:right w:val="single" w:sz="4" w:space="0" w:color="auto"/>
            </w:tcBorders>
            <w:vAlign w:val="center"/>
          </w:tcPr>
          <w:p w14:paraId="2E30EA85" w14:textId="77777777" w:rsidR="00FA270C" w:rsidRPr="00085918" w:rsidRDefault="00FA270C" w:rsidP="00A67931">
            <w:pPr>
              <w:pStyle w:val="TableText0"/>
              <w:jc w:val="center"/>
            </w:pPr>
            <w:r w:rsidRPr="00085918">
              <w:t>0.35</w:t>
            </w:r>
          </w:p>
          <w:p w14:paraId="77B96B4C" w14:textId="3A822778" w:rsidR="00B62715" w:rsidRPr="00085918" w:rsidRDefault="00FA270C" w:rsidP="00A67931">
            <w:pPr>
              <w:pStyle w:val="TableText0"/>
              <w:jc w:val="center"/>
            </w:pPr>
            <w:r w:rsidRPr="00085918">
              <w:t>(0.13, 0.98)</w:t>
            </w:r>
          </w:p>
        </w:tc>
        <w:tc>
          <w:tcPr>
            <w:tcW w:w="1731" w:type="pct"/>
            <w:gridSpan w:val="4"/>
            <w:tcBorders>
              <w:top w:val="single" w:sz="4" w:space="0" w:color="auto"/>
              <w:left w:val="single" w:sz="4" w:space="0" w:color="auto"/>
              <w:bottom w:val="double" w:sz="4" w:space="0" w:color="auto"/>
              <w:right w:val="single" w:sz="4" w:space="0" w:color="auto"/>
            </w:tcBorders>
            <w:shd w:val="clear" w:color="auto" w:fill="auto"/>
            <w:vAlign w:val="center"/>
          </w:tcPr>
          <w:p w14:paraId="1F562C09" w14:textId="77777777" w:rsidR="00B62715" w:rsidRPr="00085918" w:rsidRDefault="00B62715" w:rsidP="00A67931">
            <w:pPr>
              <w:pStyle w:val="TableText0"/>
              <w:jc w:val="center"/>
            </w:pPr>
            <w:r w:rsidRPr="00085918">
              <w:t>-</w:t>
            </w:r>
          </w:p>
        </w:tc>
        <w:tc>
          <w:tcPr>
            <w:tcW w:w="596" w:type="pct"/>
            <w:tcBorders>
              <w:top w:val="single" w:sz="4" w:space="0" w:color="auto"/>
              <w:left w:val="single" w:sz="4" w:space="0" w:color="auto"/>
              <w:bottom w:val="double" w:sz="4" w:space="0" w:color="auto"/>
              <w:right w:val="single" w:sz="4" w:space="0" w:color="auto"/>
            </w:tcBorders>
            <w:vAlign w:val="center"/>
          </w:tcPr>
          <w:p w14:paraId="1577B34C" w14:textId="13F20848" w:rsidR="00B62715" w:rsidRPr="00085918" w:rsidRDefault="001A4F31" w:rsidP="00A67931">
            <w:pPr>
              <w:pStyle w:val="TableText0"/>
              <w:jc w:val="center"/>
            </w:pPr>
            <w:r w:rsidRPr="00085918">
              <w:t>-23.3</w:t>
            </w:r>
          </w:p>
        </w:tc>
      </w:tr>
      <w:tr w:rsidR="006D39BF" w:rsidRPr="00085918" w14:paraId="47B5F70B" w14:textId="77777777" w:rsidTr="005E29AF">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12F1221A" w14:textId="77777777" w:rsidR="006D39BF" w:rsidRPr="00085918" w:rsidRDefault="006D39BF">
            <w:pPr>
              <w:pStyle w:val="In-tableHeading"/>
              <w:rPr>
                <w:lang w:val="en-AU"/>
              </w:rPr>
            </w:pPr>
            <w:r w:rsidRPr="00085918">
              <w:t>Occurrence of pruritus TEAE of any severity within 12 months</w:t>
            </w:r>
          </w:p>
        </w:tc>
      </w:tr>
      <w:tr w:rsidR="006D39BF" w:rsidRPr="00085918" w14:paraId="2927AFC5" w14:textId="77777777" w:rsidTr="007330DB">
        <w:trPr>
          <w:cantSplit/>
          <w:trHeight w:val="105"/>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D3324B" w14:textId="77777777" w:rsidR="006D39BF" w:rsidRPr="00085918" w:rsidRDefault="006D39BF">
            <w:pPr>
              <w:pStyle w:val="In-tableHeading"/>
              <w:jc w:val="center"/>
              <w:rPr>
                <w:lang w:val="en-AU"/>
              </w:rPr>
            </w:pP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033D4429" w14:textId="6970D005" w:rsidR="006D39BF" w:rsidRPr="00085918" w:rsidRDefault="006D39BF">
            <w:pPr>
              <w:pStyle w:val="In-tableHeading"/>
              <w:jc w:val="center"/>
              <w:rPr>
                <w:lang w:val="en-AU"/>
              </w:rPr>
            </w:pPr>
            <w:r w:rsidRPr="00085918">
              <w:rPr>
                <w:lang w:val="en-AU"/>
              </w:rPr>
              <w:t>ELA</w:t>
            </w:r>
            <w:r w:rsidR="00085918">
              <w:rPr>
                <w:lang w:val="en-AU"/>
              </w:rPr>
              <w:t>,</w:t>
            </w:r>
          </w:p>
          <w:p w14:paraId="606C955C" w14:textId="77777777" w:rsidR="006D39BF" w:rsidRPr="00085918" w:rsidRDefault="006D39BF">
            <w:pPr>
              <w:pStyle w:val="In-tableHeading"/>
              <w:jc w:val="center"/>
              <w:rPr>
                <w:lang w:val="en-AU"/>
              </w:rPr>
            </w:pPr>
            <w:r w:rsidRPr="00085918">
              <w:rPr>
                <w:lang w:val="en-AU"/>
              </w:rPr>
              <w:t>n/N</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40AADAAB" w14:textId="203862B6" w:rsidR="006D39BF" w:rsidRPr="00085918" w:rsidRDefault="006D39BF">
            <w:pPr>
              <w:pStyle w:val="In-tableHeading"/>
              <w:jc w:val="center"/>
              <w:rPr>
                <w:lang w:val="en-AU"/>
              </w:rPr>
            </w:pPr>
            <w:r w:rsidRPr="00085918">
              <w:rPr>
                <w:lang w:val="en-AU"/>
              </w:rPr>
              <w:t>PBO</w:t>
            </w:r>
            <w:r w:rsidR="00085918">
              <w:rPr>
                <w:lang w:val="en-AU"/>
              </w:rPr>
              <w:t>,</w:t>
            </w:r>
          </w:p>
          <w:p w14:paraId="7593A058" w14:textId="77777777" w:rsidR="006D39BF" w:rsidRPr="00085918" w:rsidRDefault="006D39BF">
            <w:pPr>
              <w:pStyle w:val="In-tableHeading"/>
              <w:jc w:val="center"/>
              <w:rPr>
                <w:lang w:val="en-AU"/>
              </w:rPr>
            </w:pPr>
            <w:r w:rsidRPr="00085918">
              <w:rPr>
                <w:lang w:val="en-AU"/>
              </w:rPr>
              <w:t>n/N</w:t>
            </w:r>
          </w:p>
        </w:tc>
        <w:tc>
          <w:tcPr>
            <w:tcW w:w="544" w:type="pct"/>
            <w:gridSpan w:val="2"/>
            <w:vMerge w:val="restart"/>
            <w:tcBorders>
              <w:top w:val="single" w:sz="4" w:space="0" w:color="auto"/>
              <w:left w:val="single" w:sz="4" w:space="0" w:color="auto"/>
              <w:bottom w:val="single" w:sz="4" w:space="0" w:color="auto"/>
              <w:right w:val="single" w:sz="4" w:space="0" w:color="auto"/>
            </w:tcBorders>
            <w:vAlign w:val="center"/>
          </w:tcPr>
          <w:p w14:paraId="2898E869" w14:textId="77777777" w:rsidR="006D39BF" w:rsidRPr="00085918" w:rsidRDefault="006D39BF" w:rsidP="006D39BF">
            <w:pPr>
              <w:pStyle w:val="In-tableHeading"/>
              <w:jc w:val="center"/>
              <w:rPr>
                <w:lang w:val="en-AU"/>
              </w:rPr>
            </w:pPr>
            <w:r w:rsidRPr="00085918">
              <w:rPr>
                <w:lang w:val="en-AU"/>
              </w:rPr>
              <w:t>OCA</w:t>
            </w:r>
          </w:p>
          <w:p w14:paraId="0D18DE52" w14:textId="6A6319A4" w:rsidR="006D39BF" w:rsidRPr="00085918" w:rsidRDefault="006D39BF" w:rsidP="006D39BF">
            <w:pPr>
              <w:pStyle w:val="In-tableHeading"/>
              <w:jc w:val="center"/>
              <w:rPr>
                <w:lang w:val="en-AU"/>
              </w:rPr>
            </w:pPr>
            <w:r w:rsidRPr="00085918">
              <w:rPr>
                <w:lang w:val="en-AU"/>
              </w:rPr>
              <w:t>10 mg</w:t>
            </w:r>
            <w:r w:rsidR="00085918">
              <w:rPr>
                <w:lang w:val="en-AU"/>
              </w:rPr>
              <w:t>,</w:t>
            </w:r>
          </w:p>
          <w:p w14:paraId="02A3120C" w14:textId="77777777" w:rsidR="006D39BF" w:rsidRPr="00085918" w:rsidRDefault="006D39BF">
            <w:pPr>
              <w:pStyle w:val="In-tableHeading"/>
              <w:jc w:val="center"/>
              <w:rPr>
                <w:lang w:val="en-AU"/>
              </w:rPr>
            </w:pPr>
            <w:r w:rsidRPr="00085918">
              <w:rPr>
                <w:lang w:val="en-AU"/>
              </w:rPr>
              <w:t>n/N</w:t>
            </w: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44F817D9" w14:textId="729B5316" w:rsidR="006D39BF" w:rsidRPr="00085918" w:rsidRDefault="008F3EF1">
            <w:pPr>
              <w:pStyle w:val="In-tableHeading"/>
              <w:jc w:val="center"/>
              <w:rPr>
                <w:lang w:val="en-AU"/>
              </w:rPr>
            </w:pPr>
            <w:r w:rsidRPr="00085918">
              <w:rPr>
                <w:lang w:val="en-AU"/>
              </w:rPr>
              <w:t>O</w:t>
            </w:r>
            <w:r w:rsidR="006D39BF" w:rsidRPr="00085918">
              <w:rPr>
                <w:lang w:val="en-AU"/>
              </w:rPr>
              <w:t>R</w:t>
            </w:r>
          </w:p>
          <w:p w14:paraId="7CB7B03B" w14:textId="77777777" w:rsidR="006D39BF" w:rsidRPr="00085918" w:rsidRDefault="006D39BF">
            <w:pPr>
              <w:pStyle w:val="In-tableHeading"/>
              <w:jc w:val="center"/>
              <w:rPr>
                <w:lang w:val="en-AU"/>
              </w:rPr>
            </w:pPr>
            <w:r w:rsidRPr="00085918">
              <w:rPr>
                <w:lang w:val="en-AU"/>
              </w:rPr>
              <w:t>(95% CI)</w:t>
            </w:r>
          </w:p>
        </w:tc>
        <w:tc>
          <w:tcPr>
            <w:tcW w:w="1731" w:type="pct"/>
            <w:gridSpan w:val="4"/>
            <w:tcBorders>
              <w:top w:val="single" w:sz="4" w:space="0" w:color="auto"/>
              <w:left w:val="single" w:sz="4" w:space="0" w:color="auto"/>
              <w:bottom w:val="single" w:sz="4" w:space="0" w:color="auto"/>
              <w:right w:val="single" w:sz="4" w:space="0" w:color="auto"/>
            </w:tcBorders>
            <w:vAlign w:val="center"/>
          </w:tcPr>
          <w:p w14:paraId="2DF0B475" w14:textId="6C9A64DA" w:rsidR="006D39BF" w:rsidRPr="00085918" w:rsidRDefault="006D39BF">
            <w:pPr>
              <w:pStyle w:val="In-tableHeading"/>
              <w:jc w:val="center"/>
              <w:rPr>
                <w:lang w:val="en-AU"/>
              </w:rPr>
            </w:pPr>
            <w:r w:rsidRPr="00085918">
              <w:rPr>
                <w:lang w:val="en-AU"/>
              </w:rPr>
              <w:t xml:space="preserve">Event rate/100 </w:t>
            </w:r>
            <w:proofErr w:type="spellStart"/>
            <w:r w:rsidRPr="00085918">
              <w:rPr>
                <w:lang w:val="en-AU"/>
              </w:rPr>
              <w:t>patients</w:t>
            </w:r>
            <w:r w:rsidR="00187811" w:rsidRPr="00085918">
              <w:rPr>
                <w:vertAlign w:val="superscript"/>
                <w:lang w:val="en-AU"/>
              </w:rPr>
              <w:t>a</w:t>
            </w:r>
            <w:proofErr w:type="spellEnd"/>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0647AB13" w14:textId="77777777" w:rsidR="006D39BF" w:rsidRPr="00085918" w:rsidRDefault="006D39BF">
            <w:pPr>
              <w:pStyle w:val="In-tableHeading"/>
              <w:jc w:val="center"/>
              <w:rPr>
                <w:lang w:val="en-AU"/>
              </w:rPr>
            </w:pPr>
            <w:r w:rsidRPr="00085918">
              <w:rPr>
                <w:lang w:val="en-AU"/>
              </w:rPr>
              <w:t>RD</w:t>
            </w:r>
          </w:p>
          <w:p w14:paraId="067A9EB8" w14:textId="77777777" w:rsidR="006D39BF" w:rsidRPr="00085918" w:rsidRDefault="006D39BF">
            <w:pPr>
              <w:pStyle w:val="In-tableHeading"/>
              <w:jc w:val="center"/>
              <w:rPr>
                <w:lang w:val="en-AU"/>
              </w:rPr>
            </w:pPr>
            <w:r w:rsidRPr="00085918">
              <w:rPr>
                <w:lang w:val="en-AU"/>
              </w:rPr>
              <w:t>(95% CI)</w:t>
            </w:r>
          </w:p>
        </w:tc>
      </w:tr>
      <w:tr w:rsidR="00F05D44" w:rsidRPr="00085918" w14:paraId="29D58A09" w14:textId="77777777" w:rsidTr="007330DB">
        <w:trPr>
          <w:cantSplit/>
          <w:trHeight w:val="7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8ED182" w14:textId="77777777" w:rsidR="00F05D44" w:rsidRPr="00085918" w:rsidRDefault="00F05D44" w:rsidP="00F05D44">
            <w:pPr>
              <w:pStyle w:val="In-tableHeading"/>
              <w:jc w:val="center"/>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6C086A3A" w14:textId="77777777" w:rsidR="00F05D44" w:rsidRPr="00085918" w:rsidRDefault="00F05D44" w:rsidP="00F05D44">
            <w:pPr>
              <w:pStyle w:val="In-tableHeading"/>
              <w:jc w:val="center"/>
              <w:rPr>
                <w:lang w:val="en-A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19E0129B" w14:textId="77777777" w:rsidR="00F05D44" w:rsidRPr="00085918" w:rsidRDefault="00F05D44" w:rsidP="00F05D44">
            <w:pPr>
              <w:pStyle w:val="In-tableHeading"/>
              <w:jc w:val="center"/>
              <w:rPr>
                <w:lang w:val="en-AU"/>
              </w:rPr>
            </w:pPr>
          </w:p>
        </w:tc>
        <w:tc>
          <w:tcPr>
            <w:tcW w:w="544" w:type="pct"/>
            <w:gridSpan w:val="2"/>
            <w:vMerge/>
            <w:tcBorders>
              <w:top w:val="single" w:sz="4" w:space="0" w:color="auto"/>
              <w:left w:val="single" w:sz="4" w:space="0" w:color="auto"/>
              <w:bottom w:val="single" w:sz="4" w:space="0" w:color="auto"/>
              <w:right w:val="single" w:sz="4" w:space="0" w:color="auto"/>
            </w:tcBorders>
            <w:vAlign w:val="center"/>
          </w:tcPr>
          <w:p w14:paraId="44368E90" w14:textId="77777777" w:rsidR="00F05D44" w:rsidRPr="00085918" w:rsidRDefault="00F05D44" w:rsidP="00F05D44">
            <w:pPr>
              <w:pStyle w:val="In-tableHeading"/>
              <w:jc w:val="center"/>
              <w:rPr>
                <w:lang w:val="en-AU"/>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7C08045F" w14:textId="77777777" w:rsidR="00F05D44" w:rsidRPr="00085918" w:rsidRDefault="00F05D44" w:rsidP="00F05D44">
            <w:pPr>
              <w:pStyle w:val="In-tableHeading"/>
              <w:jc w:val="center"/>
              <w:rPr>
                <w:lang w:val="en-AU"/>
              </w:rPr>
            </w:pP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4C48A368" w14:textId="77777777" w:rsidR="00F05D44" w:rsidRPr="00085918" w:rsidRDefault="00F05D44" w:rsidP="00F05D44">
            <w:pPr>
              <w:pStyle w:val="In-tableHeading"/>
              <w:jc w:val="center"/>
              <w:rPr>
                <w:lang w:val="en-AU"/>
              </w:rPr>
            </w:pPr>
            <w:r w:rsidRPr="00085918">
              <w:rPr>
                <w:lang w:val="en-AU"/>
              </w:rPr>
              <w:t>ELA</w:t>
            </w:r>
          </w:p>
          <w:p w14:paraId="5A9CBD73" w14:textId="19B19A43" w:rsidR="00F05D44" w:rsidRPr="00085918" w:rsidRDefault="00F05D44" w:rsidP="00F05D44">
            <w:pPr>
              <w:pStyle w:val="In-tableHeading"/>
              <w:jc w:val="center"/>
              <w:rPr>
                <w:lang w:val="en-AU"/>
              </w:rPr>
            </w:pPr>
            <w:r w:rsidRPr="00085918">
              <w:rPr>
                <w:lang w:val="en-AU"/>
              </w:rPr>
              <w:t>n/N</w:t>
            </w:r>
          </w:p>
        </w:tc>
        <w:tc>
          <w:tcPr>
            <w:tcW w:w="566" w:type="pct"/>
            <w:tcBorders>
              <w:top w:val="single" w:sz="4" w:space="0" w:color="auto"/>
              <w:left w:val="single" w:sz="4" w:space="0" w:color="auto"/>
              <w:bottom w:val="single" w:sz="4" w:space="0" w:color="auto"/>
              <w:right w:val="single" w:sz="4" w:space="0" w:color="auto"/>
            </w:tcBorders>
            <w:vAlign w:val="center"/>
          </w:tcPr>
          <w:p w14:paraId="029282C2" w14:textId="77777777" w:rsidR="00F05D44" w:rsidRPr="00085918" w:rsidRDefault="00F05D44" w:rsidP="00F05D44">
            <w:pPr>
              <w:pStyle w:val="In-tableHeading"/>
              <w:jc w:val="center"/>
              <w:rPr>
                <w:lang w:val="en-AU"/>
              </w:rPr>
            </w:pPr>
            <w:r w:rsidRPr="00085918">
              <w:rPr>
                <w:lang w:val="en-AU"/>
              </w:rPr>
              <w:t>PBO</w:t>
            </w:r>
          </w:p>
          <w:p w14:paraId="4A1CD83E" w14:textId="49AF0340" w:rsidR="00F05D44" w:rsidRPr="00085918" w:rsidRDefault="00F05D44" w:rsidP="00F05D44">
            <w:pPr>
              <w:pStyle w:val="In-tableHeading"/>
              <w:jc w:val="center"/>
              <w:rPr>
                <w:lang w:val="en-AU"/>
              </w:rPr>
            </w:pPr>
            <w:r w:rsidRPr="00085918">
              <w:rPr>
                <w:lang w:val="en-AU"/>
              </w:rPr>
              <w:t>n/N</w:t>
            </w:r>
          </w:p>
        </w:tc>
        <w:tc>
          <w:tcPr>
            <w:tcW w:w="613" w:type="pct"/>
            <w:tcBorders>
              <w:top w:val="single" w:sz="4" w:space="0" w:color="auto"/>
              <w:left w:val="single" w:sz="4" w:space="0" w:color="auto"/>
              <w:bottom w:val="single" w:sz="4" w:space="0" w:color="auto"/>
              <w:right w:val="single" w:sz="4" w:space="0" w:color="auto"/>
            </w:tcBorders>
            <w:vAlign w:val="center"/>
          </w:tcPr>
          <w:p w14:paraId="793B1C95" w14:textId="6F27A0D9" w:rsidR="00F05D44" w:rsidRPr="00085918" w:rsidRDefault="00F05D44" w:rsidP="00F05D44">
            <w:pPr>
              <w:pStyle w:val="In-tableHeading"/>
              <w:jc w:val="center"/>
              <w:rPr>
                <w:lang w:val="en-AU"/>
              </w:rPr>
            </w:pPr>
            <w:r w:rsidRPr="00085918">
              <w:rPr>
                <w:lang w:val="en-AU"/>
              </w:rPr>
              <w:t>OCA</w:t>
            </w:r>
            <w:r w:rsidR="0028431B" w:rsidRPr="00085918">
              <w:rPr>
                <w:lang w:val="en-AU"/>
              </w:rPr>
              <w:t xml:space="preserve"> </w:t>
            </w:r>
            <w:r w:rsidRPr="00085918">
              <w:rPr>
                <w:lang w:val="en-AU"/>
              </w:rPr>
              <w:t>10 mg</w:t>
            </w:r>
          </w:p>
          <w:p w14:paraId="4FA098D7" w14:textId="6BC47191" w:rsidR="00F05D44" w:rsidRPr="00085918" w:rsidRDefault="00F05D44" w:rsidP="00F05D44">
            <w:pPr>
              <w:pStyle w:val="In-tableHeading"/>
              <w:jc w:val="center"/>
              <w:rPr>
                <w:lang w:val="en-AU"/>
              </w:rPr>
            </w:pPr>
            <w:r w:rsidRPr="00085918">
              <w:rPr>
                <w:lang w:val="en-AU"/>
              </w:rPr>
              <w:t>n/N</w:t>
            </w:r>
          </w:p>
        </w:tc>
        <w:tc>
          <w:tcPr>
            <w:tcW w:w="596" w:type="pct"/>
            <w:vMerge/>
            <w:tcBorders>
              <w:top w:val="single" w:sz="4" w:space="0" w:color="auto"/>
              <w:left w:val="single" w:sz="4" w:space="0" w:color="auto"/>
              <w:bottom w:val="single" w:sz="4" w:space="0" w:color="auto"/>
              <w:right w:val="single" w:sz="4" w:space="0" w:color="auto"/>
            </w:tcBorders>
            <w:vAlign w:val="center"/>
          </w:tcPr>
          <w:p w14:paraId="5F145389" w14:textId="77777777" w:rsidR="00F05D44" w:rsidRPr="00085918" w:rsidRDefault="00F05D44" w:rsidP="00F05D44">
            <w:pPr>
              <w:pStyle w:val="In-tableHeading"/>
              <w:jc w:val="center"/>
              <w:rPr>
                <w:lang w:val="en-AU"/>
              </w:rPr>
            </w:pPr>
          </w:p>
        </w:tc>
      </w:tr>
      <w:tr w:rsidR="00F05D44" w:rsidRPr="00085918" w14:paraId="15AD51A6" w14:textId="77777777" w:rsidTr="007330DB">
        <w:trPr>
          <w:cantSplit/>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1D37E4" w14:textId="77777777" w:rsidR="00F05D44" w:rsidRPr="00085918" w:rsidRDefault="00F05D44" w:rsidP="00F05D44">
            <w:pPr>
              <w:pStyle w:val="TableText0"/>
            </w:pPr>
            <w:r w:rsidRPr="00085918">
              <w:t>ELATIVE</w:t>
            </w:r>
          </w:p>
        </w:tc>
        <w:tc>
          <w:tcPr>
            <w:tcW w:w="469" w:type="pct"/>
            <w:tcBorders>
              <w:top w:val="single" w:sz="4" w:space="0" w:color="auto"/>
              <w:left w:val="single" w:sz="4" w:space="0" w:color="auto"/>
              <w:bottom w:val="single" w:sz="4" w:space="0" w:color="auto"/>
              <w:right w:val="single" w:sz="4" w:space="0" w:color="auto"/>
            </w:tcBorders>
            <w:vAlign w:val="center"/>
          </w:tcPr>
          <w:p w14:paraId="7BF5D747" w14:textId="54DF0933" w:rsidR="00F05D44" w:rsidRPr="00085918" w:rsidRDefault="00F05D44" w:rsidP="00F05D44">
            <w:pPr>
              <w:pStyle w:val="TableText0"/>
              <w:jc w:val="center"/>
            </w:pPr>
            <w:r w:rsidRPr="00085918">
              <w:t>22/108</w:t>
            </w:r>
          </w:p>
        </w:tc>
        <w:tc>
          <w:tcPr>
            <w:tcW w:w="392" w:type="pct"/>
            <w:tcBorders>
              <w:top w:val="single" w:sz="4" w:space="0" w:color="auto"/>
              <w:left w:val="single" w:sz="4" w:space="0" w:color="auto"/>
              <w:bottom w:val="single" w:sz="4" w:space="0" w:color="auto"/>
              <w:right w:val="single" w:sz="4" w:space="0" w:color="auto"/>
            </w:tcBorders>
            <w:vAlign w:val="center"/>
          </w:tcPr>
          <w:p w14:paraId="2150BA81" w14:textId="00CA15E7" w:rsidR="00F05D44" w:rsidRPr="00085918" w:rsidRDefault="00F05D44" w:rsidP="00F05D44">
            <w:pPr>
              <w:pStyle w:val="TableText0"/>
              <w:jc w:val="center"/>
            </w:pPr>
            <w:r w:rsidRPr="00085918">
              <w:t>14/53</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310FA488" w14:textId="77777777" w:rsidR="00F05D44" w:rsidRPr="00085918" w:rsidRDefault="00F05D44" w:rsidP="00F05D44">
            <w:pPr>
              <w:pStyle w:val="TableText0"/>
              <w:jc w:val="center"/>
            </w:pPr>
            <w:r w:rsidRPr="00085918">
              <w:t>-</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4F583750" w14:textId="601A20ED" w:rsidR="00F05D44" w:rsidRPr="00085918" w:rsidRDefault="00F05D44" w:rsidP="00F05D44">
            <w:pPr>
              <w:pStyle w:val="TableText0"/>
              <w:jc w:val="center"/>
            </w:pPr>
            <w:r w:rsidRPr="00085918">
              <w:t>NR</w:t>
            </w: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064ED2E1" w14:textId="0D62B64F" w:rsidR="00F05D44" w:rsidRPr="00085918" w:rsidRDefault="00F05D44" w:rsidP="00F05D44">
            <w:pPr>
              <w:pStyle w:val="TableText0"/>
              <w:jc w:val="center"/>
            </w:pPr>
            <w:r w:rsidRPr="00085918">
              <w:t>20.4</w:t>
            </w:r>
          </w:p>
        </w:tc>
        <w:tc>
          <w:tcPr>
            <w:tcW w:w="566" w:type="pct"/>
            <w:tcBorders>
              <w:top w:val="single" w:sz="4" w:space="0" w:color="auto"/>
              <w:left w:val="single" w:sz="4" w:space="0" w:color="auto"/>
              <w:bottom w:val="single" w:sz="4" w:space="0" w:color="auto"/>
              <w:right w:val="single" w:sz="4" w:space="0" w:color="auto"/>
            </w:tcBorders>
            <w:vAlign w:val="center"/>
          </w:tcPr>
          <w:p w14:paraId="18FCBAE9" w14:textId="46B71CBB" w:rsidR="00F05D44" w:rsidRPr="00085918" w:rsidRDefault="00F05D44" w:rsidP="00F05D44">
            <w:pPr>
              <w:pStyle w:val="TableText0"/>
              <w:jc w:val="center"/>
            </w:pPr>
            <w:r w:rsidRPr="00085918">
              <w:t>26.4</w:t>
            </w:r>
          </w:p>
        </w:tc>
        <w:tc>
          <w:tcPr>
            <w:tcW w:w="613" w:type="pct"/>
            <w:tcBorders>
              <w:top w:val="single" w:sz="4" w:space="0" w:color="auto"/>
              <w:left w:val="single" w:sz="4" w:space="0" w:color="auto"/>
              <w:bottom w:val="single" w:sz="4" w:space="0" w:color="auto"/>
              <w:right w:val="single" w:sz="4" w:space="0" w:color="auto"/>
            </w:tcBorders>
            <w:vAlign w:val="center"/>
          </w:tcPr>
          <w:p w14:paraId="329B46D3" w14:textId="77777777" w:rsidR="00F05D44" w:rsidRPr="00085918" w:rsidRDefault="00F05D44" w:rsidP="00F05D44">
            <w:pPr>
              <w:pStyle w:val="TableText0"/>
              <w:jc w:val="center"/>
            </w:pPr>
            <w:r w:rsidRPr="00085918">
              <w:t>-</w:t>
            </w:r>
          </w:p>
        </w:tc>
        <w:tc>
          <w:tcPr>
            <w:tcW w:w="596" w:type="pct"/>
            <w:tcBorders>
              <w:top w:val="single" w:sz="4" w:space="0" w:color="auto"/>
              <w:left w:val="single" w:sz="4" w:space="0" w:color="auto"/>
              <w:bottom w:val="single" w:sz="4" w:space="0" w:color="auto"/>
              <w:right w:val="single" w:sz="4" w:space="0" w:color="auto"/>
            </w:tcBorders>
            <w:vAlign w:val="center"/>
          </w:tcPr>
          <w:p w14:paraId="2BAC8D16" w14:textId="5CC63EE0" w:rsidR="00F05D44" w:rsidRPr="00085918" w:rsidRDefault="00796051" w:rsidP="00F05D44">
            <w:pPr>
              <w:pStyle w:val="TableText0"/>
              <w:jc w:val="center"/>
            </w:pPr>
            <w:r w:rsidRPr="00085918">
              <w:t>-6.0</w:t>
            </w:r>
          </w:p>
        </w:tc>
      </w:tr>
      <w:tr w:rsidR="00F05D44" w:rsidRPr="00085918" w14:paraId="11F97DC1" w14:textId="77777777" w:rsidTr="007330DB">
        <w:trPr>
          <w:cantSplit/>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21F9D0" w14:textId="77777777" w:rsidR="00F05D44" w:rsidRPr="00085918" w:rsidRDefault="00F05D44" w:rsidP="00F05D44">
            <w:pPr>
              <w:pStyle w:val="TableText0"/>
            </w:pPr>
            <w:r w:rsidRPr="00085918">
              <w:t>POISE</w:t>
            </w:r>
          </w:p>
        </w:tc>
        <w:tc>
          <w:tcPr>
            <w:tcW w:w="469" w:type="pct"/>
            <w:tcBorders>
              <w:top w:val="single" w:sz="4" w:space="0" w:color="auto"/>
              <w:left w:val="single" w:sz="4" w:space="0" w:color="auto"/>
              <w:bottom w:val="single" w:sz="4" w:space="0" w:color="auto"/>
              <w:right w:val="single" w:sz="4" w:space="0" w:color="auto"/>
            </w:tcBorders>
            <w:vAlign w:val="center"/>
          </w:tcPr>
          <w:p w14:paraId="7379765A" w14:textId="6AC7C504" w:rsidR="00F05D44" w:rsidRPr="00085918" w:rsidRDefault="0022609E" w:rsidP="00F05D44">
            <w:pPr>
              <w:pStyle w:val="TableText0"/>
              <w:jc w:val="center"/>
            </w:pPr>
            <w:r w:rsidRPr="00085918">
              <w:t>-</w:t>
            </w:r>
          </w:p>
        </w:tc>
        <w:tc>
          <w:tcPr>
            <w:tcW w:w="392" w:type="pct"/>
            <w:tcBorders>
              <w:top w:val="single" w:sz="4" w:space="0" w:color="auto"/>
              <w:left w:val="single" w:sz="4" w:space="0" w:color="auto"/>
              <w:bottom w:val="single" w:sz="4" w:space="0" w:color="auto"/>
              <w:right w:val="single" w:sz="4" w:space="0" w:color="auto"/>
            </w:tcBorders>
            <w:vAlign w:val="center"/>
          </w:tcPr>
          <w:p w14:paraId="15BE5A14" w14:textId="7A0E1A6D" w:rsidR="00F05D44" w:rsidRPr="00085918" w:rsidRDefault="00F05D44" w:rsidP="00F05D44">
            <w:pPr>
              <w:pStyle w:val="TableText0"/>
              <w:jc w:val="center"/>
            </w:pPr>
            <w:r w:rsidRPr="00085918">
              <w:t>28/73</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42925CA6" w14:textId="50CE0055" w:rsidR="00F05D44" w:rsidRPr="00085918" w:rsidRDefault="00F05D44" w:rsidP="00F05D44">
            <w:pPr>
              <w:pStyle w:val="TableText0"/>
              <w:jc w:val="center"/>
            </w:pPr>
            <w:r w:rsidRPr="00085918">
              <w:t>50/73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9333FDE" w14:textId="49D0198C" w:rsidR="00F05D44" w:rsidRPr="00085918" w:rsidRDefault="00F05D44" w:rsidP="00F05D44">
            <w:pPr>
              <w:pStyle w:val="TableText0"/>
              <w:jc w:val="center"/>
            </w:pPr>
            <w:r w:rsidRPr="00085918">
              <w:t>NR</w:t>
            </w: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0E25CD6A" w14:textId="2568C744" w:rsidR="00F05D44" w:rsidRPr="00085918" w:rsidRDefault="00F05D44" w:rsidP="00F05D44">
            <w:pPr>
              <w:pStyle w:val="TableText0"/>
              <w:jc w:val="center"/>
            </w:pPr>
            <w:r w:rsidRPr="00085918">
              <w:t>-</w:t>
            </w:r>
          </w:p>
        </w:tc>
        <w:tc>
          <w:tcPr>
            <w:tcW w:w="566" w:type="pct"/>
            <w:tcBorders>
              <w:top w:val="single" w:sz="4" w:space="0" w:color="auto"/>
              <w:left w:val="single" w:sz="4" w:space="0" w:color="auto"/>
              <w:bottom w:val="single" w:sz="4" w:space="0" w:color="auto"/>
              <w:right w:val="single" w:sz="4" w:space="0" w:color="auto"/>
            </w:tcBorders>
            <w:vAlign w:val="center"/>
          </w:tcPr>
          <w:p w14:paraId="5B4623F6" w14:textId="0CF2B7CC" w:rsidR="00F05D44" w:rsidRPr="00085918" w:rsidRDefault="00F05D44" w:rsidP="00F05D44">
            <w:pPr>
              <w:pStyle w:val="TableText0"/>
              <w:jc w:val="center"/>
            </w:pPr>
            <w:r w:rsidRPr="00085918">
              <w:t>38.4</w:t>
            </w:r>
          </w:p>
        </w:tc>
        <w:tc>
          <w:tcPr>
            <w:tcW w:w="613" w:type="pct"/>
            <w:tcBorders>
              <w:top w:val="single" w:sz="4" w:space="0" w:color="auto"/>
              <w:left w:val="single" w:sz="4" w:space="0" w:color="auto"/>
              <w:bottom w:val="single" w:sz="4" w:space="0" w:color="auto"/>
              <w:right w:val="single" w:sz="4" w:space="0" w:color="auto"/>
            </w:tcBorders>
            <w:vAlign w:val="center"/>
          </w:tcPr>
          <w:p w14:paraId="2CDE8702" w14:textId="33075B30" w:rsidR="00F05D44" w:rsidRPr="00085918" w:rsidRDefault="00F05D44" w:rsidP="00F05D44">
            <w:pPr>
              <w:pStyle w:val="TableText0"/>
              <w:jc w:val="center"/>
            </w:pPr>
            <w:r w:rsidRPr="00085918">
              <w:t>68.5</w:t>
            </w:r>
          </w:p>
        </w:tc>
        <w:tc>
          <w:tcPr>
            <w:tcW w:w="596" w:type="pct"/>
            <w:tcBorders>
              <w:top w:val="single" w:sz="4" w:space="0" w:color="auto"/>
              <w:left w:val="single" w:sz="4" w:space="0" w:color="auto"/>
              <w:bottom w:val="single" w:sz="4" w:space="0" w:color="auto"/>
              <w:right w:val="single" w:sz="4" w:space="0" w:color="auto"/>
            </w:tcBorders>
            <w:vAlign w:val="center"/>
          </w:tcPr>
          <w:p w14:paraId="1F6C1F4D" w14:textId="7AF70D92" w:rsidR="00F05D44" w:rsidRPr="00085918" w:rsidRDefault="00796051" w:rsidP="00F05D44">
            <w:pPr>
              <w:pStyle w:val="TableText0"/>
              <w:jc w:val="center"/>
            </w:pPr>
            <w:r w:rsidRPr="00085918">
              <w:t>30.1</w:t>
            </w:r>
          </w:p>
        </w:tc>
      </w:tr>
      <w:tr w:rsidR="00F05D44" w:rsidRPr="00085918" w14:paraId="6856E29B" w14:textId="77777777" w:rsidTr="007330DB">
        <w:trPr>
          <w:cantSplit/>
        </w:trPr>
        <w:tc>
          <w:tcPr>
            <w:tcW w:w="2043" w:type="pct"/>
            <w:gridSpan w:val="5"/>
            <w:tcBorders>
              <w:top w:val="single" w:sz="4" w:space="0" w:color="auto"/>
              <w:left w:val="single" w:sz="4" w:space="0" w:color="auto"/>
              <w:bottom w:val="double" w:sz="4" w:space="0" w:color="auto"/>
              <w:right w:val="single" w:sz="4" w:space="0" w:color="auto"/>
            </w:tcBorders>
            <w:shd w:val="clear" w:color="auto" w:fill="auto"/>
            <w:vAlign w:val="center"/>
          </w:tcPr>
          <w:p w14:paraId="2B5A121B" w14:textId="340EEA24" w:rsidR="00F05D44" w:rsidRPr="00085918" w:rsidRDefault="004424C5" w:rsidP="00F05D44">
            <w:pPr>
              <w:pStyle w:val="TableText0"/>
            </w:pPr>
            <w:r w:rsidRPr="00085918">
              <w:t xml:space="preserve">Indirect comparison: ELATIVE </w:t>
            </w:r>
            <w:r w:rsidR="00947C8E" w:rsidRPr="00085918">
              <w:t>vs</w:t>
            </w:r>
            <w:r w:rsidRPr="00085918">
              <w:t xml:space="preserve"> POISE</w:t>
            </w:r>
          </w:p>
        </w:tc>
        <w:tc>
          <w:tcPr>
            <w:tcW w:w="630" w:type="pct"/>
            <w:gridSpan w:val="2"/>
            <w:tcBorders>
              <w:top w:val="single" w:sz="4" w:space="0" w:color="auto"/>
              <w:left w:val="single" w:sz="4" w:space="0" w:color="auto"/>
              <w:bottom w:val="double" w:sz="4" w:space="0" w:color="auto"/>
              <w:right w:val="single" w:sz="4" w:space="0" w:color="auto"/>
            </w:tcBorders>
            <w:vAlign w:val="center"/>
          </w:tcPr>
          <w:p w14:paraId="5CE1A91A" w14:textId="77777777" w:rsidR="008F3EF1" w:rsidRPr="00085918" w:rsidRDefault="008F3EF1" w:rsidP="00F05D44">
            <w:pPr>
              <w:pStyle w:val="TableText0"/>
              <w:jc w:val="center"/>
            </w:pPr>
            <w:r w:rsidRPr="00085918">
              <w:t>0.20</w:t>
            </w:r>
          </w:p>
          <w:p w14:paraId="68744E8B" w14:textId="512A3FE2" w:rsidR="00F05D44" w:rsidRPr="00085918" w:rsidRDefault="008F3EF1" w:rsidP="00F05D44">
            <w:pPr>
              <w:pStyle w:val="TableText0"/>
              <w:jc w:val="center"/>
            </w:pPr>
            <w:r w:rsidRPr="00085918">
              <w:t>(0.07, 0.57)</w:t>
            </w:r>
          </w:p>
        </w:tc>
        <w:tc>
          <w:tcPr>
            <w:tcW w:w="1731" w:type="pct"/>
            <w:gridSpan w:val="4"/>
            <w:tcBorders>
              <w:top w:val="single" w:sz="4" w:space="0" w:color="auto"/>
              <w:left w:val="single" w:sz="4" w:space="0" w:color="auto"/>
              <w:bottom w:val="double" w:sz="4" w:space="0" w:color="auto"/>
              <w:right w:val="single" w:sz="4" w:space="0" w:color="auto"/>
            </w:tcBorders>
            <w:shd w:val="clear" w:color="auto" w:fill="auto"/>
            <w:vAlign w:val="center"/>
          </w:tcPr>
          <w:p w14:paraId="50F6284D" w14:textId="77777777" w:rsidR="00F05D44" w:rsidRPr="00085918" w:rsidRDefault="00F05D44" w:rsidP="00F05D44">
            <w:pPr>
              <w:pStyle w:val="TableText0"/>
              <w:jc w:val="center"/>
            </w:pPr>
            <w:r w:rsidRPr="00085918">
              <w:t>-</w:t>
            </w:r>
          </w:p>
        </w:tc>
        <w:tc>
          <w:tcPr>
            <w:tcW w:w="596" w:type="pct"/>
            <w:tcBorders>
              <w:top w:val="single" w:sz="4" w:space="0" w:color="auto"/>
              <w:left w:val="single" w:sz="4" w:space="0" w:color="auto"/>
              <w:bottom w:val="double" w:sz="4" w:space="0" w:color="auto"/>
              <w:right w:val="single" w:sz="4" w:space="0" w:color="auto"/>
            </w:tcBorders>
            <w:vAlign w:val="center"/>
          </w:tcPr>
          <w:p w14:paraId="3661FDEB" w14:textId="282172A4" w:rsidR="00F05D44" w:rsidRPr="00085918" w:rsidRDefault="00796051" w:rsidP="00F05D44">
            <w:pPr>
              <w:pStyle w:val="TableText0"/>
              <w:jc w:val="center"/>
            </w:pPr>
            <w:r w:rsidRPr="00085918">
              <w:t>-36.1</w:t>
            </w:r>
          </w:p>
        </w:tc>
      </w:tr>
      <w:tr w:rsidR="005D044D" w:rsidRPr="00085918" w14:paraId="7FD9F360" w14:textId="77777777" w:rsidTr="005E29AF">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50EF1A8A" w14:textId="542E612B" w:rsidR="00B62715" w:rsidRPr="00085918" w:rsidRDefault="00662DBA" w:rsidP="00A67931">
            <w:pPr>
              <w:pStyle w:val="In-tableHeading"/>
              <w:rPr>
                <w:bCs/>
                <w:lang w:val="en-AU"/>
              </w:rPr>
            </w:pPr>
            <w:r w:rsidRPr="00085918">
              <w:t>Change from baseline</w:t>
            </w:r>
            <w:r w:rsidR="00634E52" w:rsidRPr="00085918">
              <w:t xml:space="preserve"> at 52 weeks/12 months </w:t>
            </w:r>
            <w:r w:rsidRPr="00085918">
              <w:t xml:space="preserve">in </w:t>
            </w:r>
            <w:r w:rsidRPr="00085918">
              <w:rPr>
                <w:rStyle w:val="CommentReference"/>
                <w:b/>
                <w:bCs/>
                <w:szCs w:val="24"/>
              </w:rPr>
              <w:t>pruritus (PBC Itch Domain)</w:t>
            </w:r>
          </w:p>
        </w:tc>
      </w:tr>
      <w:tr w:rsidR="003D4A30" w:rsidRPr="00807FD7" w14:paraId="65D6941F" w14:textId="77777777" w:rsidTr="007330DB">
        <w:trPr>
          <w:cantSplit/>
          <w:trHeight w:val="225"/>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5AA282" w14:textId="77777777" w:rsidR="00B62715" w:rsidRPr="00085918" w:rsidRDefault="00B62715" w:rsidP="00A67931">
            <w:pPr>
              <w:pStyle w:val="In-tableHeading"/>
              <w:jc w:val="center"/>
              <w:rPr>
                <w:lang w:val="en-AU"/>
              </w:rPr>
            </w:pPr>
          </w:p>
        </w:tc>
        <w:tc>
          <w:tcPr>
            <w:tcW w:w="1405" w:type="pct"/>
            <w:gridSpan w:val="4"/>
            <w:tcBorders>
              <w:top w:val="single" w:sz="4" w:space="0" w:color="auto"/>
              <w:left w:val="single" w:sz="4" w:space="0" w:color="auto"/>
              <w:bottom w:val="single" w:sz="4" w:space="0" w:color="auto"/>
              <w:right w:val="single" w:sz="4" w:space="0" w:color="auto"/>
            </w:tcBorders>
            <w:vAlign w:val="center"/>
          </w:tcPr>
          <w:p w14:paraId="1B194027" w14:textId="77777777" w:rsidR="00B62715" w:rsidRPr="00085918" w:rsidRDefault="00B62715" w:rsidP="00A67931">
            <w:pPr>
              <w:pStyle w:val="In-tableHeading"/>
              <w:jc w:val="center"/>
              <w:rPr>
                <w:lang w:val="en-AU"/>
              </w:rPr>
            </w:pPr>
            <w:r w:rsidRPr="00085918">
              <w:rPr>
                <w:lang w:val="en-AU"/>
              </w:rPr>
              <w:t>Active treatment group</w:t>
            </w:r>
          </w:p>
        </w:tc>
        <w:tc>
          <w:tcPr>
            <w:tcW w:w="1748" w:type="pct"/>
            <w:gridSpan w:val="5"/>
            <w:tcBorders>
              <w:top w:val="single" w:sz="4" w:space="0" w:color="auto"/>
              <w:left w:val="single" w:sz="4" w:space="0" w:color="auto"/>
              <w:bottom w:val="single" w:sz="4" w:space="0" w:color="auto"/>
              <w:right w:val="single" w:sz="4" w:space="0" w:color="auto"/>
            </w:tcBorders>
            <w:vAlign w:val="center"/>
          </w:tcPr>
          <w:p w14:paraId="32BED35D" w14:textId="4953AE0E" w:rsidR="00B62715" w:rsidRPr="00085918" w:rsidRDefault="00665982" w:rsidP="00A67931">
            <w:pPr>
              <w:pStyle w:val="In-tableHeading"/>
              <w:jc w:val="center"/>
              <w:rPr>
                <w:lang w:val="en-AU"/>
              </w:rPr>
            </w:pPr>
            <w:r w:rsidRPr="00085918">
              <w:rPr>
                <w:lang w:val="en-AU"/>
              </w:rPr>
              <w:t>PBO</w:t>
            </w: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5DBF5D4B" w14:textId="20380D8C" w:rsidR="00B62715" w:rsidRPr="00807FD7" w:rsidRDefault="00B62715" w:rsidP="00A67931">
            <w:pPr>
              <w:pStyle w:val="In-tableHeading"/>
              <w:jc w:val="center"/>
              <w:rPr>
                <w:lang w:val="it-IT"/>
              </w:rPr>
            </w:pPr>
            <w:r w:rsidRPr="00807FD7">
              <w:rPr>
                <w:lang w:val="it-IT"/>
              </w:rPr>
              <w:t>Indirect comparison:</w:t>
            </w:r>
          </w:p>
          <w:p w14:paraId="4BB362B5" w14:textId="29576F75" w:rsidR="00B62715" w:rsidRPr="00807FD7" w:rsidRDefault="001D28EB" w:rsidP="00A67931">
            <w:pPr>
              <w:pStyle w:val="In-tableHeading"/>
              <w:jc w:val="center"/>
              <w:rPr>
                <w:lang w:val="it-IT"/>
              </w:rPr>
            </w:pPr>
            <w:r w:rsidRPr="00807FD7">
              <w:rPr>
                <w:lang w:val="it-IT"/>
              </w:rPr>
              <w:t>MD</w:t>
            </w:r>
            <w:r w:rsidR="00187811" w:rsidRPr="00807FD7">
              <w:rPr>
                <w:vertAlign w:val="superscript"/>
                <w:lang w:val="it-IT"/>
              </w:rPr>
              <w:t>a</w:t>
            </w:r>
            <w:r w:rsidRPr="00807FD7">
              <w:rPr>
                <w:vertAlign w:val="superscript"/>
                <w:lang w:val="it-IT"/>
              </w:rPr>
              <w:t xml:space="preserve"> </w:t>
            </w:r>
            <w:r w:rsidR="004939ED" w:rsidRPr="00807FD7">
              <w:rPr>
                <w:lang w:val="it-IT"/>
              </w:rPr>
              <w:t>ELA</w:t>
            </w:r>
            <w:r w:rsidR="00B62715" w:rsidRPr="00807FD7">
              <w:rPr>
                <w:lang w:val="it-IT"/>
              </w:rPr>
              <w:t xml:space="preserve"> </w:t>
            </w:r>
            <w:r w:rsidR="00947C8E" w:rsidRPr="00807FD7">
              <w:rPr>
                <w:lang w:val="it-IT"/>
              </w:rPr>
              <w:t>vs</w:t>
            </w:r>
            <w:r w:rsidR="00173A07" w:rsidRPr="00807FD7">
              <w:rPr>
                <w:lang w:val="it-IT"/>
              </w:rPr>
              <w:t xml:space="preserve"> </w:t>
            </w:r>
            <w:r w:rsidR="004939ED" w:rsidRPr="00807FD7">
              <w:rPr>
                <w:lang w:val="it-IT"/>
              </w:rPr>
              <w:t>OCA 5-10 mg</w:t>
            </w:r>
          </w:p>
          <w:p w14:paraId="3BDE9A69" w14:textId="77777777" w:rsidR="00B62715" w:rsidRPr="00807FD7" w:rsidRDefault="00B62715" w:rsidP="00A67931">
            <w:pPr>
              <w:pStyle w:val="In-tableHeading"/>
              <w:jc w:val="center"/>
              <w:rPr>
                <w:lang w:val="it-IT"/>
              </w:rPr>
            </w:pPr>
            <w:r w:rsidRPr="00807FD7">
              <w:rPr>
                <w:lang w:val="it-IT"/>
              </w:rPr>
              <w:t>(95% CI)</w:t>
            </w:r>
          </w:p>
        </w:tc>
      </w:tr>
      <w:tr w:rsidR="00F850BE" w:rsidRPr="00085918" w14:paraId="659C7FE4" w14:textId="77777777" w:rsidTr="007330DB">
        <w:trPr>
          <w:cantSplit/>
          <w:trHeight w:val="225"/>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FD4B44" w14:textId="77777777" w:rsidR="00F850BE" w:rsidRPr="00807FD7" w:rsidRDefault="00F850BE" w:rsidP="00F850BE">
            <w:pPr>
              <w:pStyle w:val="In-tableHeading"/>
              <w:jc w:val="center"/>
              <w:rPr>
                <w:lang w:val="it-IT"/>
              </w:rPr>
            </w:pPr>
          </w:p>
        </w:tc>
        <w:tc>
          <w:tcPr>
            <w:tcW w:w="469" w:type="pct"/>
            <w:tcBorders>
              <w:top w:val="single" w:sz="4" w:space="0" w:color="auto"/>
              <w:left w:val="single" w:sz="4" w:space="0" w:color="auto"/>
              <w:bottom w:val="single" w:sz="4" w:space="0" w:color="auto"/>
              <w:right w:val="single" w:sz="4" w:space="0" w:color="auto"/>
            </w:tcBorders>
            <w:vAlign w:val="center"/>
          </w:tcPr>
          <w:p w14:paraId="573D6005" w14:textId="7F5BAF9D" w:rsidR="00F850BE" w:rsidRPr="00085918" w:rsidRDefault="00F850BE" w:rsidP="00F850BE">
            <w:pPr>
              <w:pStyle w:val="In-tableHeading"/>
              <w:jc w:val="center"/>
              <w:rPr>
                <w:lang w:val="en-AU"/>
              </w:rPr>
            </w:pPr>
            <w:r w:rsidRPr="00085918">
              <w:rPr>
                <w:lang w:val="en-AU"/>
              </w:rPr>
              <w:t>N</w:t>
            </w: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68998471" w14:textId="22A2F2C6" w:rsidR="00F850BE" w:rsidRPr="00085918" w:rsidRDefault="00F850BE" w:rsidP="00F850BE">
            <w:pPr>
              <w:pStyle w:val="In-tableHeading"/>
              <w:jc w:val="center"/>
              <w:rPr>
                <w:lang w:val="en-AU"/>
              </w:rPr>
            </w:pPr>
            <w:r w:rsidRPr="00085918">
              <w:rPr>
                <w:lang w:val="en-AU"/>
              </w:rPr>
              <w:t>Mean ∆</w:t>
            </w:r>
          </w:p>
        </w:tc>
        <w:tc>
          <w:tcPr>
            <w:tcW w:w="400" w:type="pct"/>
            <w:tcBorders>
              <w:top w:val="single" w:sz="4" w:space="0" w:color="auto"/>
              <w:left w:val="single" w:sz="4" w:space="0" w:color="auto"/>
              <w:bottom w:val="single" w:sz="4" w:space="0" w:color="auto"/>
              <w:right w:val="single" w:sz="4" w:space="0" w:color="auto"/>
            </w:tcBorders>
            <w:vAlign w:val="center"/>
          </w:tcPr>
          <w:p w14:paraId="647AE114" w14:textId="51545F85" w:rsidR="00F850BE" w:rsidRPr="00085918" w:rsidRDefault="00F850BE" w:rsidP="00F850BE">
            <w:pPr>
              <w:pStyle w:val="In-tableHeading"/>
              <w:jc w:val="center"/>
              <w:rPr>
                <w:lang w:val="en-AU"/>
              </w:rPr>
            </w:pPr>
            <w:r w:rsidRPr="00085918">
              <w:rPr>
                <w:lang w:val="en-AU"/>
              </w:rPr>
              <w:t>SE</w:t>
            </w:r>
          </w:p>
        </w:tc>
        <w:tc>
          <w:tcPr>
            <w:tcW w:w="393" w:type="pct"/>
            <w:tcBorders>
              <w:top w:val="single" w:sz="4" w:space="0" w:color="auto"/>
              <w:left w:val="single" w:sz="4" w:space="0" w:color="auto"/>
              <w:bottom w:val="single" w:sz="4" w:space="0" w:color="auto"/>
              <w:right w:val="single" w:sz="4" w:space="0" w:color="auto"/>
            </w:tcBorders>
            <w:vAlign w:val="center"/>
          </w:tcPr>
          <w:p w14:paraId="5919AA09" w14:textId="5E66C78E" w:rsidR="00F850BE" w:rsidRPr="00085918" w:rsidRDefault="00F850BE" w:rsidP="00F850BE">
            <w:pPr>
              <w:pStyle w:val="In-tableHeading"/>
              <w:jc w:val="center"/>
              <w:rPr>
                <w:lang w:val="en-AU"/>
              </w:rPr>
            </w:pPr>
            <w:r w:rsidRPr="00085918">
              <w:rPr>
                <w:lang w:val="en-AU"/>
              </w:rPr>
              <w:t>N</w:t>
            </w:r>
          </w:p>
        </w:tc>
        <w:tc>
          <w:tcPr>
            <w:tcW w:w="572" w:type="pct"/>
            <w:gridSpan w:val="2"/>
            <w:tcBorders>
              <w:top w:val="single" w:sz="4" w:space="0" w:color="auto"/>
              <w:left w:val="single" w:sz="4" w:space="0" w:color="auto"/>
              <w:bottom w:val="single" w:sz="4" w:space="0" w:color="auto"/>
              <w:right w:val="single" w:sz="4" w:space="0" w:color="auto"/>
            </w:tcBorders>
            <w:vAlign w:val="center"/>
          </w:tcPr>
          <w:p w14:paraId="489CF914" w14:textId="0A255732" w:rsidR="00F850BE" w:rsidRPr="00085918" w:rsidRDefault="00F850BE" w:rsidP="00F850BE">
            <w:pPr>
              <w:pStyle w:val="In-tableHeading"/>
              <w:jc w:val="center"/>
              <w:rPr>
                <w:lang w:val="en-AU"/>
              </w:rPr>
            </w:pPr>
            <w:r w:rsidRPr="00085918">
              <w:rPr>
                <w:lang w:val="en-AU"/>
              </w:rPr>
              <w:t>Mean ∆</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490C5DFD" w14:textId="00706527" w:rsidR="00F850BE" w:rsidRPr="00085918" w:rsidRDefault="00F850BE" w:rsidP="00F850BE">
            <w:pPr>
              <w:pStyle w:val="In-tableHeading"/>
              <w:jc w:val="center"/>
              <w:rPr>
                <w:lang w:val="en-AU"/>
              </w:rPr>
            </w:pPr>
            <w:r w:rsidRPr="00085918">
              <w:rPr>
                <w:lang w:val="en-AU"/>
              </w:rPr>
              <w:t>S</w:t>
            </w:r>
            <w:r w:rsidR="005F5938" w:rsidRPr="00085918">
              <w:rPr>
                <w:lang w:val="en-AU"/>
              </w:rPr>
              <w:t>E</w:t>
            </w: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7A7E980F" w14:textId="166F965D" w:rsidR="00F850BE" w:rsidRPr="00085918" w:rsidRDefault="008F4801" w:rsidP="00F850BE">
            <w:pPr>
              <w:pStyle w:val="In-tableHeading"/>
              <w:jc w:val="center"/>
              <w:rPr>
                <w:lang w:val="en-AU"/>
              </w:rPr>
            </w:pPr>
            <w:r>
              <w:rPr>
                <w:lang w:val="en-AU"/>
              </w:rPr>
              <w:t>-</w:t>
            </w:r>
          </w:p>
        </w:tc>
      </w:tr>
      <w:tr w:rsidR="00F850BE" w:rsidRPr="00085918" w14:paraId="7777EE8E" w14:textId="77777777" w:rsidTr="007330DB">
        <w:trPr>
          <w:cantSplit/>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CE229D8" w14:textId="195EA30B" w:rsidR="00F850BE" w:rsidRPr="00085918" w:rsidRDefault="00F850BE" w:rsidP="00F850BE">
            <w:pPr>
              <w:pStyle w:val="TableText0"/>
            </w:pPr>
            <w:r w:rsidRPr="00085918">
              <w:t>ELATIVE</w:t>
            </w:r>
          </w:p>
        </w:tc>
        <w:tc>
          <w:tcPr>
            <w:tcW w:w="469" w:type="pct"/>
            <w:tcBorders>
              <w:top w:val="single" w:sz="4" w:space="0" w:color="auto"/>
              <w:left w:val="single" w:sz="4" w:space="0" w:color="auto"/>
              <w:bottom w:val="single" w:sz="4" w:space="0" w:color="auto"/>
              <w:right w:val="single" w:sz="4" w:space="0" w:color="auto"/>
            </w:tcBorders>
            <w:vAlign w:val="center"/>
          </w:tcPr>
          <w:p w14:paraId="5B6BEA0E" w14:textId="5B773EE8" w:rsidR="00F850BE" w:rsidRPr="00085918" w:rsidRDefault="00F850BE" w:rsidP="00F850BE">
            <w:pPr>
              <w:pStyle w:val="TableText0"/>
              <w:jc w:val="center"/>
            </w:pPr>
            <w:r w:rsidRPr="00085918">
              <w:t>95</w:t>
            </w: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55FF09D4" w14:textId="2AD26CEE" w:rsidR="00F850BE" w:rsidRPr="00085918" w:rsidRDefault="00F850BE" w:rsidP="00F850BE">
            <w:pPr>
              <w:pStyle w:val="TableText0"/>
              <w:jc w:val="center"/>
              <w:rPr>
                <w:color w:val="000000"/>
              </w:rPr>
            </w:pPr>
            <w:r w:rsidRPr="00085918">
              <w:t xml:space="preserve">-1.6 </w:t>
            </w:r>
          </w:p>
        </w:tc>
        <w:tc>
          <w:tcPr>
            <w:tcW w:w="400" w:type="pct"/>
            <w:tcBorders>
              <w:top w:val="single" w:sz="4" w:space="0" w:color="auto"/>
              <w:left w:val="single" w:sz="4" w:space="0" w:color="auto"/>
              <w:bottom w:val="single" w:sz="4" w:space="0" w:color="auto"/>
              <w:right w:val="single" w:sz="4" w:space="0" w:color="auto"/>
            </w:tcBorders>
            <w:vAlign w:val="center"/>
          </w:tcPr>
          <w:p w14:paraId="3428F5B0" w14:textId="3CA4D73F" w:rsidR="00F850BE" w:rsidRPr="00085918" w:rsidRDefault="00F850BE" w:rsidP="00F850BE">
            <w:pPr>
              <w:pStyle w:val="TableText0"/>
              <w:jc w:val="center"/>
              <w:rPr>
                <w:color w:val="000000"/>
              </w:rPr>
            </w:pPr>
            <w:r w:rsidRPr="00085918">
              <w:t>0.28</w:t>
            </w:r>
          </w:p>
        </w:tc>
        <w:tc>
          <w:tcPr>
            <w:tcW w:w="393" w:type="pct"/>
            <w:tcBorders>
              <w:top w:val="single" w:sz="4" w:space="0" w:color="auto"/>
              <w:left w:val="single" w:sz="4" w:space="0" w:color="auto"/>
              <w:bottom w:val="single" w:sz="4" w:space="0" w:color="auto"/>
              <w:right w:val="single" w:sz="4" w:space="0" w:color="auto"/>
            </w:tcBorders>
            <w:vAlign w:val="center"/>
          </w:tcPr>
          <w:p w14:paraId="22663B74" w14:textId="00CBEE57" w:rsidR="00F850BE" w:rsidRPr="00085918" w:rsidRDefault="00DC1830" w:rsidP="00DC1830">
            <w:pPr>
              <w:pStyle w:val="TableText0"/>
              <w:jc w:val="center"/>
              <w:rPr>
                <w:color w:val="000000"/>
              </w:rPr>
            </w:pPr>
            <w:r w:rsidRPr="00085918">
              <w:t>48</w:t>
            </w:r>
          </w:p>
        </w:tc>
        <w:tc>
          <w:tcPr>
            <w:tcW w:w="572" w:type="pct"/>
            <w:gridSpan w:val="2"/>
            <w:tcBorders>
              <w:top w:val="single" w:sz="4" w:space="0" w:color="auto"/>
              <w:left w:val="single" w:sz="4" w:space="0" w:color="auto"/>
              <w:bottom w:val="single" w:sz="4" w:space="0" w:color="auto"/>
              <w:right w:val="single" w:sz="4" w:space="0" w:color="auto"/>
            </w:tcBorders>
            <w:vAlign w:val="center"/>
          </w:tcPr>
          <w:p w14:paraId="470394CD" w14:textId="67100CAC" w:rsidR="00F850BE" w:rsidRPr="00085918" w:rsidRDefault="00DC1830" w:rsidP="00F850BE">
            <w:pPr>
              <w:pStyle w:val="TableText0"/>
              <w:jc w:val="center"/>
              <w:rPr>
                <w:color w:val="000000"/>
              </w:rPr>
            </w:pPr>
            <w:r w:rsidRPr="00085918">
              <w:t xml:space="preserve">-0.2 </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6F705722" w14:textId="402A6997" w:rsidR="00F850BE" w:rsidRPr="00085918" w:rsidRDefault="00DC1830" w:rsidP="00F850BE">
            <w:pPr>
              <w:pStyle w:val="TableText0"/>
              <w:jc w:val="center"/>
              <w:rPr>
                <w:color w:val="000000"/>
              </w:rPr>
            </w:pPr>
            <w:r w:rsidRPr="00085918">
              <w:t>0.32</w:t>
            </w:r>
          </w:p>
        </w:tc>
        <w:tc>
          <w:tcPr>
            <w:tcW w:w="1209" w:type="pct"/>
            <w:gridSpan w:val="2"/>
            <w:vMerge w:val="restart"/>
            <w:tcBorders>
              <w:top w:val="single" w:sz="4" w:space="0" w:color="auto"/>
              <w:left w:val="single" w:sz="4" w:space="0" w:color="auto"/>
              <w:bottom w:val="single" w:sz="4" w:space="0" w:color="auto"/>
              <w:right w:val="single" w:sz="4" w:space="0" w:color="auto"/>
            </w:tcBorders>
            <w:vAlign w:val="center"/>
          </w:tcPr>
          <w:p w14:paraId="43CBAB50" w14:textId="082FFEE9" w:rsidR="00F850BE" w:rsidRPr="00085918" w:rsidRDefault="00F850BE" w:rsidP="00F850BE">
            <w:pPr>
              <w:pStyle w:val="TableText0"/>
              <w:jc w:val="center"/>
              <w:rPr>
                <w:bCs w:val="0"/>
              </w:rPr>
            </w:pPr>
            <w:r w:rsidRPr="00085918">
              <w:rPr>
                <w:bCs w:val="0"/>
              </w:rPr>
              <w:t>-1.87 (-3.38, -0.36)</w:t>
            </w:r>
          </w:p>
        </w:tc>
      </w:tr>
      <w:tr w:rsidR="00665982" w:rsidRPr="00085918" w14:paraId="51EAD970" w14:textId="77777777" w:rsidTr="007330DB">
        <w:trPr>
          <w:cantSplit/>
        </w:trPr>
        <w:tc>
          <w:tcPr>
            <w:tcW w:w="638" w:type="pct"/>
            <w:tcBorders>
              <w:top w:val="single" w:sz="4" w:space="0" w:color="auto"/>
              <w:left w:val="single" w:sz="4" w:space="0" w:color="auto"/>
              <w:bottom w:val="double" w:sz="4" w:space="0" w:color="auto"/>
              <w:right w:val="single" w:sz="4" w:space="0" w:color="auto"/>
            </w:tcBorders>
            <w:shd w:val="clear" w:color="auto" w:fill="auto"/>
            <w:vAlign w:val="center"/>
          </w:tcPr>
          <w:p w14:paraId="76F4A0F5" w14:textId="76FF7153" w:rsidR="00665982" w:rsidRPr="00085918" w:rsidRDefault="00665982" w:rsidP="00665982">
            <w:pPr>
              <w:pStyle w:val="TableText0"/>
            </w:pPr>
            <w:r w:rsidRPr="00085918">
              <w:t>POISE</w:t>
            </w:r>
          </w:p>
        </w:tc>
        <w:tc>
          <w:tcPr>
            <w:tcW w:w="469" w:type="pct"/>
            <w:tcBorders>
              <w:top w:val="single" w:sz="4" w:space="0" w:color="auto"/>
              <w:left w:val="single" w:sz="4" w:space="0" w:color="auto"/>
              <w:bottom w:val="double" w:sz="4" w:space="0" w:color="auto"/>
              <w:right w:val="single" w:sz="4" w:space="0" w:color="auto"/>
            </w:tcBorders>
            <w:vAlign w:val="center"/>
          </w:tcPr>
          <w:p w14:paraId="21CFCD3E" w14:textId="4BB3E3D0" w:rsidR="00665982" w:rsidRPr="00085918" w:rsidRDefault="009A44BF" w:rsidP="00CD4D05">
            <w:pPr>
              <w:pStyle w:val="TableText0"/>
              <w:jc w:val="center"/>
              <w:rPr>
                <w:color w:val="000000"/>
              </w:rPr>
            </w:pPr>
            <w:r w:rsidRPr="00085918">
              <w:t>70</w:t>
            </w:r>
          </w:p>
        </w:tc>
        <w:tc>
          <w:tcPr>
            <w:tcW w:w="536" w:type="pct"/>
            <w:gridSpan w:val="2"/>
            <w:tcBorders>
              <w:top w:val="single" w:sz="4" w:space="0" w:color="auto"/>
              <w:left w:val="single" w:sz="4" w:space="0" w:color="auto"/>
              <w:bottom w:val="double" w:sz="4" w:space="0" w:color="auto"/>
              <w:right w:val="single" w:sz="4" w:space="0" w:color="auto"/>
            </w:tcBorders>
            <w:vAlign w:val="center"/>
          </w:tcPr>
          <w:p w14:paraId="3C018F47" w14:textId="684F86F5" w:rsidR="00665982" w:rsidRPr="00085918" w:rsidRDefault="00CD4D05" w:rsidP="00665982">
            <w:pPr>
              <w:pStyle w:val="TableText0"/>
              <w:jc w:val="center"/>
              <w:rPr>
                <w:color w:val="000000"/>
              </w:rPr>
            </w:pPr>
            <w:r w:rsidRPr="00085918">
              <w:rPr>
                <w:color w:val="000000"/>
              </w:rPr>
              <w:t>1.3</w:t>
            </w:r>
          </w:p>
        </w:tc>
        <w:tc>
          <w:tcPr>
            <w:tcW w:w="400" w:type="pct"/>
            <w:tcBorders>
              <w:top w:val="single" w:sz="4" w:space="0" w:color="auto"/>
              <w:left w:val="single" w:sz="4" w:space="0" w:color="auto"/>
              <w:bottom w:val="double" w:sz="4" w:space="0" w:color="auto"/>
              <w:right w:val="single" w:sz="4" w:space="0" w:color="auto"/>
            </w:tcBorders>
            <w:vAlign w:val="center"/>
          </w:tcPr>
          <w:p w14:paraId="22E262C6" w14:textId="72080FE6" w:rsidR="00665982" w:rsidRPr="00085918" w:rsidRDefault="00CD4D05" w:rsidP="00665982">
            <w:pPr>
              <w:pStyle w:val="TableText0"/>
              <w:jc w:val="center"/>
              <w:rPr>
                <w:color w:val="000000"/>
              </w:rPr>
            </w:pPr>
            <w:r w:rsidRPr="00085918">
              <w:rPr>
                <w:color w:val="000000"/>
              </w:rPr>
              <w:t>0.44</w:t>
            </w:r>
          </w:p>
        </w:tc>
        <w:tc>
          <w:tcPr>
            <w:tcW w:w="393" w:type="pct"/>
            <w:tcBorders>
              <w:top w:val="single" w:sz="4" w:space="0" w:color="auto"/>
              <w:left w:val="single" w:sz="4" w:space="0" w:color="auto"/>
              <w:bottom w:val="double" w:sz="4" w:space="0" w:color="auto"/>
              <w:right w:val="single" w:sz="4" w:space="0" w:color="auto"/>
            </w:tcBorders>
            <w:vAlign w:val="center"/>
          </w:tcPr>
          <w:p w14:paraId="61F40072" w14:textId="12E44783" w:rsidR="00665982" w:rsidRPr="00085918" w:rsidRDefault="005F5938" w:rsidP="005F5938">
            <w:pPr>
              <w:pStyle w:val="TableText0"/>
              <w:jc w:val="center"/>
              <w:rPr>
                <w:color w:val="000000"/>
              </w:rPr>
            </w:pPr>
            <w:r w:rsidRPr="00085918">
              <w:t>73</w:t>
            </w:r>
          </w:p>
        </w:tc>
        <w:tc>
          <w:tcPr>
            <w:tcW w:w="572" w:type="pct"/>
            <w:gridSpan w:val="2"/>
            <w:tcBorders>
              <w:top w:val="single" w:sz="4" w:space="0" w:color="auto"/>
              <w:left w:val="single" w:sz="4" w:space="0" w:color="auto"/>
              <w:bottom w:val="double" w:sz="4" w:space="0" w:color="auto"/>
              <w:right w:val="single" w:sz="4" w:space="0" w:color="auto"/>
            </w:tcBorders>
            <w:vAlign w:val="center"/>
          </w:tcPr>
          <w:p w14:paraId="68C2104B" w14:textId="71006273" w:rsidR="00665982" w:rsidRPr="00085918" w:rsidRDefault="005F5938" w:rsidP="00665982">
            <w:pPr>
              <w:pStyle w:val="TableText0"/>
              <w:jc w:val="center"/>
              <w:rPr>
                <w:color w:val="000000"/>
              </w:rPr>
            </w:pPr>
            <w:r w:rsidRPr="00085918">
              <w:t xml:space="preserve">0.8 </w:t>
            </w:r>
          </w:p>
        </w:tc>
        <w:tc>
          <w:tcPr>
            <w:tcW w:w="783" w:type="pct"/>
            <w:gridSpan w:val="2"/>
            <w:tcBorders>
              <w:top w:val="single" w:sz="4" w:space="0" w:color="auto"/>
              <w:left w:val="single" w:sz="4" w:space="0" w:color="auto"/>
              <w:bottom w:val="double" w:sz="4" w:space="0" w:color="auto"/>
              <w:right w:val="single" w:sz="4" w:space="0" w:color="auto"/>
            </w:tcBorders>
            <w:vAlign w:val="center"/>
          </w:tcPr>
          <w:p w14:paraId="77F80940" w14:textId="73C33D31" w:rsidR="00665982" w:rsidRPr="00085918" w:rsidRDefault="005F5938" w:rsidP="00665982">
            <w:pPr>
              <w:pStyle w:val="TableText0"/>
              <w:jc w:val="center"/>
              <w:rPr>
                <w:color w:val="000000"/>
              </w:rPr>
            </w:pPr>
            <w:r w:rsidRPr="00085918">
              <w:t>0.47</w:t>
            </w:r>
          </w:p>
        </w:tc>
        <w:tc>
          <w:tcPr>
            <w:tcW w:w="1209" w:type="pct"/>
            <w:gridSpan w:val="2"/>
            <w:vMerge/>
            <w:tcBorders>
              <w:top w:val="single" w:sz="4" w:space="0" w:color="auto"/>
              <w:left w:val="single" w:sz="4" w:space="0" w:color="auto"/>
              <w:bottom w:val="double" w:sz="4" w:space="0" w:color="auto"/>
              <w:right w:val="single" w:sz="4" w:space="0" w:color="auto"/>
            </w:tcBorders>
            <w:vAlign w:val="center"/>
          </w:tcPr>
          <w:p w14:paraId="0187CDB2" w14:textId="77777777" w:rsidR="00665982" w:rsidRPr="00085918" w:rsidRDefault="00665982" w:rsidP="00665982">
            <w:pPr>
              <w:keepNext/>
              <w:keepLines/>
              <w:jc w:val="center"/>
              <w:rPr>
                <w:rFonts w:ascii="Arial Narrow" w:hAnsi="Arial Narrow"/>
                <w:b/>
                <w:sz w:val="20"/>
                <w:szCs w:val="18"/>
              </w:rPr>
            </w:pPr>
          </w:p>
        </w:tc>
      </w:tr>
      <w:tr w:rsidR="004939ED" w:rsidRPr="00085918" w14:paraId="19FEEB08" w14:textId="77777777" w:rsidTr="005E29AF">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6A5D57D1" w14:textId="77777777" w:rsidR="004939ED" w:rsidRPr="00085918" w:rsidRDefault="004939ED">
            <w:pPr>
              <w:pStyle w:val="In-tableHeading"/>
              <w:rPr>
                <w:bCs/>
                <w:lang w:val="en-AU"/>
              </w:rPr>
            </w:pPr>
            <w:r w:rsidRPr="00085918">
              <w:t xml:space="preserve">Change from baseline at 52 weeks/12 months in </w:t>
            </w:r>
            <w:r w:rsidRPr="00085918">
              <w:rPr>
                <w:rStyle w:val="CommentReference"/>
                <w:b/>
                <w:bCs/>
                <w:szCs w:val="24"/>
              </w:rPr>
              <w:t>pruritus (PBC Itch Domain)</w:t>
            </w:r>
          </w:p>
        </w:tc>
      </w:tr>
      <w:tr w:rsidR="004939ED" w:rsidRPr="00807FD7" w14:paraId="014E6FA0" w14:textId="77777777" w:rsidTr="007330DB">
        <w:trPr>
          <w:cantSplit/>
          <w:trHeight w:val="225"/>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8B6048" w14:textId="77777777" w:rsidR="004939ED" w:rsidRPr="00085918" w:rsidRDefault="004939ED">
            <w:pPr>
              <w:pStyle w:val="In-tableHeading"/>
              <w:jc w:val="center"/>
              <w:rPr>
                <w:lang w:val="en-AU"/>
              </w:rPr>
            </w:pPr>
          </w:p>
        </w:tc>
        <w:tc>
          <w:tcPr>
            <w:tcW w:w="1405" w:type="pct"/>
            <w:gridSpan w:val="4"/>
            <w:tcBorders>
              <w:top w:val="single" w:sz="4" w:space="0" w:color="auto"/>
              <w:left w:val="single" w:sz="4" w:space="0" w:color="auto"/>
              <w:bottom w:val="single" w:sz="4" w:space="0" w:color="auto"/>
              <w:right w:val="single" w:sz="4" w:space="0" w:color="auto"/>
            </w:tcBorders>
            <w:vAlign w:val="center"/>
          </w:tcPr>
          <w:p w14:paraId="74F983D8" w14:textId="77777777" w:rsidR="004939ED" w:rsidRPr="00085918" w:rsidRDefault="004939ED">
            <w:pPr>
              <w:pStyle w:val="In-tableHeading"/>
              <w:jc w:val="center"/>
              <w:rPr>
                <w:lang w:val="en-AU"/>
              </w:rPr>
            </w:pPr>
            <w:r w:rsidRPr="00085918">
              <w:rPr>
                <w:lang w:val="en-AU"/>
              </w:rPr>
              <w:t>Active treatment group</w:t>
            </w:r>
          </w:p>
        </w:tc>
        <w:tc>
          <w:tcPr>
            <w:tcW w:w="1748" w:type="pct"/>
            <w:gridSpan w:val="5"/>
            <w:tcBorders>
              <w:top w:val="single" w:sz="4" w:space="0" w:color="auto"/>
              <w:left w:val="single" w:sz="4" w:space="0" w:color="auto"/>
              <w:bottom w:val="single" w:sz="4" w:space="0" w:color="auto"/>
              <w:right w:val="single" w:sz="4" w:space="0" w:color="auto"/>
            </w:tcBorders>
            <w:vAlign w:val="center"/>
          </w:tcPr>
          <w:p w14:paraId="2343DF92" w14:textId="77777777" w:rsidR="004939ED" w:rsidRPr="00085918" w:rsidRDefault="004939ED">
            <w:pPr>
              <w:pStyle w:val="In-tableHeading"/>
              <w:jc w:val="center"/>
              <w:rPr>
                <w:lang w:val="en-AU"/>
              </w:rPr>
            </w:pPr>
            <w:r w:rsidRPr="00085918">
              <w:rPr>
                <w:lang w:val="en-AU"/>
              </w:rPr>
              <w:t>PBO</w:t>
            </w: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7DE49F4E" w14:textId="77777777" w:rsidR="004939ED" w:rsidRPr="00807FD7" w:rsidRDefault="004939ED">
            <w:pPr>
              <w:pStyle w:val="In-tableHeading"/>
              <w:jc w:val="center"/>
              <w:rPr>
                <w:lang w:val="it-IT"/>
              </w:rPr>
            </w:pPr>
            <w:r w:rsidRPr="00807FD7">
              <w:rPr>
                <w:lang w:val="it-IT"/>
              </w:rPr>
              <w:t>Indirect comparison:</w:t>
            </w:r>
          </w:p>
          <w:p w14:paraId="5E42FC4B" w14:textId="0E35CE36" w:rsidR="004939ED" w:rsidRPr="00807FD7" w:rsidRDefault="001D28EB">
            <w:pPr>
              <w:pStyle w:val="In-tableHeading"/>
              <w:jc w:val="center"/>
              <w:rPr>
                <w:lang w:val="it-IT"/>
              </w:rPr>
            </w:pPr>
            <w:r w:rsidRPr="00807FD7">
              <w:rPr>
                <w:lang w:val="it-IT"/>
              </w:rPr>
              <w:t>MD</w:t>
            </w:r>
            <w:r w:rsidR="00187811" w:rsidRPr="00807FD7">
              <w:rPr>
                <w:vertAlign w:val="superscript"/>
                <w:lang w:val="it-IT"/>
              </w:rPr>
              <w:t>a</w:t>
            </w:r>
            <w:r w:rsidRPr="00807FD7">
              <w:rPr>
                <w:vertAlign w:val="superscript"/>
                <w:lang w:val="it-IT"/>
              </w:rPr>
              <w:t xml:space="preserve"> </w:t>
            </w:r>
            <w:r w:rsidR="004939ED" w:rsidRPr="00807FD7">
              <w:rPr>
                <w:lang w:val="it-IT"/>
              </w:rPr>
              <w:t xml:space="preserve">ELA </w:t>
            </w:r>
            <w:r w:rsidR="00947C8E" w:rsidRPr="00807FD7">
              <w:rPr>
                <w:lang w:val="it-IT"/>
              </w:rPr>
              <w:t>vs</w:t>
            </w:r>
            <w:r w:rsidR="00173A07" w:rsidRPr="00807FD7">
              <w:rPr>
                <w:lang w:val="it-IT"/>
              </w:rPr>
              <w:t xml:space="preserve"> </w:t>
            </w:r>
            <w:r w:rsidR="004939ED" w:rsidRPr="00807FD7">
              <w:rPr>
                <w:lang w:val="it-IT"/>
              </w:rPr>
              <w:t>OCA 10 mg</w:t>
            </w:r>
          </w:p>
          <w:p w14:paraId="4AD5A602" w14:textId="77777777" w:rsidR="004939ED" w:rsidRPr="00807FD7" w:rsidRDefault="004939ED">
            <w:pPr>
              <w:pStyle w:val="In-tableHeading"/>
              <w:jc w:val="center"/>
              <w:rPr>
                <w:lang w:val="it-IT"/>
              </w:rPr>
            </w:pPr>
            <w:r w:rsidRPr="00807FD7">
              <w:rPr>
                <w:lang w:val="it-IT"/>
              </w:rPr>
              <w:t>(95% CI)</w:t>
            </w:r>
          </w:p>
        </w:tc>
      </w:tr>
      <w:tr w:rsidR="004939ED" w:rsidRPr="00085918" w14:paraId="45B62AE5" w14:textId="77777777" w:rsidTr="007330DB">
        <w:trPr>
          <w:cantSplit/>
          <w:trHeight w:val="225"/>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1CF8E2" w14:textId="77777777" w:rsidR="004939ED" w:rsidRPr="00807FD7" w:rsidRDefault="004939ED">
            <w:pPr>
              <w:pStyle w:val="In-tableHeading"/>
              <w:jc w:val="center"/>
              <w:rPr>
                <w:lang w:val="it-IT"/>
              </w:rPr>
            </w:pPr>
          </w:p>
        </w:tc>
        <w:tc>
          <w:tcPr>
            <w:tcW w:w="469" w:type="pct"/>
            <w:tcBorders>
              <w:top w:val="single" w:sz="4" w:space="0" w:color="auto"/>
              <w:left w:val="single" w:sz="4" w:space="0" w:color="auto"/>
              <w:bottom w:val="single" w:sz="4" w:space="0" w:color="auto"/>
              <w:right w:val="single" w:sz="4" w:space="0" w:color="auto"/>
            </w:tcBorders>
            <w:vAlign w:val="center"/>
          </w:tcPr>
          <w:p w14:paraId="2784D2F1" w14:textId="77777777" w:rsidR="004939ED" w:rsidRPr="00085918" w:rsidRDefault="004939ED">
            <w:pPr>
              <w:pStyle w:val="In-tableHeading"/>
              <w:jc w:val="center"/>
              <w:rPr>
                <w:lang w:val="en-AU"/>
              </w:rPr>
            </w:pPr>
            <w:r w:rsidRPr="00085918">
              <w:rPr>
                <w:lang w:val="en-AU"/>
              </w:rPr>
              <w:t>N</w:t>
            </w: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2D9D2884" w14:textId="5F06A96B" w:rsidR="004939ED" w:rsidRPr="00085918" w:rsidRDefault="00F850BE">
            <w:pPr>
              <w:pStyle w:val="In-tableHeading"/>
              <w:jc w:val="center"/>
              <w:rPr>
                <w:lang w:val="en-AU"/>
              </w:rPr>
            </w:pPr>
            <w:r w:rsidRPr="00085918">
              <w:rPr>
                <w:lang w:val="en-AU"/>
              </w:rPr>
              <w:t>Mean ∆</w:t>
            </w:r>
          </w:p>
        </w:tc>
        <w:tc>
          <w:tcPr>
            <w:tcW w:w="400" w:type="pct"/>
            <w:tcBorders>
              <w:top w:val="single" w:sz="4" w:space="0" w:color="auto"/>
              <w:left w:val="single" w:sz="4" w:space="0" w:color="auto"/>
              <w:bottom w:val="single" w:sz="4" w:space="0" w:color="auto"/>
              <w:right w:val="single" w:sz="4" w:space="0" w:color="auto"/>
            </w:tcBorders>
            <w:vAlign w:val="center"/>
          </w:tcPr>
          <w:p w14:paraId="012815F1" w14:textId="2A31C793" w:rsidR="004939ED" w:rsidRPr="00085918" w:rsidRDefault="004939ED">
            <w:pPr>
              <w:pStyle w:val="In-tableHeading"/>
              <w:jc w:val="center"/>
              <w:rPr>
                <w:lang w:val="en-AU"/>
              </w:rPr>
            </w:pPr>
            <w:r w:rsidRPr="00085918">
              <w:rPr>
                <w:lang w:val="en-AU"/>
              </w:rPr>
              <w:t>S</w:t>
            </w:r>
            <w:r w:rsidR="00BB161E" w:rsidRPr="00085918">
              <w:rPr>
                <w:lang w:val="en-AU"/>
              </w:rPr>
              <w:t>E</w:t>
            </w:r>
          </w:p>
        </w:tc>
        <w:tc>
          <w:tcPr>
            <w:tcW w:w="393" w:type="pct"/>
            <w:tcBorders>
              <w:top w:val="single" w:sz="4" w:space="0" w:color="auto"/>
              <w:left w:val="single" w:sz="4" w:space="0" w:color="auto"/>
              <w:bottom w:val="single" w:sz="4" w:space="0" w:color="auto"/>
              <w:right w:val="single" w:sz="4" w:space="0" w:color="auto"/>
            </w:tcBorders>
            <w:vAlign w:val="center"/>
          </w:tcPr>
          <w:p w14:paraId="79DE64B0" w14:textId="77777777" w:rsidR="004939ED" w:rsidRPr="00085918" w:rsidRDefault="004939ED">
            <w:pPr>
              <w:pStyle w:val="In-tableHeading"/>
              <w:jc w:val="center"/>
              <w:rPr>
                <w:lang w:val="en-AU"/>
              </w:rPr>
            </w:pPr>
            <w:r w:rsidRPr="00085918">
              <w:rPr>
                <w:lang w:val="en-AU"/>
              </w:rPr>
              <w:t>N</w:t>
            </w:r>
          </w:p>
        </w:tc>
        <w:tc>
          <w:tcPr>
            <w:tcW w:w="572" w:type="pct"/>
            <w:gridSpan w:val="2"/>
            <w:tcBorders>
              <w:top w:val="single" w:sz="4" w:space="0" w:color="auto"/>
              <w:left w:val="single" w:sz="4" w:space="0" w:color="auto"/>
              <w:bottom w:val="single" w:sz="4" w:space="0" w:color="auto"/>
              <w:right w:val="single" w:sz="4" w:space="0" w:color="auto"/>
            </w:tcBorders>
            <w:vAlign w:val="center"/>
          </w:tcPr>
          <w:p w14:paraId="63C99F3C" w14:textId="63FF8DB8" w:rsidR="004939ED" w:rsidRPr="00085918" w:rsidRDefault="00F850BE">
            <w:pPr>
              <w:pStyle w:val="In-tableHeading"/>
              <w:jc w:val="center"/>
              <w:rPr>
                <w:lang w:val="en-AU"/>
              </w:rPr>
            </w:pPr>
            <w:r w:rsidRPr="00085918">
              <w:rPr>
                <w:lang w:val="en-AU"/>
              </w:rPr>
              <w:t>Mean ∆</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48EEAA5F" w14:textId="5C66195E" w:rsidR="004939ED" w:rsidRPr="00085918" w:rsidRDefault="004939ED">
            <w:pPr>
              <w:pStyle w:val="In-tableHeading"/>
              <w:jc w:val="center"/>
              <w:rPr>
                <w:lang w:val="en-AU"/>
              </w:rPr>
            </w:pPr>
            <w:r w:rsidRPr="00085918">
              <w:rPr>
                <w:lang w:val="en-AU"/>
              </w:rPr>
              <w:t>S</w:t>
            </w:r>
            <w:r w:rsidR="005F5938" w:rsidRPr="00085918">
              <w:rPr>
                <w:lang w:val="en-AU"/>
              </w:rPr>
              <w:t>E</w:t>
            </w: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070AD5BB" w14:textId="2DB6A262" w:rsidR="004939ED" w:rsidRPr="00085918" w:rsidRDefault="008F4801">
            <w:pPr>
              <w:pStyle w:val="In-tableHeading"/>
              <w:jc w:val="center"/>
              <w:rPr>
                <w:lang w:val="en-AU"/>
              </w:rPr>
            </w:pPr>
            <w:r>
              <w:rPr>
                <w:lang w:val="en-AU"/>
              </w:rPr>
              <w:t>-</w:t>
            </w:r>
          </w:p>
        </w:tc>
      </w:tr>
      <w:tr w:rsidR="00DC1830" w:rsidRPr="00085918" w14:paraId="75F30AB0" w14:textId="77777777" w:rsidTr="007330DB">
        <w:trPr>
          <w:cantSplit/>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898635D" w14:textId="77777777" w:rsidR="00DC1830" w:rsidRPr="00085918" w:rsidRDefault="00DC1830" w:rsidP="00DC1830">
            <w:pPr>
              <w:pStyle w:val="TableText0"/>
            </w:pPr>
            <w:r w:rsidRPr="00085918">
              <w:t>ELATIVE</w:t>
            </w:r>
          </w:p>
        </w:tc>
        <w:tc>
          <w:tcPr>
            <w:tcW w:w="469" w:type="pct"/>
            <w:tcBorders>
              <w:top w:val="single" w:sz="4" w:space="0" w:color="auto"/>
              <w:left w:val="single" w:sz="4" w:space="0" w:color="auto"/>
              <w:bottom w:val="single" w:sz="4" w:space="0" w:color="auto"/>
              <w:right w:val="single" w:sz="4" w:space="0" w:color="auto"/>
            </w:tcBorders>
            <w:vAlign w:val="center"/>
          </w:tcPr>
          <w:p w14:paraId="0928CE44" w14:textId="2F0B3C8B" w:rsidR="00DC1830" w:rsidRPr="00085918" w:rsidRDefault="00DC1830" w:rsidP="00DC1830">
            <w:pPr>
              <w:pStyle w:val="TableText0"/>
              <w:jc w:val="center"/>
            </w:pPr>
            <w:r w:rsidRPr="00085918">
              <w:t>95</w:t>
            </w: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7D7DB455" w14:textId="373E8033" w:rsidR="00DC1830" w:rsidRPr="00085918" w:rsidRDefault="00DC1830" w:rsidP="00DC1830">
            <w:pPr>
              <w:pStyle w:val="TableText0"/>
              <w:jc w:val="center"/>
              <w:rPr>
                <w:color w:val="000000"/>
              </w:rPr>
            </w:pPr>
            <w:r w:rsidRPr="00085918">
              <w:t xml:space="preserve">-1.6 </w:t>
            </w:r>
          </w:p>
        </w:tc>
        <w:tc>
          <w:tcPr>
            <w:tcW w:w="400" w:type="pct"/>
            <w:tcBorders>
              <w:top w:val="single" w:sz="4" w:space="0" w:color="auto"/>
              <w:left w:val="single" w:sz="4" w:space="0" w:color="auto"/>
              <w:bottom w:val="single" w:sz="4" w:space="0" w:color="auto"/>
              <w:right w:val="single" w:sz="4" w:space="0" w:color="auto"/>
            </w:tcBorders>
            <w:vAlign w:val="center"/>
          </w:tcPr>
          <w:p w14:paraId="5A7C1278" w14:textId="2F788E1B" w:rsidR="00DC1830" w:rsidRPr="00085918" w:rsidRDefault="00DC1830" w:rsidP="00DC1830">
            <w:pPr>
              <w:pStyle w:val="TableText0"/>
              <w:jc w:val="center"/>
              <w:rPr>
                <w:color w:val="000000"/>
              </w:rPr>
            </w:pPr>
            <w:r w:rsidRPr="00085918">
              <w:t>0.28</w:t>
            </w:r>
          </w:p>
        </w:tc>
        <w:tc>
          <w:tcPr>
            <w:tcW w:w="393" w:type="pct"/>
            <w:tcBorders>
              <w:top w:val="single" w:sz="4" w:space="0" w:color="auto"/>
              <w:left w:val="single" w:sz="4" w:space="0" w:color="auto"/>
              <w:bottom w:val="single" w:sz="4" w:space="0" w:color="auto"/>
              <w:right w:val="single" w:sz="4" w:space="0" w:color="auto"/>
            </w:tcBorders>
            <w:vAlign w:val="center"/>
          </w:tcPr>
          <w:p w14:paraId="64DD6D84" w14:textId="33BD7ADD" w:rsidR="00DC1830" w:rsidRPr="00085918" w:rsidRDefault="00DC1830" w:rsidP="00DC1830">
            <w:pPr>
              <w:pStyle w:val="TableText0"/>
              <w:jc w:val="center"/>
              <w:rPr>
                <w:color w:val="000000"/>
              </w:rPr>
            </w:pPr>
            <w:r w:rsidRPr="00085918">
              <w:t>48</w:t>
            </w:r>
          </w:p>
        </w:tc>
        <w:tc>
          <w:tcPr>
            <w:tcW w:w="572" w:type="pct"/>
            <w:gridSpan w:val="2"/>
            <w:tcBorders>
              <w:top w:val="single" w:sz="4" w:space="0" w:color="auto"/>
              <w:left w:val="single" w:sz="4" w:space="0" w:color="auto"/>
              <w:bottom w:val="single" w:sz="4" w:space="0" w:color="auto"/>
              <w:right w:val="single" w:sz="4" w:space="0" w:color="auto"/>
            </w:tcBorders>
            <w:vAlign w:val="center"/>
          </w:tcPr>
          <w:p w14:paraId="1DBF5EAF" w14:textId="332B7BC8" w:rsidR="00DC1830" w:rsidRPr="00085918" w:rsidRDefault="00DC1830" w:rsidP="00DC1830">
            <w:pPr>
              <w:pStyle w:val="TableText0"/>
              <w:jc w:val="center"/>
              <w:rPr>
                <w:color w:val="000000"/>
              </w:rPr>
            </w:pPr>
            <w:r w:rsidRPr="00085918">
              <w:t>-0.2</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51A03178" w14:textId="6AA6D5D6" w:rsidR="00DC1830" w:rsidRPr="00085918" w:rsidRDefault="00DC1830" w:rsidP="00DC1830">
            <w:pPr>
              <w:pStyle w:val="TableText0"/>
              <w:jc w:val="center"/>
              <w:rPr>
                <w:color w:val="000000"/>
              </w:rPr>
            </w:pPr>
            <w:r w:rsidRPr="00085918">
              <w:t>0.32</w:t>
            </w:r>
          </w:p>
        </w:tc>
        <w:tc>
          <w:tcPr>
            <w:tcW w:w="1209" w:type="pct"/>
            <w:gridSpan w:val="2"/>
            <w:vMerge w:val="restart"/>
            <w:tcBorders>
              <w:top w:val="single" w:sz="4" w:space="0" w:color="auto"/>
              <w:left w:val="single" w:sz="4" w:space="0" w:color="auto"/>
              <w:bottom w:val="single" w:sz="4" w:space="0" w:color="auto"/>
              <w:right w:val="single" w:sz="4" w:space="0" w:color="auto"/>
            </w:tcBorders>
            <w:vAlign w:val="center"/>
          </w:tcPr>
          <w:p w14:paraId="0996B6E4" w14:textId="5D7DC784" w:rsidR="00DC1830" w:rsidRPr="00085918" w:rsidRDefault="00DC1830" w:rsidP="00DC1830">
            <w:pPr>
              <w:pStyle w:val="TableText0"/>
              <w:jc w:val="center"/>
              <w:rPr>
                <w:bCs w:val="0"/>
              </w:rPr>
            </w:pPr>
            <w:r w:rsidRPr="00085918">
              <w:rPr>
                <w:bCs w:val="0"/>
              </w:rPr>
              <w:t>-2.03 (-3.57, -0.49)</w:t>
            </w:r>
          </w:p>
        </w:tc>
      </w:tr>
      <w:tr w:rsidR="005B63A6" w:rsidRPr="00085918" w14:paraId="76648BE2" w14:textId="77777777" w:rsidTr="007330DB">
        <w:trPr>
          <w:cantSplit/>
        </w:trPr>
        <w:tc>
          <w:tcPr>
            <w:tcW w:w="638" w:type="pct"/>
            <w:tcBorders>
              <w:top w:val="single" w:sz="4" w:space="0" w:color="auto"/>
              <w:left w:val="single" w:sz="4" w:space="0" w:color="auto"/>
              <w:bottom w:val="double" w:sz="4" w:space="0" w:color="auto"/>
              <w:right w:val="single" w:sz="4" w:space="0" w:color="auto"/>
            </w:tcBorders>
            <w:shd w:val="clear" w:color="auto" w:fill="auto"/>
            <w:vAlign w:val="center"/>
          </w:tcPr>
          <w:p w14:paraId="07EDF52E" w14:textId="77777777" w:rsidR="005B63A6" w:rsidRPr="00085918" w:rsidRDefault="005B63A6" w:rsidP="005B63A6">
            <w:pPr>
              <w:pStyle w:val="TableText0"/>
            </w:pPr>
            <w:r w:rsidRPr="00085918">
              <w:t>POISE</w:t>
            </w:r>
          </w:p>
        </w:tc>
        <w:tc>
          <w:tcPr>
            <w:tcW w:w="469" w:type="pct"/>
            <w:tcBorders>
              <w:top w:val="single" w:sz="4" w:space="0" w:color="auto"/>
              <w:left w:val="single" w:sz="4" w:space="0" w:color="auto"/>
              <w:bottom w:val="double" w:sz="4" w:space="0" w:color="auto"/>
              <w:right w:val="single" w:sz="4" w:space="0" w:color="auto"/>
            </w:tcBorders>
            <w:vAlign w:val="center"/>
          </w:tcPr>
          <w:p w14:paraId="4EE3A746" w14:textId="50FD3F03" w:rsidR="005B63A6" w:rsidRPr="00085918" w:rsidRDefault="00CD4D05" w:rsidP="00CD4D05">
            <w:pPr>
              <w:pStyle w:val="TableText0"/>
              <w:jc w:val="center"/>
              <w:rPr>
                <w:color w:val="000000"/>
              </w:rPr>
            </w:pPr>
            <w:r w:rsidRPr="00085918">
              <w:t>73</w:t>
            </w:r>
          </w:p>
        </w:tc>
        <w:tc>
          <w:tcPr>
            <w:tcW w:w="536" w:type="pct"/>
            <w:gridSpan w:val="2"/>
            <w:tcBorders>
              <w:top w:val="single" w:sz="4" w:space="0" w:color="auto"/>
              <w:left w:val="single" w:sz="4" w:space="0" w:color="auto"/>
              <w:bottom w:val="double" w:sz="4" w:space="0" w:color="auto"/>
              <w:right w:val="single" w:sz="4" w:space="0" w:color="auto"/>
            </w:tcBorders>
            <w:vAlign w:val="center"/>
          </w:tcPr>
          <w:p w14:paraId="0E94FFCD" w14:textId="2E8D283D" w:rsidR="005B63A6" w:rsidRPr="00085918" w:rsidRDefault="00CD4D05" w:rsidP="005B63A6">
            <w:pPr>
              <w:pStyle w:val="TableText0"/>
              <w:jc w:val="center"/>
              <w:rPr>
                <w:color w:val="000000"/>
              </w:rPr>
            </w:pPr>
            <w:r w:rsidRPr="00085918">
              <w:rPr>
                <w:color w:val="000000"/>
              </w:rPr>
              <w:t>1.5</w:t>
            </w:r>
          </w:p>
        </w:tc>
        <w:tc>
          <w:tcPr>
            <w:tcW w:w="400" w:type="pct"/>
            <w:tcBorders>
              <w:top w:val="single" w:sz="4" w:space="0" w:color="auto"/>
              <w:left w:val="single" w:sz="4" w:space="0" w:color="auto"/>
              <w:bottom w:val="double" w:sz="4" w:space="0" w:color="auto"/>
              <w:right w:val="single" w:sz="4" w:space="0" w:color="auto"/>
            </w:tcBorders>
            <w:vAlign w:val="center"/>
          </w:tcPr>
          <w:p w14:paraId="05260703" w14:textId="192BB7D2" w:rsidR="005B63A6" w:rsidRPr="00085918" w:rsidRDefault="00CD4D05" w:rsidP="005B63A6">
            <w:pPr>
              <w:pStyle w:val="TableText0"/>
              <w:jc w:val="center"/>
              <w:rPr>
                <w:color w:val="000000"/>
              </w:rPr>
            </w:pPr>
            <w:r w:rsidRPr="00085918">
              <w:rPr>
                <w:color w:val="000000"/>
              </w:rPr>
              <w:t>0.47</w:t>
            </w:r>
          </w:p>
        </w:tc>
        <w:tc>
          <w:tcPr>
            <w:tcW w:w="393" w:type="pct"/>
            <w:tcBorders>
              <w:top w:val="single" w:sz="4" w:space="0" w:color="auto"/>
              <w:left w:val="single" w:sz="4" w:space="0" w:color="auto"/>
              <w:bottom w:val="double" w:sz="4" w:space="0" w:color="auto"/>
              <w:right w:val="single" w:sz="4" w:space="0" w:color="auto"/>
            </w:tcBorders>
            <w:vAlign w:val="center"/>
          </w:tcPr>
          <w:p w14:paraId="1EE79FA9" w14:textId="71AE1C61" w:rsidR="005B63A6" w:rsidRPr="00085918" w:rsidRDefault="005B63A6" w:rsidP="005B63A6">
            <w:pPr>
              <w:pStyle w:val="TableText0"/>
              <w:jc w:val="center"/>
              <w:rPr>
                <w:color w:val="000000"/>
              </w:rPr>
            </w:pPr>
            <w:r w:rsidRPr="00085918">
              <w:t>73</w:t>
            </w:r>
          </w:p>
        </w:tc>
        <w:tc>
          <w:tcPr>
            <w:tcW w:w="572" w:type="pct"/>
            <w:gridSpan w:val="2"/>
            <w:tcBorders>
              <w:top w:val="single" w:sz="4" w:space="0" w:color="auto"/>
              <w:left w:val="single" w:sz="4" w:space="0" w:color="auto"/>
              <w:bottom w:val="double" w:sz="4" w:space="0" w:color="auto"/>
              <w:right w:val="single" w:sz="4" w:space="0" w:color="auto"/>
            </w:tcBorders>
            <w:vAlign w:val="center"/>
          </w:tcPr>
          <w:p w14:paraId="36E4D842" w14:textId="0CBAA237" w:rsidR="005B63A6" w:rsidRPr="00085918" w:rsidRDefault="005B63A6" w:rsidP="005B63A6">
            <w:pPr>
              <w:pStyle w:val="TableText0"/>
              <w:jc w:val="center"/>
              <w:rPr>
                <w:color w:val="000000"/>
              </w:rPr>
            </w:pPr>
            <w:r w:rsidRPr="00085918">
              <w:t>0.8</w:t>
            </w:r>
          </w:p>
        </w:tc>
        <w:tc>
          <w:tcPr>
            <w:tcW w:w="783" w:type="pct"/>
            <w:gridSpan w:val="2"/>
            <w:tcBorders>
              <w:top w:val="single" w:sz="4" w:space="0" w:color="auto"/>
              <w:left w:val="single" w:sz="4" w:space="0" w:color="auto"/>
              <w:bottom w:val="double" w:sz="4" w:space="0" w:color="auto"/>
              <w:right w:val="single" w:sz="4" w:space="0" w:color="auto"/>
            </w:tcBorders>
            <w:vAlign w:val="center"/>
          </w:tcPr>
          <w:p w14:paraId="044928DB" w14:textId="285E4809" w:rsidR="005B63A6" w:rsidRPr="00085918" w:rsidRDefault="005B63A6" w:rsidP="005B63A6">
            <w:pPr>
              <w:pStyle w:val="TableText0"/>
              <w:jc w:val="center"/>
              <w:rPr>
                <w:color w:val="000000"/>
              </w:rPr>
            </w:pPr>
            <w:r w:rsidRPr="00085918">
              <w:t>0.47</w:t>
            </w:r>
          </w:p>
        </w:tc>
        <w:tc>
          <w:tcPr>
            <w:tcW w:w="1209" w:type="pct"/>
            <w:gridSpan w:val="2"/>
            <w:vMerge/>
            <w:tcBorders>
              <w:top w:val="single" w:sz="4" w:space="0" w:color="auto"/>
              <w:left w:val="single" w:sz="4" w:space="0" w:color="auto"/>
              <w:bottom w:val="double" w:sz="4" w:space="0" w:color="auto"/>
              <w:right w:val="single" w:sz="4" w:space="0" w:color="auto"/>
            </w:tcBorders>
            <w:vAlign w:val="center"/>
          </w:tcPr>
          <w:p w14:paraId="05B11AFA" w14:textId="77777777" w:rsidR="005B63A6" w:rsidRPr="00085918" w:rsidRDefault="005B63A6" w:rsidP="005B63A6">
            <w:pPr>
              <w:keepNext/>
              <w:keepLines/>
              <w:jc w:val="center"/>
              <w:rPr>
                <w:rFonts w:ascii="Arial Narrow" w:hAnsi="Arial Narrow"/>
                <w:b/>
                <w:sz w:val="20"/>
                <w:szCs w:val="18"/>
              </w:rPr>
            </w:pPr>
          </w:p>
        </w:tc>
      </w:tr>
    </w:tbl>
    <w:p w14:paraId="12FC7B4C" w14:textId="2297052E" w:rsidR="00620C25" w:rsidRPr="0098262F" w:rsidRDefault="00620C25" w:rsidP="00A67931">
      <w:pPr>
        <w:pStyle w:val="FooterTableFigure"/>
        <w:keepNext/>
        <w:keepLines/>
        <w:rPr>
          <w:sz w:val="20"/>
        </w:rPr>
      </w:pPr>
      <w:r w:rsidRPr="00BB4DB2">
        <w:t xml:space="preserve">Source: </w:t>
      </w:r>
      <w:r w:rsidR="00BB4DB2" w:rsidRPr="00BB4DB2">
        <w:t>Table 2-27 -</w:t>
      </w:r>
      <w:r w:rsidR="00881347" w:rsidRPr="00BB4DB2">
        <w:t xml:space="preserve"> 2-28 </w:t>
      </w:r>
      <w:r w:rsidR="00BB4DB2" w:rsidRPr="00BB4DB2">
        <w:t xml:space="preserve">and </w:t>
      </w:r>
      <w:r w:rsidR="00881347" w:rsidRPr="00BB4DB2">
        <w:t xml:space="preserve">Figure </w:t>
      </w:r>
      <w:r w:rsidR="00BB4DB2" w:rsidRPr="00BB4DB2">
        <w:t xml:space="preserve">2-27 - </w:t>
      </w:r>
      <w:r w:rsidR="00881347" w:rsidRPr="00BB4DB2">
        <w:t>2-28, p</w:t>
      </w:r>
      <w:r w:rsidR="00BB4DB2" w:rsidRPr="00BB4DB2">
        <w:t xml:space="preserve">p117-8 </w:t>
      </w:r>
      <w:r w:rsidRPr="00BB4DB2">
        <w:t>of the submission.</w:t>
      </w:r>
    </w:p>
    <w:p w14:paraId="7B12DAB0" w14:textId="547C4637" w:rsidR="00620C25" w:rsidRPr="0098262F" w:rsidRDefault="00D73641" w:rsidP="00A67931">
      <w:pPr>
        <w:pStyle w:val="FooterTableFigure"/>
        <w:keepNext/>
        <w:keepLines/>
      </w:pPr>
      <w:r w:rsidRPr="05042C88">
        <w:t xml:space="preserve">ELA = </w:t>
      </w:r>
      <w:proofErr w:type="spellStart"/>
      <w:r w:rsidRPr="05042C88">
        <w:t>elafibranor</w:t>
      </w:r>
      <w:proofErr w:type="spellEnd"/>
      <w:r w:rsidRPr="05042C88">
        <w:t xml:space="preserve">; </w:t>
      </w:r>
      <w:r w:rsidR="001D28EB" w:rsidRPr="05042C88">
        <w:t xml:space="preserve">MD = Mean difference; </w:t>
      </w:r>
      <w:r w:rsidRPr="05042C88">
        <w:t xml:space="preserve">OCA = </w:t>
      </w:r>
      <w:proofErr w:type="spellStart"/>
      <w:r w:rsidRPr="05042C88">
        <w:t>obeticholic</w:t>
      </w:r>
      <w:proofErr w:type="spellEnd"/>
      <w:r w:rsidRPr="05042C88">
        <w:t xml:space="preserve"> acid; </w:t>
      </w:r>
      <w:r w:rsidR="00620C25" w:rsidRPr="05042C88">
        <w:t xml:space="preserve">PBO = placebo; RD = risk difference; </w:t>
      </w:r>
      <w:r w:rsidR="004939ED" w:rsidRPr="05042C88">
        <w:t>O</w:t>
      </w:r>
      <w:r w:rsidR="00620C25" w:rsidRPr="05042C88">
        <w:t xml:space="preserve">R = </w:t>
      </w:r>
      <w:r w:rsidR="004939ED" w:rsidRPr="05042C88">
        <w:t>odds</w:t>
      </w:r>
      <w:r w:rsidR="00620C25" w:rsidRPr="05042C88">
        <w:t xml:space="preserve"> ratio</w:t>
      </w:r>
      <w:r w:rsidR="00BB161E" w:rsidRPr="05042C88">
        <w:t>; SE=Standard error</w:t>
      </w:r>
    </w:p>
    <w:p w14:paraId="1D5C881A" w14:textId="20C42C67" w:rsidR="00620C25" w:rsidRPr="0098262F" w:rsidRDefault="00187811" w:rsidP="00620C25">
      <w:pPr>
        <w:pStyle w:val="FooterTableFigure"/>
      </w:pPr>
      <w:r>
        <w:t>a</w:t>
      </w:r>
      <w:r w:rsidR="00620C25" w:rsidRPr="0098262F">
        <w:t xml:space="preserve"> </w:t>
      </w:r>
      <w:r w:rsidR="002C621D">
        <w:t>D</w:t>
      </w:r>
      <w:r w:rsidR="00620C25" w:rsidRPr="0098262F">
        <w:t xml:space="preserve">uration of follow-up: </w:t>
      </w:r>
      <w:r w:rsidR="002C621D">
        <w:t>ELATIVE = 52 weeks; POISE = 12 months.</w:t>
      </w:r>
    </w:p>
    <w:p w14:paraId="16A17324" w14:textId="6447CEC3" w:rsidR="00896C54" w:rsidRPr="00E2449A" w:rsidRDefault="00AC7AF5" w:rsidP="05042C88">
      <w:pPr>
        <w:pStyle w:val="3-BodyText"/>
      </w:pPr>
      <w:r w:rsidRPr="00E2449A">
        <w:t>T</w:t>
      </w:r>
      <w:r w:rsidR="00103D22" w:rsidRPr="00E2449A">
        <w:t>he ESC noted that</w:t>
      </w:r>
      <w:r w:rsidR="00D4520C">
        <w:t>,</w:t>
      </w:r>
      <w:r w:rsidR="00103D22" w:rsidRPr="00E2449A">
        <w:t xml:space="preserve"> </w:t>
      </w:r>
      <w:r w:rsidR="00D36254" w:rsidRPr="00E2449A">
        <w:t xml:space="preserve">although </w:t>
      </w:r>
      <w:r w:rsidR="000D3BC5" w:rsidRPr="00E2449A">
        <w:t xml:space="preserve">there were some </w:t>
      </w:r>
      <w:r w:rsidR="00D36254" w:rsidRPr="00E2449A">
        <w:t>difference</w:t>
      </w:r>
      <w:r w:rsidR="00C9203A" w:rsidRPr="00E2449A">
        <w:t>s</w:t>
      </w:r>
      <w:r w:rsidR="00D36254" w:rsidRPr="00E2449A">
        <w:t xml:space="preserve"> </w:t>
      </w:r>
      <w:r w:rsidR="004B1BB1" w:rsidRPr="00E2449A">
        <w:t xml:space="preserve">in </w:t>
      </w:r>
      <w:r w:rsidR="00D36254" w:rsidRPr="00E2449A">
        <w:t xml:space="preserve">terms </w:t>
      </w:r>
      <w:r w:rsidR="00B665E0" w:rsidRPr="00E2449A">
        <w:t xml:space="preserve">of </w:t>
      </w:r>
      <w:r w:rsidR="004B1BB1" w:rsidRPr="00E2449A">
        <w:t>pruritus events</w:t>
      </w:r>
      <w:r w:rsidR="000D3BC5" w:rsidRPr="00E2449A">
        <w:t xml:space="preserve"> </w:t>
      </w:r>
      <w:r w:rsidR="00C9203A" w:rsidRPr="00E2449A">
        <w:t xml:space="preserve">between </w:t>
      </w:r>
      <w:proofErr w:type="spellStart"/>
      <w:r w:rsidR="00F17EC9" w:rsidRPr="00E2449A">
        <w:t>elafibranor</w:t>
      </w:r>
      <w:proofErr w:type="spellEnd"/>
      <w:r w:rsidR="00F17EC9" w:rsidRPr="00E2449A">
        <w:t xml:space="preserve"> </w:t>
      </w:r>
      <w:r w:rsidR="0015579C" w:rsidRPr="00E2449A">
        <w:t>and</w:t>
      </w:r>
      <w:r w:rsidR="006D68FB" w:rsidRPr="00E2449A">
        <w:t xml:space="preserve"> </w:t>
      </w:r>
      <w:r w:rsidR="00F17EC9" w:rsidRPr="00E2449A">
        <w:t>OCA</w:t>
      </w:r>
      <w:r w:rsidR="00C9203A" w:rsidRPr="00E2449A">
        <w:t>, the clinical significance</w:t>
      </w:r>
      <w:r w:rsidR="00C343DF" w:rsidRPr="00E2449A">
        <w:t xml:space="preserve"> </w:t>
      </w:r>
      <w:r w:rsidR="00E5210F" w:rsidRPr="00E2449A">
        <w:t xml:space="preserve">of these differences </w:t>
      </w:r>
      <w:r w:rsidR="00C343DF" w:rsidRPr="00E2449A">
        <w:t>and the</w:t>
      </w:r>
      <w:r w:rsidR="00E5210F" w:rsidRPr="00E2449A">
        <w:t>ir</w:t>
      </w:r>
      <w:r w:rsidR="00C343DF" w:rsidRPr="00E2449A">
        <w:t xml:space="preserve"> relevance to the management of PBC was unclear, particularly as pruritus is a symptom of PBC.</w:t>
      </w:r>
    </w:p>
    <w:p w14:paraId="5F809B77" w14:textId="77777777" w:rsidR="001458AE" w:rsidRPr="00B66647" w:rsidRDefault="001458AE" w:rsidP="001458AE">
      <w:pPr>
        <w:pStyle w:val="4-SubsectionHeading"/>
      </w:pPr>
      <w:bookmarkStart w:id="59" w:name="_Toc22897644"/>
      <w:bookmarkStart w:id="60" w:name="_Toc187914754"/>
      <w:r w:rsidRPr="00B66647">
        <w:t>Clinical claim</w:t>
      </w:r>
      <w:bookmarkEnd w:id="59"/>
      <w:bookmarkEnd w:id="60"/>
    </w:p>
    <w:p w14:paraId="4FE9C513" w14:textId="4650DB56" w:rsidR="0032709B" w:rsidRPr="00E2449A" w:rsidRDefault="005F7588" w:rsidP="0032709B">
      <w:pPr>
        <w:pStyle w:val="3-BodyText"/>
      </w:pPr>
      <w:r w:rsidRPr="00E2449A">
        <w:rPr>
          <w:rFonts w:eastAsia="Calibri"/>
        </w:rPr>
        <w:t xml:space="preserve">The submission described </w:t>
      </w:r>
      <w:proofErr w:type="spellStart"/>
      <w:r w:rsidR="00E40CA6" w:rsidRPr="00E2449A">
        <w:rPr>
          <w:rFonts w:eastAsia="Calibri"/>
        </w:rPr>
        <w:t>elafibranor</w:t>
      </w:r>
      <w:proofErr w:type="spellEnd"/>
      <w:r w:rsidR="00E40CA6" w:rsidRPr="00E2449A">
        <w:rPr>
          <w:rFonts w:eastAsia="Calibri"/>
        </w:rPr>
        <w:t xml:space="preserve"> </w:t>
      </w:r>
      <w:r w:rsidRPr="00E2449A">
        <w:rPr>
          <w:rFonts w:eastAsia="Calibri"/>
        </w:rPr>
        <w:t xml:space="preserve">as non-inferior in terms of effectiveness compared to </w:t>
      </w:r>
      <w:r w:rsidR="00E40CA6" w:rsidRPr="00E2449A">
        <w:rPr>
          <w:rFonts w:eastAsia="Calibri"/>
        </w:rPr>
        <w:t>OCA</w:t>
      </w:r>
      <w:r w:rsidRPr="00E2449A">
        <w:rPr>
          <w:rFonts w:eastAsia="Calibri"/>
        </w:rPr>
        <w:t xml:space="preserve">. </w:t>
      </w:r>
      <w:r w:rsidR="00DB0829" w:rsidRPr="00E2449A">
        <w:t xml:space="preserve">This claim was </w:t>
      </w:r>
      <w:r w:rsidR="00910522" w:rsidRPr="00E2449A">
        <w:t>based on</w:t>
      </w:r>
      <w:r w:rsidR="00DB0829" w:rsidRPr="00E2449A">
        <w:t xml:space="preserve"> an indirect comparison of surrogate endpoints (cholestasis response, ALP normalisation, and change in ALP).</w:t>
      </w:r>
      <w:r w:rsidR="00085C83" w:rsidRPr="00E2449A">
        <w:t xml:space="preserve"> </w:t>
      </w:r>
      <w:r w:rsidR="0032709B" w:rsidRPr="00E2449A">
        <w:t xml:space="preserve">The </w:t>
      </w:r>
      <w:r w:rsidR="008F4801" w:rsidRPr="00E2449A">
        <w:t xml:space="preserve">ESC considered that the </w:t>
      </w:r>
      <w:r w:rsidR="00B06ED2" w:rsidRPr="00E2449A">
        <w:t>clinical</w:t>
      </w:r>
      <w:r w:rsidR="006934FE" w:rsidRPr="00E2449A">
        <w:t xml:space="preserve"> claim </w:t>
      </w:r>
      <w:r w:rsidR="005D68FB" w:rsidRPr="00E2449A">
        <w:t xml:space="preserve">of non-inferior </w:t>
      </w:r>
      <w:r w:rsidR="0032709B" w:rsidRPr="00E2449A">
        <w:t xml:space="preserve">effectiveness was </w:t>
      </w:r>
      <w:r w:rsidR="00394E70" w:rsidRPr="00E2449A">
        <w:t>appropriate</w:t>
      </w:r>
      <w:r w:rsidR="00676C4E" w:rsidRPr="00E2449A">
        <w:t xml:space="preserve">, noting </w:t>
      </w:r>
      <w:r w:rsidR="0070791D" w:rsidRPr="00E2449A">
        <w:t>that</w:t>
      </w:r>
      <w:r w:rsidR="0032709B" w:rsidRPr="00E2449A">
        <w:t>:</w:t>
      </w:r>
    </w:p>
    <w:p w14:paraId="563A49CF" w14:textId="42545E10" w:rsidR="0032709B" w:rsidRPr="00E2449A" w:rsidRDefault="0070791D" w:rsidP="00B50790">
      <w:pPr>
        <w:pStyle w:val="ListParagraph"/>
        <w:ind w:left="1080"/>
        <w:jc w:val="both"/>
      </w:pPr>
      <w:r w:rsidRPr="00E2449A">
        <w:t>t</w:t>
      </w:r>
      <w:r w:rsidR="0032709B" w:rsidRPr="00E2449A">
        <w:t>he submission did not propose a</w:t>
      </w:r>
      <w:r w:rsidR="00BA5A2A" w:rsidRPr="00E2449A">
        <w:t>ny MCIDs nor define</w:t>
      </w:r>
      <w:r w:rsidR="0032709B" w:rsidRPr="00E2449A">
        <w:t xml:space="preserve"> </w:t>
      </w:r>
      <w:r w:rsidR="00B9170F" w:rsidRPr="00E2449A">
        <w:t>non-inferiority margin</w:t>
      </w:r>
      <w:r w:rsidR="00BA5A2A" w:rsidRPr="00E2449A">
        <w:t>s</w:t>
      </w:r>
      <w:r w:rsidR="0032709B" w:rsidRPr="00E2449A">
        <w:t>.</w:t>
      </w:r>
    </w:p>
    <w:p w14:paraId="152E7739" w14:textId="39A9534B" w:rsidR="0032709B" w:rsidRPr="00E2449A" w:rsidRDefault="0070791D" w:rsidP="00B50790">
      <w:pPr>
        <w:pStyle w:val="ListParagraph"/>
        <w:ind w:left="1080"/>
        <w:jc w:val="both"/>
      </w:pPr>
      <w:r w:rsidRPr="00E2449A">
        <w:lastRenderedPageBreak/>
        <w:t>t</w:t>
      </w:r>
      <w:r w:rsidR="0032709B" w:rsidRPr="00E2449A">
        <w:t xml:space="preserve">he sample sizes in the ELATIVE trial (N=161) and the POISE trial (N=217) were small, which reduced the statistical power to detect differences </w:t>
      </w:r>
      <w:r w:rsidR="00341386" w:rsidRPr="00E2449A">
        <w:t>between</w:t>
      </w:r>
      <w:r w:rsidR="0032709B" w:rsidRPr="00E2449A">
        <w:t xml:space="preserve"> the treatment</w:t>
      </w:r>
      <w:r w:rsidR="00341386" w:rsidRPr="00E2449A">
        <w:t>s</w:t>
      </w:r>
      <w:r w:rsidR="0032709B" w:rsidRPr="00E2449A">
        <w:t>.</w:t>
      </w:r>
    </w:p>
    <w:p w14:paraId="36CB33B4" w14:textId="19587BB1" w:rsidR="0032709B" w:rsidRPr="00E2449A" w:rsidRDefault="0070791D" w:rsidP="00B50790">
      <w:pPr>
        <w:pStyle w:val="ListParagraph"/>
        <w:ind w:left="1080"/>
        <w:jc w:val="both"/>
      </w:pPr>
      <w:r w:rsidRPr="00E2449A">
        <w:t>t</w:t>
      </w:r>
      <w:r w:rsidR="0032709B" w:rsidRPr="00E2449A">
        <w:t>here were differences across the ELATIVE and POISE trials that affected the assumption of transitivity</w:t>
      </w:r>
      <w:r w:rsidR="00B66647" w:rsidRPr="00E2449A">
        <w:t xml:space="preserve"> (see para</w:t>
      </w:r>
      <w:r w:rsidR="0066320D" w:rsidRPr="00E2449A">
        <w:t>graph</w:t>
      </w:r>
      <w:r w:rsidR="00B66647" w:rsidRPr="00E2449A">
        <w:t xml:space="preserve"> </w:t>
      </w:r>
      <w:r w:rsidR="00B66647" w:rsidRPr="00E2449A">
        <w:fldChar w:fldCharType="begin" w:fldLock="1"/>
      </w:r>
      <w:r w:rsidR="00B66647" w:rsidRPr="00E2449A">
        <w:instrText xml:space="preserve"> REF _Ref184673533 \r \h  \* MERGEFORMAT </w:instrText>
      </w:r>
      <w:r w:rsidR="00B66647" w:rsidRPr="00E2449A">
        <w:fldChar w:fldCharType="separate"/>
      </w:r>
      <w:r w:rsidR="00A56EA5">
        <w:t>6.14</w:t>
      </w:r>
      <w:r w:rsidR="00B66647" w:rsidRPr="00E2449A">
        <w:fldChar w:fldCharType="end"/>
      </w:r>
      <w:r w:rsidR="00B66647" w:rsidRPr="00E2449A">
        <w:t>)</w:t>
      </w:r>
      <w:r w:rsidR="0032709B" w:rsidRPr="00E2449A">
        <w:t>.</w:t>
      </w:r>
    </w:p>
    <w:p w14:paraId="319A8384" w14:textId="4F6CFC91" w:rsidR="00592DB2" w:rsidRPr="00E2449A" w:rsidRDefault="00592DB2" w:rsidP="00BC247B">
      <w:pPr>
        <w:pStyle w:val="3-BodyText"/>
        <w:rPr>
          <w:rFonts w:eastAsia="Calibri"/>
        </w:rPr>
      </w:pPr>
      <w:r w:rsidRPr="00E2449A">
        <w:rPr>
          <w:rFonts w:eastAsia="Calibri"/>
        </w:rPr>
        <w:t xml:space="preserve">It was also unclear whether cholestasis response </w:t>
      </w:r>
      <w:r w:rsidR="004F6B78" w:rsidRPr="00E2449A">
        <w:rPr>
          <w:rFonts w:eastAsia="Calibri"/>
        </w:rPr>
        <w:t xml:space="preserve">or ALP were </w:t>
      </w:r>
      <w:r w:rsidRPr="00E2449A">
        <w:rPr>
          <w:rFonts w:eastAsia="Calibri"/>
        </w:rPr>
        <w:t>adequate surrogate</w:t>
      </w:r>
      <w:r w:rsidR="004F6B78" w:rsidRPr="00E2449A">
        <w:rPr>
          <w:rFonts w:eastAsia="Calibri"/>
        </w:rPr>
        <w:t>s</w:t>
      </w:r>
      <w:r w:rsidRPr="00E2449A">
        <w:rPr>
          <w:rFonts w:eastAsia="Calibri"/>
        </w:rPr>
        <w:t xml:space="preserve"> for disease progression</w:t>
      </w:r>
      <w:r w:rsidR="00232E78" w:rsidRPr="00E2449A">
        <w:rPr>
          <w:rFonts w:eastAsia="Calibri"/>
        </w:rPr>
        <w:t xml:space="preserve"> (see para</w:t>
      </w:r>
      <w:r w:rsidR="00B50790" w:rsidRPr="00E2449A">
        <w:rPr>
          <w:rFonts w:eastAsia="Calibri"/>
        </w:rPr>
        <w:t>graph</w:t>
      </w:r>
      <w:r w:rsidR="00232E78" w:rsidRPr="00E2449A">
        <w:rPr>
          <w:rFonts w:eastAsia="Calibri"/>
        </w:rPr>
        <w:t xml:space="preserve"> </w:t>
      </w:r>
      <w:r w:rsidR="00232E78" w:rsidRPr="00E2449A">
        <w:rPr>
          <w:rFonts w:eastAsia="Calibri"/>
        </w:rPr>
        <w:fldChar w:fldCharType="begin" w:fldLock="1"/>
      </w:r>
      <w:r w:rsidR="00232E78" w:rsidRPr="00E2449A">
        <w:rPr>
          <w:rFonts w:eastAsia="Calibri"/>
        </w:rPr>
        <w:instrText xml:space="preserve"> REF _Ref187314346 \r \h </w:instrText>
      </w:r>
      <w:r w:rsidR="00CB5596" w:rsidRPr="00E2449A">
        <w:rPr>
          <w:rFonts w:eastAsia="Calibri"/>
        </w:rPr>
        <w:instrText xml:space="preserve"> \* MERGEFORMAT </w:instrText>
      </w:r>
      <w:r w:rsidR="00232E78" w:rsidRPr="00E2449A">
        <w:rPr>
          <w:rFonts w:eastAsia="Calibri"/>
        </w:rPr>
      </w:r>
      <w:r w:rsidR="00232E78" w:rsidRPr="00E2449A">
        <w:rPr>
          <w:rFonts w:eastAsia="Calibri"/>
        </w:rPr>
        <w:fldChar w:fldCharType="separate"/>
      </w:r>
      <w:r w:rsidR="00A56EA5">
        <w:rPr>
          <w:rFonts w:eastAsia="Calibri"/>
        </w:rPr>
        <w:t>6.16</w:t>
      </w:r>
      <w:r w:rsidR="00232E78" w:rsidRPr="00E2449A">
        <w:rPr>
          <w:rFonts w:eastAsia="Calibri"/>
        </w:rPr>
        <w:fldChar w:fldCharType="end"/>
      </w:r>
      <w:r w:rsidR="00232E78" w:rsidRPr="00E2449A">
        <w:rPr>
          <w:rFonts w:eastAsia="Calibri"/>
        </w:rPr>
        <w:t>)</w:t>
      </w:r>
      <w:r w:rsidRPr="00E2449A">
        <w:rPr>
          <w:rFonts w:eastAsia="Calibri"/>
        </w:rPr>
        <w:t>.</w:t>
      </w:r>
    </w:p>
    <w:p w14:paraId="5DEF6107" w14:textId="320988B9" w:rsidR="00382368" w:rsidRPr="00E2449A" w:rsidRDefault="005F7588" w:rsidP="05042C88">
      <w:pPr>
        <w:pStyle w:val="3-BodyText"/>
        <w:rPr>
          <w:rFonts w:eastAsia="Calibri"/>
        </w:rPr>
      </w:pPr>
      <w:r w:rsidRPr="00E2449A">
        <w:rPr>
          <w:rFonts w:eastAsia="Calibri"/>
        </w:rPr>
        <w:t xml:space="preserve">The submission described </w:t>
      </w:r>
      <w:proofErr w:type="spellStart"/>
      <w:r w:rsidR="007C2599" w:rsidRPr="00E2449A">
        <w:rPr>
          <w:rFonts w:eastAsia="Calibri"/>
        </w:rPr>
        <w:t>elafibranor</w:t>
      </w:r>
      <w:proofErr w:type="spellEnd"/>
      <w:r w:rsidR="007C2599" w:rsidRPr="00E2449A">
        <w:rPr>
          <w:rFonts w:eastAsia="Calibri"/>
        </w:rPr>
        <w:t xml:space="preserve"> </w:t>
      </w:r>
      <w:r w:rsidRPr="00E2449A">
        <w:rPr>
          <w:rFonts w:eastAsia="Calibri"/>
        </w:rPr>
        <w:t>as superior in term</w:t>
      </w:r>
      <w:r w:rsidR="00156F8F" w:rsidRPr="00E2449A">
        <w:rPr>
          <w:rFonts w:eastAsia="Calibri"/>
        </w:rPr>
        <w:t>s</w:t>
      </w:r>
      <w:r w:rsidRPr="00E2449A">
        <w:rPr>
          <w:rFonts w:eastAsia="Calibri"/>
        </w:rPr>
        <w:t xml:space="preserve"> of safety compared to </w:t>
      </w:r>
      <w:r w:rsidR="007C2599" w:rsidRPr="00E2449A">
        <w:rPr>
          <w:rFonts w:eastAsia="Calibri"/>
        </w:rPr>
        <w:t>OCA</w:t>
      </w:r>
      <w:r w:rsidRPr="00E2449A">
        <w:rPr>
          <w:rFonts w:eastAsia="Calibri"/>
        </w:rPr>
        <w:t xml:space="preserve">. </w:t>
      </w:r>
      <w:r w:rsidR="00A52478" w:rsidRPr="00E2449A">
        <w:t xml:space="preserve">This claim was </w:t>
      </w:r>
      <w:r w:rsidR="00457300" w:rsidRPr="00E2449A">
        <w:t>based on</w:t>
      </w:r>
      <w:r w:rsidR="00A52478" w:rsidRPr="00E2449A">
        <w:t xml:space="preserve"> indirect comparison</w:t>
      </w:r>
      <w:r w:rsidR="00372D21" w:rsidRPr="00E2449A">
        <w:t>s</w:t>
      </w:r>
      <w:r w:rsidR="00A52478" w:rsidRPr="00E2449A">
        <w:t xml:space="preserve"> of </w:t>
      </w:r>
      <w:r w:rsidR="007A22C5" w:rsidRPr="00E2449A">
        <w:t>pruritus</w:t>
      </w:r>
      <w:r w:rsidR="00A52478" w:rsidRPr="00E2449A">
        <w:t xml:space="preserve"> endpoints (</w:t>
      </w:r>
      <w:r w:rsidR="007A22C5" w:rsidRPr="00E2449A">
        <w:t>PBC-40 Itch Domain</w:t>
      </w:r>
      <w:r w:rsidR="00A05719" w:rsidRPr="00E2449A">
        <w:t>, pruritus TEAE)</w:t>
      </w:r>
      <w:r w:rsidR="00D61035" w:rsidRPr="00E2449A">
        <w:t xml:space="preserve"> and HDL</w:t>
      </w:r>
      <w:r w:rsidR="00A52478" w:rsidRPr="00E2449A">
        <w:t xml:space="preserve">. </w:t>
      </w:r>
      <w:r w:rsidR="006A2267" w:rsidRPr="00E2449A">
        <w:t xml:space="preserve">The </w:t>
      </w:r>
      <w:r w:rsidR="009A78DD" w:rsidRPr="00E2449A">
        <w:t xml:space="preserve">ESC considered that the </w:t>
      </w:r>
      <w:r w:rsidR="00B1115E" w:rsidRPr="00E2449A">
        <w:t>clinical claim</w:t>
      </w:r>
      <w:r w:rsidR="006A2267" w:rsidRPr="00E2449A">
        <w:t xml:space="preserve"> regarding </w:t>
      </w:r>
      <w:r w:rsidR="00FD26D0" w:rsidRPr="00E2449A">
        <w:t xml:space="preserve">superior </w:t>
      </w:r>
      <w:r w:rsidR="006A2267" w:rsidRPr="00E2449A">
        <w:t xml:space="preserve">safety was not adequately supported </w:t>
      </w:r>
      <w:r w:rsidR="00FD26D0" w:rsidRPr="00E2449A">
        <w:t>by the data presented in the submission</w:t>
      </w:r>
      <w:r w:rsidR="001801A7" w:rsidRPr="00E2449A">
        <w:t xml:space="preserve">. Noting the uncertainties below, the ESC considered that </w:t>
      </w:r>
      <w:proofErr w:type="spellStart"/>
      <w:r w:rsidR="00732229" w:rsidRPr="00E2449A">
        <w:t>elafibranor</w:t>
      </w:r>
      <w:proofErr w:type="spellEnd"/>
      <w:r w:rsidR="00732229" w:rsidRPr="00E2449A">
        <w:t xml:space="preserve"> was non-inferior compared to OCA</w:t>
      </w:r>
      <w:r w:rsidR="006A2267" w:rsidRPr="00E2449A">
        <w:t>:</w:t>
      </w:r>
    </w:p>
    <w:p w14:paraId="514A11BB" w14:textId="713FF740" w:rsidR="00260FA6" w:rsidRPr="00E2449A" w:rsidRDefault="00DB63EA" w:rsidP="00B50790">
      <w:pPr>
        <w:pStyle w:val="ListParagraph"/>
        <w:ind w:left="1080"/>
        <w:jc w:val="both"/>
      </w:pPr>
      <w:r w:rsidRPr="00E2449A">
        <w:t xml:space="preserve">The indirect comparisons </w:t>
      </w:r>
      <w:r w:rsidR="00485047" w:rsidRPr="00E2449A">
        <w:t xml:space="preserve">did not find significant differences between </w:t>
      </w:r>
      <w:proofErr w:type="spellStart"/>
      <w:r w:rsidR="00485047" w:rsidRPr="00E2449A">
        <w:t>elafibranor</w:t>
      </w:r>
      <w:proofErr w:type="spellEnd"/>
      <w:r w:rsidR="00485047" w:rsidRPr="00E2449A">
        <w:t xml:space="preserve"> and OCA for </w:t>
      </w:r>
      <w:r w:rsidRPr="00E2449A">
        <w:t>other pruritus endpoints (e.g. 5-D Itch Scale</w:t>
      </w:r>
      <w:r w:rsidR="005522A4" w:rsidRPr="00E2449A">
        <w:t>, discontinuations due to pruritus</w:t>
      </w:r>
      <w:r w:rsidRPr="00E2449A">
        <w:t>).</w:t>
      </w:r>
      <w:r w:rsidR="00485047" w:rsidRPr="00E2449A">
        <w:t xml:space="preserve"> Furthermore, the analysis of the PBC-40 Itch Domain score was an exploratory analysis</w:t>
      </w:r>
      <w:r w:rsidR="00260FA6" w:rsidRPr="00E2449A">
        <w:t>.</w:t>
      </w:r>
      <w:r w:rsidR="00233E99">
        <w:t xml:space="preserve"> The pre-PBAC response stated that </w:t>
      </w:r>
      <w:r w:rsidR="003131BF">
        <w:t xml:space="preserve">the </w:t>
      </w:r>
      <w:r w:rsidR="00975897">
        <w:t>pruritus endpoints had limited statistical power given they were secondary outcomes.</w:t>
      </w:r>
    </w:p>
    <w:p w14:paraId="666BB8AA" w14:textId="097597D0" w:rsidR="00DB63EA" w:rsidRPr="00E2449A" w:rsidRDefault="00260FA6" w:rsidP="00B50790">
      <w:pPr>
        <w:pStyle w:val="ListParagraph"/>
        <w:ind w:left="1080"/>
        <w:jc w:val="both"/>
      </w:pPr>
      <w:r w:rsidRPr="00E2449A">
        <w:t>I</w:t>
      </w:r>
      <w:r w:rsidR="00485047" w:rsidRPr="00E2449A">
        <w:t xml:space="preserve">t was unclear whether the difference </w:t>
      </w:r>
      <w:r w:rsidRPr="00E2449A">
        <w:t xml:space="preserve">in the PBC-40 Itch Domain </w:t>
      </w:r>
      <w:r w:rsidR="00485047" w:rsidRPr="00E2449A">
        <w:t>was clinically significant.</w:t>
      </w:r>
      <w:r w:rsidR="00220329">
        <w:t xml:space="preserve"> The pre-PBAC response stated that the PBC-40 Itch Domain </w:t>
      </w:r>
      <w:r w:rsidR="00D21C71">
        <w:t>is disease specific and the only validated instrument for PBC which include an itch domain.</w:t>
      </w:r>
    </w:p>
    <w:p w14:paraId="2C610A53" w14:textId="7062CCD2" w:rsidR="006A2267" w:rsidRPr="00E2449A" w:rsidRDefault="00CC7171" w:rsidP="00B50790">
      <w:pPr>
        <w:pStyle w:val="ListParagraph"/>
        <w:ind w:left="1080"/>
        <w:jc w:val="both"/>
      </w:pPr>
      <w:r w:rsidRPr="00E2449A">
        <w:t>T</w:t>
      </w:r>
      <w:r w:rsidR="006A2267" w:rsidRPr="00E2449A">
        <w:t>here were differences across the ELATIVE and POISE trials that affected the assumption of transitivity</w:t>
      </w:r>
      <w:r w:rsidR="00EC66CE" w:rsidRPr="00E2449A">
        <w:t>. I</w:t>
      </w:r>
      <w:r w:rsidR="006A2267" w:rsidRPr="00E2449A">
        <w:t xml:space="preserve">n particular, the POISE trial excluded </w:t>
      </w:r>
      <w:r w:rsidR="007848B1" w:rsidRPr="00E2449A">
        <w:t>patients</w:t>
      </w:r>
      <w:r w:rsidR="00AA433A" w:rsidRPr="00E2449A">
        <w:t xml:space="preserve"> </w:t>
      </w:r>
      <w:r w:rsidR="006A2267" w:rsidRPr="00E2449A">
        <w:t>with severe pruritus (see para</w:t>
      </w:r>
      <w:r w:rsidR="00383818" w:rsidRPr="00E2449A">
        <w:t>graph</w:t>
      </w:r>
      <w:r w:rsidR="006A2267" w:rsidRPr="00E2449A">
        <w:t xml:space="preserve"> </w:t>
      </w:r>
      <w:r w:rsidR="006A2267" w:rsidRPr="00E2449A">
        <w:fldChar w:fldCharType="begin" w:fldLock="1"/>
      </w:r>
      <w:r w:rsidR="006A2267" w:rsidRPr="00E2449A">
        <w:instrText xml:space="preserve"> REF _Ref184673533 \r \h  \* MERGEFORMAT </w:instrText>
      </w:r>
      <w:r w:rsidR="006A2267" w:rsidRPr="00E2449A">
        <w:fldChar w:fldCharType="separate"/>
      </w:r>
      <w:r w:rsidR="00A56EA5">
        <w:t>6.14</w:t>
      </w:r>
      <w:r w:rsidR="006A2267" w:rsidRPr="00E2449A">
        <w:fldChar w:fldCharType="end"/>
      </w:r>
      <w:r w:rsidR="006A2267" w:rsidRPr="00E2449A">
        <w:t>)</w:t>
      </w:r>
      <w:r w:rsidR="00404C81" w:rsidRPr="00E2449A">
        <w:t xml:space="preserve"> and the occurrence of pruritus TEAEs in the </w:t>
      </w:r>
      <w:r w:rsidR="00D4520C">
        <w:t xml:space="preserve">respective </w:t>
      </w:r>
      <w:r w:rsidR="00404C81" w:rsidRPr="00E2449A">
        <w:t>placebo arm</w:t>
      </w:r>
      <w:r w:rsidR="00B442FD">
        <w:t>s</w:t>
      </w:r>
      <w:r w:rsidR="00404C81" w:rsidRPr="00E2449A">
        <w:t xml:space="preserve"> were lower in the ELATIVE trial</w:t>
      </w:r>
      <w:r w:rsidR="00D4520C">
        <w:t xml:space="preserve"> than the POISE trial</w:t>
      </w:r>
      <w:r w:rsidR="006A2267" w:rsidRPr="00E2449A">
        <w:t>.</w:t>
      </w:r>
    </w:p>
    <w:p w14:paraId="6D87327E" w14:textId="1BDC4AF6" w:rsidR="001E5E22" w:rsidRPr="00E2449A" w:rsidRDefault="001E5E22" w:rsidP="00B50790">
      <w:pPr>
        <w:pStyle w:val="ListParagraph"/>
        <w:ind w:left="1080"/>
        <w:jc w:val="both"/>
      </w:pPr>
      <w:r w:rsidRPr="00E2449A">
        <w:t>The ELATIVE trial had a moderate risk of bias for the secondary endpoints regarding pruritus</w:t>
      </w:r>
      <w:r w:rsidR="00800C52" w:rsidRPr="00E2449A">
        <w:t xml:space="preserve">, especially </w:t>
      </w:r>
      <w:r w:rsidR="00C37810" w:rsidRPr="00E2449A">
        <w:t xml:space="preserve">as </w:t>
      </w:r>
      <w:r w:rsidRPr="00E2449A">
        <w:t xml:space="preserve">missing values were assumed to be missing at random. The treatment effect may be overestimated as </w:t>
      </w:r>
      <w:r w:rsidR="007848B1" w:rsidRPr="00E2449A">
        <w:t xml:space="preserve">patients </w:t>
      </w:r>
      <w:r w:rsidR="00E73548" w:rsidRPr="00E2449A">
        <w:t xml:space="preserve">with missing data </w:t>
      </w:r>
      <w:r w:rsidRPr="00E2449A">
        <w:t xml:space="preserve">may have had </w:t>
      </w:r>
      <w:r w:rsidR="00CF348F" w:rsidRPr="00E2449A">
        <w:t xml:space="preserve">worse </w:t>
      </w:r>
      <w:r w:rsidR="00801155" w:rsidRPr="00E2449A">
        <w:t xml:space="preserve">pruritus </w:t>
      </w:r>
      <w:r w:rsidRPr="00E2449A">
        <w:t>scores as they discontinued or took rescue therapy due to severe pruritus</w:t>
      </w:r>
      <w:r w:rsidR="00D82604" w:rsidRPr="00E2449A">
        <w:t>,</w:t>
      </w:r>
      <w:r w:rsidR="00B4397D" w:rsidRPr="00E2449A">
        <w:t xml:space="preserve"> and thus were </w:t>
      </w:r>
      <w:r w:rsidR="000E058E" w:rsidRPr="00E2449A">
        <w:t>not missing at random</w:t>
      </w:r>
      <w:r w:rsidRPr="00E2449A">
        <w:t>.</w:t>
      </w:r>
    </w:p>
    <w:p w14:paraId="44A76724" w14:textId="309BBDBD" w:rsidR="006A2267" w:rsidRPr="00E2449A" w:rsidRDefault="00800C52" w:rsidP="00B50790">
      <w:pPr>
        <w:pStyle w:val="ListParagraph"/>
        <w:ind w:left="1080"/>
        <w:jc w:val="both"/>
      </w:pPr>
      <w:r w:rsidRPr="00E2449A">
        <w:t>The PBAC previously considered the unblinding due to the occurrence of pruritus introduced a moderate potential for bias in the POISE trial (para</w:t>
      </w:r>
      <w:r w:rsidR="00BD0836" w:rsidRPr="00E2449A">
        <w:t>graph</w:t>
      </w:r>
      <w:r w:rsidRPr="00E2449A">
        <w:t xml:space="preserve"> 6.9, </w:t>
      </w:r>
      <w:proofErr w:type="spellStart"/>
      <w:r w:rsidRPr="00E2449A">
        <w:t>obeticholic</w:t>
      </w:r>
      <w:proofErr w:type="spellEnd"/>
      <w:r w:rsidRPr="00E2449A">
        <w:t xml:space="preserve"> acid</w:t>
      </w:r>
      <w:r w:rsidR="003105C4" w:rsidRPr="00E2449A">
        <w:t>,</w:t>
      </w:r>
      <w:r w:rsidRPr="00E2449A">
        <w:t xml:space="preserve"> PSD, November 2018</w:t>
      </w:r>
      <w:r w:rsidR="003105C4" w:rsidRPr="00E2449A">
        <w:t xml:space="preserve"> PBAC meeting</w:t>
      </w:r>
      <w:r w:rsidRPr="00E2449A">
        <w:t>).</w:t>
      </w:r>
    </w:p>
    <w:p w14:paraId="49047A41" w14:textId="55572165" w:rsidR="00C3729B" w:rsidRPr="002B6D53" w:rsidRDefault="000676AC" w:rsidP="00B50790">
      <w:pPr>
        <w:pStyle w:val="ListParagraph"/>
        <w:ind w:left="1080"/>
        <w:jc w:val="both"/>
      </w:pPr>
      <w:r w:rsidRPr="00E2449A">
        <w:t>T</w:t>
      </w:r>
      <w:r w:rsidR="00C3729B" w:rsidRPr="00E2449A">
        <w:t xml:space="preserve">he change in the WI-NRS score from baseline through </w:t>
      </w:r>
      <w:r w:rsidR="0081244D" w:rsidRPr="00E2449A">
        <w:t xml:space="preserve">Week 24 and </w:t>
      </w:r>
      <w:r w:rsidR="00C3729B" w:rsidRPr="00E2449A">
        <w:t>Week 52, a key secondary outcome</w:t>
      </w:r>
      <w:r w:rsidR="0081244D" w:rsidRPr="00E2449A">
        <w:t xml:space="preserve"> in the ELATIVE trial</w:t>
      </w:r>
      <w:r w:rsidR="00C3729B" w:rsidRPr="00E2449A">
        <w:t xml:space="preserve">, did not differ significantly between </w:t>
      </w:r>
      <w:proofErr w:type="spellStart"/>
      <w:r w:rsidR="00C3729B" w:rsidRPr="00E2449A">
        <w:t>elafibranor</w:t>
      </w:r>
      <w:proofErr w:type="spellEnd"/>
      <w:r w:rsidR="00C3729B" w:rsidRPr="00E2449A">
        <w:t xml:space="preserve"> and placebo (-1.9 </w:t>
      </w:r>
      <w:r w:rsidR="00947C8E" w:rsidRPr="00E2449A">
        <w:t>v</w:t>
      </w:r>
      <w:r w:rsidRPr="00E2449A">
        <w:t>ersu</w:t>
      </w:r>
      <w:r w:rsidR="00947C8E" w:rsidRPr="00E2449A">
        <w:t>s</w:t>
      </w:r>
      <w:r w:rsidR="00C3729B" w:rsidRPr="00E2449A">
        <w:t xml:space="preserve"> -1.1; LSM difference</w:t>
      </w:r>
      <w:r w:rsidRPr="00E2449A">
        <w:t xml:space="preserve"> </w:t>
      </w:r>
      <w:r w:rsidR="00C3729B" w:rsidRPr="00E2449A">
        <w:t>= -0.8</w:t>
      </w:r>
      <w:r w:rsidRPr="00E2449A">
        <w:t>;</w:t>
      </w:r>
      <w:r w:rsidR="00C3729B" w:rsidRPr="00E2449A">
        <w:t xml:space="preserve"> 95% CI: -2.0, 0.4; p=0.1970)</w:t>
      </w:r>
      <w:r w:rsidR="000F4138" w:rsidRPr="00E2449A">
        <w:t>. T</w:t>
      </w:r>
      <w:r w:rsidR="00C3729B" w:rsidRPr="00E2449A">
        <w:t xml:space="preserve">he difference did not meet the threshold of being clinically significant </w:t>
      </w:r>
      <w:r w:rsidR="00C3729B" w:rsidRPr="002B6D53">
        <w:lastRenderedPageBreak/>
        <w:t>(≥ 3 points).</w:t>
      </w:r>
      <w:r w:rsidR="00C3729B" w:rsidRPr="002B6D53">
        <w:rPr>
          <w:rFonts w:eastAsiaTheme="majorEastAsia"/>
          <w:vertAlign w:val="superscript"/>
        </w:rPr>
        <w:footnoteReference w:id="38"/>
      </w:r>
      <w:r w:rsidR="000F4138" w:rsidRPr="002B6D53">
        <w:t xml:space="preserve"> An indirect comparison was not conducted on the WI-NRS score as this endpoint was not reported by the POISE trial. </w:t>
      </w:r>
    </w:p>
    <w:p w14:paraId="1F87F97A" w14:textId="192E369B" w:rsidR="00915B51" w:rsidRPr="002B6D53" w:rsidRDefault="000205DA" w:rsidP="00C3729B">
      <w:pPr>
        <w:pStyle w:val="3-BodyText"/>
      </w:pPr>
      <w:r w:rsidRPr="002B6D53">
        <w:t>The ESC considered that i</w:t>
      </w:r>
      <w:r w:rsidR="00915B51" w:rsidRPr="002B6D53">
        <w:t xml:space="preserve">t may </w:t>
      </w:r>
      <w:r w:rsidR="00F662D1" w:rsidRPr="002B6D53">
        <w:t xml:space="preserve">have </w:t>
      </w:r>
      <w:r w:rsidR="00915B51" w:rsidRPr="002B6D53">
        <w:t>be</w:t>
      </w:r>
      <w:r w:rsidR="00F662D1" w:rsidRPr="002B6D53">
        <w:t>en</w:t>
      </w:r>
      <w:r w:rsidR="00915B51" w:rsidRPr="002B6D53">
        <w:t xml:space="preserve"> reasonable to conclude that </w:t>
      </w:r>
      <w:proofErr w:type="spellStart"/>
      <w:r w:rsidR="00915B51" w:rsidRPr="002B6D53">
        <w:t>elafibranor</w:t>
      </w:r>
      <w:proofErr w:type="spellEnd"/>
      <w:r w:rsidR="00915B51" w:rsidRPr="002B6D53">
        <w:t xml:space="preserve"> does not </w:t>
      </w:r>
      <w:r w:rsidR="00CB0699" w:rsidRPr="002B6D53">
        <w:t>ex</w:t>
      </w:r>
      <w:r w:rsidR="00915B51" w:rsidRPr="002B6D53">
        <w:t>acerbate pruritus compared to OCA.</w:t>
      </w:r>
    </w:p>
    <w:p w14:paraId="160BEEED" w14:textId="058D7E2F" w:rsidR="001F7D05" w:rsidRPr="002B6D53" w:rsidRDefault="001F7D05" w:rsidP="001F7D05">
      <w:pPr>
        <w:pStyle w:val="3-BodyText"/>
        <w:rPr>
          <w:snapToGrid w:val="0"/>
        </w:rPr>
      </w:pPr>
      <w:bookmarkStart w:id="61" w:name="_Hlk76376200"/>
      <w:r w:rsidRPr="002B6D53">
        <w:rPr>
          <w:iCs/>
          <w:snapToGrid w:val="0"/>
        </w:rPr>
        <w:t>The</w:t>
      </w:r>
      <w:r w:rsidRPr="002B6D53">
        <w:rPr>
          <w:snapToGrid w:val="0"/>
        </w:rPr>
        <w:t xml:space="preserve"> PBAC considered that the claim of non-inferior comparative effectiveness </w:t>
      </w:r>
      <w:r w:rsidR="007B3B9B" w:rsidRPr="002B6D53">
        <w:rPr>
          <w:snapToGrid w:val="0"/>
        </w:rPr>
        <w:t xml:space="preserve">between </w:t>
      </w:r>
      <w:proofErr w:type="spellStart"/>
      <w:r w:rsidR="007B3B9B" w:rsidRPr="002B6D53">
        <w:rPr>
          <w:snapToGrid w:val="0"/>
        </w:rPr>
        <w:t>elafibranor</w:t>
      </w:r>
      <w:proofErr w:type="spellEnd"/>
      <w:r w:rsidR="007B3B9B" w:rsidRPr="002B6D53">
        <w:rPr>
          <w:snapToGrid w:val="0"/>
        </w:rPr>
        <w:t xml:space="preserve"> and OCA </w:t>
      </w:r>
      <w:r w:rsidRPr="002B6D53">
        <w:rPr>
          <w:snapToGrid w:val="0"/>
        </w:rPr>
        <w:t>was reasonable.</w:t>
      </w:r>
    </w:p>
    <w:p w14:paraId="6B7DCBC3" w14:textId="5E270EE5" w:rsidR="001F7D05" w:rsidRPr="002B6D53" w:rsidRDefault="001F7D05">
      <w:pPr>
        <w:pStyle w:val="3-BodyText"/>
        <w:rPr>
          <w:snapToGrid w:val="0"/>
        </w:rPr>
      </w:pPr>
      <w:r w:rsidRPr="002B6D53">
        <w:rPr>
          <w:snapToGrid w:val="0"/>
        </w:rPr>
        <w:t xml:space="preserve">The PBAC considered that the claim </w:t>
      </w:r>
      <w:r w:rsidR="007B3B9B" w:rsidRPr="002B6D53">
        <w:rPr>
          <w:snapToGrid w:val="0"/>
        </w:rPr>
        <w:t xml:space="preserve">that </w:t>
      </w:r>
      <w:proofErr w:type="spellStart"/>
      <w:r w:rsidR="007B3B9B" w:rsidRPr="002B6D53">
        <w:rPr>
          <w:snapToGrid w:val="0"/>
        </w:rPr>
        <w:t>elafibranor</w:t>
      </w:r>
      <w:proofErr w:type="spellEnd"/>
      <w:r w:rsidR="007B3B9B" w:rsidRPr="002B6D53">
        <w:rPr>
          <w:snapToGrid w:val="0"/>
        </w:rPr>
        <w:t xml:space="preserve"> was</w:t>
      </w:r>
      <w:r w:rsidR="001753EB" w:rsidRPr="002B6D53">
        <w:rPr>
          <w:snapToGrid w:val="0"/>
        </w:rPr>
        <w:t xml:space="preserve"> </w:t>
      </w:r>
      <w:r w:rsidRPr="002B6D53">
        <w:rPr>
          <w:snapToGrid w:val="0"/>
        </w:rPr>
        <w:t xml:space="preserve">superior </w:t>
      </w:r>
      <w:r w:rsidR="001753EB" w:rsidRPr="002B6D53">
        <w:rPr>
          <w:snapToGrid w:val="0"/>
        </w:rPr>
        <w:t xml:space="preserve">compared to OCA in terms of </w:t>
      </w:r>
      <w:r w:rsidRPr="002B6D53">
        <w:rPr>
          <w:snapToGrid w:val="0"/>
        </w:rPr>
        <w:t>safety was not adequately supported by the data.</w:t>
      </w:r>
      <w:bookmarkEnd w:id="61"/>
      <w:r w:rsidR="001753EB" w:rsidRPr="002B6D53">
        <w:rPr>
          <w:snapToGrid w:val="0"/>
        </w:rPr>
        <w:t xml:space="preserve"> </w:t>
      </w:r>
      <w:r w:rsidR="002B6D53" w:rsidRPr="002B6D53">
        <w:rPr>
          <w:snapToGrid w:val="0"/>
        </w:rPr>
        <w:t xml:space="preserve">The PBAC considered that overall, a claim of non-inferior safety was reasonable, although acknowledged that </w:t>
      </w:r>
      <w:proofErr w:type="spellStart"/>
      <w:r w:rsidR="002B6D53" w:rsidRPr="002B6D53">
        <w:rPr>
          <w:snapToGrid w:val="0"/>
        </w:rPr>
        <w:t>elafibranor</w:t>
      </w:r>
      <w:proofErr w:type="spellEnd"/>
      <w:r w:rsidR="002B6D53" w:rsidRPr="002B6D53">
        <w:rPr>
          <w:snapToGrid w:val="0"/>
        </w:rPr>
        <w:t xml:space="preserve"> is likely associated with less pruritus. </w:t>
      </w:r>
    </w:p>
    <w:p w14:paraId="4E807A67" w14:textId="3988542A" w:rsidR="001458AE" w:rsidRPr="00C9624D" w:rsidRDefault="001458AE">
      <w:pPr>
        <w:pStyle w:val="4-SubsectionHeading"/>
      </w:pPr>
      <w:bookmarkStart w:id="62" w:name="_Toc22897645"/>
      <w:bookmarkStart w:id="63" w:name="_Toc187914755"/>
      <w:r w:rsidRPr="002B6D53">
        <w:t>Economic analysis</w:t>
      </w:r>
      <w:bookmarkEnd w:id="62"/>
      <w:bookmarkEnd w:id="63"/>
    </w:p>
    <w:p w14:paraId="27BBC85A" w14:textId="67E3D8D1" w:rsidR="007C05E3" w:rsidRPr="00E2449A" w:rsidRDefault="007C05E3" w:rsidP="007C05E3">
      <w:pPr>
        <w:pStyle w:val="3-BodyText"/>
      </w:pPr>
      <w:r w:rsidRPr="00E2449A">
        <w:t xml:space="preserve">The submission presented </w:t>
      </w:r>
      <w:r w:rsidR="00383A0B" w:rsidRPr="00E2449A">
        <w:t>a modelled</w:t>
      </w:r>
      <w:r w:rsidR="001F6812" w:rsidRPr="00E2449A">
        <w:t xml:space="preserve"> </w:t>
      </w:r>
      <w:r w:rsidRPr="00E2449A">
        <w:t xml:space="preserve">economic evaluation based on </w:t>
      </w:r>
      <w:r w:rsidR="00657D59" w:rsidRPr="00E2449A">
        <w:t>an indirect comparison of RCTs</w:t>
      </w:r>
      <w:r w:rsidRPr="00E2449A">
        <w:t>.</w:t>
      </w:r>
    </w:p>
    <w:p w14:paraId="1F8CE495" w14:textId="626DD766" w:rsidR="00314C59" w:rsidRPr="00E2449A" w:rsidRDefault="00314C59">
      <w:pPr>
        <w:pStyle w:val="3-BodyText"/>
      </w:pPr>
      <w:r w:rsidRPr="00E2449A">
        <w:t xml:space="preserve">The submission did not present economic evidence for </w:t>
      </w:r>
      <w:proofErr w:type="spellStart"/>
      <w:r w:rsidRPr="00E2449A">
        <w:t>elafibranor</w:t>
      </w:r>
      <w:proofErr w:type="spellEnd"/>
      <w:r w:rsidRPr="00E2449A">
        <w:t xml:space="preserve"> as a monotherapy for UDCA intolerant patients or as third-line treatment in OCA non-responders separately.</w:t>
      </w:r>
      <w:r w:rsidR="0005735F" w:rsidRPr="00E2449A">
        <w:t xml:space="preserve"> </w:t>
      </w:r>
      <w:r w:rsidR="00FF14F0" w:rsidRPr="00E2449A">
        <w:t>The</w:t>
      </w:r>
      <w:r w:rsidR="0005735F" w:rsidRPr="00E2449A">
        <w:t xml:space="preserve"> </w:t>
      </w:r>
      <w:r w:rsidR="00E7371D" w:rsidRPr="00E2449A">
        <w:t xml:space="preserve">PSCR provided a revised economic model with </w:t>
      </w:r>
      <w:r w:rsidR="00E84DC1" w:rsidRPr="00E2449A">
        <w:t xml:space="preserve">placebo +/- UDCA as </w:t>
      </w:r>
      <w:r w:rsidR="00807FD7" w:rsidRPr="00E2449A">
        <w:t xml:space="preserve">an additional </w:t>
      </w:r>
      <w:r w:rsidR="00E84DC1" w:rsidRPr="00E2449A">
        <w:t>comparator</w:t>
      </w:r>
      <w:r w:rsidR="00FF14F0" w:rsidRPr="00E2449A">
        <w:t>.</w:t>
      </w:r>
      <w:r w:rsidR="00882A29">
        <w:t xml:space="preserve"> This was not considered as</w:t>
      </w:r>
      <w:r w:rsidR="00CA434C">
        <w:t>,</w:t>
      </w:r>
      <w:r w:rsidR="00C55419">
        <w:t xml:space="preserve"> being provided with the PSCR</w:t>
      </w:r>
      <w:r w:rsidR="00CA434C">
        <w:t>,</w:t>
      </w:r>
      <w:r w:rsidR="00882A29">
        <w:t xml:space="preserve"> </w:t>
      </w:r>
      <w:r w:rsidR="00AE3072">
        <w:t xml:space="preserve">it </w:t>
      </w:r>
      <w:r w:rsidR="00CA434C">
        <w:t>was not</w:t>
      </w:r>
      <w:r w:rsidR="00C55419">
        <w:t xml:space="preserve"> evaluated.</w:t>
      </w:r>
    </w:p>
    <w:p w14:paraId="70FBC56F" w14:textId="4B0B4BE6" w:rsidR="00C83D2D" w:rsidRPr="00E2449A" w:rsidRDefault="00FF14F0">
      <w:pPr>
        <w:pStyle w:val="3-BodyText"/>
      </w:pPr>
      <w:r w:rsidRPr="00E2449A">
        <w:t xml:space="preserve">The ESC considered that </w:t>
      </w:r>
      <w:r w:rsidR="00B90029" w:rsidRPr="00E2449A">
        <w:t>a</w:t>
      </w:r>
      <w:r w:rsidRPr="00E2449A">
        <w:t xml:space="preserve"> </w:t>
      </w:r>
      <w:r w:rsidR="00C83D2D" w:rsidRPr="00E2449A">
        <w:t xml:space="preserve">cost-minimisation approach comparing </w:t>
      </w:r>
      <w:proofErr w:type="spellStart"/>
      <w:r w:rsidR="00C83D2D" w:rsidRPr="00E2449A">
        <w:t>elafibranor</w:t>
      </w:r>
      <w:proofErr w:type="spellEnd"/>
      <w:r w:rsidR="00C83D2D" w:rsidRPr="00E2449A">
        <w:t xml:space="preserve"> to OCA may have been more appropriate</w:t>
      </w:r>
      <w:r w:rsidR="00E304A4" w:rsidRPr="00E2449A">
        <w:t xml:space="preserve">, given the clinical claim that </w:t>
      </w:r>
      <w:proofErr w:type="spellStart"/>
      <w:r w:rsidR="00E304A4" w:rsidRPr="00E2449A">
        <w:t>elafibranor</w:t>
      </w:r>
      <w:proofErr w:type="spellEnd"/>
      <w:r w:rsidR="00E304A4" w:rsidRPr="00E2449A">
        <w:t xml:space="preserve"> was non-inferior in terms of </w:t>
      </w:r>
      <w:r w:rsidR="008F1A81" w:rsidRPr="00E2449A">
        <w:t xml:space="preserve">clinical </w:t>
      </w:r>
      <w:r w:rsidR="00E304A4" w:rsidRPr="00E2449A">
        <w:t>effectiveness compared to OCA</w:t>
      </w:r>
      <w:r w:rsidR="00C83D2D" w:rsidRPr="00E2449A">
        <w:t>.</w:t>
      </w:r>
      <w:r w:rsidR="00CA5109" w:rsidRPr="00E2449A">
        <w:t xml:space="preserve"> The ESC </w:t>
      </w:r>
      <w:r w:rsidR="00E822A6" w:rsidRPr="00E2449A">
        <w:t>noted</w:t>
      </w:r>
      <w:r w:rsidR="00CA5109" w:rsidRPr="00E2449A">
        <w:t xml:space="preserve"> that a cost-minimisation approach was further supported as </w:t>
      </w:r>
      <w:r w:rsidR="00E822A6" w:rsidRPr="00E2449A">
        <w:t xml:space="preserve">it considered that </w:t>
      </w:r>
      <w:r w:rsidR="00CA5109" w:rsidRPr="00E2449A">
        <w:t xml:space="preserve">the superiority claim </w:t>
      </w:r>
      <w:r w:rsidR="00E822A6" w:rsidRPr="00E2449A">
        <w:t xml:space="preserve">compared to OCA in terms of safety was not adequately demonstrated. </w:t>
      </w:r>
    </w:p>
    <w:p w14:paraId="451385EB" w14:textId="7EDAD0C1" w:rsidR="00B306F8" w:rsidRPr="00E2449A" w:rsidRDefault="007133BA">
      <w:pPr>
        <w:pStyle w:val="3-BodyText"/>
      </w:pPr>
      <w:r w:rsidRPr="00E2449A">
        <w:t xml:space="preserve">The ESC </w:t>
      </w:r>
      <w:r w:rsidR="00E14D84" w:rsidRPr="00E2449A">
        <w:t>noted</w:t>
      </w:r>
      <w:r w:rsidRPr="00E2449A">
        <w:t xml:space="preserve"> that </w:t>
      </w:r>
      <w:r w:rsidR="00B24C6F" w:rsidRPr="00E2449A">
        <w:t>the</w:t>
      </w:r>
      <w:r w:rsidR="0091359F" w:rsidRPr="00E2449A">
        <w:t xml:space="preserve"> </w:t>
      </w:r>
      <w:r w:rsidR="2C3CD7CB" w:rsidRPr="00E2449A">
        <w:t>equi-effective</w:t>
      </w:r>
      <w:r w:rsidR="00B306F8" w:rsidRPr="00E2449A">
        <w:t xml:space="preserve"> doses </w:t>
      </w:r>
      <w:r w:rsidR="00E14D84" w:rsidRPr="00E2449A">
        <w:t xml:space="preserve">may </w:t>
      </w:r>
      <w:r w:rsidR="00B306F8" w:rsidRPr="00E2449A">
        <w:t>be:</w:t>
      </w:r>
    </w:p>
    <w:p w14:paraId="34D56062" w14:textId="2A87746F" w:rsidR="00820A05" w:rsidRPr="00E2449A" w:rsidRDefault="00B02575" w:rsidP="004C1DB4">
      <w:pPr>
        <w:pStyle w:val="ListParagraph"/>
        <w:numPr>
          <w:ilvl w:val="0"/>
          <w:numId w:val="0"/>
        </w:numPr>
        <w:ind w:left="1080"/>
        <w:jc w:val="both"/>
      </w:pPr>
      <w:proofErr w:type="spellStart"/>
      <w:r w:rsidRPr="00E2449A">
        <w:t>Elafibranor</w:t>
      </w:r>
      <w:proofErr w:type="spellEnd"/>
      <w:r w:rsidRPr="00E2449A">
        <w:t xml:space="preserve"> 80</w:t>
      </w:r>
      <w:r w:rsidR="00332C8B" w:rsidRPr="00E2449A">
        <w:t xml:space="preserve"> </w:t>
      </w:r>
      <w:r w:rsidRPr="00E2449A">
        <w:t>mg</w:t>
      </w:r>
      <w:r w:rsidR="0091359F" w:rsidRPr="00E2449A">
        <w:t xml:space="preserve"> once daily</w:t>
      </w:r>
      <w:r w:rsidR="004F0D74" w:rsidRPr="00E2449A">
        <w:t>, based on recommended dose in the draft Product Information</w:t>
      </w:r>
      <w:r w:rsidR="00C03738" w:rsidRPr="00E2449A">
        <w:t xml:space="preserve"> </w:t>
      </w:r>
      <w:r w:rsidR="00B24C6F" w:rsidRPr="00E2449A">
        <w:t xml:space="preserve">= </w:t>
      </w:r>
    </w:p>
    <w:p w14:paraId="3167E047" w14:textId="5054CCFD" w:rsidR="002C6BE5" w:rsidRPr="00E2449A" w:rsidRDefault="00B02575" w:rsidP="004C1DB4">
      <w:pPr>
        <w:pStyle w:val="ListParagraph"/>
        <w:numPr>
          <w:ilvl w:val="0"/>
          <w:numId w:val="0"/>
        </w:numPr>
        <w:ind w:left="1080"/>
        <w:jc w:val="both"/>
      </w:pPr>
      <w:proofErr w:type="spellStart"/>
      <w:r w:rsidRPr="00E2449A">
        <w:t>Obeticholic</w:t>
      </w:r>
      <w:proofErr w:type="spellEnd"/>
      <w:r w:rsidRPr="00E2449A">
        <w:t xml:space="preserve"> acid</w:t>
      </w:r>
      <w:r w:rsidR="00332C8B" w:rsidRPr="00E2449A">
        <w:t xml:space="preserve"> </w:t>
      </w:r>
      <w:r w:rsidR="00AE351D" w:rsidRPr="00E2449A">
        <w:t>5 or 10 mg da</w:t>
      </w:r>
      <w:r w:rsidR="002C6BE5" w:rsidRPr="00E2449A">
        <w:t>il</w:t>
      </w:r>
      <w:r w:rsidR="00E8780B" w:rsidRPr="00E2449A">
        <w:t>y, based on the recommended dose in the Product Information</w:t>
      </w:r>
      <w:r w:rsidR="00AA1951" w:rsidRPr="00E2449A">
        <w:t xml:space="preserve"> (noting that the published prices of </w:t>
      </w:r>
      <w:r w:rsidR="002C6BE5" w:rsidRPr="00E2449A">
        <w:t>the 5 mg and 10 mg tablets are the same).</w:t>
      </w:r>
    </w:p>
    <w:p w14:paraId="4E0207BA" w14:textId="7B80305C" w:rsidR="0086216B" w:rsidRDefault="0086216B" w:rsidP="00A91F5D">
      <w:pPr>
        <w:pStyle w:val="3-BodyText"/>
      </w:pPr>
      <w:r w:rsidRPr="00E2449A">
        <w:t xml:space="preserve">The ESC considered </w:t>
      </w:r>
      <w:r w:rsidR="00E54C6D" w:rsidRPr="00E2449A">
        <w:t>a cost</w:t>
      </w:r>
      <w:r w:rsidR="00D37919">
        <w:t>-</w:t>
      </w:r>
      <w:r w:rsidR="00E54C6D" w:rsidRPr="00E2449A">
        <w:t>minimisation approach</w:t>
      </w:r>
      <w:r w:rsidR="00940DD5" w:rsidRPr="00E2449A">
        <w:t xml:space="preserve"> would be informative for the PBAC and</w:t>
      </w:r>
      <w:r w:rsidR="00ED7372" w:rsidRPr="00E2449A">
        <w:t xml:space="preserve"> that</w:t>
      </w:r>
      <w:r w:rsidR="00940DD5" w:rsidRPr="00E2449A">
        <w:t xml:space="preserve"> </w:t>
      </w:r>
      <w:r w:rsidR="005E5FA9" w:rsidRPr="00E2449A">
        <w:t xml:space="preserve">this should be presented </w:t>
      </w:r>
      <w:r w:rsidR="00940DD5" w:rsidRPr="00E2449A">
        <w:t>in the pre</w:t>
      </w:r>
      <w:r w:rsidR="008C1B89" w:rsidRPr="00E2449A">
        <w:t>-</w:t>
      </w:r>
      <w:r w:rsidR="00940DD5" w:rsidRPr="00E2449A">
        <w:t>PBAC response</w:t>
      </w:r>
      <w:r w:rsidR="005E5FA9" w:rsidRPr="00E2449A">
        <w:t>.</w:t>
      </w:r>
    </w:p>
    <w:p w14:paraId="57119FC3" w14:textId="6E9475BA" w:rsidR="00F64728" w:rsidRPr="00E2449A" w:rsidRDefault="00F64728" w:rsidP="00A91F5D">
      <w:pPr>
        <w:pStyle w:val="3-BodyText"/>
      </w:pPr>
      <w:r>
        <w:t xml:space="preserve">The pre-PBAC response stated that </w:t>
      </w:r>
      <w:r w:rsidR="00213704">
        <w:t xml:space="preserve">the differences in safety profiles between </w:t>
      </w:r>
      <w:proofErr w:type="spellStart"/>
      <w:r w:rsidR="00213704">
        <w:t>elafibranor</w:t>
      </w:r>
      <w:proofErr w:type="spellEnd"/>
      <w:r w:rsidR="00213704">
        <w:t xml:space="preserve"> and OCA </w:t>
      </w:r>
      <w:r w:rsidR="00C9036E">
        <w:t>supported the use of a CUA analysis</w:t>
      </w:r>
      <w:r w:rsidR="00467FAA">
        <w:t>.</w:t>
      </w:r>
    </w:p>
    <w:p w14:paraId="08F84E72" w14:textId="0E667554" w:rsidR="006550F5" w:rsidRPr="00E2449A" w:rsidRDefault="001D6BCC" w:rsidP="00A91F5D">
      <w:pPr>
        <w:pStyle w:val="3-BodyText"/>
      </w:pPr>
      <w:r w:rsidRPr="00E2449A">
        <w:lastRenderedPageBreak/>
        <w:fldChar w:fldCharType="begin" w:fldLock="1"/>
      </w:r>
      <w:r w:rsidRPr="00E2449A">
        <w:instrText xml:space="preserve"> REF _Ref184715740 \h </w:instrText>
      </w:r>
      <w:r w:rsidR="00E2449A" w:rsidRPr="00E2449A">
        <w:instrText xml:space="preserve"> \* MERGEFORMAT </w:instrText>
      </w:r>
      <w:r w:rsidRPr="00E2449A">
        <w:fldChar w:fldCharType="separate"/>
      </w:r>
      <w:r w:rsidR="002B3034" w:rsidRPr="00E2449A">
        <w:t xml:space="preserve">Table </w:t>
      </w:r>
      <w:r w:rsidR="002B3034" w:rsidRPr="00E2449A">
        <w:rPr>
          <w:noProof/>
        </w:rPr>
        <w:t>14</w:t>
      </w:r>
      <w:r w:rsidRPr="00E2449A">
        <w:fldChar w:fldCharType="end"/>
      </w:r>
      <w:r w:rsidRPr="00E2449A">
        <w:t xml:space="preserve"> </w:t>
      </w:r>
      <w:r w:rsidR="00C80C73" w:rsidRPr="00E2449A">
        <w:t>presents</w:t>
      </w:r>
      <w:r w:rsidR="00F073D8" w:rsidRPr="00E2449A">
        <w:t xml:space="preserve"> the </w:t>
      </w:r>
      <w:r w:rsidR="006F48DF" w:rsidRPr="00E2449A">
        <w:t>key components of the economic evaluation</w:t>
      </w:r>
      <w:r w:rsidR="00E54C6D" w:rsidRPr="00E2449A">
        <w:t>.</w:t>
      </w:r>
    </w:p>
    <w:p w14:paraId="15A9AFA4" w14:textId="00142BB5" w:rsidR="00275C5A" w:rsidRPr="0098262F" w:rsidRDefault="001D6BCC" w:rsidP="001D6BCC">
      <w:pPr>
        <w:pStyle w:val="Caption"/>
        <w:rPr>
          <w:rStyle w:val="CommentReference"/>
          <w:b/>
          <w:szCs w:val="24"/>
        </w:rPr>
      </w:pPr>
      <w:bookmarkStart w:id="64" w:name="_Ref184715740"/>
      <w:r>
        <w:t xml:space="preserve">Table </w:t>
      </w:r>
      <w:r w:rsidR="00780A90">
        <w:fldChar w:fldCharType="begin" w:fldLock="1"/>
      </w:r>
      <w:r w:rsidR="00780A90">
        <w:instrText xml:space="preserve"> SEQ Table \* ARABIC </w:instrText>
      </w:r>
      <w:r w:rsidR="00780A90">
        <w:fldChar w:fldCharType="separate"/>
      </w:r>
      <w:r w:rsidR="00780A90">
        <w:rPr>
          <w:noProof/>
        </w:rPr>
        <w:t>14</w:t>
      </w:r>
      <w:r w:rsidR="00780A90">
        <w:rPr>
          <w:noProof/>
        </w:rPr>
        <w:fldChar w:fldCharType="end"/>
      </w:r>
      <w:bookmarkEnd w:id="64"/>
      <w:r w:rsidR="001458AE">
        <w:t>:</w:t>
      </w:r>
      <w:r w:rsidR="001458AE" w:rsidRPr="00641FB3">
        <w:rPr>
          <w:rStyle w:val="CommentReference"/>
          <w:b/>
          <w:szCs w:val="24"/>
        </w:rPr>
        <w:t xml:space="preserve"> </w:t>
      </w:r>
      <w:r w:rsidR="00275C5A" w:rsidRPr="0098262F">
        <w:rPr>
          <w:rStyle w:val="CommentReference"/>
          <w:b/>
          <w:szCs w:val="24"/>
        </w:rPr>
        <w:t>Summary of model structure</w:t>
      </w:r>
      <w:r w:rsidR="00184B0E" w:rsidRPr="0098262F">
        <w:rPr>
          <w:rStyle w:val="CommentReference"/>
          <w:b/>
          <w:szCs w:val="24"/>
        </w:rPr>
        <w:t>, key inputs</w:t>
      </w:r>
      <w:r w:rsidR="00275C5A" w:rsidRPr="0098262F">
        <w:rPr>
          <w:rStyle w:val="CommentReference"/>
          <w:b/>
          <w:szCs w:val="24"/>
        </w:rPr>
        <w:t xml:space="preserve">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8029"/>
      </w:tblGrid>
      <w:tr w:rsidR="00315E15" w:rsidRPr="00E2449A" w14:paraId="769343A4" w14:textId="77777777" w:rsidTr="05042C88">
        <w:trPr>
          <w:tblHeader/>
        </w:trPr>
        <w:tc>
          <w:tcPr>
            <w:tcW w:w="548" w:type="pct"/>
            <w:shd w:val="clear" w:color="auto" w:fill="auto"/>
            <w:vAlign w:val="center"/>
          </w:tcPr>
          <w:p w14:paraId="27DD0D40" w14:textId="77777777" w:rsidR="00315E15" w:rsidRPr="00E2449A" w:rsidRDefault="00315E15" w:rsidP="006F658A">
            <w:pPr>
              <w:keepNext/>
              <w:keepLines/>
              <w:jc w:val="center"/>
              <w:rPr>
                <w:rFonts w:ascii="Arial Narrow" w:eastAsiaTheme="majorEastAsia" w:hAnsi="Arial Narrow" w:cs="Times New Roman"/>
                <w:b/>
                <w:sz w:val="20"/>
                <w:szCs w:val="20"/>
              </w:rPr>
            </w:pPr>
            <w:r w:rsidRPr="00E2449A">
              <w:rPr>
                <w:rFonts w:ascii="Arial Narrow" w:eastAsiaTheme="majorEastAsia" w:hAnsi="Arial Narrow" w:cs="Times New Roman"/>
                <w:b/>
                <w:sz w:val="20"/>
                <w:szCs w:val="20"/>
              </w:rPr>
              <w:t>Component</w:t>
            </w:r>
          </w:p>
        </w:tc>
        <w:tc>
          <w:tcPr>
            <w:tcW w:w="4452" w:type="pct"/>
            <w:shd w:val="clear" w:color="auto" w:fill="auto"/>
            <w:vAlign w:val="center"/>
          </w:tcPr>
          <w:p w14:paraId="665218EE" w14:textId="77777777" w:rsidR="00315E15" w:rsidRPr="00E2449A" w:rsidRDefault="00315E15" w:rsidP="006F658A">
            <w:pPr>
              <w:keepNext/>
              <w:keepLines/>
              <w:jc w:val="center"/>
              <w:rPr>
                <w:rFonts w:ascii="Arial Narrow" w:eastAsiaTheme="majorEastAsia" w:hAnsi="Arial Narrow" w:cs="Times New Roman"/>
                <w:b/>
                <w:sz w:val="20"/>
                <w:szCs w:val="20"/>
              </w:rPr>
            </w:pPr>
            <w:r w:rsidRPr="00E2449A">
              <w:rPr>
                <w:rFonts w:ascii="Arial Narrow" w:eastAsiaTheme="majorEastAsia" w:hAnsi="Arial Narrow" w:cs="Times New Roman"/>
                <w:b/>
                <w:sz w:val="20"/>
                <w:szCs w:val="20"/>
              </w:rPr>
              <w:t>Summary</w:t>
            </w:r>
          </w:p>
        </w:tc>
      </w:tr>
      <w:tr w:rsidR="00315E15" w:rsidRPr="00E2449A" w14:paraId="40D744FA" w14:textId="77777777" w:rsidTr="05042C88">
        <w:tc>
          <w:tcPr>
            <w:tcW w:w="548" w:type="pct"/>
            <w:shd w:val="clear" w:color="auto" w:fill="auto"/>
            <w:vAlign w:val="center"/>
          </w:tcPr>
          <w:p w14:paraId="0A96DAF9" w14:textId="77777777"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Treatments</w:t>
            </w:r>
          </w:p>
        </w:tc>
        <w:tc>
          <w:tcPr>
            <w:tcW w:w="4452" w:type="pct"/>
            <w:shd w:val="clear" w:color="auto" w:fill="auto"/>
            <w:vAlign w:val="center"/>
          </w:tcPr>
          <w:p w14:paraId="585B479D" w14:textId="77777777" w:rsidR="00315E15" w:rsidRPr="00E2449A" w:rsidRDefault="00315E15" w:rsidP="00315E15">
            <w:pPr>
              <w:keepNext/>
              <w:keepLines/>
              <w:jc w:val="left"/>
              <w:rPr>
                <w:rFonts w:ascii="Arial Narrow" w:eastAsiaTheme="majorEastAsia" w:hAnsi="Arial Narrow" w:cstheme="majorBidi"/>
                <w:bCs/>
                <w:sz w:val="20"/>
                <w:szCs w:val="20"/>
                <w:lang w:val="it-IT"/>
              </w:rPr>
            </w:pPr>
            <w:r w:rsidRPr="00E2449A">
              <w:rPr>
                <w:rFonts w:ascii="Arial Narrow" w:eastAsiaTheme="majorEastAsia" w:hAnsi="Arial Narrow" w:cstheme="majorBidi"/>
                <w:bCs/>
                <w:sz w:val="20"/>
                <w:szCs w:val="20"/>
                <w:lang w:val="it-IT"/>
              </w:rPr>
              <w:t>Elafibranor +/- UDCA versus OCA +/- UDCA</w:t>
            </w:r>
          </w:p>
        </w:tc>
      </w:tr>
      <w:tr w:rsidR="00315E15" w:rsidRPr="00E2449A" w14:paraId="3B201530" w14:textId="77777777" w:rsidTr="05042C88">
        <w:tc>
          <w:tcPr>
            <w:tcW w:w="548" w:type="pct"/>
            <w:shd w:val="clear" w:color="auto" w:fill="auto"/>
            <w:vAlign w:val="center"/>
          </w:tcPr>
          <w:p w14:paraId="1D7DF6BA" w14:textId="77777777"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Time horizon</w:t>
            </w:r>
          </w:p>
        </w:tc>
        <w:tc>
          <w:tcPr>
            <w:tcW w:w="4452" w:type="pct"/>
            <w:shd w:val="clear" w:color="auto" w:fill="auto"/>
            <w:vAlign w:val="center"/>
          </w:tcPr>
          <w:p w14:paraId="2F250AE7" w14:textId="39CD53AD" w:rsidR="00315E15" w:rsidRPr="00E2449A" w:rsidRDefault="008B3301"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 xml:space="preserve">Age of patients = 57 years based on ELATIVE trial. </w:t>
            </w:r>
            <w:r w:rsidR="00315E15" w:rsidRPr="00E2449A">
              <w:rPr>
                <w:rFonts w:ascii="Arial Narrow" w:eastAsiaTheme="majorEastAsia" w:hAnsi="Arial Narrow" w:cstheme="majorBidi"/>
                <w:bCs/>
                <w:sz w:val="20"/>
                <w:szCs w:val="20"/>
              </w:rPr>
              <w:t>Assumed lifetime (43 years)</w:t>
            </w:r>
            <w:r w:rsidRPr="00E2449A">
              <w:rPr>
                <w:rFonts w:ascii="Arial Narrow" w:eastAsiaTheme="majorEastAsia" w:hAnsi="Arial Narrow" w:cstheme="majorBidi"/>
                <w:bCs/>
                <w:sz w:val="20"/>
                <w:szCs w:val="20"/>
              </w:rPr>
              <w:t xml:space="preserve"> time horizon</w:t>
            </w:r>
            <w:r w:rsidR="00315E15" w:rsidRPr="00E2449A">
              <w:rPr>
                <w:rFonts w:ascii="Arial Narrow" w:eastAsiaTheme="majorEastAsia" w:hAnsi="Arial Narrow" w:cstheme="majorBidi"/>
                <w:bCs/>
                <w:sz w:val="20"/>
                <w:szCs w:val="20"/>
              </w:rPr>
              <w:t xml:space="preserve">. The time horizon in the model was long compared to the duration of follow-up in the ELATIVE trial (52 to 104 weeks). Changing the time horizon from 43 years to 30 years </w:t>
            </w:r>
            <w:r w:rsidR="004479EC" w:rsidRPr="00E2449A">
              <w:rPr>
                <w:rFonts w:ascii="Arial Narrow" w:eastAsiaTheme="majorEastAsia" w:hAnsi="Arial Narrow" w:cstheme="majorBidi"/>
                <w:bCs/>
                <w:sz w:val="20"/>
                <w:szCs w:val="20"/>
              </w:rPr>
              <w:t xml:space="preserve">has a minimal effect on the ICER. </w:t>
            </w:r>
          </w:p>
        </w:tc>
      </w:tr>
      <w:tr w:rsidR="00315E15" w:rsidRPr="00E2449A" w14:paraId="04D31293" w14:textId="77777777" w:rsidTr="05042C88">
        <w:tc>
          <w:tcPr>
            <w:tcW w:w="548" w:type="pct"/>
            <w:shd w:val="clear" w:color="auto" w:fill="auto"/>
            <w:vAlign w:val="center"/>
          </w:tcPr>
          <w:p w14:paraId="58D9A109" w14:textId="77777777"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Outcomes</w:t>
            </w:r>
          </w:p>
        </w:tc>
        <w:tc>
          <w:tcPr>
            <w:tcW w:w="4452" w:type="pct"/>
            <w:shd w:val="clear" w:color="auto" w:fill="auto"/>
            <w:vAlign w:val="center"/>
          </w:tcPr>
          <w:p w14:paraId="1BA43006" w14:textId="62B3C342" w:rsidR="00315E15" w:rsidRPr="00E2449A" w:rsidRDefault="00315E15" w:rsidP="00A0672D">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QALYs gained, and LYs gained.</w:t>
            </w:r>
            <w:r w:rsidR="00A0672D" w:rsidRPr="00E2449A">
              <w:rPr>
                <w:rFonts w:ascii="Arial Narrow" w:eastAsiaTheme="majorEastAsia" w:hAnsi="Arial Narrow" w:cstheme="majorBidi"/>
                <w:bCs/>
                <w:sz w:val="20"/>
                <w:szCs w:val="20"/>
              </w:rPr>
              <w:t xml:space="preserve"> </w:t>
            </w:r>
          </w:p>
        </w:tc>
      </w:tr>
      <w:tr w:rsidR="00315E15" w:rsidRPr="00E2449A" w14:paraId="5745E5C3" w14:textId="77777777" w:rsidTr="05042C88">
        <w:tc>
          <w:tcPr>
            <w:tcW w:w="548" w:type="pct"/>
            <w:shd w:val="clear" w:color="auto" w:fill="auto"/>
            <w:vAlign w:val="center"/>
          </w:tcPr>
          <w:p w14:paraId="307C5451" w14:textId="77777777"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Methods used to generate results</w:t>
            </w:r>
          </w:p>
        </w:tc>
        <w:tc>
          <w:tcPr>
            <w:tcW w:w="4452" w:type="pct"/>
            <w:shd w:val="clear" w:color="auto" w:fill="auto"/>
            <w:vAlign w:val="center"/>
          </w:tcPr>
          <w:p w14:paraId="2BC8F403" w14:textId="783BA939" w:rsidR="00315E15" w:rsidRPr="00E2449A" w:rsidRDefault="00315E15" w:rsidP="00A0672D">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A Markov cohort-based state-transition model.</w:t>
            </w:r>
            <w:r w:rsidR="00A0672D" w:rsidRPr="00E2449A">
              <w:rPr>
                <w:rFonts w:ascii="Arial Narrow" w:eastAsiaTheme="majorEastAsia" w:hAnsi="Arial Narrow" w:cstheme="majorBidi"/>
                <w:bCs/>
                <w:sz w:val="20"/>
                <w:szCs w:val="20"/>
              </w:rPr>
              <w:t xml:space="preserve"> </w:t>
            </w:r>
          </w:p>
        </w:tc>
      </w:tr>
      <w:tr w:rsidR="00315E15" w:rsidRPr="00E2449A" w14:paraId="4B4022FC" w14:textId="77777777" w:rsidTr="05042C88">
        <w:tc>
          <w:tcPr>
            <w:tcW w:w="548" w:type="pct"/>
            <w:shd w:val="clear" w:color="auto" w:fill="auto"/>
            <w:vAlign w:val="center"/>
          </w:tcPr>
          <w:p w14:paraId="2F8C5F67" w14:textId="77777777"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Health states</w:t>
            </w:r>
          </w:p>
        </w:tc>
        <w:tc>
          <w:tcPr>
            <w:tcW w:w="4452" w:type="pct"/>
            <w:shd w:val="clear" w:color="auto" w:fill="auto"/>
            <w:vAlign w:val="center"/>
          </w:tcPr>
          <w:p w14:paraId="3734CC08" w14:textId="20829DC0"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10 health states</w:t>
            </w:r>
            <w:r w:rsidR="00E241DC" w:rsidRPr="00E2449A">
              <w:rPr>
                <w:rFonts w:ascii="Arial Narrow" w:eastAsiaTheme="majorEastAsia" w:hAnsi="Arial Narrow" w:cstheme="majorBidi"/>
                <w:bCs/>
                <w:sz w:val="20"/>
                <w:szCs w:val="20"/>
              </w:rPr>
              <w:t>:</w:t>
            </w:r>
          </w:p>
          <w:p w14:paraId="7F843208" w14:textId="77777777" w:rsidR="00315E15" w:rsidRPr="00E2449A" w:rsidRDefault="00315E15" w:rsidP="00315E15">
            <w:pPr>
              <w:keepNext/>
              <w:keepLines/>
              <w:jc w:val="left"/>
              <w:rPr>
                <w:rFonts w:ascii="Arial Narrow" w:eastAsiaTheme="majorEastAsia" w:hAnsi="Arial Narrow" w:cstheme="majorBidi"/>
                <w:bCs/>
                <w:sz w:val="20"/>
                <w:szCs w:val="20"/>
                <w:u w:val="single"/>
              </w:rPr>
            </w:pPr>
            <w:r w:rsidRPr="00E2449A">
              <w:rPr>
                <w:rFonts w:ascii="Arial Narrow" w:eastAsiaTheme="majorEastAsia" w:hAnsi="Arial Narrow" w:cstheme="majorBidi"/>
                <w:bCs/>
                <w:sz w:val="20"/>
                <w:szCs w:val="20"/>
                <w:u w:val="single"/>
              </w:rPr>
              <w:t>Biochemical States</w:t>
            </w:r>
          </w:p>
          <w:p w14:paraId="5E47752F" w14:textId="4D0A8092" w:rsidR="001A2322" w:rsidRPr="00E2449A" w:rsidRDefault="00404B01" w:rsidP="004F2B21">
            <w:pPr>
              <w:pStyle w:val="Tabletext"/>
              <w:numPr>
                <w:ilvl w:val="0"/>
                <w:numId w:val="8"/>
              </w:numPr>
            </w:pPr>
            <w:r w:rsidRPr="00E2449A">
              <w:t>Mild</w:t>
            </w:r>
            <w:r w:rsidR="00315E15" w:rsidRPr="00E2449A">
              <w:t xml:space="preserve"> risk of PBC disease progression: ALP ≤ 200 U/L (i.e. 1.67 x ULN) and normal bilirubin (i.e. TB ≤ 20 µmol/L)</w:t>
            </w:r>
          </w:p>
          <w:p w14:paraId="1249D86F" w14:textId="6F9FBDF6" w:rsidR="00315E15" w:rsidRPr="00E2449A" w:rsidRDefault="00315E15" w:rsidP="004F2B21">
            <w:pPr>
              <w:pStyle w:val="Tabletext"/>
              <w:numPr>
                <w:ilvl w:val="0"/>
                <w:numId w:val="8"/>
              </w:numPr>
            </w:pPr>
            <w:r w:rsidRPr="00E2449A">
              <w:t>Moderate risk of PBC disease progression: ALP &gt; 200 U/L and normal bilirubin</w:t>
            </w:r>
          </w:p>
          <w:p w14:paraId="3600D837" w14:textId="77F661E9" w:rsidR="00315E15" w:rsidRPr="00E2449A" w:rsidRDefault="00315E15" w:rsidP="004F2B21">
            <w:pPr>
              <w:pStyle w:val="Tabletext"/>
              <w:numPr>
                <w:ilvl w:val="0"/>
                <w:numId w:val="8"/>
              </w:numPr>
            </w:pPr>
            <w:r w:rsidRPr="00E2449A">
              <w:t>High risk of PBC disease progression leading to liver failure: Abnormal bilirubin (i.e. TB &gt; 20 µmol/L) and rising or CC.</w:t>
            </w:r>
          </w:p>
          <w:p w14:paraId="5973912B" w14:textId="42171F9B" w:rsidR="00315E15" w:rsidRPr="00E2449A" w:rsidRDefault="00315E15" w:rsidP="00315E15">
            <w:pPr>
              <w:keepNext/>
              <w:keepLines/>
              <w:jc w:val="left"/>
              <w:rPr>
                <w:rFonts w:ascii="Arial Narrow" w:eastAsiaTheme="majorEastAsia" w:hAnsi="Arial Narrow" w:cstheme="majorBidi"/>
                <w:bCs/>
                <w:sz w:val="20"/>
                <w:szCs w:val="20"/>
                <w:u w:val="single"/>
              </w:rPr>
            </w:pPr>
            <w:r w:rsidRPr="00E2449A">
              <w:rPr>
                <w:rFonts w:ascii="Arial Narrow" w:eastAsiaTheme="majorEastAsia" w:hAnsi="Arial Narrow" w:cstheme="majorBidi"/>
                <w:bCs/>
                <w:sz w:val="20"/>
                <w:szCs w:val="20"/>
                <w:u w:val="single"/>
              </w:rPr>
              <w:t>Liver Disease States</w:t>
            </w:r>
          </w:p>
          <w:p w14:paraId="4194FAA2" w14:textId="3CDE0D76" w:rsidR="00315E15" w:rsidRPr="00E2449A" w:rsidRDefault="00865502" w:rsidP="004F2B21">
            <w:pPr>
              <w:pStyle w:val="Tabletext"/>
              <w:numPr>
                <w:ilvl w:val="0"/>
                <w:numId w:val="10"/>
              </w:numPr>
              <w:rPr>
                <w:szCs w:val="20"/>
              </w:rPr>
            </w:pPr>
            <w:r w:rsidRPr="00E2449A">
              <w:rPr>
                <w:szCs w:val="20"/>
              </w:rPr>
              <w:t>Decompensated cirrhosis (</w:t>
            </w:r>
            <w:r w:rsidR="00315E15" w:rsidRPr="00E2449A">
              <w:rPr>
                <w:szCs w:val="20"/>
              </w:rPr>
              <w:t>DCC</w:t>
            </w:r>
            <w:r w:rsidRPr="00E2449A">
              <w:rPr>
                <w:szCs w:val="20"/>
              </w:rPr>
              <w:t>)</w:t>
            </w:r>
          </w:p>
          <w:p w14:paraId="0B5FF4CB" w14:textId="33063A4A" w:rsidR="00315E15" w:rsidRPr="00E2449A" w:rsidRDefault="00D55288" w:rsidP="004F2B21">
            <w:pPr>
              <w:pStyle w:val="Tabletext"/>
              <w:numPr>
                <w:ilvl w:val="0"/>
                <w:numId w:val="10"/>
              </w:numPr>
              <w:rPr>
                <w:szCs w:val="20"/>
              </w:rPr>
            </w:pPr>
            <w:r w:rsidRPr="00E2449A">
              <w:rPr>
                <w:szCs w:val="20"/>
              </w:rPr>
              <w:t>Hepatocellular carcinoma (</w:t>
            </w:r>
            <w:r w:rsidR="00315E15" w:rsidRPr="00E2449A">
              <w:rPr>
                <w:szCs w:val="20"/>
              </w:rPr>
              <w:t>HCC</w:t>
            </w:r>
            <w:r w:rsidRPr="00E2449A">
              <w:rPr>
                <w:szCs w:val="20"/>
              </w:rPr>
              <w:t>)</w:t>
            </w:r>
          </w:p>
          <w:p w14:paraId="7B3EBE59" w14:textId="1A4B7896" w:rsidR="00315E15" w:rsidRPr="00E2449A" w:rsidRDefault="00D55288" w:rsidP="004F2B21">
            <w:pPr>
              <w:pStyle w:val="Tabletext"/>
              <w:numPr>
                <w:ilvl w:val="0"/>
                <w:numId w:val="10"/>
              </w:numPr>
              <w:rPr>
                <w:szCs w:val="20"/>
              </w:rPr>
            </w:pPr>
            <w:r w:rsidRPr="00E2449A">
              <w:rPr>
                <w:szCs w:val="20"/>
              </w:rPr>
              <w:t>Pre-liver transplant (</w:t>
            </w:r>
            <w:r w:rsidR="00315E15" w:rsidRPr="00E2449A">
              <w:rPr>
                <w:szCs w:val="20"/>
              </w:rPr>
              <w:t>Pre-LT</w:t>
            </w:r>
            <w:r w:rsidRPr="00E2449A">
              <w:rPr>
                <w:szCs w:val="20"/>
              </w:rPr>
              <w:t>)</w:t>
            </w:r>
          </w:p>
          <w:p w14:paraId="31195BC9" w14:textId="4D42B287" w:rsidR="00315E15" w:rsidRPr="00E2449A" w:rsidRDefault="00D55288" w:rsidP="004F2B21">
            <w:pPr>
              <w:pStyle w:val="Tabletext"/>
              <w:numPr>
                <w:ilvl w:val="0"/>
                <w:numId w:val="10"/>
              </w:numPr>
              <w:rPr>
                <w:szCs w:val="20"/>
              </w:rPr>
            </w:pPr>
            <w:r w:rsidRPr="00E2449A">
              <w:rPr>
                <w:szCs w:val="20"/>
              </w:rPr>
              <w:t>Liver transplant (</w:t>
            </w:r>
            <w:r w:rsidR="00315E15" w:rsidRPr="00E2449A">
              <w:rPr>
                <w:szCs w:val="20"/>
              </w:rPr>
              <w:t>LT</w:t>
            </w:r>
            <w:r w:rsidR="007717E4" w:rsidRPr="00E2449A">
              <w:rPr>
                <w:szCs w:val="20"/>
              </w:rPr>
              <w:t>)</w:t>
            </w:r>
          </w:p>
          <w:p w14:paraId="34E306D0" w14:textId="2E2B3B3D" w:rsidR="00315E15" w:rsidRPr="00E2449A" w:rsidRDefault="00D55288" w:rsidP="004F2B21">
            <w:pPr>
              <w:pStyle w:val="Tabletext"/>
              <w:numPr>
                <w:ilvl w:val="0"/>
                <w:numId w:val="10"/>
              </w:numPr>
            </w:pPr>
            <w:r w:rsidRPr="00E2449A">
              <w:t>Post-liver transplant (</w:t>
            </w:r>
            <w:r w:rsidR="00315E15" w:rsidRPr="00E2449A">
              <w:t>Post-LT</w:t>
            </w:r>
            <w:r w:rsidRPr="00E2449A">
              <w:t>)</w:t>
            </w:r>
          </w:p>
          <w:p w14:paraId="04891669" w14:textId="76FDA7DD" w:rsidR="00315E15" w:rsidRPr="00E2449A" w:rsidRDefault="00853571" w:rsidP="004F2B21">
            <w:pPr>
              <w:pStyle w:val="Tabletext"/>
              <w:numPr>
                <w:ilvl w:val="0"/>
                <w:numId w:val="10"/>
              </w:numPr>
              <w:rPr>
                <w:szCs w:val="20"/>
              </w:rPr>
            </w:pPr>
            <w:r w:rsidRPr="00E2449A">
              <w:rPr>
                <w:szCs w:val="20"/>
              </w:rPr>
              <w:t>Primary biliary cholangitis (</w:t>
            </w:r>
            <w:r w:rsidR="00315E15" w:rsidRPr="00E2449A">
              <w:rPr>
                <w:szCs w:val="20"/>
              </w:rPr>
              <w:t>PBC</w:t>
            </w:r>
            <w:r w:rsidRPr="00E2449A">
              <w:rPr>
                <w:szCs w:val="20"/>
              </w:rPr>
              <w:t>)</w:t>
            </w:r>
            <w:r w:rsidR="00315E15" w:rsidRPr="00E2449A">
              <w:rPr>
                <w:szCs w:val="20"/>
              </w:rPr>
              <w:t xml:space="preserve"> re-emergence</w:t>
            </w:r>
          </w:p>
          <w:p w14:paraId="1A2D5A24" w14:textId="77777777" w:rsidR="00315E15" w:rsidRPr="00E2449A" w:rsidRDefault="00315E15" w:rsidP="004F2B21">
            <w:pPr>
              <w:pStyle w:val="Tabletext"/>
              <w:numPr>
                <w:ilvl w:val="0"/>
                <w:numId w:val="10"/>
              </w:numPr>
              <w:rPr>
                <w:szCs w:val="20"/>
              </w:rPr>
            </w:pPr>
            <w:r w:rsidRPr="00E2449A">
              <w:rPr>
                <w:szCs w:val="20"/>
              </w:rPr>
              <w:t>Dead</w:t>
            </w:r>
          </w:p>
          <w:p w14:paraId="528B7624" w14:textId="62926152" w:rsidR="00315E15" w:rsidRPr="00E2449A" w:rsidRDefault="00315E15" w:rsidP="05042C88">
            <w:pPr>
              <w:keepNext/>
              <w:keepLines/>
              <w:jc w:val="left"/>
              <w:rPr>
                <w:rFonts w:ascii="Arial Narrow" w:eastAsiaTheme="majorEastAsia" w:hAnsi="Arial Narrow" w:cstheme="majorBidi"/>
                <w:sz w:val="20"/>
                <w:szCs w:val="20"/>
              </w:rPr>
            </w:pPr>
            <w:r w:rsidRPr="00E2449A">
              <w:rPr>
                <w:rFonts w:ascii="Arial Narrow" w:eastAsiaTheme="majorEastAsia" w:hAnsi="Arial Narrow" w:cstheme="majorBidi"/>
                <w:sz w:val="20"/>
                <w:szCs w:val="20"/>
              </w:rPr>
              <w:t>The health states were consistent with that previously considered by the PBAC for OCA as treatment for PBC (para</w:t>
            </w:r>
            <w:r w:rsidR="00331FD3" w:rsidRPr="00E2449A">
              <w:rPr>
                <w:rFonts w:ascii="Arial Narrow" w:eastAsiaTheme="majorEastAsia" w:hAnsi="Arial Narrow" w:cstheme="majorBidi"/>
                <w:sz w:val="20"/>
                <w:szCs w:val="20"/>
              </w:rPr>
              <w:t>graph</w:t>
            </w:r>
            <w:r w:rsidRPr="00E2449A">
              <w:rPr>
                <w:rFonts w:ascii="Arial Narrow" w:eastAsiaTheme="majorEastAsia" w:hAnsi="Arial Narrow" w:cstheme="majorBidi"/>
                <w:sz w:val="20"/>
                <w:szCs w:val="20"/>
              </w:rPr>
              <w:t xml:space="preserve"> 6.19, </w:t>
            </w:r>
            <w:proofErr w:type="spellStart"/>
            <w:r w:rsidRPr="00E2449A">
              <w:rPr>
                <w:rFonts w:ascii="Arial Narrow" w:eastAsiaTheme="majorEastAsia" w:hAnsi="Arial Narrow" w:cstheme="majorBidi"/>
                <w:sz w:val="20"/>
                <w:szCs w:val="20"/>
              </w:rPr>
              <w:t>obeticholic</w:t>
            </w:r>
            <w:proofErr w:type="spellEnd"/>
            <w:r w:rsidRPr="00E2449A">
              <w:rPr>
                <w:rFonts w:ascii="Arial Narrow" w:eastAsiaTheme="majorEastAsia" w:hAnsi="Arial Narrow" w:cstheme="majorBidi"/>
                <w:sz w:val="20"/>
                <w:szCs w:val="20"/>
              </w:rPr>
              <w:t xml:space="preserve"> acid, PSD, November 2020 PBAC meeting).</w:t>
            </w:r>
          </w:p>
        </w:tc>
      </w:tr>
      <w:tr w:rsidR="00315E15" w:rsidRPr="00E2449A" w14:paraId="0F185C30" w14:textId="77777777" w:rsidTr="05042C88">
        <w:tc>
          <w:tcPr>
            <w:tcW w:w="548" w:type="pct"/>
            <w:shd w:val="clear" w:color="auto" w:fill="auto"/>
            <w:vAlign w:val="center"/>
          </w:tcPr>
          <w:p w14:paraId="768B0A91" w14:textId="77777777"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Cycle length</w:t>
            </w:r>
          </w:p>
        </w:tc>
        <w:tc>
          <w:tcPr>
            <w:tcW w:w="4452" w:type="pct"/>
            <w:shd w:val="clear" w:color="auto" w:fill="auto"/>
            <w:vAlign w:val="center"/>
          </w:tcPr>
          <w:p w14:paraId="49DBC4C3" w14:textId="40B75532"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3 months</w:t>
            </w:r>
            <w:r w:rsidR="00731F68" w:rsidRPr="00E2449A">
              <w:rPr>
                <w:rFonts w:ascii="Arial Narrow" w:eastAsiaTheme="majorEastAsia" w:hAnsi="Arial Narrow" w:cstheme="majorBidi"/>
                <w:bCs/>
                <w:sz w:val="20"/>
                <w:szCs w:val="20"/>
              </w:rPr>
              <w:t xml:space="preserve">. </w:t>
            </w:r>
            <w:r w:rsidR="007B758B" w:rsidRPr="00E2449A">
              <w:rPr>
                <w:rFonts w:ascii="Arial Narrow" w:eastAsiaTheme="majorEastAsia" w:hAnsi="Arial Narrow" w:cstheme="majorBidi"/>
                <w:bCs/>
                <w:sz w:val="20"/>
                <w:szCs w:val="20"/>
              </w:rPr>
              <w:t xml:space="preserve">A half cycle correction was applied. </w:t>
            </w:r>
          </w:p>
        </w:tc>
      </w:tr>
      <w:tr w:rsidR="00315E15" w:rsidRPr="00E2449A" w14:paraId="61E64182" w14:textId="77777777" w:rsidTr="000976D2">
        <w:trPr>
          <w:trHeight w:val="2516"/>
        </w:trPr>
        <w:tc>
          <w:tcPr>
            <w:tcW w:w="548" w:type="pct"/>
            <w:shd w:val="clear" w:color="auto" w:fill="auto"/>
            <w:vAlign w:val="center"/>
          </w:tcPr>
          <w:p w14:paraId="5ED5381C" w14:textId="746BA3EE" w:rsidR="00315E15" w:rsidRPr="00E2449A" w:rsidRDefault="00315E15"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Transition probabilities</w:t>
            </w:r>
          </w:p>
        </w:tc>
        <w:tc>
          <w:tcPr>
            <w:tcW w:w="4452" w:type="pct"/>
            <w:shd w:val="clear" w:color="auto" w:fill="auto"/>
            <w:vAlign w:val="center"/>
          </w:tcPr>
          <w:p w14:paraId="22A777A8" w14:textId="0CFA90D6" w:rsidR="00315E15" w:rsidRPr="00E2449A" w:rsidRDefault="007A0E8C" w:rsidP="05042C88">
            <w:pPr>
              <w:keepNext/>
              <w:keepLines/>
              <w:jc w:val="left"/>
              <w:rPr>
                <w:rFonts w:ascii="Arial Narrow" w:eastAsiaTheme="majorEastAsia" w:hAnsi="Arial Narrow" w:cstheme="majorBidi"/>
                <w:sz w:val="20"/>
                <w:szCs w:val="20"/>
                <w:u w:val="single"/>
              </w:rPr>
            </w:pPr>
            <w:r w:rsidRPr="00E2449A">
              <w:rPr>
                <w:rFonts w:ascii="Arial Narrow" w:eastAsiaTheme="majorEastAsia" w:hAnsi="Arial Narrow" w:cstheme="majorBidi"/>
                <w:sz w:val="20"/>
                <w:szCs w:val="20"/>
                <w:u w:val="single"/>
              </w:rPr>
              <w:t>Movement between mild, moderate and high</w:t>
            </w:r>
            <w:r w:rsidR="002A7F7C" w:rsidRPr="00E2449A">
              <w:rPr>
                <w:rFonts w:ascii="Arial Narrow" w:eastAsiaTheme="majorEastAsia" w:hAnsi="Arial Narrow" w:cstheme="majorBidi"/>
                <w:sz w:val="20"/>
                <w:szCs w:val="20"/>
                <w:u w:val="single"/>
              </w:rPr>
              <w:t>-</w:t>
            </w:r>
            <w:r w:rsidRPr="00E2449A">
              <w:rPr>
                <w:rFonts w:ascii="Arial Narrow" w:eastAsiaTheme="majorEastAsia" w:hAnsi="Arial Narrow" w:cstheme="majorBidi"/>
                <w:sz w:val="20"/>
                <w:szCs w:val="20"/>
                <w:u w:val="single"/>
              </w:rPr>
              <w:t>risk</w:t>
            </w:r>
            <w:r w:rsidR="002A7F7C" w:rsidRPr="00E2449A">
              <w:rPr>
                <w:rFonts w:ascii="Arial Narrow" w:eastAsiaTheme="majorEastAsia" w:hAnsi="Arial Narrow" w:cstheme="majorBidi"/>
                <w:sz w:val="20"/>
                <w:szCs w:val="20"/>
                <w:u w:val="single"/>
              </w:rPr>
              <w:t xml:space="preserve"> of PBC progression</w:t>
            </w:r>
            <w:r w:rsidRPr="00E2449A">
              <w:rPr>
                <w:rFonts w:ascii="Arial Narrow" w:eastAsiaTheme="majorEastAsia" w:hAnsi="Arial Narrow" w:cstheme="majorBidi"/>
                <w:sz w:val="20"/>
                <w:szCs w:val="20"/>
                <w:u w:val="single"/>
              </w:rPr>
              <w:t xml:space="preserve"> biochemical health states</w:t>
            </w:r>
            <w:r w:rsidR="00FB15C3">
              <w:rPr>
                <w:rFonts w:ascii="Arial Narrow" w:eastAsiaTheme="majorEastAsia" w:hAnsi="Arial Narrow" w:cstheme="majorBidi"/>
                <w:sz w:val="20"/>
                <w:szCs w:val="20"/>
                <w:u w:val="single"/>
              </w:rPr>
              <w:t>:</w:t>
            </w:r>
          </w:p>
          <w:p w14:paraId="5508916F" w14:textId="77777777" w:rsidR="00A760E9" w:rsidRPr="00E2449A" w:rsidRDefault="00A760E9" w:rsidP="00315E15">
            <w:pPr>
              <w:keepNext/>
              <w:keepLines/>
              <w:jc w:val="left"/>
              <w:rPr>
                <w:rFonts w:ascii="Arial Narrow" w:eastAsiaTheme="majorEastAsia" w:hAnsi="Arial Narrow" w:cstheme="majorBidi"/>
                <w:bCs/>
                <w:sz w:val="20"/>
                <w:szCs w:val="20"/>
              </w:rPr>
            </w:pPr>
          </w:p>
          <w:p w14:paraId="45E8F2C9" w14:textId="77777777" w:rsidR="00AA5160" w:rsidRPr="00E2449A" w:rsidRDefault="00AA5160"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T</w:t>
            </w:r>
            <w:r w:rsidR="00F87BDD" w:rsidRPr="00E2449A">
              <w:rPr>
                <w:rFonts w:ascii="Arial Narrow" w:eastAsiaTheme="majorEastAsia" w:hAnsi="Arial Narrow" w:cstheme="majorBidi"/>
                <w:bCs/>
                <w:sz w:val="20"/>
                <w:szCs w:val="20"/>
              </w:rPr>
              <w:t>ransition probabilities for 0-3, 3-6 and 6-9, 9-12 months</w:t>
            </w:r>
            <w:r w:rsidRPr="00E2449A">
              <w:rPr>
                <w:rFonts w:ascii="Arial Narrow" w:eastAsiaTheme="majorEastAsia" w:hAnsi="Arial Narrow" w:cstheme="majorBidi"/>
                <w:bCs/>
                <w:sz w:val="20"/>
                <w:szCs w:val="20"/>
              </w:rPr>
              <w:t xml:space="preserve">: </w:t>
            </w:r>
          </w:p>
          <w:p w14:paraId="177ECFD8" w14:textId="0D518A55" w:rsidR="000A0E25" w:rsidRPr="00E2449A" w:rsidRDefault="00315E15" w:rsidP="004F2B21">
            <w:pPr>
              <w:pStyle w:val="TableText0"/>
              <w:numPr>
                <w:ilvl w:val="0"/>
                <w:numId w:val="11"/>
              </w:numPr>
            </w:pPr>
            <w:r w:rsidRPr="00E2449A">
              <w:rPr>
                <w:szCs w:val="20"/>
              </w:rPr>
              <w:t>ELATIVE trial data</w:t>
            </w:r>
            <w:r w:rsidR="0080195A" w:rsidRPr="00E2449A">
              <w:rPr>
                <w:szCs w:val="20"/>
              </w:rPr>
              <w:t xml:space="preserve"> for </w:t>
            </w:r>
            <w:r w:rsidR="001D115F" w:rsidRPr="00E2449A">
              <w:rPr>
                <w:szCs w:val="20"/>
              </w:rPr>
              <w:t xml:space="preserve">the </w:t>
            </w:r>
            <w:r w:rsidRPr="00E2449A">
              <w:t>ELA +/- UDCA</w:t>
            </w:r>
            <w:r w:rsidR="000A0E25" w:rsidRPr="00E2449A">
              <w:t xml:space="preserve"> arm</w:t>
            </w:r>
            <w:r w:rsidR="00A21C79" w:rsidRPr="00E2449A">
              <w:t xml:space="preserve">. </w:t>
            </w:r>
          </w:p>
          <w:p w14:paraId="16D66790" w14:textId="5EB33EDC" w:rsidR="00780A37" w:rsidRPr="00E2449A" w:rsidRDefault="000A0E25" w:rsidP="004F2B21">
            <w:pPr>
              <w:pStyle w:val="TableText0"/>
              <w:numPr>
                <w:ilvl w:val="0"/>
                <w:numId w:val="11"/>
              </w:numPr>
              <w:rPr>
                <w:szCs w:val="20"/>
              </w:rPr>
            </w:pPr>
            <w:r w:rsidRPr="00E2449A">
              <w:rPr>
                <w:szCs w:val="20"/>
              </w:rPr>
              <w:t xml:space="preserve">Indirect comparison results for the </w:t>
            </w:r>
            <w:r w:rsidR="00315E15" w:rsidRPr="00E2449A">
              <w:rPr>
                <w:szCs w:val="20"/>
              </w:rPr>
              <w:t xml:space="preserve">OCA +/- UDCA </w:t>
            </w:r>
            <w:r w:rsidRPr="00E2449A">
              <w:rPr>
                <w:szCs w:val="20"/>
              </w:rPr>
              <w:t>arm (</w:t>
            </w:r>
            <w:r w:rsidR="001C6056" w:rsidRPr="00E2449A">
              <w:rPr>
                <w:szCs w:val="20"/>
              </w:rPr>
              <w:t xml:space="preserve">OCA odds of cholestasis response = 0.26). </w:t>
            </w:r>
            <w:r w:rsidR="008224FF" w:rsidRPr="00E2449A">
              <w:rPr>
                <w:szCs w:val="20"/>
              </w:rPr>
              <w:t xml:space="preserve">The ESC </w:t>
            </w:r>
            <w:r w:rsidR="00B378F2" w:rsidRPr="00E2449A">
              <w:rPr>
                <w:szCs w:val="20"/>
              </w:rPr>
              <w:t>cons</w:t>
            </w:r>
            <w:r w:rsidR="001C5390" w:rsidRPr="00E2449A">
              <w:rPr>
                <w:szCs w:val="20"/>
              </w:rPr>
              <w:t>i</w:t>
            </w:r>
            <w:r w:rsidR="00B378F2" w:rsidRPr="00E2449A">
              <w:rPr>
                <w:szCs w:val="20"/>
              </w:rPr>
              <w:t>dered</w:t>
            </w:r>
            <w:r w:rsidR="008224FF" w:rsidRPr="00E2449A">
              <w:rPr>
                <w:szCs w:val="20"/>
              </w:rPr>
              <w:t xml:space="preserve"> that</w:t>
            </w:r>
            <w:r w:rsidR="00A163B3" w:rsidRPr="00E2449A">
              <w:rPr>
                <w:szCs w:val="20"/>
              </w:rPr>
              <w:t xml:space="preserve"> application of an odds ratio of 0.26 was not consistent with the claim of non-inferior </w:t>
            </w:r>
            <w:r w:rsidR="00B378F2" w:rsidRPr="00E2449A">
              <w:rPr>
                <w:szCs w:val="20"/>
              </w:rPr>
              <w:t>efficacy</w:t>
            </w:r>
            <w:r w:rsidR="00F15285" w:rsidRPr="00E2449A">
              <w:rPr>
                <w:szCs w:val="20"/>
              </w:rPr>
              <w:t xml:space="preserve"> (see</w:t>
            </w:r>
            <w:r w:rsidR="00CD73FC" w:rsidRPr="00E2449A">
              <w:rPr>
                <w:szCs w:val="20"/>
              </w:rPr>
              <w:t xml:space="preserve"> para</w:t>
            </w:r>
            <w:r w:rsidR="00331FD3" w:rsidRPr="00E2449A">
              <w:rPr>
                <w:szCs w:val="20"/>
              </w:rPr>
              <w:t>graph</w:t>
            </w:r>
            <w:r w:rsidR="00CD73FC" w:rsidRPr="00E2449A">
              <w:rPr>
                <w:szCs w:val="20"/>
              </w:rPr>
              <w:t xml:space="preserve"> </w:t>
            </w:r>
            <w:r w:rsidR="00AC63AA" w:rsidRPr="00E2449A">
              <w:rPr>
                <w:szCs w:val="20"/>
              </w:rPr>
              <w:fldChar w:fldCharType="begin" w:fldLock="1"/>
            </w:r>
            <w:r w:rsidR="00AC63AA" w:rsidRPr="00E2449A">
              <w:rPr>
                <w:szCs w:val="20"/>
              </w:rPr>
              <w:instrText xml:space="preserve"> REF _Ref184815075 \r \h </w:instrText>
            </w:r>
            <w:r w:rsidR="00986442" w:rsidRPr="00E2449A">
              <w:rPr>
                <w:szCs w:val="20"/>
              </w:rPr>
              <w:instrText xml:space="preserve"> \* MERGEFORMAT </w:instrText>
            </w:r>
            <w:r w:rsidR="00AC63AA" w:rsidRPr="00E2449A">
              <w:rPr>
                <w:szCs w:val="20"/>
              </w:rPr>
            </w:r>
            <w:r w:rsidR="00AC63AA" w:rsidRPr="00E2449A">
              <w:rPr>
                <w:szCs w:val="20"/>
              </w:rPr>
              <w:fldChar w:fldCharType="separate"/>
            </w:r>
            <w:r w:rsidR="00A56EA5">
              <w:rPr>
                <w:szCs w:val="20"/>
              </w:rPr>
              <w:t>6.62</w:t>
            </w:r>
            <w:r w:rsidR="00AC63AA" w:rsidRPr="00E2449A">
              <w:rPr>
                <w:szCs w:val="20"/>
              </w:rPr>
              <w:fldChar w:fldCharType="end"/>
            </w:r>
            <w:r w:rsidR="00AC63AA" w:rsidRPr="00E2449A">
              <w:rPr>
                <w:szCs w:val="20"/>
              </w:rPr>
              <w:t>)</w:t>
            </w:r>
            <w:r w:rsidR="001C6056" w:rsidRPr="00E2449A">
              <w:rPr>
                <w:szCs w:val="20"/>
              </w:rPr>
              <w:t>.</w:t>
            </w:r>
          </w:p>
          <w:p w14:paraId="5D66784C" w14:textId="6FE7EC73" w:rsidR="00315E15" w:rsidRPr="00E2449A" w:rsidRDefault="00315E15" w:rsidP="008B1E1D">
            <w:pPr>
              <w:pStyle w:val="TableText0"/>
            </w:pPr>
          </w:p>
          <w:p w14:paraId="3F21EDCD" w14:textId="0C1986A8" w:rsidR="00315E15" w:rsidRPr="00E2449A" w:rsidRDefault="00315E15" w:rsidP="00B378F2">
            <w:pPr>
              <w:jc w:val="left"/>
              <w:rPr>
                <w:rFonts w:ascii="Arial Narrow" w:hAnsi="Arial Narrow"/>
                <w:sz w:val="20"/>
                <w:szCs w:val="20"/>
                <w:u w:val="single"/>
              </w:rPr>
            </w:pPr>
            <w:r w:rsidRPr="00E2449A">
              <w:rPr>
                <w:rFonts w:ascii="Arial Narrow" w:hAnsi="Arial Narrow"/>
                <w:sz w:val="20"/>
                <w:szCs w:val="20"/>
                <w:u w:val="single"/>
              </w:rPr>
              <w:t>Biochemical health states → Liver disease health states</w:t>
            </w:r>
            <w:r w:rsidR="00FB15C3">
              <w:rPr>
                <w:rFonts w:ascii="Arial Narrow" w:hAnsi="Arial Narrow"/>
                <w:sz w:val="20"/>
                <w:szCs w:val="20"/>
                <w:u w:val="single"/>
              </w:rPr>
              <w:t>:</w:t>
            </w:r>
          </w:p>
          <w:p w14:paraId="6E5EDD72" w14:textId="655EC6E7" w:rsidR="00DB5AC0" w:rsidRPr="00E2449A" w:rsidRDefault="00315E15" w:rsidP="05042C88">
            <w:pPr>
              <w:jc w:val="left"/>
              <w:rPr>
                <w:rFonts w:ascii="Arial Narrow" w:hAnsi="Arial Narrow"/>
                <w:sz w:val="20"/>
                <w:szCs w:val="20"/>
              </w:rPr>
            </w:pPr>
            <w:proofErr w:type="gramStart"/>
            <w:r w:rsidRPr="00E2449A">
              <w:rPr>
                <w:rFonts w:ascii="Arial Narrow" w:hAnsi="Arial Narrow"/>
                <w:sz w:val="20"/>
                <w:szCs w:val="20"/>
              </w:rPr>
              <w:t>Various previously accepted PBAC data inputs</w:t>
            </w:r>
            <w:r w:rsidR="00B7702D" w:rsidRPr="00E2449A">
              <w:rPr>
                <w:rFonts w:ascii="Arial Narrow" w:hAnsi="Arial Narrow"/>
                <w:sz w:val="20"/>
                <w:szCs w:val="20"/>
              </w:rPr>
              <w:t>,</w:t>
            </w:r>
            <w:proofErr w:type="gramEnd"/>
            <w:r w:rsidRPr="00E2449A">
              <w:rPr>
                <w:rFonts w:ascii="Arial Narrow" w:hAnsi="Arial Narrow"/>
                <w:sz w:val="20"/>
                <w:szCs w:val="20"/>
              </w:rPr>
              <w:t xml:space="preserve"> published data and model calibration (para</w:t>
            </w:r>
            <w:r w:rsidR="00331FD3" w:rsidRPr="00E2449A">
              <w:rPr>
                <w:rFonts w:ascii="Arial Narrow" w:hAnsi="Arial Narrow"/>
                <w:sz w:val="20"/>
                <w:szCs w:val="20"/>
              </w:rPr>
              <w:t>graph</w:t>
            </w:r>
            <w:r w:rsidRPr="00E2449A">
              <w:rPr>
                <w:rFonts w:ascii="Arial Narrow" w:hAnsi="Arial Narrow"/>
                <w:sz w:val="20"/>
                <w:szCs w:val="20"/>
              </w:rPr>
              <w:t xml:space="preserve"> 6.19, </w:t>
            </w:r>
            <w:proofErr w:type="spellStart"/>
            <w:r w:rsidRPr="00E2449A">
              <w:rPr>
                <w:rFonts w:ascii="Arial Narrow" w:hAnsi="Arial Narrow"/>
                <w:sz w:val="20"/>
                <w:szCs w:val="20"/>
              </w:rPr>
              <w:t>obeticholic</w:t>
            </w:r>
            <w:proofErr w:type="spellEnd"/>
            <w:r w:rsidRPr="00E2449A">
              <w:rPr>
                <w:rFonts w:ascii="Arial Narrow" w:hAnsi="Arial Narrow"/>
                <w:sz w:val="20"/>
                <w:szCs w:val="20"/>
              </w:rPr>
              <w:t xml:space="preserve"> acid, PSD, November 2020 PBAC meeting)</w:t>
            </w:r>
            <w:r w:rsidR="00626B18" w:rsidRPr="00E2449A">
              <w:rPr>
                <w:rFonts w:ascii="Arial Narrow" w:hAnsi="Arial Narrow"/>
                <w:sz w:val="20"/>
                <w:szCs w:val="20"/>
              </w:rPr>
              <w:t xml:space="preserve">. </w:t>
            </w:r>
            <w:r w:rsidR="00F81C5D" w:rsidRPr="00E2449A">
              <w:rPr>
                <w:rFonts w:ascii="Arial Narrow" w:hAnsi="Arial Narrow"/>
                <w:sz w:val="20"/>
                <w:szCs w:val="20"/>
              </w:rPr>
              <w:t>Some</w:t>
            </w:r>
            <w:r w:rsidR="00822090" w:rsidRPr="00E2449A">
              <w:rPr>
                <w:rFonts w:ascii="Arial Narrow" w:hAnsi="Arial Narrow"/>
                <w:sz w:val="20"/>
                <w:szCs w:val="20"/>
              </w:rPr>
              <w:t xml:space="preserve"> of the transition probabilities were unable to </w:t>
            </w:r>
            <w:r w:rsidR="00317B09" w:rsidRPr="00E2449A">
              <w:rPr>
                <w:rFonts w:ascii="Arial Narrow" w:hAnsi="Arial Narrow"/>
                <w:sz w:val="20"/>
                <w:szCs w:val="20"/>
              </w:rPr>
              <w:t xml:space="preserve">be </w:t>
            </w:r>
            <w:r w:rsidR="00822090" w:rsidRPr="00E2449A">
              <w:rPr>
                <w:rFonts w:ascii="Arial Narrow" w:hAnsi="Arial Narrow"/>
                <w:sz w:val="20"/>
                <w:szCs w:val="20"/>
              </w:rPr>
              <w:t xml:space="preserve">verified. </w:t>
            </w:r>
          </w:p>
          <w:p w14:paraId="68AF8E3F" w14:textId="77777777" w:rsidR="00B620A5" w:rsidRPr="00E2449A" w:rsidRDefault="00B620A5" w:rsidP="00B378F2">
            <w:pPr>
              <w:jc w:val="left"/>
              <w:rPr>
                <w:rFonts w:ascii="Arial Narrow" w:hAnsi="Arial Narrow"/>
                <w:sz w:val="20"/>
                <w:szCs w:val="20"/>
              </w:rPr>
            </w:pPr>
          </w:p>
          <w:p w14:paraId="675AB7DB" w14:textId="69BD34B8" w:rsidR="00B620A5" w:rsidRPr="00E2449A" w:rsidRDefault="00B620A5" w:rsidP="00B378F2">
            <w:pPr>
              <w:jc w:val="left"/>
              <w:rPr>
                <w:rFonts w:ascii="Arial Narrow" w:hAnsi="Arial Narrow"/>
                <w:sz w:val="20"/>
                <w:szCs w:val="20"/>
                <w:u w:val="single"/>
              </w:rPr>
            </w:pPr>
            <w:r w:rsidRPr="00E2449A">
              <w:rPr>
                <w:rFonts w:ascii="Arial Narrow" w:hAnsi="Arial Narrow"/>
                <w:sz w:val="20"/>
                <w:szCs w:val="20"/>
                <w:u w:val="single"/>
              </w:rPr>
              <w:t>Compliance and discontinuation rates</w:t>
            </w:r>
            <w:r w:rsidR="00FB15C3">
              <w:rPr>
                <w:rFonts w:ascii="Arial Narrow" w:hAnsi="Arial Narrow"/>
                <w:sz w:val="20"/>
                <w:szCs w:val="20"/>
                <w:u w:val="single"/>
              </w:rPr>
              <w:t>:</w:t>
            </w:r>
          </w:p>
          <w:p w14:paraId="0FA5975A" w14:textId="54FBBB90" w:rsidR="00B620A5" w:rsidRPr="00E2449A" w:rsidRDefault="00C97694" w:rsidP="00B378F2">
            <w:pPr>
              <w:jc w:val="left"/>
              <w:rPr>
                <w:rFonts w:ascii="Arial Narrow" w:hAnsi="Arial Narrow"/>
                <w:sz w:val="20"/>
                <w:szCs w:val="20"/>
              </w:rPr>
            </w:pPr>
            <w:r w:rsidRPr="00E2449A">
              <w:rPr>
                <w:rFonts w:ascii="Arial Narrow" w:hAnsi="Arial Narrow"/>
                <w:sz w:val="20"/>
                <w:szCs w:val="20"/>
              </w:rPr>
              <w:t xml:space="preserve">ELA </w:t>
            </w:r>
            <w:r w:rsidR="000E7A5E" w:rsidRPr="00E2449A">
              <w:rPr>
                <w:rFonts w:ascii="Arial Narrow" w:hAnsi="Arial Narrow"/>
                <w:sz w:val="20"/>
                <w:szCs w:val="20"/>
              </w:rPr>
              <w:t xml:space="preserve">+/- UDCA </w:t>
            </w:r>
            <w:r w:rsidRPr="00E2449A">
              <w:rPr>
                <w:rFonts w:ascii="Arial Narrow" w:hAnsi="Arial Narrow"/>
                <w:sz w:val="20"/>
                <w:szCs w:val="20"/>
              </w:rPr>
              <w:t xml:space="preserve">and OCA </w:t>
            </w:r>
            <w:r w:rsidR="000E7A5E" w:rsidRPr="00E2449A">
              <w:rPr>
                <w:rFonts w:ascii="Arial Narrow" w:hAnsi="Arial Narrow"/>
                <w:sz w:val="20"/>
                <w:szCs w:val="20"/>
              </w:rPr>
              <w:t xml:space="preserve">+/- UDCA </w:t>
            </w:r>
            <w:r w:rsidRPr="00E2449A">
              <w:rPr>
                <w:rFonts w:ascii="Arial Narrow" w:hAnsi="Arial Narrow"/>
                <w:sz w:val="20"/>
                <w:szCs w:val="20"/>
              </w:rPr>
              <w:t xml:space="preserve">compliance rate = </w:t>
            </w:r>
            <w:r w:rsidR="001C23A2" w:rsidRPr="00E2449A">
              <w:rPr>
                <w:rFonts w:ascii="Arial Narrow" w:hAnsi="Arial Narrow"/>
                <w:sz w:val="20"/>
                <w:szCs w:val="20"/>
              </w:rPr>
              <w:t>9</w:t>
            </w:r>
            <w:r w:rsidR="00A927D7" w:rsidRPr="00E2449A">
              <w:rPr>
                <w:rFonts w:ascii="Arial Narrow" w:hAnsi="Arial Narrow"/>
                <w:sz w:val="20"/>
                <w:szCs w:val="20"/>
              </w:rPr>
              <w:t>4.83</w:t>
            </w:r>
            <w:r w:rsidR="001C23A2" w:rsidRPr="00E2449A">
              <w:rPr>
                <w:rFonts w:ascii="Arial Narrow" w:hAnsi="Arial Narrow"/>
                <w:sz w:val="20"/>
                <w:szCs w:val="20"/>
              </w:rPr>
              <w:t>%</w:t>
            </w:r>
            <w:r w:rsidRPr="00E2449A">
              <w:rPr>
                <w:rFonts w:ascii="Arial Narrow" w:hAnsi="Arial Narrow"/>
                <w:sz w:val="20"/>
                <w:szCs w:val="20"/>
              </w:rPr>
              <w:t xml:space="preserve"> based on </w:t>
            </w:r>
            <w:r w:rsidR="00CA5A17" w:rsidRPr="00E2449A">
              <w:rPr>
                <w:rFonts w:ascii="Arial Narrow" w:hAnsi="Arial Narrow"/>
                <w:sz w:val="20"/>
                <w:szCs w:val="20"/>
              </w:rPr>
              <w:t>ELATIVE trial data</w:t>
            </w:r>
            <w:r w:rsidR="00603591" w:rsidRPr="00E2449A">
              <w:rPr>
                <w:rFonts w:ascii="Arial Narrow" w:hAnsi="Arial Narrow"/>
                <w:sz w:val="20"/>
                <w:szCs w:val="20"/>
              </w:rPr>
              <w:t xml:space="preserve"> drug exposure days. </w:t>
            </w:r>
          </w:p>
          <w:p w14:paraId="07691AB4" w14:textId="77777777" w:rsidR="009358B1" w:rsidRPr="00E2449A" w:rsidRDefault="009358B1" w:rsidP="00B378F2">
            <w:pPr>
              <w:jc w:val="left"/>
              <w:rPr>
                <w:rFonts w:ascii="Arial Narrow" w:hAnsi="Arial Narrow"/>
                <w:sz w:val="20"/>
                <w:szCs w:val="20"/>
              </w:rPr>
            </w:pPr>
          </w:p>
          <w:p w14:paraId="2A4667B3" w14:textId="3A16EA4A" w:rsidR="00C97694" w:rsidRPr="00E2449A" w:rsidRDefault="00C97694" w:rsidP="05042C88">
            <w:pPr>
              <w:jc w:val="left"/>
              <w:rPr>
                <w:rFonts w:ascii="Arial Narrow" w:hAnsi="Arial Narrow"/>
                <w:sz w:val="20"/>
                <w:szCs w:val="20"/>
              </w:rPr>
            </w:pPr>
            <w:r w:rsidRPr="00E2449A">
              <w:rPr>
                <w:rFonts w:ascii="Arial Narrow" w:hAnsi="Arial Narrow"/>
                <w:sz w:val="20"/>
                <w:szCs w:val="20"/>
              </w:rPr>
              <w:t>ELA</w:t>
            </w:r>
            <w:r w:rsidR="000E7A5E" w:rsidRPr="00E2449A">
              <w:rPr>
                <w:rFonts w:ascii="Arial Narrow" w:hAnsi="Arial Narrow"/>
                <w:sz w:val="20"/>
                <w:szCs w:val="20"/>
              </w:rPr>
              <w:t xml:space="preserve"> +/- UDCA</w:t>
            </w:r>
            <w:r w:rsidRPr="00E2449A">
              <w:rPr>
                <w:rFonts w:ascii="Arial Narrow" w:hAnsi="Arial Narrow"/>
                <w:sz w:val="20"/>
                <w:szCs w:val="20"/>
              </w:rPr>
              <w:t xml:space="preserve"> discontinuation rate</w:t>
            </w:r>
            <w:r w:rsidR="009358B1" w:rsidRPr="00E2449A">
              <w:rPr>
                <w:rFonts w:ascii="Arial Narrow" w:hAnsi="Arial Narrow"/>
                <w:sz w:val="20"/>
                <w:szCs w:val="20"/>
              </w:rPr>
              <w:t xml:space="preserve"> </w:t>
            </w:r>
            <w:r w:rsidRPr="00E2449A">
              <w:rPr>
                <w:rFonts w:ascii="Arial Narrow" w:hAnsi="Arial Narrow"/>
                <w:sz w:val="20"/>
                <w:szCs w:val="20"/>
              </w:rPr>
              <w:t xml:space="preserve">= </w:t>
            </w:r>
            <w:r w:rsidR="00BF6D95" w:rsidRPr="00E2449A">
              <w:rPr>
                <w:rFonts w:ascii="Arial Narrow" w:hAnsi="Arial Narrow"/>
                <w:sz w:val="20"/>
                <w:szCs w:val="20"/>
              </w:rPr>
              <w:t xml:space="preserve">extrapolation functions fitted to discontinuation rates from the ELATIVE trial. The proportion </w:t>
            </w:r>
            <w:r w:rsidR="001658BC" w:rsidRPr="00E2449A">
              <w:rPr>
                <w:rFonts w:ascii="Arial Narrow" w:hAnsi="Arial Narrow"/>
                <w:sz w:val="20"/>
                <w:szCs w:val="20"/>
              </w:rPr>
              <w:t xml:space="preserve">of patients </w:t>
            </w:r>
            <w:r w:rsidR="0032009F" w:rsidRPr="00E2449A">
              <w:rPr>
                <w:rFonts w:ascii="Arial Narrow" w:hAnsi="Arial Narrow"/>
                <w:sz w:val="20"/>
                <w:szCs w:val="20"/>
              </w:rPr>
              <w:t xml:space="preserve">who </w:t>
            </w:r>
            <w:r w:rsidR="00BF6D95" w:rsidRPr="00E2449A">
              <w:rPr>
                <w:rFonts w:ascii="Arial Narrow" w:hAnsi="Arial Narrow"/>
                <w:sz w:val="20"/>
                <w:szCs w:val="20"/>
              </w:rPr>
              <w:t xml:space="preserve">discontinued at 12 months was </w:t>
            </w:r>
            <w:r w:rsidRPr="00E2449A">
              <w:rPr>
                <w:rFonts w:ascii="Arial Narrow" w:hAnsi="Arial Narrow"/>
                <w:sz w:val="20"/>
                <w:szCs w:val="20"/>
              </w:rPr>
              <w:t>12.09%.</w:t>
            </w:r>
            <w:r w:rsidR="00A33597" w:rsidRPr="00E2449A">
              <w:rPr>
                <w:rFonts w:ascii="Arial Narrow" w:hAnsi="Arial Narrow"/>
                <w:sz w:val="20"/>
                <w:szCs w:val="20"/>
              </w:rPr>
              <w:t xml:space="preserve"> </w:t>
            </w:r>
            <w:r w:rsidR="0051140E" w:rsidRPr="00E2449A">
              <w:rPr>
                <w:rFonts w:ascii="Arial Narrow" w:hAnsi="Arial Narrow"/>
                <w:sz w:val="20"/>
                <w:szCs w:val="20"/>
              </w:rPr>
              <w:t xml:space="preserve">The requested PBS restriction did not include a continuation criterion. </w:t>
            </w:r>
            <w:r w:rsidR="00397D8E" w:rsidRPr="00E2449A">
              <w:rPr>
                <w:rFonts w:ascii="Arial Narrow" w:hAnsi="Arial Narrow"/>
                <w:sz w:val="20"/>
                <w:szCs w:val="20"/>
              </w:rPr>
              <w:t>49</w:t>
            </w:r>
            <w:r w:rsidR="00A33597" w:rsidRPr="00E2449A">
              <w:rPr>
                <w:rFonts w:ascii="Arial Narrow" w:hAnsi="Arial Narrow"/>
                <w:sz w:val="20"/>
                <w:szCs w:val="20"/>
              </w:rPr>
              <w:t xml:space="preserve">% </w:t>
            </w:r>
            <w:r w:rsidR="009C1C8A" w:rsidRPr="00E2449A">
              <w:rPr>
                <w:rFonts w:ascii="Arial Narrow" w:hAnsi="Arial Narrow"/>
                <w:sz w:val="20"/>
                <w:szCs w:val="20"/>
              </w:rPr>
              <w:t xml:space="preserve">of </w:t>
            </w:r>
            <w:r w:rsidR="00675D40" w:rsidRPr="00E2449A">
              <w:rPr>
                <w:rFonts w:ascii="Arial Narrow" w:hAnsi="Arial Narrow"/>
                <w:sz w:val="20"/>
                <w:szCs w:val="20"/>
              </w:rPr>
              <w:t xml:space="preserve">patients </w:t>
            </w:r>
            <w:r w:rsidR="00397D8E" w:rsidRPr="00E2449A">
              <w:rPr>
                <w:rFonts w:ascii="Arial Narrow" w:hAnsi="Arial Narrow"/>
                <w:sz w:val="20"/>
                <w:szCs w:val="20"/>
              </w:rPr>
              <w:t xml:space="preserve">did not experience cholestasis response </w:t>
            </w:r>
            <w:r w:rsidR="00B117CA" w:rsidRPr="00E2449A">
              <w:rPr>
                <w:rFonts w:ascii="Arial Narrow" w:hAnsi="Arial Narrow"/>
                <w:sz w:val="20"/>
                <w:szCs w:val="20"/>
              </w:rPr>
              <w:t xml:space="preserve">at 12 months </w:t>
            </w:r>
            <w:r w:rsidR="00397D8E" w:rsidRPr="00E2449A">
              <w:rPr>
                <w:rFonts w:ascii="Arial Narrow" w:hAnsi="Arial Narrow"/>
                <w:sz w:val="20"/>
                <w:szCs w:val="20"/>
              </w:rPr>
              <w:t xml:space="preserve">with ELA </w:t>
            </w:r>
            <w:r w:rsidR="00A33597" w:rsidRPr="00E2449A">
              <w:rPr>
                <w:rFonts w:ascii="Arial Narrow" w:hAnsi="Arial Narrow"/>
                <w:sz w:val="20"/>
                <w:szCs w:val="20"/>
              </w:rPr>
              <w:t>in the ELATIVE trial</w:t>
            </w:r>
            <w:r w:rsidR="004B2969" w:rsidRPr="00E2449A">
              <w:rPr>
                <w:rFonts w:ascii="Arial Narrow" w:hAnsi="Arial Narrow"/>
                <w:sz w:val="20"/>
                <w:szCs w:val="20"/>
              </w:rPr>
              <w:t>; however non-responders were not assumed to dis</w:t>
            </w:r>
            <w:r w:rsidR="00A4433F" w:rsidRPr="00E2449A">
              <w:rPr>
                <w:rFonts w:ascii="Arial Narrow" w:hAnsi="Arial Narrow"/>
                <w:sz w:val="20"/>
                <w:szCs w:val="20"/>
              </w:rPr>
              <w:t>continue treatment at this point</w:t>
            </w:r>
            <w:r w:rsidR="00B117CA" w:rsidRPr="00E2449A">
              <w:rPr>
                <w:rFonts w:ascii="Arial Narrow" w:hAnsi="Arial Narrow"/>
                <w:sz w:val="20"/>
                <w:szCs w:val="20"/>
              </w:rPr>
              <w:t>.</w:t>
            </w:r>
            <w:r w:rsidR="006E4AE6" w:rsidRPr="00E2449A">
              <w:rPr>
                <w:rFonts w:ascii="Arial Narrow" w:hAnsi="Arial Narrow"/>
                <w:sz w:val="20"/>
                <w:szCs w:val="20"/>
              </w:rPr>
              <w:t xml:space="preserve"> The discontinuation rate was extrapolated using an exponential function. </w:t>
            </w:r>
          </w:p>
          <w:p w14:paraId="57890539" w14:textId="77777777" w:rsidR="009358B1" w:rsidRPr="00E2449A" w:rsidRDefault="009358B1" w:rsidP="00B378F2">
            <w:pPr>
              <w:jc w:val="left"/>
              <w:rPr>
                <w:rFonts w:ascii="Arial Narrow" w:hAnsi="Arial Narrow"/>
                <w:sz w:val="20"/>
                <w:szCs w:val="20"/>
              </w:rPr>
            </w:pPr>
          </w:p>
          <w:p w14:paraId="728DE402" w14:textId="4C3ABDDF" w:rsidR="009358B1" w:rsidRPr="00E2449A" w:rsidRDefault="009358B1" w:rsidP="00B378F2">
            <w:pPr>
              <w:jc w:val="left"/>
              <w:rPr>
                <w:rFonts w:ascii="Arial Narrow" w:hAnsi="Arial Narrow"/>
                <w:sz w:val="20"/>
                <w:szCs w:val="20"/>
              </w:rPr>
            </w:pPr>
            <w:r w:rsidRPr="00E2449A">
              <w:rPr>
                <w:rFonts w:ascii="Arial Narrow" w:hAnsi="Arial Narrow"/>
                <w:sz w:val="20"/>
                <w:szCs w:val="20"/>
              </w:rPr>
              <w:lastRenderedPageBreak/>
              <w:t xml:space="preserve">OCA </w:t>
            </w:r>
            <w:r w:rsidR="000E7A5E" w:rsidRPr="00E2449A">
              <w:rPr>
                <w:rFonts w:ascii="Arial Narrow" w:hAnsi="Arial Narrow"/>
                <w:sz w:val="20"/>
                <w:szCs w:val="20"/>
              </w:rPr>
              <w:t xml:space="preserve">+/- UDCA </w:t>
            </w:r>
            <w:r w:rsidR="00212BBF" w:rsidRPr="00E2449A">
              <w:rPr>
                <w:rFonts w:ascii="Arial Narrow" w:hAnsi="Arial Narrow"/>
                <w:sz w:val="20"/>
                <w:szCs w:val="20"/>
              </w:rPr>
              <w:t>OR</w:t>
            </w:r>
            <w:r w:rsidR="00277B26" w:rsidRPr="00E2449A">
              <w:rPr>
                <w:rFonts w:ascii="Arial Narrow" w:hAnsi="Arial Narrow"/>
                <w:sz w:val="20"/>
                <w:szCs w:val="20"/>
              </w:rPr>
              <w:t xml:space="preserve"> of </w:t>
            </w:r>
            <w:r w:rsidRPr="00E2449A">
              <w:rPr>
                <w:rFonts w:ascii="Arial Narrow" w:hAnsi="Arial Narrow"/>
                <w:sz w:val="20"/>
                <w:szCs w:val="20"/>
              </w:rPr>
              <w:t xml:space="preserve">discontinuation = </w:t>
            </w:r>
            <w:r w:rsidR="00277B26" w:rsidRPr="00E2449A">
              <w:rPr>
                <w:rFonts w:ascii="Arial Narrow" w:hAnsi="Arial Narrow"/>
                <w:sz w:val="20"/>
                <w:szCs w:val="20"/>
              </w:rPr>
              <w:t xml:space="preserve">2.73 based on </w:t>
            </w:r>
            <w:r w:rsidR="008E3083" w:rsidRPr="00E2449A">
              <w:rPr>
                <w:rFonts w:ascii="Arial Narrow" w:hAnsi="Arial Narrow"/>
                <w:sz w:val="20"/>
                <w:szCs w:val="20"/>
              </w:rPr>
              <w:t xml:space="preserve">all-cause discontinuation in the </w:t>
            </w:r>
            <w:r w:rsidR="001057F7" w:rsidRPr="00E2449A">
              <w:rPr>
                <w:rFonts w:ascii="Arial Narrow" w:hAnsi="Arial Narrow"/>
                <w:sz w:val="20"/>
                <w:szCs w:val="20"/>
              </w:rPr>
              <w:t>indirect comparison</w:t>
            </w:r>
            <w:r w:rsidR="00277B26" w:rsidRPr="00E2449A">
              <w:rPr>
                <w:rFonts w:ascii="Arial Narrow" w:hAnsi="Arial Narrow"/>
                <w:sz w:val="20"/>
                <w:szCs w:val="20"/>
              </w:rPr>
              <w:t>.</w:t>
            </w:r>
            <w:r w:rsidR="009438B0" w:rsidRPr="00E2449A">
              <w:rPr>
                <w:rFonts w:ascii="Arial Narrow" w:hAnsi="Arial Narrow"/>
                <w:sz w:val="20"/>
                <w:szCs w:val="20"/>
              </w:rPr>
              <w:t xml:space="preserve"> </w:t>
            </w:r>
            <w:r w:rsidR="000A30BA" w:rsidRPr="00E2449A">
              <w:rPr>
                <w:rFonts w:ascii="Arial Narrow" w:hAnsi="Arial Narrow"/>
                <w:sz w:val="20"/>
                <w:szCs w:val="20"/>
              </w:rPr>
              <w:t>The ESC noted that t</w:t>
            </w:r>
            <w:r w:rsidR="009438B0" w:rsidRPr="00E2449A">
              <w:rPr>
                <w:rFonts w:ascii="Arial Narrow" w:hAnsi="Arial Narrow"/>
                <w:sz w:val="20"/>
                <w:szCs w:val="20"/>
              </w:rPr>
              <w:t xml:space="preserve">his </w:t>
            </w:r>
            <w:r w:rsidR="00C16D07" w:rsidRPr="00E2449A">
              <w:rPr>
                <w:rFonts w:ascii="Arial Narrow" w:hAnsi="Arial Narrow"/>
                <w:sz w:val="20"/>
                <w:szCs w:val="20"/>
              </w:rPr>
              <w:t xml:space="preserve">analysis </w:t>
            </w:r>
            <w:r w:rsidR="008214F0" w:rsidRPr="00E2449A">
              <w:rPr>
                <w:rFonts w:ascii="Arial Narrow" w:hAnsi="Arial Narrow"/>
                <w:sz w:val="20"/>
                <w:szCs w:val="20"/>
              </w:rPr>
              <w:t>was not presented in the indirect comparison results</w:t>
            </w:r>
            <w:r w:rsidR="00C16D07" w:rsidRPr="00E2449A">
              <w:rPr>
                <w:rFonts w:ascii="Arial Narrow" w:hAnsi="Arial Narrow"/>
                <w:sz w:val="20"/>
                <w:szCs w:val="20"/>
              </w:rPr>
              <w:t xml:space="preserve"> and thus could not be verified</w:t>
            </w:r>
            <w:r w:rsidR="008214F0" w:rsidRPr="00E2449A">
              <w:rPr>
                <w:rFonts w:ascii="Arial Narrow" w:hAnsi="Arial Narrow"/>
                <w:sz w:val="20"/>
                <w:szCs w:val="20"/>
              </w:rPr>
              <w:t xml:space="preserve">. </w:t>
            </w:r>
            <w:r w:rsidR="007D28AA" w:rsidRPr="00E2449A">
              <w:rPr>
                <w:rFonts w:ascii="Arial Narrow" w:hAnsi="Arial Narrow"/>
                <w:sz w:val="20"/>
                <w:szCs w:val="20"/>
              </w:rPr>
              <w:t>Further, t</w:t>
            </w:r>
            <w:r w:rsidR="008214F0" w:rsidRPr="00E2449A">
              <w:rPr>
                <w:rFonts w:ascii="Arial Narrow" w:hAnsi="Arial Narrow"/>
                <w:sz w:val="20"/>
                <w:szCs w:val="20"/>
              </w:rPr>
              <w:t xml:space="preserve">he </w:t>
            </w:r>
            <w:r w:rsidR="00AB6994" w:rsidRPr="00E2449A">
              <w:rPr>
                <w:rFonts w:ascii="Arial Narrow" w:hAnsi="Arial Narrow"/>
                <w:sz w:val="20"/>
                <w:szCs w:val="20"/>
              </w:rPr>
              <w:t xml:space="preserve">ESC noted that the </w:t>
            </w:r>
            <w:r w:rsidR="008214F0" w:rsidRPr="00E2449A">
              <w:rPr>
                <w:rFonts w:ascii="Arial Narrow" w:hAnsi="Arial Narrow"/>
                <w:sz w:val="20"/>
                <w:szCs w:val="20"/>
              </w:rPr>
              <w:t>indirect comparison of discontinuations due to pruritus was not statistically significant</w:t>
            </w:r>
            <w:r w:rsidR="009438B0" w:rsidRPr="00E2449A">
              <w:rPr>
                <w:rFonts w:ascii="Arial Narrow" w:hAnsi="Arial Narrow"/>
                <w:sz w:val="20"/>
                <w:szCs w:val="20"/>
              </w:rPr>
              <w:t>. See para</w:t>
            </w:r>
            <w:r w:rsidR="00350DD0" w:rsidRPr="00E2449A">
              <w:rPr>
                <w:rFonts w:ascii="Arial Narrow" w:hAnsi="Arial Narrow"/>
                <w:sz w:val="20"/>
                <w:szCs w:val="20"/>
              </w:rPr>
              <w:t>graph</w:t>
            </w:r>
            <w:r w:rsidR="009438B0" w:rsidRPr="00E2449A">
              <w:rPr>
                <w:rFonts w:ascii="Arial Narrow" w:hAnsi="Arial Narrow"/>
                <w:sz w:val="20"/>
                <w:szCs w:val="20"/>
              </w:rPr>
              <w:t xml:space="preserve"> </w:t>
            </w:r>
            <w:r w:rsidR="009C7C61" w:rsidRPr="00E2449A">
              <w:rPr>
                <w:rFonts w:ascii="Arial Narrow" w:hAnsi="Arial Narrow"/>
                <w:sz w:val="20"/>
                <w:szCs w:val="20"/>
              </w:rPr>
              <w:fldChar w:fldCharType="begin" w:fldLock="1"/>
            </w:r>
            <w:r w:rsidR="009C7C61" w:rsidRPr="00E2449A">
              <w:rPr>
                <w:rFonts w:ascii="Arial Narrow" w:hAnsi="Arial Narrow"/>
                <w:sz w:val="20"/>
                <w:szCs w:val="20"/>
              </w:rPr>
              <w:instrText xml:space="preserve"> REF _Ref184824292 \r \h </w:instrText>
            </w:r>
            <w:r w:rsidR="00B23877" w:rsidRPr="00E2449A">
              <w:rPr>
                <w:rFonts w:ascii="Arial Narrow" w:hAnsi="Arial Narrow"/>
                <w:sz w:val="20"/>
                <w:szCs w:val="20"/>
              </w:rPr>
              <w:instrText xml:space="preserve"> \* MERGEFORMAT </w:instrText>
            </w:r>
            <w:r w:rsidR="009C7C61" w:rsidRPr="00E2449A">
              <w:rPr>
                <w:rFonts w:ascii="Arial Narrow" w:hAnsi="Arial Narrow"/>
                <w:sz w:val="20"/>
                <w:szCs w:val="20"/>
              </w:rPr>
            </w:r>
            <w:r w:rsidR="009C7C61" w:rsidRPr="00E2449A">
              <w:rPr>
                <w:rFonts w:ascii="Arial Narrow" w:hAnsi="Arial Narrow"/>
                <w:sz w:val="20"/>
                <w:szCs w:val="20"/>
              </w:rPr>
              <w:fldChar w:fldCharType="separate"/>
            </w:r>
            <w:r w:rsidR="00A56EA5">
              <w:rPr>
                <w:rFonts w:ascii="Arial Narrow" w:hAnsi="Arial Narrow"/>
                <w:sz w:val="20"/>
                <w:szCs w:val="20"/>
              </w:rPr>
              <w:t>6.63</w:t>
            </w:r>
            <w:r w:rsidR="009C7C61" w:rsidRPr="00E2449A">
              <w:rPr>
                <w:rFonts w:ascii="Arial Narrow" w:hAnsi="Arial Narrow"/>
                <w:sz w:val="20"/>
                <w:szCs w:val="20"/>
              </w:rPr>
              <w:fldChar w:fldCharType="end"/>
            </w:r>
            <w:r w:rsidR="009C7C61" w:rsidRPr="00E2449A">
              <w:rPr>
                <w:rFonts w:ascii="Arial Narrow" w:hAnsi="Arial Narrow"/>
                <w:sz w:val="20"/>
                <w:szCs w:val="20"/>
              </w:rPr>
              <w:t>.</w:t>
            </w:r>
          </w:p>
          <w:p w14:paraId="37D5331A" w14:textId="77777777" w:rsidR="003552DD" w:rsidRPr="00E2449A" w:rsidRDefault="003552DD" w:rsidP="00B378F2">
            <w:pPr>
              <w:jc w:val="left"/>
              <w:rPr>
                <w:rFonts w:ascii="Arial Narrow" w:hAnsi="Arial Narrow"/>
                <w:sz w:val="20"/>
                <w:szCs w:val="20"/>
              </w:rPr>
            </w:pPr>
          </w:p>
          <w:p w14:paraId="7A278006" w14:textId="77777777" w:rsidR="003552DD" w:rsidRPr="00E2449A" w:rsidRDefault="003552DD" w:rsidP="00B378F2">
            <w:pPr>
              <w:jc w:val="left"/>
              <w:rPr>
                <w:rFonts w:ascii="Arial Narrow" w:hAnsi="Arial Narrow"/>
                <w:sz w:val="20"/>
                <w:szCs w:val="20"/>
                <w:u w:val="single"/>
              </w:rPr>
            </w:pPr>
            <w:r w:rsidRPr="00E2449A">
              <w:rPr>
                <w:rFonts w:ascii="Arial Narrow" w:hAnsi="Arial Narrow"/>
                <w:sz w:val="20"/>
                <w:szCs w:val="20"/>
                <w:u w:val="single"/>
              </w:rPr>
              <w:t>Adverse events</w:t>
            </w:r>
          </w:p>
          <w:p w14:paraId="63CC562F" w14:textId="3F379797" w:rsidR="00037A71" w:rsidRPr="00E2449A" w:rsidRDefault="00037A71" w:rsidP="004F2B21">
            <w:pPr>
              <w:pStyle w:val="TableText0"/>
              <w:numPr>
                <w:ilvl w:val="0"/>
                <w:numId w:val="12"/>
              </w:numPr>
            </w:pPr>
            <w:r w:rsidRPr="00E2449A">
              <w:t>Pruritus severity (no itch, mild itch, clinically significant itch)</w:t>
            </w:r>
          </w:p>
          <w:p w14:paraId="31134289" w14:textId="412ED518" w:rsidR="00037A71" w:rsidRPr="00E2449A" w:rsidRDefault="00037A71" w:rsidP="004F2B21">
            <w:pPr>
              <w:pStyle w:val="TableText0"/>
              <w:numPr>
                <w:ilvl w:val="0"/>
                <w:numId w:val="13"/>
              </w:numPr>
            </w:pPr>
            <w:r w:rsidRPr="00E2449A">
              <w:t xml:space="preserve">ELA: Patient-level PBC-40 </w:t>
            </w:r>
            <w:r w:rsidR="00643267" w:rsidRPr="00E2449A">
              <w:t>Itch D</w:t>
            </w:r>
            <w:r w:rsidR="007C37B9" w:rsidRPr="00E2449A">
              <w:t xml:space="preserve">omain </w:t>
            </w:r>
            <w:r w:rsidRPr="00E2449A">
              <w:t>scores from the ELATIVE trial.</w:t>
            </w:r>
          </w:p>
          <w:p w14:paraId="4AEC461B" w14:textId="08B91945" w:rsidR="00037A71" w:rsidRPr="00E2449A" w:rsidRDefault="00037A71" w:rsidP="004F2B21">
            <w:pPr>
              <w:pStyle w:val="TableText0"/>
              <w:numPr>
                <w:ilvl w:val="0"/>
                <w:numId w:val="13"/>
              </w:numPr>
            </w:pPr>
            <w:r w:rsidRPr="00E2449A">
              <w:t>OCA: Mean difference of PBC-40 itch for OCA relative to ELA from the indirect comparison.</w:t>
            </w:r>
            <w:r w:rsidR="008264D5" w:rsidRPr="00E2449A">
              <w:t xml:space="preserve"> The ESC noted that i</w:t>
            </w:r>
            <w:r w:rsidR="00064EBB" w:rsidRPr="00E2449A">
              <w:t xml:space="preserve">t was not appropriate to apply the mean difference of PBC-40 itch for OCA relative to ELA from the indirect comparison, which was not significantly different from the null. Changing the mean difference of occurrence of PBC-40 </w:t>
            </w:r>
            <w:r w:rsidR="004B60D6" w:rsidRPr="00E2449A">
              <w:t>I</w:t>
            </w:r>
            <w:r w:rsidR="00064EBB" w:rsidRPr="00E2449A">
              <w:t xml:space="preserve">tch </w:t>
            </w:r>
            <w:r w:rsidR="004B60D6" w:rsidRPr="00E2449A">
              <w:t xml:space="preserve">Domain </w:t>
            </w:r>
            <w:r w:rsidR="00064EBB" w:rsidRPr="00E2449A">
              <w:t>from 1.87 to 1 at 1 month and 12 months slightly reduced the ICER from $</w:t>
            </w:r>
            <w:r w:rsidR="00B55D47" w:rsidRPr="00B55D47">
              <w:rPr>
                <w:color w:val="000000"/>
                <w:shd w:val="solid" w:color="000000" w:fill="000000"/>
                <w14:textFill>
                  <w14:solidFill>
                    <w14:srgbClr w14:val="000000">
                      <w14:alpha w14:val="100000"/>
                    </w14:srgbClr>
                  </w14:solidFill>
                </w14:textFill>
              </w:rPr>
              <w:t>|</w:t>
            </w:r>
            <w:r w:rsidR="00663DB3" w:rsidRPr="00663DB3">
              <w:rPr>
                <w:vertAlign w:val="superscript"/>
              </w:rPr>
              <w:t>1</w:t>
            </w:r>
            <w:r w:rsidR="00064EBB" w:rsidRPr="007742D8">
              <w:t xml:space="preserve"> </w:t>
            </w:r>
            <w:r w:rsidR="00064EBB" w:rsidRPr="00E2449A">
              <w:t>to $</w:t>
            </w:r>
            <w:r w:rsidR="00B55D47" w:rsidRPr="00B55D47">
              <w:rPr>
                <w:color w:val="000000"/>
                <w:shd w:val="solid" w:color="000000" w:fill="000000"/>
                <w14:textFill>
                  <w14:solidFill>
                    <w14:srgbClr w14:val="000000">
                      <w14:alpha w14:val="100000"/>
                    </w14:srgbClr>
                  </w14:solidFill>
                </w14:textFill>
              </w:rPr>
              <w:t>|</w:t>
            </w:r>
            <w:r w:rsidR="00663DB3" w:rsidRPr="00663DB3">
              <w:rPr>
                <w:vertAlign w:val="superscript"/>
              </w:rPr>
              <w:t>1</w:t>
            </w:r>
            <w:r w:rsidR="00064EBB" w:rsidRPr="00E2449A">
              <w:t>/QALY gained.</w:t>
            </w:r>
          </w:p>
          <w:p w14:paraId="6D7DEFBC" w14:textId="45BB1B4B" w:rsidR="00037A71" w:rsidRPr="00E2449A" w:rsidRDefault="00037A71" w:rsidP="004F2B21">
            <w:pPr>
              <w:pStyle w:val="TableText0"/>
              <w:numPr>
                <w:ilvl w:val="0"/>
                <w:numId w:val="12"/>
              </w:numPr>
            </w:pPr>
            <w:r w:rsidRPr="00E2449A">
              <w:t>TEAEs (grade 2+ pruritus, UTI and fatigue)</w:t>
            </w:r>
          </w:p>
          <w:p w14:paraId="1362FB75" w14:textId="3C46E83A" w:rsidR="00037A71" w:rsidRPr="00E2449A" w:rsidRDefault="00037A71" w:rsidP="004F2B21">
            <w:pPr>
              <w:pStyle w:val="TableText0"/>
              <w:numPr>
                <w:ilvl w:val="0"/>
                <w:numId w:val="13"/>
              </w:numPr>
            </w:pPr>
            <w:r w:rsidRPr="00E2449A">
              <w:t>ELA: ELATIVE trial.</w:t>
            </w:r>
          </w:p>
          <w:p w14:paraId="024310C0" w14:textId="58575848" w:rsidR="00B620A5" w:rsidRPr="00E2449A" w:rsidRDefault="00037A71" w:rsidP="000976D2">
            <w:pPr>
              <w:pStyle w:val="ListParagraph"/>
              <w:numPr>
                <w:ilvl w:val="0"/>
                <w:numId w:val="13"/>
              </w:numPr>
              <w:spacing w:after="0"/>
              <w:rPr>
                <w:rFonts w:ascii="Arial Narrow" w:hAnsi="Arial Narrow"/>
                <w:sz w:val="20"/>
                <w:szCs w:val="20"/>
                <w:u w:val="single"/>
              </w:rPr>
            </w:pPr>
            <w:r w:rsidRPr="00E2449A">
              <w:rPr>
                <w:rFonts w:ascii="Arial Narrow" w:eastAsiaTheme="majorEastAsia" w:hAnsi="Arial Narrow" w:cstheme="majorBidi"/>
                <w:bCs/>
                <w:snapToGrid/>
                <w:sz w:val="20"/>
              </w:rPr>
              <w:t xml:space="preserve">OCA: </w:t>
            </w:r>
            <w:r w:rsidR="00212BBF" w:rsidRPr="00E2449A">
              <w:rPr>
                <w:rFonts w:ascii="Arial Narrow" w:eastAsiaTheme="majorEastAsia" w:hAnsi="Arial Narrow" w:cstheme="majorBidi"/>
                <w:bCs/>
                <w:snapToGrid/>
                <w:sz w:val="20"/>
              </w:rPr>
              <w:t>OR</w:t>
            </w:r>
            <w:r w:rsidRPr="00E2449A">
              <w:rPr>
                <w:rFonts w:ascii="Arial Narrow" w:eastAsiaTheme="majorEastAsia" w:hAnsi="Arial Narrow" w:cstheme="majorBidi"/>
                <w:bCs/>
                <w:snapToGrid/>
                <w:sz w:val="20"/>
              </w:rPr>
              <w:t xml:space="preserve"> of pruritus as a TEAE based on the indirect comparison. Other TEAEs assumed to be similar.</w:t>
            </w:r>
            <w:r w:rsidR="00614020" w:rsidRPr="00E2449A">
              <w:rPr>
                <w:rFonts w:ascii="Arial Narrow" w:eastAsiaTheme="majorEastAsia" w:hAnsi="Arial Narrow" w:cstheme="majorBidi"/>
                <w:bCs/>
                <w:snapToGrid/>
                <w:sz w:val="20"/>
              </w:rPr>
              <w:t xml:space="preserve"> </w:t>
            </w:r>
          </w:p>
        </w:tc>
      </w:tr>
      <w:tr w:rsidR="00822090" w:rsidRPr="00E2449A" w14:paraId="64ECCB41" w14:textId="77777777" w:rsidTr="05042C88">
        <w:trPr>
          <w:cantSplit/>
        </w:trPr>
        <w:tc>
          <w:tcPr>
            <w:tcW w:w="548" w:type="pct"/>
            <w:shd w:val="clear" w:color="auto" w:fill="auto"/>
            <w:vAlign w:val="center"/>
          </w:tcPr>
          <w:p w14:paraId="27FB075E" w14:textId="48CFF55D" w:rsidR="00822090" w:rsidRPr="00E2449A" w:rsidRDefault="009650F0"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lastRenderedPageBreak/>
              <w:t>Utilities</w:t>
            </w:r>
          </w:p>
        </w:tc>
        <w:tc>
          <w:tcPr>
            <w:tcW w:w="4452" w:type="pct"/>
            <w:shd w:val="clear" w:color="auto" w:fill="auto"/>
            <w:vAlign w:val="center"/>
          </w:tcPr>
          <w:p w14:paraId="11224E53" w14:textId="77777777" w:rsidR="000416E9" w:rsidRPr="00E2449A" w:rsidRDefault="000416E9" w:rsidP="000416E9">
            <w:pPr>
              <w:keepNext/>
              <w:keepLines/>
              <w:jc w:val="left"/>
              <w:rPr>
                <w:rFonts w:ascii="Arial Narrow" w:eastAsiaTheme="majorEastAsia" w:hAnsi="Arial Narrow" w:cstheme="majorBidi"/>
                <w:bCs/>
                <w:sz w:val="20"/>
                <w:szCs w:val="20"/>
                <w:u w:val="single"/>
              </w:rPr>
            </w:pPr>
            <w:r w:rsidRPr="00E2449A">
              <w:rPr>
                <w:rFonts w:ascii="Arial Narrow" w:eastAsiaTheme="majorEastAsia" w:hAnsi="Arial Narrow" w:cstheme="majorBidi"/>
                <w:bCs/>
                <w:sz w:val="20"/>
                <w:szCs w:val="20"/>
                <w:u w:val="single"/>
              </w:rPr>
              <w:t>Biomarker health states</w:t>
            </w:r>
          </w:p>
          <w:p w14:paraId="135642A2" w14:textId="3A46D437" w:rsidR="00822090" w:rsidRPr="00E2449A" w:rsidRDefault="000416E9" w:rsidP="05042C88">
            <w:pPr>
              <w:keepNext/>
              <w:keepLines/>
              <w:jc w:val="left"/>
              <w:rPr>
                <w:rFonts w:ascii="Arial Narrow" w:eastAsiaTheme="majorEastAsia" w:hAnsi="Arial Narrow" w:cstheme="majorBidi"/>
                <w:sz w:val="20"/>
                <w:szCs w:val="20"/>
              </w:rPr>
            </w:pPr>
            <w:r w:rsidRPr="00E2449A">
              <w:rPr>
                <w:rFonts w:ascii="Arial Narrow" w:eastAsiaTheme="majorEastAsia" w:hAnsi="Arial Narrow" w:cstheme="majorBidi"/>
                <w:sz w:val="20"/>
                <w:szCs w:val="20"/>
              </w:rPr>
              <w:t xml:space="preserve">The utility values for </w:t>
            </w:r>
            <w:r w:rsidR="00404B01" w:rsidRPr="00E2449A">
              <w:rPr>
                <w:rFonts w:ascii="Arial Narrow" w:eastAsiaTheme="majorEastAsia" w:hAnsi="Arial Narrow" w:cstheme="majorBidi"/>
                <w:sz w:val="20"/>
                <w:szCs w:val="20"/>
              </w:rPr>
              <w:t>mild</w:t>
            </w:r>
            <w:r w:rsidR="00AA1948" w:rsidRPr="00E2449A">
              <w:rPr>
                <w:rFonts w:ascii="Arial Narrow" w:eastAsiaTheme="majorEastAsia" w:hAnsi="Arial Narrow" w:cstheme="majorBidi"/>
                <w:sz w:val="20"/>
                <w:szCs w:val="20"/>
              </w:rPr>
              <w:t xml:space="preserve"> (0.84)</w:t>
            </w:r>
            <w:r w:rsidRPr="00E2449A">
              <w:rPr>
                <w:rFonts w:ascii="Arial Narrow" w:eastAsiaTheme="majorEastAsia" w:hAnsi="Arial Narrow" w:cstheme="majorBidi"/>
                <w:sz w:val="20"/>
                <w:szCs w:val="20"/>
              </w:rPr>
              <w:t xml:space="preserve">, moderate </w:t>
            </w:r>
            <w:r w:rsidR="00AA1948" w:rsidRPr="00E2449A">
              <w:rPr>
                <w:rFonts w:ascii="Arial Narrow" w:eastAsiaTheme="majorEastAsia" w:hAnsi="Arial Narrow" w:cstheme="majorBidi"/>
                <w:sz w:val="20"/>
                <w:szCs w:val="20"/>
              </w:rPr>
              <w:t xml:space="preserve">(0.84) </w:t>
            </w:r>
            <w:r w:rsidRPr="00E2449A">
              <w:rPr>
                <w:rFonts w:ascii="Arial Narrow" w:eastAsiaTheme="majorEastAsia" w:hAnsi="Arial Narrow" w:cstheme="majorBidi"/>
                <w:sz w:val="20"/>
                <w:szCs w:val="20"/>
              </w:rPr>
              <w:t>and high</w:t>
            </w:r>
            <w:r w:rsidR="00F43C0F" w:rsidRPr="00E2449A">
              <w:rPr>
                <w:rFonts w:ascii="Arial Narrow" w:eastAsiaTheme="majorEastAsia" w:hAnsi="Arial Narrow" w:cstheme="majorBidi"/>
                <w:sz w:val="20"/>
                <w:szCs w:val="20"/>
              </w:rPr>
              <w:t>-</w:t>
            </w:r>
            <w:r w:rsidRPr="00E2449A">
              <w:rPr>
                <w:rFonts w:ascii="Arial Narrow" w:eastAsiaTheme="majorEastAsia" w:hAnsi="Arial Narrow" w:cstheme="majorBidi"/>
                <w:sz w:val="20"/>
                <w:szCs w:val="20"/>
              </w:rPr>
              <w:t xml:space="preserve">risk </w:t>
            </w:r>
            <w:r w:rsidR="00AA1948" w:rsidRPr="00E2449A">
              <w:rPr>
                <w:rFonts w:ascii="Arial Narrow" w:eastAsiaTheme="majorEastAsia" w:hAnsi="Arial Narrow" w:cstheme="majorBidi"/>
                <w:sz w:val="20"/>
                <w:szCs w:val="20"/>
              </w:rPr>
              <w:t xml:space="preserve">(0.55) health </w:t>
            </w:r>
            <w:r w:rsidRPr="00E2449A">
              <w:rPr>
                <w:rFonts w:ascii="Arial Narrow" w:eastAsiaTheme="majorEastAsia" w:hAnsi="Arial Narrow" w:cstheme="majorBidi"/>
                <w:sz w:val="20"/>
                <w:szCs w:val="20"/>
              </w:rPr>
              <w:t xml:space="preserve">states were primarily </w:t>
            </w:r>
            <w:r w:rsidR="00E81CD3" w:rsidRPr="00E2449A">
              <w:rPr>
                <w:rFonts w:ascii="Arial Narrow" w:eastAsiaTheme="majorEastAsia" w:hAnsi="Arial Narrow" w:cstheme="majorBidi"/>
                <w:sz w:val="20"/>
                <w:szCs w:val="20"/>
              </w:rPr>
              <w:t>based on</w:t>
            </w:r>
            <w:r w:rsidRPr="00E2449A">
              <w:rPr>
                <w:rFonts w:ascii="Arial Narrow" w:eastAsiaTheme="majorEastAsia" w:hAnsi="Arial Narrow" w:cstheme="majorBidi"/>
                <w:sz w:val="20"/>
                <w:szCs w:val="20"/>
              </w:rPr>
              <w:t xml:space="preserve"> the NICE appraisal TA443 of OCA, which were originally sourced from Younossi (2001) and Wright (2006)</w:t>
            </w:r>
            <w:r w:rsidR="00254907" w:rsidRPr="00E2449A">
              <w:rPr>
                <w:rFonts w:ascii="Arial Narrow" w:eastAsiaTheme="majorEastAsia" w:hAnsi="Arial Narrow" w:cstheme="majorBidi"/>
                <w:sz w:val="20"/>
                <w:szCs w:val="20"/>
              </w:rPr>
              <w:t>.</w:t>
            </w:r>
          </w:p>
          <w:p w14:paraId="3F66839F" w14:textId="77777777" w:rsidR="00033C42" w:rsidRPr="00E2449A" w:rsidRDefault="00033C42" w:rsidP="00033C42">
            <w:pPr>
              <w:keepNext/>
              <w:keepLines/>
              <w:jc w:val="left"/>
              <w:rPr>
                <w:rFonts w:ascii="Arial Narrow" w:eastAsiaTheme="majorEastAsia" w:hAnsi="Arial Narrow" w:cstheme="majorBidi"/>
                <w:bCs/>
                <w:sz w:val="20"/>
                <w:szCs w:val="20"/>
              </w:rPr>
            </w:pPr>
          </w:p>
          <w:p w14:paraId="0DEC9F4C" w14:textId="77777777" w:rsidR="00ED3294" w:rsidRPr="00E2449A" w:rsidRDefault="00ED3294" w:rsidP="05042C88">
            <w:pPr>
              <w:keepNext/>
              <w:keepLines/>
              <w:jc w:val="left"/>
              <w:rPr>
                <w:rFonts w:ascii="Arial Narrow" w:eastAsiaTheme="majorEastAsia" w:hAnsi="Arial Narrow" w:cstheme="majorBidi"/>
                <w:sz w:val="20"/>
                <w:szCs w:val="20"/>
                <w:u w:val="single"/>
              </w:rPr>
            </w:pPr>
            <w:r w:rsidRPr="00E2449A">
              <w:rPr>
                <w:rFonts w:ascii="Arial Narrow" w:eastAsiaTheme="majorEastAsia" w:hAnsi="Arial Narrow" w:cstheme="majorBidi"/>
                <w:sz w:val="20"/>
                <w:szCs w:val="20"/>
                <w:u w:val="single"/>
              </w:rPr>
              <w:t>Liver disease component</w:t>
            </w:r>
          </w:p>
          <w:p w14:paraId="4AD3B535" w14:textId="4315B017" w:rsidR="008F2268" w:rsidRPr="00E2449A" w:rsidRDefault="00C3283C" w:rsidP="00FB528A">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 xml:space="preserve">The utility values for the liver disease </w:t>
            </w:r>
            <w:r w:rsidR="00AA1948" w:rsidRPr="00E2449A">
              <w:rPr>
                <w:rFonts w:ascii="Arial Narrow" w:eastAsiaTheme="majorEastAsia" w:hAnsi="Arial Narrow" w:cstheme="majorBidi"/>
                <w:bCs/>
                <w:sz w:val="20"/>
                <w:szCs w:val="20"/>
              </w:rPr>
              <w:t xml:space="preserve">health states (DCC=0,38, HCC = 0.45, pre-LT = 0.38, LT = 0.57, post LT = 0.67, re-emergence of PBC = 0.67) </w:t>
            </w:r>
            <w:r w:rsidRPr="00E2449A">
              <w:rPr>
                <w:rFonts w:ascii="Arial Narrow" w:eastAsiaTheme="majorEastAsia" w:hAnsi="Arial Narrow" w:cstheme="majorBidi"/>
                <w:bCs/>
                <w:sz w:val="20"/>
                <w:szCs w:val="20"/>
              </w:rPr>
              <w:t xml:space="preserve">were </w:t>
            </w:r>
            <w:r w:rsidR="00DD6D38" w:rsidRPr="00E2449A">
              <w:rPr>
                <w:rFonts w:ascii="Arial Narrow" w:eastAsiaTheme="majorEastAsia" w:hAnsi="Arial Narrow" w:cstheme="majorBidi"/>
                <w:bCs/>
                <w:sz w:val="20"/>
                <w:szCs w:val="20"/>
              </w:rPr>
              <w:t>based on</w:t>
            </w:r>
            <w:r w:rsidR="00A57049" w:rsidRPr="00E2449A">
              <w:rPr>
                <w:rFonts w:ascii="Arial Narrow" w:eastAsiaTheme="majorEastAsia" w:hAnsi="Arial Narrow" w:cstheme="majorBidi"/>
                <w:bCs/>
                <w:sz w:val="20"/>
                <w:szCs w:val="20"/>
              </w:rPr>
              <w:t xml:space="preserve">: </w:t>
            </w:r>
            <w:r w:rsidR="00D84F3D" w:rsidRPr="00E2449A">
              <w:rPr>
                <w:rFonts w:ascii="Arial Narrow" w:eastAsiaTheme="majorEastAsia" w:hAnsi="Arial Narrow" w:cstheme="majorBidi"/>
                <w:bCs/>
                <w:sz w:val="20"/>
                <w:szCs w:val="20"/>
              </w:rPr>
              <w:t>TA330</w:t>
            </w:r>
            <w:r w:rsidR="00416093" w:rsidRPr="00E2449A">
              <w:rPr>
                <w:rFonts w:ascii="Arial Narrow" w:eastAsiaTheme="majorEastAsia" w:hAnsi="Arial Narrow" w:cstheme="majorBidi"/>
                <w:bCs/>
                <w:sz w:val="20"/>
                <w:szCs w:val="20"/>
              </w:rPr>
              <w:t xml:space="preserve"> and</w:t>
            </w:r>
            <w:r w:rsidR="00D84F3D" w:rsidRPr="00E2449A">
              <w:rPr>
                <w:rFonts w:ascii="Arial Narrow" w:eastAsiaTheme="majorEastAsia" w:hAnsi="Arial Narrow" w:cstheme="majorBidi"/>
                <w:bCs/>
                <w:sz w:val="20"/>
                <w:szCs w:val="20"/>
              </w:rPr>
              <w:t xml:space="preserve"> KOL opinion</w:t>
            </w:r>
            <w:r w:rsidR="005915B8" w:rsidRPr="00E2449A">
              <w:rPr>
                <w:rFonts w:ascii="Arial Narrow" w:eastAsiaTheme="majorEastAsia" w:hAnsi="Arial Narrow" w:cstheme="majorBidi"/>
                <w:bCs/>
                <w:sz w:val="20"/>
                <w:szCs w:val="20"/>
              </w:rPr>
              <w:t xml:space="preserve">. </w:t>
            </w:r>
            <w:r w:rsidR="00DE7C6A" w:rsidRPr="00E2449A">
              <w:rPr>
                <w:rFonts w:ascii="Arial Narrow" w:eastAsiaTheme="majorEastAsia" w:hAnsi="Arial Narrow" w:cstheme="majorBidi"/>
                <w:bCs/>
                <w:sz w:val="20"/>
                <w:szCs w:val="20"/>
              </w:rPr>
              <w:t>Some utility values were unable to be verified.</w:t>
            </w:r>
            <w:r w:rsidR="00CB3319" w:rsidRPr="00E2449A">
              <w:rPr>
                <w:rFonts w:ascii="Arial Narrow" w:eastAsiaTheme="majorEastAsia" w:hAnsi="Arial Narrow" w:cstheme="majorBidi"/>
                <w:bCs/>
                <w:sz w:val="20"/>
                <w:szCs w:val="20"/>
              </w:rPr>
              <w:t xml:space="preserve"> </w:t>
            </w:r>
          </w:p>
          <w:p w14:paraId="5B04D741" w14:textId="77777777" w:rsidR="005915B8" w:rsidRPr="00E2449A" w:rsidRDefault="005915B8" w:rsidP="00366630">
            <w:pPr>
              <w:keepNext/>
              <w:keepLines/>
              <w:jc w:val="left"/>
              <w:rPr>
                <w:rFonts w:ascii="Arial Narrow" w:eastAsiaTheme="majorEastAsia" w:hAnsi="Arial Narrow" w:cstheme="majorBidi"/>
                <w:bCs/>
                <w:sz w:val="20"/>
                <w:szCs w:val="20"/>
              </w:rPr>
            </w:pPr>
          </w:p>
          <w:p w14:paraId="2894EA13" w14:textId="77777777" w:rsidR="001949F1" w:rsidRPr="00E2449A" w:rsidRDefault="001949F1" w:rsidP="001949F1">
            <w:pPr>
              <w:keepNext/>
              <w:keepLines/>
              <w:jc w:val="left"/>
              <w:rPr>
                <w:rFonts w:ascii="Arial Narrow" w:eastAsiaTheme="majorEastAsia" w:hAnsi="Arial Narrow" w:cstheme="majorBidi"/>
                <w:bCs/>
                <w:sz w:val="20"/>
                <w:szCs w:val="20"/>
                <w:u w:val="single"/>
              </w:rPr>
            </w:pPr>
            <w:r w:rsidRPr="00E2449A">
              <w:rPr>
                <w:rFonts w:ascii="Arial Narrow" w:eastAsiaTheme="majorEastAsia" w:hAnsi="Arial Narrow" w:cstheme="majorBidi"/>
                <w:bCs/>
                <w:sz w:val="20"/>
                <w:szCs w:val="20"/>
                <w:u w:val="single"/>
              </w:rPr>
              <w:t xml:space="preserve">Adverse events </w:t>
            </w:r>
          </w:p>
          <w:p w14:paraId="1F84811C" w14:textId="1B398D49" w:rsidR="001658BC" w:rsidRPr="00E2449A" w:rsidRDefault="3DFB908B" w:rsidP="00664FE8">
            <w:pPr>
              <w:pStyle w:val="TableText0"/>
            </w:pPr>
            <w:r w:rsidRPr="00E2449A">
              <w:t xml:space="preserve">The submission applied </w:t>
            </w:r>
            <w:proofErr w:type="spellStart"/>
            <w:r w:rsidRPr="00E2449A">
              <w:t>disutilities</w:t>
            </w:r>
            <w:proofErr w:type="spellEnd"/>
            <w:r w:rsidRPr="00E2449A">
              <w:t xml:space="preserve"> </w:t>
            </w:r>
            <w:r w:rsidR="3191E706" w:rsidRPr="00E2449A">
              <w:t>by</w:t>
            </w:r>
            <w:r w:rsidR="47C77EBD" w:rsidRPr="00E2449A">
              <w:t xml:space="preserve"> pruritus severity</w:t>
            </w:r>
            <w:r w:rsidR="3191E706" w:rsidRPr="00E2449A">
              <w:t xml:space="preserve"> </w:t>
            </w:r>
            <w:r w:rsidR="00AA1948" w:rsidRPr="00E2449A">
              <w:t xml:space="preserve">(mild = -0.01, clinically significant = -0.08) </w:t>
            </w:r>
            <w:r w:rsidR="341D2CD1" w:rsidRPr="00E2449A">
              <w:t xml:space="preserve">and </w:t>
            </w:r>
            <w:r w:rsidR="47C77EBD" w:rsidRPr="00E2449A">
              <w:t>pruritus TEAE</w:t>
            </w:r>
            <w:r w:rsidR="00AA1948" w:rsidRPr="00E2449A">
              <w:t>s (-0.11)</w:t>
            </w:r>
            <w:r w:rsidR="47C77EBD" w:rsidRPr="00E2449A">
              <w:t xml:space="preserve">. </w:t>
            </w:r>
            <w:r w:rsidR="626E2813" w:rsidRPr="00E2449A">
              <w:t>T</w:t>
            </w:r>
            <w:r w:rsidR="47C77EBD" w:rsidRPr="00E2449A">
              <w:t xml:space="preserve">he model may have double-counted </w:t>
            </w:r>
            <w:proofErr w:type="spellStart"/>
            <w:r w:rsidR="331B3EA2" w:rsidRPr="00E2449A">
              <w:t>disutilities</w:t>
            </w:r>
            <w:proofErr w:type="spellEnd"/>
            <w:r w:rsidR="331B3EA2" w:rsidRPr="00E2449A">
              <w:t xml:space="preserve"> from </w:t>
            </w:r>
            <w:r w:rsidR="47C77EBD" w:rsidRPr="00E2449A">
              <w:t>pruritus.</w:t>
            </w:r>
            <w:r w:rsidR="13124FAE" w:rsidRPr="00E2449A">
              <w:t xml:space="preserve"> </w:t>
            </w:r>
            <w:proofErr w:type="spellStart"/>
            <w:r w:rsidR="4903D6E7" w:rsidRPr="00E2449A">
              <w:t>Disutilities</w:t>
            </w:r>
            <w:proofErr w:type="spellEnd"/>
            <w:r w:rsidR="4903D6E7" w:rsidRPr="00E2449A">
              <w:t xml:space="preserve"> by pruritus severity were based on a regression analysis of the ELATIVE trial</w:t>
            </w:r>
            <w:r w:rsidR="00842CF2" w:rsidRPr="00E2449A">
              <w:t xml:space="preserve">; </w:t>
            </w:r>
            <w:r w:rsidR="341E172C" w:rsidRPr="00E2449A">
              <w:t>however</w:t>
            </w:r>
            <w:r w:rsidR="00842CF2" w:rsidRPr="00E2449A">
              <w:t>,</w:t>
            </w:r>
            <w:r w:rsidR="341E172C" w:rsidRPr="00E2449A">
              <w:t xml:space="preserve"> the disutility associated with mild itch was not statistically significant (P=0.630).</w:t>
            </w:r>
            <w:r w:rsidR="4903D6E7" w:rsidRPr="00E2449A">
              <w:t xml:space="preserve"> </w:t>
            </w:r>
            <w:r w:rsidR="001658BC" w:rsidRPr="00E2449A">
              <w:t xml:space="preserve">The disutility </w:t>
            </w:r>
            <w:r w:rsidR="4903D6E7" w:rsidRPr="00E2449A">
              <w:t>for pruritus TEAE</w:t>
            </w:r>
            <w:r w:rsidR="39EE688E" w:rsidRPr="00E2449A">
              <w:t xml:space="preserve">s </w:t>
            </w:r>
            <w:r w:rsidR="4903D6E7" w:rsidRPr="00E2449A">
              <w:t>was based on a clinician estimate</w:t>
            </w:r>
            <w:r w:rsidR="00842CF2" w:rsidRPr="00E2449A">
              <w:t xml:space="preserve"> which was </w:t>
            </w:r>
            <w:r w:rsidR="4903D6E7" w:rsidRPr="00E2449A">
              <w:t>uncertain.</w:t>
            </w:r>
            <w:r w:rsidR="19A9818E" w:rsidRPr="00E2449A">
              <w:t xml:space="preserve"> </w:t>
            </w:r>
          </w:p>
          <w:p w14:paraId="0CE09AD1" w14:textId="77777777" w:rsidR="008F2268" w:rsidRPr="00E2449A" w:rsidRDefault="008F2268" w:rsidP="00535638">
            <w:pPr>
              <w:keepNext/>
              <w:keepLines/>
              <w:jc w:val="left"/>
              <w:rPr>
                <w:rFonts w:ascii="Arial Narrow" w:eastAsiaTheme="majorEastAsia" w:hAnsi="Arial Narrow" w:cstheme="majorBidi"/>
                <w:bCs/>
                <w:sz w:val="20"/>
                <w:szCs w:val="20"/>
              </w:rPr>
            </w:pPr>
          </w:p>
          <w:p w14:paraId="64567C56" w14:textId="26C51A12" w:rsidR="001949F1" w:rsidRPr="00E2449A" w:rsidRDefault="00185B2C" w:rsidP="05042C88">
            <w:pPr>
              <w:keepNext/>
              <w:keepLines/>
              <w:jc w:val="left"/>
              <w:rPr>
                <w:rFonts w:ascii="Arial Narrow" w:eastAsiaTheme="majorEastAsia" w:hAnsi="Arial Narrow" w:cstheme="majorBidi"/>
                <w:sz w:val="20"/>
                <w:szCs w:val="20"/>
              </w:rPr>
            </w:pPr>
            <w:r w:rsidRPr="00E2449A">
              <w:rPr>
                <w:rFonts w:ascii="Arial Narrow" w:eastAsiaTheme="majorEastAsia" w:hAnsi="Arial Narrow" w:cstheme="majorBidi"/>
                <w:sz w:val="20"/>
                <w:szCs w:val="20"/>
              </w:rPr>
              <w:t>Once off</w:t>
            </w:r>
            <w:r w:rsidR="00535638" w:rsidRPr="00E2449A">
              <w:rPr>
                <w:rFonts w:ascii="Arial Narrow" w:eastAsiaTheme="majorEastAsia" w:hAnsi="Arial Narrow" w:cstheme="majorBidi"/>
                <w:sz w:val="20"/>
                <w:szCs w:val="20"/>
              </w:rPr>
              <w:t xml:space="preserve"> </w:t>
            </w:r>
            <w:proofErr w:type="spellStart"/>
            <w:r w:rsidR="00535638" w:rsidRPr="00E2449A">
              <w:rPr>
                <w:rFonts w:ascii="Arial Narrow" w:eastAsiaTheme="majorEastAsia" w:hAnsi="Arial Narrow" w:cstheme="majorBidi"/>
                <w:sz w:val="20"/>
                <w:szCs w:val="20"/>
              </w:rPr>
              <w:t>disutilities</w:t>
            </w:r>
            <w:proofErr w:type="spellEnd"/>
            <w:r w:rsidR="00535638" w:rsidRPr="00E2449A">
              <w:rPr>
                <w:rFonts w:ascii="Arial Narrow" w:eastAsiaTheme="majorEastAsia" w:hAnsi="Arial Narrow" w:cstheme="majorBidi"/>
                <w:sz w:val="20"/>
                <w:szCs w:val="20"/>
              </w:rPr>
              <w:t xml:space="preserve"> for </w:t>
            </w:r>
            <w:r w:rsidR="00677033" w:rsidRPr="00E2449A">
              <w:rPr>
                <w:rFonts w:ascii="Arial Narrow" w:eastAsiaTheme="majorEastAsia" w:hAnsi="Arial Narrow" w:cstheme="majorBidi"/>
                <w:sz w:val="20"/>
                <w:szCs w:val="20"/>
              </w:rPr>
              <w:t>UTI</w:t>
            </w:r>
            <w:r w:rsidR="00690AE6" w:rsidRPr="00E2449A">
              <w:rPr>
                <w:rFonts w:ascii="Arial Narrow" w:eastAsiaTheme="majorEastAsia" w:hAnsi="Arial Narrow" w:cstheme="majorBidi"/>
                <w:sz w:val="20"/>
                <w:szCs w:val="20"/>
              </w:rPr>
              <w:t xml:space="preserve"> </w:t>
            </w:r>
            <w:r w:rsidR="00AA1948" w:rsidRPr="00E2449A">
              <w:rPr>
                <w:rFonts w:ascii="Arial Narrow" w:eastAsiaTheme="majorEastAsia" w:hAnsi="Arial Narrow" w:cstheme="majorBidi"/>
                <w:sz w:val="20"/>
                <w:szCs w:val="20"/>
              </w:rPr>
              <w:t xml:space="preserve">(-0.06) </w:t>
            </w:r>
            <w:r w:rsidR="00535638" w:rsidRPr="00E2449A">
              <w:rPr>
                <w:rFonts w:ascii="Arial Narrow" w:eastAsiaTheme="majorEastAsia" w:hAnsi="Arial Narrow" w:cstheme="majorBidi"/>
                <w:sz w:val="20"/>
                <w:szCs w:val="20"/>
              </w:rPr>
              <w:t xml:space="preserve">and fatigue </w:t>
            </w:r>
            <w:r w:rsidR="00AA1948" w:rsidRPr="00E2449A">
              <w:rPr>
                <w:rFonts w:ascii="Arial Narrow" w:eastAsiaTheme="majorEastAsia" w:hAnsi="Arial Narrow" w:cstheme="majorBidi"/>
                <w:sz w:val="20"/>
                <w:szCs w:val="20"/>
              </w:rPr>
              <w:t xml:space="preserve">(-0.07) </w:t>
            </w:r>
            <w:r w:rsidR="00AE07DE" w:rsidRPr="00E2449A">
              <w:rPr>
                <w:rFonts w:ascii="Arial Narrow" w:eastAsiaTheme="majorEastAsia" w:hAnsi="Arial Narrow" w:cstheme="majorBidi"/>
                <w:sz w:val="20"/>
                <w:szCs w:val="20"/>
              </w:rPr>
              <w:t xml:space="preserve">(based on the literature) </w:t>
            </w:r>
            <w:r w:rsidR="00535638" w:rsidRPr="00E2449A">
              <w:rPr>
                <w:rFonts w:ascii="Arial Narrow" w:eastAsiaTheme="majorEastAsia" w:hAnsi="Arial Narrow" w:cstheme="majorBidi"/>
                <w:sz w:val="20"/>
                <w:szCs w:val="20"/>
              </w:rPr>
              <w:t xml:space="preserve">for the duration of one cycle were also applied. The reference and the </w:t>
            </w:r>
            <w:r w:rsidR="00677033" w:rsidRPr="00E2449A">
              <w:rPr>
                <w:rFonts w:ascii="Arial Narrow" w:eastAsiaTheme="majorEastAsia" w:hAnsi="Arial Narrow" w:cstheme="majorBidi"/>
                <w:sz w:val="20"/>
                <w:szCs w:val="20"/>
              </w:rPr>
              <w:t>dis</w:t>
            </w:r>
            <w:r w:rsidR="00535638" w:rsidRPr="00E2449A">
              <w:rPr>
                <w:rFonts w:ascii="Arial Narrow" w:eastAsiaTheme="majorEastAsia" w:hAnsi="Arial Narrow" w:cstheme="majorBidi"/>
                <w:sz w:val="20"/>
                <w:szCs w:val="20"/>
              </w:rPr>
              <w:t xml:space="preserve">utility </w:t>
            </w:r>
            <w:r w:rsidR="00677033" w:rsidRPr="00E2449A">
              <w:rPr>
                <w:rFonts w:ascii="Arial Narrow" w:eastAsiaTheme="majorEastAsia" w:hAnsi="Arial Narrow" w:cstheme="majorBidi"/>
                <w:sz w:val="20"/>
                <w:szCs w:val="20"/>
              </w:rPr>
              <w:t xml:space="preserve">in </w:t>
            </w:r>
            <w:r w:rsidR="00535638" w:rsidRPr="00E2449A">
              <w:rPr>
                <w:rFonts w:ascii="Arial Narrow" w:eastAsiaTheme="majorEastAsia" w:hAnsi="Arial Narrow" w:cstheme="majorBidi"/>
                <w:sz w:val="20"/>
                <w:szCs w:val="20"/>
              </w:rPr>
              <w:t xml:space="preserve">Abrahamian </w:t>
            </w:r>
            <w:r w:rsidR="00FF1A17" w:rsidRPr="00E2449A">
              <w:rPr>
                <w:rFonts w:ascii="Arial Narrow" w:eastAsiaTheme="majorEastAsia" w:hAnsi="Arial Narrow" w:cstheme="majorBidi"/>
                <w:sz w:val="20"/>
                <w:szCs w:val="20"/>
              </w:rPr>
              <w:t>et al (</w:t>
            </w:r>
            <w:r w:rsidR="00535638" w:rsidRPr="00E2449A">
              <w:rPr>
                <w:rFonts w:ascii="Arial Narrow" w:eastAsiaTheme="majorEastAsia" w:hAnsi="Arial Narrow" w:cstheme="majorBidi"/>
                <w:sz w:val="20"/>
                <w:szCs w:val="20"/>
              </w:rPr>
              <w:t>2011</w:t>
            </w:r>
            <w:r w:rsidR="00FF1A17" w:rsidRPr="00E2449A">
              <w:rPr>
                <w:rFonts w:ascii="Arial Narrow" w:eastAsiaTheme="majorEastAsia" w:hAnsi="Arial Narrow" w:cstheme="majorBidi"/>
                <w:sz w:val="20"/>
                <w:szCs w:val="20"/>
              </w:rPr>
              <w:t>)</w:t>
            </w:r>
            <w:r w:rsidR="00535638" w:rsidRPr="00E2449A">
              <w:rPr>
                <w:rFonts w:ascii="Arial Narrow" w:eastAsiaTheme="majorEastAsia" w:hAnsi="Arial Narrow" w:cstheme="majorBidi"/>
                <w:sz w:val="20"/>
                <w:szCs w:val="20"/>
              </w:rPr>
              <w:t xml:space="preserve"> for a </w:t>
            </w:r>
            <w:r w:rsidR="00677033" w:rsidRPr="00E2449A">
              <w:rPr>
                <w:rFonts w:ascii="Arial Narrow" w:eastAsiaTheme="majorEastAsia" w:hAnsi="Arial Narrow" w:cstheme="majorBidi"/>
                <w:sz w:val="20"/>
                <w:szCs w:val="20"/>
              </w:rPr>
              <w:t xml:space="preserve">UTI </w:t>
            </w:r>
            <w:r w:rsidR="00535638" w:rsidRPr="00E2449A">
              <w:rPr>
                <w:rFonts w:ascii="Arial Narrow" w:eastAsiaTheme="majorEastAsia" w:hAnsi="Arial Narrow" w:cstheme="majorBidi"/>
                <w:sz w:val="20"/>
                <w:szCs w:val="20"/>
              </w:rPr>
              <w:t>disutility could not be verified.</w:t>
            </w:r>
          </w:p>
        </w:tc>
      </w:tr>
      <w:tr w:rsidR="00822090" w:rsidRPr="00E2449A" w14:paraId="41A5F184" w14:textId="77777777" w:rsidTr="05042C88">
        <w:tc>
          <w:tcPr>
            <w:tcW w:w="548" w:type="pct"/>
            <w:shd w:val="clear" w:color="auto" w:fill="auto"/>
            <w:vAlign w:val="center"/>
          </w:tcPr>
          <w:p w14:paraId="63D9A70A" w14:textId="587482BE" w:rsidR="00822090" w:rsidRPr="00E2449A" w:rsidRDefault="0086653E"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Costs and resource use</w:t>
            </w:r>
          </w:p>
        </w:tc>
        <w:tc>
          <w:tcPr>
            <w:tcW w:w="4452" w:type="pct"/>
            <w:shd w:val="clear" w:color="auto" w:fill="auto"/>
            <w:vAlign w:val="center"/>
          </w:tcPr>
          <w:p w14:paraId="02C0983E" w14:textId="67ECAC62" w:rsidR="001F4B22" w:rsidRPr="00E2449A" w:rsidRDefault="001F4B22" w:rsidP="001F4B22">
            <w:pPr>
              <w:pStyle w:val="TableText0"/>
            </w:pPr>
            <w:r w:rsidRPr="00E2449A">
              <w:t xml:space="preserve">It was assumed that 95% of patients treated with </w:t>
            </w:r>
            <w:proofErr w:type="spellStart"/>
            <w:r w:rsidRPr="00E2449A">
              <w:t>elafibranor</w:t>
            </w:r>
            <w:proofErr w:type="spellEnd"/>
            <w:r w:rsidRPr="00E2449A">
              <w:t xml:space="preserve"> or OCA receive concomitant UDCA based on the ELATIVE trial.</w:t>
            </w:r>
          </w:p>
          <w:p w14:paraId="319D41B0" w14:textId="77777777" w:rsidR="001F4B22" w:rsidRPr="00E2449A" w:rsidRDefault="001F4B22" w:rsidP="001F4B22">
            <w:pPr>
              <w:pStyle w:val="TableText0"/>
              <w:rPr>
                <w:szCs w:val="20"/>
              </w:rPr>
            </w:pPr>
          </w:p>
          <w:p w14:paraId="074ADA35" w14:textId="7BF16A77" w:rsidR="003E5F8D" w:rsidRPr="00E2449A" w:rsidRDefault="0001538D" w:rsidP="001F4B22">
            <w:pPr>
              <w:pStyle w:val="TableText0"/>
              <w:rPr>
                <w:szCs w:val="20"/>
              </w:rPr>
            </w:pPr>
            <w:r w:rsidRPr="00E2449A">
              <w:rPr>
                <w:szCs w:val="20"/>
              </w:rPr>
              <w:t xml:space="preserve">The costs of </w:t>
            </w:r>
            <w:r w:rsidR="00404B01" w:rsidRPr="00E2449A">
              <w:rPr>
                <w:szCs w:val="20"/>
              </w:rPr>
              <w:t>mild</w:t>
            </w:r>
            <w:r w:rsidRPr="00E2449A">
              <w:rPr>
                <w:szCs w:val="20"/>
              </w:rPr>
              <w:t xml:space="preserve"> and moderate-risk PBC health states were based on MBS items, and the cost of high-risk PBC, DCC and HCC health states were based on MBS items, AR-DRGs and the published literature.</w:t>
            </w:r>
            <w:r w:rsidR="001F3F5D" w:rsidRPr="00E2449A">
              <w:rPr>
                <w:szCs w:val="20"/>
              </w:rPr>
              <w:t xml:space="preserve"> The submission applied the National Hospital Cost Data Collection cost weights for (AR-DRG) Version 11.0, 2020-21 costs.</w:t>
            </w:r>
            <w:r w:rsidRPr="00E2449A">
              <w:rPr>
                <w:szCs w:val="20"/>
              </w:rPr>
              <w:t xml:space="preserve"> </w:t>
            </w:r>
            <w:r w:rsidR="00332C47" w:rsidRPr="00E2449A">
              <w:rPr>
                <w:szCs w:val="20"/>
              </w:rPr>
              <w:t xml:space="preserve">The submission inflated the costs as if they were </w:t>
            </w:r>
            <w:r w:rsidR="00971FC9" w:rsidRPr="00E2449A">
              <w:rPr>
                <w:szCs w:val="20"/>
              </w:rPr>
              <w:t>valued in 2014 dollars</w:t>
            </w:r>
            <w:r w:rsidR="0079352E" w:rsidRPr="00E2449A">
              <w:rPr>
                <w:szCs w:val="20"/>
              </w:rPr>
              <w:t xml:space="preserve"> instead of 2020-21</w:t>
            </w:r>
            <w:r w:rsidR="00261E71" w:rsidRPr="00E2449A">
              <w:rPr>
                <w:szCs w:val="20"/>
              </w:rPr>
              <w:t xml:space="preserve"> dollars</w:t>
            </w:r>
            <w:r w:rsidR="00436AAF" w:rsidRPr="00E2449A">
              <w:rPr>
                <w:szCs w:val="20"/>
              </w:rPr>
              <w:t xml:space="preserve"> which</w:t>
            </w:r>
            <w:r w:rsidR="00A43D22" w:rsidRPr="00E2449A">
              <w:rPr>
                <w:szCs w:val="20"/>
              </w:rPr>
              <w:t xml:space="preserve"> overinflated the </w:t>
            </w:r>
            <w:r w:rsidR="00077F21" w:rsidRPr="00E2449A">
              <w:rPr>
                <w:szCs w:val="20"/>
              </w:rPr>
              <w:t>costs</w:t>
            </w:r>
            <w:r w:rsidR="00971FC9" w:rsidRPr="00E2449A">
              <w:rPr>
                <w:szCs w:val="20"/>
              </w:rPr>
              <w:t>.</w:t>
            </w:r>
            <w:r w:rsidR="003E5F8D" w:rsidRPr="00E2449A">
              <w:rPr>
                <w:szCs w:val="20"/>
              </w:rPr>
              <w:t xml:space="preserve"> </w:t>
            </w:r>
          </w:p>
          <w:p w14:paraId="270FEC5F" w14:textId="77777777" w:rsidR="003E5F8D" w:rsidRPr="00E2449A" w:rsidRDefault="003E5F8D" w:rsidP="00315E15">
            <w:pPr>
              <w:keepNext/>
              <w:keepLines/>
              <w:jc w:val="left"/>
              <w:rPr>
                <w:rFonts w:ascii="Arial Narrow" w:eastAsiaTheme="majorEastAsia" w:hAnsi="Arial Narrow" w:cstheme="majorBidi"/>
                <w:bCs/>
                <w:sz w:val="20"/>
                <w:szCs w:val="20"/>
              </w:rPr>
            </w:pPr>
          </w:p>
          <w:p w14:paraId="2D6BF655" w14:textId="0A272A54" w:rsidR="00762757" w:rsidRPr="00E2449A" w:rsidRDefault="007F453C" w:rsidP="05042C88">
            <w:pPr>
              <w:keepNext/>
              <w:keepLines/>
              <w:jc w:val="left"/>
              <w:rPr>
                <w:rFonts w:ascii="Arial Narrow" w:eastAsiaTheme="majorEastAsia" w:hAnsi="Arial Narrow" w:cstheme="majorBidi"/>
                <w:sz w:val="20"/>
                <w:szCs w:val="20"/>
              </w:rPr>
            </w:pPr>
            <w:r w:rsidRPr="00E2449A">
              <w:rPr>
                <w:rFonts w:ascii="Arial Narrow" w:eastAsiaTheme="majorEastAsia" w:hAnsi="Arial Narrow" w:cstheme="majorBidi"/>
                <w:sz w:val="20"/>
                <w:szCs w:val="20"/>
              </w:rPr>
              <w:t xml:space="preserve">Pre- and post-liver transplant healthcare resource use were sourced from the NICE appraisal HST17 </w:t>
            </w:r>
            <w:r w:rsidR="00940FA2" w:rsidRPr="00E2449A">
              <w:rPr>
                <w:rFonts w:ascii="Arial Narrow" w:eastAsiaTheme="majorEastAsia" w:hAnsi="Arial Narrow" w:cstheme="majorBidi"/>
                <w:sz w:val="20"/>
                <w:szCs w:val="20"/>
              </w:rPr>
              <w:t>for</w:t>
            </w:r>
            <w:r w:rsidRPr="00E2449A">
              <w:rPr>
                <w:rFonts w:ascii="Arial Narrow" w:eastAsiaTheme="majorEastAsia" w:hAnsi="Arial Narrow" w:cstheme="majorBidi"/>
                <w:sz w:val="20"/>
                <w:szCs w:val="20"/>
              </w:rPr>
              <w:t xml:space="preserve"> </w:t>
            </w:r>
            <w:proofErr w:type="spellStart"/>
            <w:r w:rsidRPr="00E2449A">
              <w:rPr>
                <w:rFonts w:ascii="Arial Narrow" w:eastAsiaTheme="majorEastAsia" w:hAnsi="Arial Narrow" w:cstheme="majorBidi"/>
                <w:sz w:val="20"/>
                <w:szCs w:val="20"/>
              </w:rPr>
              <w:t>odevixibat</w:t>
            </w:r>
            <w:proofErr w:type="spellEnd"/>
            <w:r w:rsidRPr="00E2449A">
              <w:rPr>
                <w:rFonts w:ascii="Arial Narrow" w:eastAsiaTheme="majorEastAsia" w:hAnsi="Arial Narrow" w:cstheme="majorBidi"/>
                <w:sz w:val="20"/>
                <w:szCs w:val="20"/>
              </w:rPr>
              <w:t xml:space="preserve"> and Rice et al. (2021) respectively.</w:t>
            </w:r>
            <w:r w:rsidR="004B7CC4" w:rsidRPr="00E2449A">
              <w:rPr>
                <w:rFonts w:ascii="Arial Narrow" w:eastAsiaTheme="majorEastAsia" w:hAnsi="Arial Narrow" w:cstheme="majorBidi"/>
                <w:sz w:val="20"/>
                <w:szCs w:val="20"/>
              </w:rPr>
              <w:t xml:space="preserve"> The costs from the NICE appraisal TA443 for </w:t>
            </w:r>
            <w:proofErr w:type="spellStart"/>
            <w:r w:rsidR="004B7CC4" w:rsidRPr="00E2449A">
              <w:rPr>
                <w:rFonts w:ascii="Arial Narrow" w:eastAsiaTheme="majorEastAsia" w:hAnsi="Arial Narrow" w:cstheme="majorBidi"/>
                <w:sz w:val="20"/>
                <w:szCs w:val="20"/>
              </w:rPr>
              <w:t>obeticholic</w:t>
            </w:r>
            <w:proofErr w:type="spellEnd"/>
            <w:r w:rsidR="004B7CC4" w:rsidRPr="00E2449A">
              <w:rPr>
                <w:rFonts w:ascii="Arial Narrow" w:eastAsiaTheme="majorEastAsia" w:hAnsi="Arial Narrow" w:cstheme="majorBidi"/>
                <w:sz w:val="20"/>
                <w:szCs w:val="20"/>
              </w:rPr>
              <w:t xml:space="preserve"> acid, NICE appraisal HST17 for </w:t>
            </w:r>
            <w:proofErr w:type="spellStart"/>
            <w:r w:rsidR="004B7CC4" w:rsidRPr="00E2449A">
              <w:rPr>
                <w:rFonts w:ascii="Arial Narrow" w:eastAsiaTheme="majorEastAsia" w:hAnsi="Arial Narrow" w:cstheme="majorBidi"/>
                <w:sz w:val="20"/>
                <w:szCs w:val="20"/>
              </w:rPr>
              <w:t>odevixibat</w:t>
            </w:r>
            <w:proofErr w:type="spellEnd"/>
            <w:r w:rsidR="004B7CC4" w:rsidRPr="00E2449A">
              <w:rPr>
                <w:rFonts w:ascii="Arial Narrow" w:eastAsiaTheme="majorEastAsia" w:hAnsi="Arial Narrow" w:cstheme="majorBidi"/>
                <w:sz w:val="20"/>
                <w:szCs w:val="20"/>
              </w:rPr>
              <w:t xml:space="preserve"> for treating progressive familial intrahepatic cholestasis</w:t>
            </w:r>
            <w:r w:rsidR="00655B3F">
              <w:rPr>
                <w:rFonts w:ascii="Arial Narrow" w:eastAsiaTheme="majorEastAsia" w:hAnsi="Arial Narrow" w:cstheme="majorBidi"/>
                <w:sz w:val="20"/>
                <w:szCs w:val="20"/>
              </w:rPr>
              <w:t xml:space="preserve">. </w:t>
            </w:r>
          </w:p>
          <w:p w14:paraId="0EC00AE6" w14:textId="77777777" w:rsidR="0059149D" w:rsidRPr="00E2449A" w:rsidRDefault="0059149D" w:rsidP="008B7581">
            <w:pPr>
              <w:pStyle w:val="TableText0"/>
            </w:pPr>
          </w:p>
          <w:p w14:paraId="2115A6D0" w14:textId="778E43F3" w:rsidR="00E9539D" w:rsidRPr="00E2449A" w:rsidRDefault="00E9539D" w:rsidP="008B7581">
            <w:pPr>
              <w:pStyle w:val="TableText0"/>
              <w:rPr>
                <w:bCs w:val="0"/>
                <w:szCs w:val="20"/>
              </w:rPr>
            </w:pPr>
            <w:r w:rsidRPr="00E2449A">
              <w:t xml:space="preserve">Healthcare resource use associated with the re-emergence of PBC was assumed to be equal to the healthcare resource use associated with the high-risk health state. </w:t>
            </w:r>
            <w:r w:rsidR="008B7581" w:rsidRPr="00E2449A">
              <w:t>The high liver disease risk health state and the re-emergence of PBC cost was assumed to be half the amount of DCC.</w:t>
            </w:r>
            <w:r w:rsidRPr="00E2449A">
              <w:t xml:space="preserve"> </w:t>
            </w:r>
          </w:p>
          <w:p w14:paraId="401B2335" w14:textId="77777777" w:rsidR="0059149D" w:rsidRPr="00E2449A" w:rsidRDefault="0059149D" w:rsidP="00E9539D">
            <w:pPr>
              <w:keepNext/>
              <w:keepLines/>
              <w:jc w:val="left"/>
              <w:rPr>
                <w:rFonts w:ascii="Arial Narrow" w:eastAsiaTheme="majorEastAsia" w:hAnsi="Arial Narrow" w:cstheme="majorBidi"/>
                <w:bCs/>
                <w:sz w:val="20"/>
                <w:szCs w:val="20"/>
              </w:rPr>
            </w:pPr>
          </w:p>
          <w:p w14:paraId="56AD4E28" w14:textId="31D49417" w:rsidR="00E9539D" w:rsidRPr="00E2449A" w:rsidRDefault="00E9539D" w:rsidP="05042C88">
            <w:pPr>
              <w:keepNext/>
              <w:keepLines/>
              <w:jc w:val="left"/>
              <w:rPr>
                <w:rStyle w:val="TableTextChar0"/>
                <w:sz w:val="20"/>
                <w:szCs w:val="20"/>
              </w:rPr>
            </w:pPr>
            <w:r w:rsidRPr="00E2449A">
              <w:rPr>
                <w:rFonts w:ascii="Arial Narrow" w:eastAsiaTheme="majorEastAsia" w:hAnsi="Arial Narrow" w:cstheme="majorBidi"/>
                <w:sz w:val="20"/>
                <w:szCs w:val="20"/>
              </w:rPr>
              <w:lastRenderedPageBreak/>
              <w:t xml:space="preserve">End of life costs were included for patients who die in the </w:t>
            </w:r>
            <w:r w:rsidR="00894EA4" w:rsidRPr="00E2449A">
              <w:rPr>
                <w:rFonts w:ascii="Arial Narrow" w:eastAsiaTheme="majorEastAsia" w:hAnsi="Arial Narrow" w:cstheme="majorBidi"/>
                <w:sz w:val="20"/>
                <w:szCs w:val="20"/>
              </w:rPr>
              <w:t xml:space="preserve">DCC </w:t>
            </w:r>
            <w:r w:rsidRPr="00E2449A">
              <w:rPr>
                <w:rFonts w:ascii="Arial Narrow" w:eastAsiaTheme="majorEastAsia" w:hAnsi="Arial Narrow" w:cstheme="majorBidi"/>
                <w:sz w:val="20"/>
                <w:szCs w:val="20"/>
              </w:rPr>
              <w:t xml:space="preserve">and </w:t>
            </w:r>
            <w:r w:rsidR="00894EA4" w:rsidRPr="00E2449A">
              <w:rPr>
                <w:rFonts w:ascii="Arial Narrow" w:eastAsiaTheme="majorEastAsia" w:hAnsi="Arial Narrow" w:cstheme="majorBidi"/>
                <w:sz w:val="20"/>
                <w:szCs w:val="20"/>
              </w:rPr>
              <w:t xml:space="preserve">HCC </w:t>
            </w:r>
            <w:r w:rsidRPr="00E2449A">
              <w:rPr>
                <w:rFonts w:ascii="Arial Narrow" w:eastAsiaTheme="majorEastAsia" w:hAnsi="Arial Narrow" w:cstheme="majorBidi"/>
                <w:sz w:val="20"/>
                <w:szCs w:val="20"/>
              </w:rPr>
              <w:t>health states</w:t>
            </w:r>
            <w:r w:rsidR="0053548D" w:rsidRPr="00E2449A">
              <w:rPr>
                <w:rFonts w:ascii="Arial Narrow" w:eastAsiaTheme="majorEastAsia" w:hAnsi="Arial Narrow" w:cstheme="majorBidi"/>
                <w:sz w:val="20"/>
                <w:szCs w:val="20"/>
              </w:rPr>
              <w:t xml:space="preserve"> </w:t>
            </w:r>
            <w:r w:rsidR="0053548D" w:rsidRPr="00E2449A">
              <w:rPr>
                <w:rFonts w:ascii="Arial Narrow" w:eastAsiaTheme="majorEastAsia" w:hAnsi="Arial Narrow"/>
                <w:sz w:val="20"/>
                <w:szCs w:val="20"/>
              </w:rPr>
              <w:t>($15,072)</w:t>
            </w:r>
            <w:r w:rsidRPr="00E2449A">
              <w:rPr>
                <w:rFonts w:ascii="Arial Narrow" w:eastAsiaTheme="majorEastAsia" w:hAnsi="Arial Narrow" w:cstheme="majorBidi"/>
                <w:sz w:val="20"/>
                <w:szCs w:val="20"/>
              </w:rPr>
              <w:t xml:space="preserve">, where there was expected to be palliative care, and were sourced from published </w:t>
            </w:r>
            <w:r w:rsidRPr="00E2449A">
              <w:rPr>
                <w:rStyle w:val="TableTextChar0"/>
                <w:sz w:val="20"/>
                <w:szCs w:val="20"/>
              </w:rPr>
              <w:t>literature</w:t>
            </w:r>
            <w:r w:rsidR="009959CB" w:rsidRPr="00E2449A">
              <w:rPr>
                <w:rStyle w:val="TableTextChar0"/>
                <w:sz w:val="20"/>
                <w:szCs w:val="20"/>
              </w:rPr>
              <w:t xml:space="preserve"> (Gola 2015 and NICE appraisal TA666</w:t>
            </w:r>
            <w:r w:rsidR="00814A3F" w:rsidRPr="00E2449A">
              <w:rPr>
                <w:rStyle w:val="TableTextChar0"/>
                <w:sz w:val="20"/>
                <w:szCs w:val="20"/>
              </w:rPr>
              <w:t xml:space="preserve"> </w:t>
            </w:r>
            <w:r w:rsidR="00814A3F" w:rsidRPr="00E2449A">
              <w:rPr>
                <w:rFonts w:ascii="Arial Narrow" w:eastAsiaTheme="majorEastAsia" w:hAnsi="Arial Narrow" w:cstheme="majorBidi"/>
                <w:sz w:val="20"/>
                <w:szCs w:val="20"/>
              </w:rPr>
              <w:t>based on UK sources</w:t>
            </w:r>
            <w:r w:rsidR="009959CB" w:rsidRPr="00E2449A">
              <w:rPr>
                <w:rStyle w:val="TableTextChar0"/>
                <w:sz w:val="20"/>
                <w:szCs w:val="20"/>
              </w:rPr>
              <w:t>)</w:t>
            </w:r>
            <w:r w:rsidRPr="00E2449A">
              <w:rPr>
                <w:rStyle w:val="TableTextChar0"/>
                <w:sz w:val="20"/>
                <w:szCs w:val="20"/>
              </w:rPr>
              <w:t>.</w:t>
            </w:r>
            <w:r w:rsidR="004B7CC4" w:rsidRPr="00E2449A">
              <w:rPr>
                <w:rStyle w:val="TableTextChar0"/>
                <w:sz w:val="20"/>
                <w:szCs w:val="20"/>
              </w:rPr>
              <w:t xml:space="preserve"> </w:t>
            </w:r>
          </w:p>
          <w:p w14:paraId="710D1CD7" w14:textId="77777777" w:rsidR="0059149D" w:rsidRPr="00E2449A" w:rsidRDefault="0059149D" w:rsidP="00E9539D">
            <w:pPr>
              <w:keepNext/>
              <w:keepLines/>
              <w:jc w:val="left"/>
              <w:rPr>
                <w:rFonts w:ascii="Arial Narrow" w:eastAsiaTheme="majorEastAsia" w:hAnsi="Arial Narrow" w:cstheme="majorBidi"/>
                <w:bCs/>
                <w:sz w:val="20"/>
                <w:szCs w:val="20"/>
              </w:rPr>
            </w:pPr>
          </w:p>
          <w:p w14:paraId="2FEA1149" w14:textId="36FCBD57" w:rsidR="007F453C" w:rsidRPr="00E2449A" w:rsidRDefault="00F61060" w:rsidP="00E9539D">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The cost of adverse events was based on MBS and PBS item numbers.</w:t>
            </w:r>
            <w:r w:rsidR="00017943" w:rsidRPr="00E2449A">
              <w:rPr>
                <w:rFonts w:ascii="Arial Narrow" w:eastAsiaTheme="majorEastAsia" w:hAnsi="Arial Narrow" w:cstheme="majorBidi"/>
                <w:bCs/>
                <w:sz w:val="20"/>
                <w:szCs w:val="20"/>
              </w:rPr>
              <w:t xml:space="preserve"> </w:t>
            </w:r>
            <w:r w:rsidR="00017943" w:rsidRPr="00E2449A">
              <w:rPr>
                <w:rFonts w:ascii="Arial Narrow" w:eastAsiaTheme="majorEastAsia" w:hAnsi="Arial Narrow" w:cstheme="majorBidi"/>
                <w:sz w:val="20"/>
                <w:szCs w:val="20"/>
              </w:rPr>
              <w:t>Some medicines used to cost adverse events are not listed on the PBS for relevant indications.</w:t>
            </w:r>
          </w:p>
        </w:tc>
      </w:tr>
      <w:tr w:rsidR="00822090" w:rsidRPr="00E2449A" w14:paraId="7309228C" w14:textId="77777777" w:rsidTr="05042C88">
        <w:tc>
          <w:tcPr>
            <w:tcW w:w="548" w:type="pct"/>
            <w:shd w:val="clear" w:color="auto" w:fill="auto"/>
            <w:vAlign w:val="center"/>
          </w:tcPr>
          <w:p w14:paraId="773E8094" w14:textId="375BD8EB" w:rsidR="00822090" w:rsidRPr="00E2449A" w:rsidRDefault="00745CA9"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lastRenderedPageBreak/>
              <w:t>Software package</w:t>
            </w:r>
          </w:p>
        </w:tc>
        <w:tc>
          <w:tcPr>
            <w:tcW w:w="4452" w:type="pct"/>
            <w:shd w:val="clear" w:color="auto" w:fill="auto"/>
            <w:vAlign w:val="center"/>
          </w:tcPr>
          <w:p w14:paraId="33D7A607" w14:textId="1AEFF931" w:rsidR="00822090" w:rsidRPr="00E2449A" w:rsidRDefault="00751BDE" w:rsidP="00315E15">
            <w:pPr>
              <w:keepNext/>
              <w:keepLines/>
              <w:jc w:val="left"/>
              <w:rPr>
                <w:rFonts w:ascii="Arial Narrow" w:eastAsiaTheme="majorEastAsia" w:hAnsi="Arial Narrow" w:cstheme="majorBidi"/>
                <w:bCs/>
                <w:sz w:val="20"/>
                <w:szCs w:val="20"/>
              </w:rPr>
            </w:pPr>
            <w:r w:rsidRPr="00E2449A">
              <w:rPr>
                <w:rFonts w:ascii="Arial Narrow" w:eastAsiaTheme="majorEastAsia" w:hAnsi="Arial Narrow" w:cstheme="majorBidi"/>
                <w:bCs/>
                <w:sz w:val="20"/>
                <w:szCs w:val="20"/>
              </w:rPr>
              <w:t xml:space="preserve">Excel.2024, Version 2410, (Build 18129.20116). </w:t>
            </w:r>
          </w:p>
        </w:tc>
      </w:tr>
    </w:tbl>
    <w:p w14:paraId="694561F8" w14:textId="40E79372" w:rsidR="009B7B3D" w:rsidRDefault="009B7B3D" w:rsidP="009B7B3D">
      <w:pPr>
        <w:pStyle w:val="TableFigureFooter"/>
      </w:pPr>
      <w:r>
        <w:t>Source: Complied during the evaluation from Table 2-10, p75;</w:t>
      </w:r>
      <w:r w:rsidR="00C46FFC">
        <w:t xml:space="preserve"> </w:t>
      </w:r>
      <w:r w:rsidR="00205220">
        <w:t>p 104</w:t>
      </w:r>
      <w:r w:rsidR="00471396">
        <w:t xml:space="preserve">; </w:t>
      </w:r>
      <w:r>
        <w:t>Table 3-1, p128; p137-139 of the submission.</w:t>
      </w:r>
    </w:p>
    <w:p w14:paraId="35A5E48F" w14:textId="77777777" w:rsidR="00663DB3" w:rsidRDefault="009B7B3D" w:rsidP="00663DB3">
      <w:pPr>
        <w:pStyle w:val="TableFigureFooter"/>
      </w:pPr>
      <w:r w:rsidRPr="05042C88">
        <w:t xml:space="preserve">ALP = Alkaline Phosphatase; </w:t>
      </w:r>
      <w:r w:rsidR="00F95A9D" w:rsidRPr="05042C88">
        <w:t xml:space="preserve">AR-DRG = Australian related diagnostic related groups; </w:t>
      </w:r>
      <w:r w:rsidRPr="05042C88">
        <w:t xml:space="preserve">CEA = Cost-Effectiveness Analysis; CUA = Cost-Utility Analysis; DCC = Decompensated Cirrhosis; ELA = </w:t>
      </w:r>
      <w:proofErr w:type="spellStart"/>
      <w:r w:rsidRPr="05042C88">
        <w:t>elafibranor</w:t>
      </w:r>
      <w:proofErr w:type="spellEnd"/>
      <w:r w:rsidRPr="05042C88">
        <w:t xml:space="preserve">; HCC = Hepatocellular Carcinoma; </w:t>
      </w:r>
      <w:proofErr w:type="spellStart"/>
      <w:r w:rsidR="00C61645" w:rsidRPr="05042C88">
        <w:t>HRQoL</w:t>
      </w:r>
      <w:proofErr w:type="spellEnd"/>
      <w:r w:rsidR="00C61645" w:rsidRPr="05042C88">
        <w:t xml:space="preserve">= health-related quality of life; </w:t>
      </w:r>
      <w:r w:rsidRPr="05042C88">
        <w:t xml:space="preserve">ICER = Incremental Cost-Effectiveness Ratio; LT = Liver Transplantation; LYG = Life Years Gained; </w:t>
      </w:r>
      <w:r w:rsidR="009D21CC" w:rsidRPr="05042C88">
        <w:t xml:space="preserve">MBS = </w:t>
      </w:r>
      <w:r w:rsidR="00AB05A6" w:rsidRPr="05042C88">
        <w:t>Medical</w:t>
      </w:r>
      <w:r w:rsidR="009D21CC" w:rsidRPr="05042C88">
        <w:t xml:space="preserve"> Benefits S</w:t>
      </w:r>
      <w:r w:rsidR="00012FD4" w:rsidRPr="05042C88">
        <w:t xml:space="preserve">chedule; </w:t>
      </w:r>
      <w:r w:rsidR="005D5738" w:rsidRPr="05042C88">
        <w:t xml:space="preserve">NICE = National Institute for Health and Care Excellence; </w:t>
      </w:r>
      <w:r w:rsidRPr="05042C88">
        <w:t xml:space="preserve">OCA = </w:t>
      </w:r>
      <w:proofErr w:type="spellStart"/>
      <w:r w:rsidRPr="05042C88">
        <w:t>Obeticholic</w:t>
      </w:r>
      <w:proofErr w:type="spellEnd"/>
      <w:r w:rsidRPr="05042C88">
        <w:t xml:space="preserve"> Acid; </w:t>
      </w:r>
      <w:r w:rsidR="00212BBF" w:rsidRPr="05042C88">
        <w:t xml:space="preserve">OR = odds ratio; </w:t>
      </w:r>
      <w:r w:rsidRPr="05042C88">
        <w:t xml:space="preserve">PBC = Primary Biliary Cholangitis; </w:t>
      </w:r>
      <w:r w:rsidR="008F043E" w:rsidRPr="05042C88">
        <w:t xml:space="preserve">PBAC = Pharmaceutical Benefits Advisory Committee; PBS = Pharmaceutical Benefits Scheme; PFIC = progressive familial intrahepatic cholestasis; </w:t>
      </w:r>
      <w:r w:rsidRPr="05042C88">
        <w:t xml:space="preserve">PSD = Public Summary document; QALY = Quality-Adjusted Life Year; TB = Total Bilirubin; </w:t>
      </w:r>
      <w:r w:rsidR="007853C5" w:rsidRPr="05042C88">
        <w:t xml:space="preserve">TEAE = treatment emergent adverse events; </w:t>
      </w:r>
      <w:r w:rsidRPr="05042C88">
        <w:t>UDCA = Ursodeoxycholic Acid; ULN = Upper Limit of Normal</w:t>
      </w:r>
      <w:r w:rsidR="00663DB3">
        <w:t xml:space="preserve"> </w:t>
      </w:r>
    </w:p>
    <w:p w14:paraId="7F339C4B" w14:textId="1DD95530" w:rsidR="00663DB3" w:rsidRPr="00337B98" w:rsidRDefault="00663DB3" w:rsidP="00663DB3">
      <w:pPr>
        <w:pStyle w:val="TableFigureFooter"/>
      </w:pPr>
      <w:r w:rsidRPr="00337B98">
        <w:t xml:space="preserve">The redacted values correspond to the following ranges: </w:t>
      </w:r>
    </w:p>
    <w:p w14:paraId="6A554AF7" w14:textId="60222A0F" w:rsidR="00663DB3" w:rsidRPr="00337B98" w:rsidRDefault="00663DB3" w:rsidP="00663DB3">
      <w:pPr>
        <w:pStyle w:val="TableFigureFooter"/>
      </w:pPr>
      <w:r w:rsidRPr="00337B98">
        <w:rPr>
          <w:vertAlign w:val="superscript"/>
        </w:rPr>
        <w:t>1</w:t>
      </w:r>
      <w:r w:rsidRPr="00337B98">
        <w:t xml:space="preserve"> $55,000 to &lt; $75,000</w:t>
      </w:r>
    </w:p>
    <w:p w14:paraId="75408231" w14:textId="28856C99" w:rsidR="006C691F" w:rsidRPr="00E2449A" w:rsidRDefault="000D7248">
      <w:pPr>
        <w:pStyle w:val="3-BodyText"/>
      </w:pPr>
      <w:bookmarkStart w:id="65" w:name="_Ref190333339"/>
      <w:bookmarkStart w:id="66" w:name="_Ref184815075"/>
      <w:r w:rsidRPr="00E2449A">
        <w:t>The submission applied the results of the indirect comparison (cholestasis response) to estimate the transition probabilities</w:t>
      </w:r>
      <w:r w:rsidR="00A4433F" w:rsidRPr="00E2449A">
        <w:t xml:space="preserve"> be</w:t>
      </w:r>
      <w:r w:rsidR="002A7F7C" w:rsidRPr="00E2449A">
        <w:t>tween the mild, moderate and high-risk of PBC progression biochemical health states</w:t>
      </w:r>
      <w:r w:rsidRPr="00E2449A">
        <w:t xml:space="preserve">. In particular, the </w:t>
      </w:r>
      <w:r w:rsidR="00F75E9B" w:rsidRPr="00E2449A">
        <w:t>odds ratio (</w:t>
      </w:r>
      <w:r w:rsidR="00212BBF" w:rsidRPr="00E2449A">
        <w:t>OR</w:t>
      </w:r>
      <w:r w:rsidR="00F75E9B" w:rsidRPr="00E2449A">
        <w:t>)</w:t>
      </w:r>
      <w:r w:rsidRPr="00E2449A">
        <w:t xml:space="preserve"> </w:t>
      </w:r>
      <w:r w:rsidR="000B2E13" w:rsidRPr="00E2449A">
        <w:t xml:space="preserve">of </w:t>
      </w:r>
      <w:r w:rsidR="00385048" w:rsidRPr="00E2449A">
        <w:t xml:space="preserve">cholestasis response with </w:t>
      </w:r>
      <w:r w:rsidR="000B2E13" w:rsidRPr="00E2449A">
        <w:t>OCA v</w:t>
      </w:r>
      <w:r w:rsidR="00F75E9B" w:rsidRPr="00E2449A">
        <w:t>ersu</w:t>
      </w:r>
      <w:r w:rsidR="000B2E13" w:rsidRPr="00E2449A">
        <w:t xml:space="preserve">s </w:t>
      </w:r>
      <w:proofErr w:type="spellStart"/>
      <w:r w:rsidR="000B2E13" w:rsidRPr="00E2449A">
        <w:t>elafibranor</w:t>
      </w:r>
      <w:proofErr w:type="spellEnd"/>
      <w:r w:rsidR="000B2E13" w:rsidRPr="00E2449A">
        <w:t xml:space="preserve"> </w:t>
      </w:r>
      <w:r w:rsidRPr="00E2449A">
        <w:t>applied in the model was 0.26</w:t>
      </w:r>
      <w:r w:rsidR="000B2E13" w:rsidRPr="00E2449A">
        <w:t xml:space="preserve"> (</w:t>
      </w:r>
      <w:r w:rsidR="00F75E9B" w:rsidRPr="00E2449A">
        <w:t xml:space="preserve">i.e. favoured </w:t>
      </w:r>
      <w:proofErr w:type="spellStart"/>
      <w:r w:rsidR="000B2E13" w:rsidRPr="00E2449A">
        <w:t>elafibranor</w:t>
      </w:r>
      <w:proofErr w:type="spellEnd"/>
      <w:r w:rsidR="000B2E13" w:rsidRPr="00E2449A">
        <w:t>)</w:t>
      </w:r>
      <w:r w:rsidRPr="00E2449A">
        <w:t>. Th</w:t>
      </w:r>
      <w:r w:rsidR="008F785C" w:rsidRPr="00E2449A">
        <w:t>e ESC considered that th</w:t>
      </w:r>
      <w:r w:rsidRPr="00E2449A">
        <w:t xml:space="preserve">is was not appropriate </w:t>
      </w:r>
      <w:r w:rsidR="008F785C" w:rsidRPr="00E2449A">
        <w:t>as</w:t>
      </w:r>
      <w:r w:rsidR="006C691F" w:rsidRPr="00E2449A">
        <w:t>:</w:t>
      </w:r>
      <w:bookmarkEnd w:id="65"/>
      <w:r w:rsidR="008F785C" w:rsidRPr="00E2449A">
        <w:t xml:space="preserve"> </w:t>
      </w:r>
    </w:p>
    <w:p w14:paraId="56CAFA0F" w14:textId="46A78A36" w:rsidR="008C6F0B" w:rsidRPr="00E2449A" w:rsidRDefault="000D7248" w:rsidP="004F2B21">
      <w:pPr>
        <w:pStyle w:val="3-BodyText"/>
        <w:numPr>
          <w:ilvl w:val="1"/>
          <w:numId w:val="20"/>
        </w:numPr>
      </w:pPr>
      <w:r w:rsidRPr="00E2449A">
        <w:t xml:space="preserve">it was not consistent with the clinical claim that </w:t>
      </w:r>
      <w:proofErr w:type="spellStart"/>
      <w:r w:rsidRPr="00E2449A">
        <w:t>elafibranor</w:t>
      </w:r>
      <w:proofErr w:type="spellEnd"/>
      <w:r w:rsidRPr="00E2449A">
        <w:t xml:space="preserve"> was non-inferior in terms of effectiveness compared to OCA</w:t>
      </w:r>
      <w:r w:rsidR="008C6F0B" w:rsidRPr="00E2449A">
        <w:t>;</w:t>
      </w:r>
      <w:r w:rsidR="00637759" w:rsidRPr="00E2449A">
        <w:t xml:space="preserve"> </w:t>
      </w:r>
    </w:p>
    <w:p w14:paraId="2FBBE25B" w14:textId="6C7E041A" w:rsidR="008C6F0B" w:rsidRDefault="00F82878" w:rsidP="004F2B21">
      <w:pPr>
        <w:pStyle w:val="3-BodyText"/>
        <w:numPr>
          <w:ilvl w:val="1"/>
          <w:numId w:val="20"/>
        </w:numPr>
      </w:pPr>
      <w:r w:rsidRPr="05042C88">
        <w:t>t</w:t>
      </w:r>
      <w:r w:rsidR="000D7248" w:rsidRPr="05042C88">
        <w:t>he indirect comparison</w:t>
      </w:r>
      <w:r w:rsidR="00AD256A" w:rsidRPr="05042C88">
        <w:t>s</w:t>
      </w:r>
      <w:r w:rsidR="000D7248" w:rsidRPr="05042C88">
        <w:t xml:space="preserve"> of </w:t>
      </w:r>
      <w:proofErr w:type="spellStart"/>
      <w:r w:rsidR="000D7248" w:rsidRPr="05042C88">
        <w:t>elafibranor</w:t>
      </w:r>
      <w:proofErr w:type="spellEnd"/>
      <w:r w:rsidR="000D7248" w:rsidRPr="05042C88">
        <w:t xml:space="preserve"> compared to OCA in terms of cholestasis response </w:t>
      </w:r>
      <w:r w:rsidR="00690AE6" w:rsidRPr="05042C88">
        <w:t>w</w:t>
      </w:r>
      <w:r w:rsidR="00AD256A" w:rsidRPr="05042C88">
        <w:t>ere</w:t>
      </w:r>
      <w:r w:rsidR="00690AE6" w:rsidRPr="05042C88">
        <w:t xml:space="preserve"> </w:t>
      </w:r>
      <w:r w:rsidR="000D7248" w:rsidRPr="05042C88">
        <w:t xml:space="preserve">not </w:t>
      </w:r>
      <w:r w:rsidR="00BB63CE" w:rsidRPr="05042C88">
        <w:t>statistically</w:t>
      </w:r>
      <w:r w:rsidR="000D7248" w:rsidRPr="05042C88">
        <w:t xml:space="preserve"> </w:t>
      </w:r>
      <w:r w:rsidR="006F1041" w:rsidRPr="05042C88">
        <w:t>significant</w:t>
      </w:r>
      <w:r w:rsidR="00EB31CF" w:rsidRPr="05042C88">
        <w:t>ly</w:t>
      </w:r>
      <w:r w:rsidR="00985452" w:rsidRPr="05042C88">
        <w:t xml:space="preserve"> different</w:t>
      </w:r>
      <w:r w:rsidR="00C46570" w:rsidRPr="05042C88">
        <w:t>.</w:t>
      </w:r>
      <w:r w:rsidR="000D7248" w:rsidRPr="05042C88">
        <w:t xml:space="preserve"> </w:t>
      </w:r>
    </w:p>
    <w:p w14:paraId="79ACAE13" w14:textId="1DC10418" w:rsidR="000D7248" w:rsidRPr="00CB5596" w:rsidRDefault="000D7248" w:rsidP="008C6F0B">
      <w:pPr>
        <w:pStyle w:val="3-BodyText"/>
        <w:numPr>
          <w:ilvl w:val="0"/>
          <w:numId w:val="0"/>
        </w:numPr>
        <w:ind w:left="720"/>
      </w:pPr>
      <w:r w:rsidRPr="00CB5596">
        <w:t xml:space="preserve">The ICER was sensitive to applying a </w:t>
      </w:r>
      <w:r w:rsidR="00212BBF" w:rsidRPr="00CB5596">
        <w:t>OR</w:t>
      </w:r>
      <w:r w:rsidRPr="00CB5596">
        <w:t xml:space="preserve"> of 1</w:t>
      </w:r>
      <w:r w:rsidR="00212BBF" w:rsidRPr="00CB5596">
        <w:t>.0</w:t>
      </w:r>
      <w:r w:rsidRPr="00CB5596">
        <w:t>.</w:t>
      </w:r>
      <w:bookmarkEnd w:id="66"/>
      <w:r w:rsidR="007D1356">
        <w:t xml:space="preserve"> The pre-PBAC response </w:t>
      </w:r>
      <w:r w:rsidR="007E74F7">
        <w:t xml:space="preserve">acknowledged that the application </w:t>
      </w:r>
      <w:r w:rsidR="00C13E13">
        <w:t>of the odds ratio of 0.26 was not consistent with a clinical claim of non-inferior effectiveness</w:t>
      </w:r>
      <w:r w:rsidR="00CD527F">
        <w:t>.</w:t>
      </w:r>
    </w:p>
    <w:p w14:paraId="35CCB50F" w14:textId="6CF9A7E2" w:rsidR="00295548" w:rsidRPr="00FF10DD" w:rsidRDefault="00AD4E16" w:rsidP="00B8540C">
      <w:pPr>
        <w:pStyle w:val="3-BodyText"/>
      </w:pPr>
      <w:bookmarkStart w:id="67" w:name="_Ref184824292"/>
      <w:r w:rsidRPr="00FF10DD">
        <w:t xml:space="preserve">The </w:t>
      </w:r>
      <w:r w:rsidR="007F3EAD" w:rsidRPr="00FF10DD">
        <w:t xml:space="preserve">model applied </w:t>
      </w:r>
      <w:r w:rsidR="00C82FB2" w:rsidRPr="00FF10DD">
        <w:t xml:space="preserve">an OR </w:t>
      </w:r>
      <w:r w:rsidR="00D22039" w:rsidRPr="00FF10DD">
        <w:t>of 2.</w:t>
      </w:r>
      <w:r w:rsidR="005E4996" w:rsidRPr="00FF10DD">
        <w:t xml:space="preserve">73 </w:t>
      </w:r>
      <w:r w:rsidR="00C82FB2" w:rsidRPr="00FF10DD">
        <w:t>for all-cause discontinuation wit</w:t>
      </w:r>
      <w:r w:rsidR="00467B8F" w:rsidRPr="00FF10DD">
        <w:t>h</w:t>
      </w:r>
      <w:r w:rsidR="00C82FB2" w:rsidRPr="00FF10DD">
        <w:t xml:space="preserve"> OCA </w:t>
      </w:r>
      <w:r w:rsidR="00385048" w:rsidRPr="00FF10DD">
        <w:t>v</w:t>
      </w:r>
      <w:r w:rsidR="00E24BDD" w:rsidRPr="00FF10DD">
        <w:t>ersu</w:t>
      </w:r>
      <w:r w:rsidR="00385048" w:rsidRPr="00FF10DD">
        <w:t>s</w:t>
      </w:r>
      <w:r w:rsidR="00C82FB2" w:rsidRPr="00FF10DD">
        <w:t xml:space="preserve"> </w:t>
      </w:r>
      <w:proofErr w:type="spellStart"/>
      <w:r w:rsidR="00C82FB2" w:rsidRPr="00FF10DD">
        <w:t>elafibranor</w:t>
      </w:r>
      <w:proofErr w:type="spellEnd"/>
      <w:r w:rsidR="00385048" w:rsidRPr="00FF10DD">
        <w:t xml:space="preserve"> (i.e. a higher risk of discontinuation with OCA)</w:t>
      </w:r>
      <w:r w:rsidR="00467B8F" w:rsidRPr="00FF10DD">
        <w:t xml:space="preserve">. </w:t>
      </w:r>
      <w:r w:rsidR="003751A1" w:rsidRPr="00FF10DD">
        <w:t>Th</w:t>
      </w:r>
      <w:r w:rsidR="00AD6B6B" w:rsidRPr="00FF10DD">
        <w:t xml:space="preserve">e ESC noted that </w:t>
      </w:r>
      <w:r w:rsidR="00721316" w:rsidRPr="00FF10DD">
        <w:t xml:space="preserve">the analysis supporting </w:t>
      </w:r>
      <w:r w:rsidR="00AD6B6B" w:rsidRPr="00FF10DD">
        <w:t>th</w:t>
      </w:r>
      <w:r w:rsidR="003751A1" w:rsidRPr="00FF10DD">
        <w:t xml:space="preserve">is </w:t>
      </w:r>
      <w:r w:rsidR="00374E93" w:rsidRPr="00FF10DD">
        <w:t>result</w:t>
      </w:r>
      <w:r w:rsidR="00952B39" w:rsidRPr="00FF10DD">
        <w:t xml:space="preserve"> was not </w:t>
      </w:r>
      <w:r w:rsidR="00721316" w:rsidRPr="00FF10DD">
        <w:t>presented in the submission</w:t>
      </w:r>
      <w:r w:rsidR="00CC67ED" w:rsidRPr="00FF10DD">
        <w:t xml:space="preserve"> and therefore could not be verified</w:t>
      </w:r>
      <w:r w:rsidR="00461871" w:rsidRPr="00FF10DD">
        <w:t xml:space="preserve">. </w:t>
      </w:r>
      <w:r w:rsidR="00217D37" w:rsidRPr="00FF10DD">
        <w:t>Further, t</w:t>
      </w:r>
      <w:r w:rsidR="00671C29" w:rsidRPr="00FF10DD">
        <w:t xml:space="preserve">he </w:t>
      </w:r>
      <w:r w:rsidR="00AD6B6B" w:rsidRPr="00FF10DD">
        <w:t xml:space="preserve">ESC noted that the </w:t>
      </w:r>
      <w:r w:rsidR="00671C29" w:rsidRPr="00FF10DD">
        <w:t xml:space="preserve">indirect comparison </w:t>
      </w:r>
      <w:r w:rsidR="002907DD" w:rsidRPr="00FF10DD">
        <w:t>of discontinuations due to pruritus was not statistically significant</w:t>
      </w:r>
      <w:r w:rsidR="00EB31CF" w:rsidRPr="00FF10DD">
        <w:t>ly</w:t>
      </w:r>
      <w:r w:rsidR="00AD6B6B" w:rsidRPr="00FF10DD">
        <w:t xml:space="preserve"> different</w:t>
      </w:r>
      <w:r w:rsidR="003A5584" w:rsidRPr="00FF10DD">
        <w:t>.</w:t>
      </w:r>
      <w:bookmarkEnd w:id="67"/>
      <w:r w:rsidR="00DB6B87" w:rsidRPr="00FF10DD">
        <w:t xml:space="preserve"> The ICER was sensitive to applying a OR </w:t>
      </w:r>
      <w:r w:rsidR="00394E70" w:rsidRPr="00FF10DD">
        <w:t xml:space="preserve">for all-cause discontinuation </w:t>
      </w:r>
      <w:r w:rsidR="00DB6B87" w:rsidRPr="00FF10DD">
        <w:t>of 1.0.</w:t>
      </w:r>
      <w:r w:rsidR="00C269DA">
        <w:t xml:space="preserve"> </w:t>
      </w:r>
      <w:r w:rsidR="00671C7B">
        <w:t xml:space="preserve">The pre-PBAC response maintained, based on expert clinical opinion that the all-cause discontinuation rate for OCA was likely at least double that of </w:t>
      </w:r>
      <w:proofErr w:type="spellStart"/>
      <w:r w:rsidR="00671C7B">
        <w:t>elafibr</w:t>
      </w:r>
      <w:r w:rsidR="000D7A9B">
        <w:t>a</w:t>
      </w:r>
      <w:r w:rsidR="00671C7B">
        <w:t>nor</w:t>
      </w:r>
      <w:proofErr w:type="spellEnd"/>
      <w:r w:rsidR="00671C7B">
        <w:t xml:space="preserve">, </w:t>
      </w:r>
      <w:r w:rsidR="003F2468">
        <w:t xml:space="preserve">that </w:t>
      </w:r>
      <w:r w:rsidR="00671C7B">
        <w:t xml:space="preserve">this OR of 2.7 was justified. </w:t>
      </w:r>
    </w:p>
    <w:p w14:paraId="6A011EAB" w14:textId="602C3ED7" w:rsidR="009D5114" w:rsidRPr="00FF10DD" w:rsidRDefault="009D5114" w:rsidP="00E82E11">
      <w:pPr>
        <w:pStyle w:val="3-BodyText"/>
      </w:pPr>
      <w:bookmarkStart w:id="68" w:name="_Ref185269398"/>
      <w:r w:rsidRPr="00FF10DD">
        <w:t>The submission conducted regression and descriptive analyses on the EQ-5D-3L utility values that were obtained by mapping EQ-5D-5L data from the ELATIVE trial, using the Hernandez-Alava et al. (2020) mapping algorithm</w:t>
      </w:r>
      <w:r w:rsidR="00A94A07" w:rsidRPr="00FF10DD">
        <w:t>. However, t</w:t>
      </w:r>
      <w:r w:rsidR="00CD4EFF" w:rsidRPr="00FF10DD">
        <w:t xml:space="preserve">he submission </w:t>
      </w:r>
      <w:r w:rsidR="000B2207" w:rsidRPr="00FF10DD">
        <w:t>argued that t</w:t>
      </w:r>
      <w:r w:rsidR="00CD4EFF" w:rsidRPr="00FF10DD">
        <w:t>here were insufficient observations in the high-risk health state (N=78) to reliably inform utility values across all PBC biomarker health states.</w:t>
      </w:r>
      <w:r w:rsidR="000B2207" w:rsidRPr="00FF10DD">
        <w:t xml:space="preserve"> Consequently, the utilities </w:t>
      </w:r>
      <w:r w:rsidR="000B2207" w:rsidRPr="00FF10DD">
        <w:lastRenderedPageBreak/>
        <w:t xml:space="preserve">for the </w:t>
      </w:r>
      <w:r w:rsidR="00404B01" w:rsidRPr="00FF10DD">
        <w:t>mild</w:t>
      </w:r>
      <w:r w:rsidR="000B2207" w:rsidRPr="00FF10DD">
        <w:t xml:space="preserve">, moderate and high biomarker risk health states </w:t>
      </w:r>
      <w:r w:rsidR="00901281" w:rsidRPr="00FF10DD">
        <w:t>were based on Younossi (2001)</w:t>
      </w:r>
      <w:r w:rsidR="00677033" w:rsidRPr="00FF10DD">
        <w:t xml:space="preserve"> and Wright (2006)</w:t>
      </w:r>
      <w:r w:rsidR="000B2207" w:rsidRPr="00FF10DD">
        <w:t>.</w:t>
      </w:r>
      <w:r w:rsidR="00F900CB" w:rsidRPr="00FF10DD">
        <w:t xml:space="preserve"> </w:t>
      </w:r>
      <w:r w:rsidR="00677033" w:rsidRPr="00FF10DD">
        <w:t xml:space="preserve">Wright (2006) </w:t>
      </w:r>
      <w:r w:rsidR="009D06C6">
        <w:t>included</w:t>
      </w:r>
      <w:r w:rsidR="00677033" w:rsidRPr="00FF10DD">
        <w:t xml:space="preserve"> hepatitis C patients. </w:t>
      </w:r>
      <w:r w:rsidR="009C7583" w:rsidRPr="00FF10DD">
        <w:t xml:space="preserve">The ESC considered that </w:t>
      </w:r>
      <w:r w:rsidR="00074503" w:rsidRPr="00FF10DD">
        <w:t xml:space="preserve">the utility values from the ELATIVE trial should be used. </w:t>
      </w:r>
      <w:r w:rsidR="004A3D46" w:rsidRPr="00FF10DD">
        <w:t>The ICER was sensitive to applying utilities from the ELATIVE trial.</w:t>
      </w:r>
      <w:bookmarkEnd w:id="68"/>
    </w:p>
    <w:p w14:paraId="1AE8B737" w14:textId="2B130BD5" w:rsidR="002D0267" w:rsidRDefault="00B5552B" w:rsidP="002D0267">
      <w:pPr>
        <w:pStyle w:val="3-BodyText"/>
      </w:pPr>
      <w:r>
        <w:fldChar w:fldCharType="begin" w:fldLock="1"/>
      </w:r>
      <w:r>
        <w:instrText xml:space="preserve"> REF _Ref184715833 \h </w:instrText>
      </w:r>
      <w:r>
        <w:fldChar w:fldCharType="separate"/>
      </w:r>
      <w:r w:rsidR="002B3034" w:rsidRPr="0098262F">
        <w:t xml:space="preserve">Table </w:t>
      </w:r>
      <w:r w:rsidR="002B3034">
        <w:rPr>
          <w:noProof/>
        </w:rPr>
        <w:t>15</w:t>
      </w:r>
      <w:r>
        <w:fldChar w:fldCharType="end"/>
      </w:r>
      <w:r>
        <w:t xml:space="preserve"> </w:t>
      </w:r>
      <w:r w:rsidR="002D0267" w:rsidRPr="002D0267">
        <w:t xml:space="preserve">summarises the key drivers of the model. </w:t>
      </w:r>
    </w:p>
    <w:p w14:paraId="20C07F14" w14:textId="0850A218" w:rsidR="00D110BD" w:rsidRPr="0098262F" w:rsidRDefault="00E16AD8" w:rsidP="00B5552B">
      <w:pPr>
        <w:pStyle w:val="Caption"/>
        <w:rPr>
          <w:rStyle w:val="CommentReference"/>
          <w:b/>
          <w:szCs w:val="24"/>
        </w:rPr>
      </w:pPr>
      <w:bookmarkStart w:id="69" w:name="_Ref184715833"/>
      <w:r w:rsidRPr="0098262F">
        <w:t xml:space="preserve">Table </w:t>
      </w:r>
      <w:r w:rsidR="00780A90">
        <w:fldChar w:fldCharType="begin" w:fldLock="1"/>
      </w:r>
      <w:r w:rsidR="00780A90">
        <w:instrText xml:space="preserve"> SEQ Table \* ARABIC </w:instrText>
      </w:r>
      <w:r w:rsidR="00780A90">
        <w:fldChar w:fldCharType="separate"/>
      </w:r>
      <w:r w:rsidR="00780A90">
        <w:rPr>
          <w:noProof/>
        </w:rPr>
        <w:t>15</w:t>
      </w:r>
      <w:r w:rsidR="00780A90">
        <w:rPr>
          <w:noProof/>
        </w:rPr>
        <w:fldChar w:fldCharType="end"/>
      </w:r>
      <w:bookmarkEnd w:id="69"/>
      <w:r w:rsidRPr="0098262F">
        <w:t>:</w:t>
      </w:r>
      <w:r w:rsidR="00D110BD"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619"/>
        <w:gridCol w:w="2685"/>
      </w:tblGrid>
      <w:tr w:rsidR="00A4497B" w:rsidRPr="007A7A2A" w14:paraId="76C5E356" w14:textId="77777777" w:rsidTr="05042C88">
        <w:trPr>
          <w:tblHeader/>
        </w:trPr>
        <w:tc>
          <w:tcPr>
            <w:tcW w:w="950" w:type="pct"/>
            <w:shd w:val="clear" w:color="auto" w:fill="auto"/>
            <w:vAlign w:val="center"/>
          </w:tcPr>
          <w:p w14:paraId="13D7D572" w14:textId="77777777" w:rsidR="00A4497B" w:rsidRPr="00CB5596" w:rsidRDefault="00A4497B" w:rsidP="005E29AF">
            <w:pPr>
              <w:keepNext/>
              <w:jc w:val="center"/>
              <w:rPr>
                <w:rFonts w:ascii="Arial Narrow" w:hAnsi="Arial Narrow" w:cs="Times New Roman"/>
                <w:b/>
                <w:sz w:val="20"/>
                <w:szCs w:val="22"/>
                <w:lang w:eastAsia="en-US"/>
              </w:rPr>
            </w:pPr>
            <w:r w:rsidRPr="00CB5596">
              <w:rPr>
                <w:rFonts w:ascii="Arial Narrow" w:hAnsi="Arial Narrow" w:cs="Times New Roman"/>
                <w:b/>
                <w:sz w:val="20"/>
                <w:szCs w:val="22"/>
                <w:lang w:eastAsia="en-US"/>
              </w:rPr>
              <w:t>Description</w:t>
            </w:r>
          </w:p>
        </w:tc>
        <w:tc>
          <w:tcPr>
            <w:tcW w:w="2561" w:type="pct"/>
            <w:shd w:val="clear" w:color="auto" w:fill="auto"/>
            <w:vAlign w:val="center"/>
          </w:tcPr>
          <w:p w14:paraId="5A242C36" w14:textId="77777777" w:rsidR="00A4497B" w:rsidRPr="00CB5596" w:rsidRDefault="00A4497B" w:rsidP="004A7088">
            <w:pPr>
              <w:keepNext/>
              <w:jc w:val="center"/>
              <w:rPr>
                <w:rFonts w:ascii="Arial Narrow" w:hAnsi="Arial Narrow" w:cs="Times New Roman"/>
                <w:b/>
                <w:sz w:val="20"/>
                <w:szCs w:val="22"/>
                <w:lang w:eastAsia="en-US"/>
              </w:rPr>
            </w:pPr>
            <w:r w:rsidRPr="00CB5596">
              <w:rPr>
                <w:rFonts w:ascii="Arial Narrow" w:hAnsi="Arial Narrow" w:cs="Times New Roman"/>
                <w:b/>
                <w:sz w:val="20"/>
                <w:szCs w:val="22"/>
                <w:lang w:eastAsia="en-US"/>
              </w:rPr>
              <w:t>Method/Value</w:t>
            </w:r>
          </w:p>
        </w:tc>
        <w:tc>
          <w:tcPr>
            <w:tcW w:w="1489" w:type="pct"/>
            <w:shd w:val="clear" w:color="auto" w:fill="auto"/>
            <w:vAlign w:val="center"/>
          </w:tcPr>
          <w:p w14:paraId="38C0FD7E" w14:textId="77777777" w:rsidR="00A4497B" w:rsidRPr="00CB5596" w:rsidRDefault="00A4497B" w:rsidP="004A7088">
            <w:pPr>
              <w:keepNext/>
              <w:jc w:val="center"/>
              <w:rPr>
                <w:rFonts w:ascii="Arial Narrow" w:hAnsi="Arial Narrow" w:cs="Times New Roman"/>
                <w:b/>
                <w:sz w:val="20"/>
                <w:szCs w:val="22"/>
                <w:lang w:eastAsia="en-US"/>
              </w:rPr>
            </w:pPr>
            <w:r w:rsidRPr="00CB5596">
              <w:rPr>
                <w:rFonts w:ascii="Arial Narrow" w:hAnsi="Arial Narrow" w:cs="Times New Roman"/>
                <w:b/>
                <w:sz w:val="20"/>
                <w:szCs w:val="22"/>
                <w:lang w:eastAsia="en-US"/>
              </w:rPr>
              <w:t>Impact</w:t>
            </w:r>
          </w:p>
          <w:p w14:paraId="5EC99780" w14:textId="2A743482" w:rsidR="00A4497B" w:rsidRPr="00CB5596" w:rsidRDefault="00A4497B" w:rsidP="005E29AF">
            <w:pPr>
              <w:keepNext/>
              <w:jc w:val="center"/>
              <w:rPr>
                <w:rFonts w:ascii="Arial Narrow" w:hAnsi="Arial Narrow" w:cs="Times New Roman"/>
                <w:b/>
                <w:sz w:val="20"/>
                <w:szCs w:val="22"/>
                <w:lang w:eastAsia="en-US"/>
              </w:rPr>
            </w:pPr>
            <w:r w:rsidRPr="00CB5596">
              <w:rPr>
                <w:rFonts w:ascii="Arial Narrow" w:hAnsi="Arial Narrow" w:cs="Times New Roman"/>
                <w:b/>
                <w:sz w:val="20"/>
                <w:szCs w:val="22"/>
                <w:lang w:eastAsia="en-US"/>
              </w:rPr>
              <w:t xml:space="preserve">Base Case: </w:t>
            </w:r>
            <w:r w:rsidR="00B55D47" w:rsidRPr="00B55D47">
              <w:rPr>
                <w:rFonts w:ascii="Arial Narrow" w:hAnsi="Arial Narrow" w:cs="Times New Roman"/>
                <w:b/>
                <w:color w:val="000000"/>
                <w:spacing w:val="52"/>
                <w:sz w:val="20"/>
                <w:szCs w:val="22"/>
                <w:shd w:val="solid" w:color="000000" w:fill="000000"/>
                <w:fitText w:val="340" w:id="-694465279"/>
                <w:lang w:eastAsia="en-US"/>
                <w14:textFill>
                  <w14:solidFill>
                    <w14:srgbClr w14:val="000000">
                      <w14:alpha w14:val="100000"/>
                    </w14:srgbClr>
                  </w14:solidFill>
                </w14:textFill>
              </w:rPr>
              <w:t>|||</w:t>
            </w:r>
            <w:r w:rsidR="00B55D47" w:rsidRPr="00B55D47">
              <w:rPr>
                <w:rFonts w:ascii="Arial Narrow" w:hAnsi="Arial Narrow" w:cs="Times New Roman"/>
                <w:b/>
                <w:color w:val="000000"/>
                <w:spacing w:val="1"/>
                <w:sz w:val="20"/>
                <w:szCs w:val="22"/>
                <w:shd w:val="solid" w:color="000000" w:fill="000000"/>
                <w:fitText w:val="340" w:id="-694465279"/>
                <w:lang w:eastAsia="en-US"/>
                <w14:textFill>
                  <w14:solidFill>
                    <w14:srgbClr w14:val="000000">
                      <w14:alpha w14:val="100000"/>
                    </w14:srgbClr>
                  </w14:solidFill>
                </w14:textFill>
              </w:rPr>
              <w:t>|</w:t>
            </w:r>
            <w:r w:rsidR="00580944" w:rsidRPr="00580944">
              <w:rPr>
                <w:rFonts w:ascii="Arial Narrow" w:hAnsi="Arial Narrow" w:cs="Times New Roman"/>
                <w:b/>
                <w:sz w:val="20"/>
                <w:szCs w:val="22"/>
                <w:vertAlign w:val="superscript"/>
                <w:lang w:eastAsia="en-US"/>
              </w:rPr>
              <w:t>1</w:t>
            </w:r>
            <w:r w:rsidRPr="00CB5596">
              <w:rPr>
                <w:rFonts w:ascii="Arial Narrow" w:hAnsi="Arial Narrow" w:cs="Times New Roman"/>
                <w:b/>
                <w:sz w:val="20"/>
                <w:szCs w:val="22"/>
                <w:lang w:eastAsia="en-US"/>
              </w:rPr>
              <w:t>/QALY gained.</w:t>
            </w:r>
          </w:p>
        </w:tc>
      </w:tr>
      <w:tr w:rsidR="00B21DDE" w:rsidRPr="007A7A2A" w14:paraId="40ED9CB7" w14:textId="77777777" w:rsidTr="05042C88">
        <w:tc>
          <w:tcPr>
            <w:tcW w:w="950" w:type="pct"/>
            <w:shd w:val="clear" w:color="auto" w:fill="auto"/>
            <w:vAlign w:val="center"/>
          </w:tcPr>
          <w:p w14:paraId="035A1AF8" w14:textId="77777777" w:rsidR="00B21DDE" w:rsidRPr="00CB5596" w:rsidRDefault="00B21DDE" w:rsidP="05042C88">
            <w:pPr>
              <w:keepNext/>
              <w:jc w:val="left"/>
              <w:rPr>
                <w:rFonts w:ascii="Arial Narrow" w:hAnsi="Arial Narrow" w:cs="Times New Roman"/>
                <w:sz w:val="20"/>
                <w:szCs w:val="20"/>
                <w:lang w:eastAsia="en-US"/>
              </w:rPr>
            </w:pPr>
            <w:r w:rsidRPr="05042C88">
              <w:rPr>
                <w:rFonts w:ascii="Arial Narrow" w:hAnsi="Arial Narrow" w:cs="Times New Roman"/>
                <w:sz w:val="20"/>
                <w:szCs w:val="20"/>
                <w:lang w:eastAsia="en-US"/>
              </w:rPr>
              <w:t>Applying alternative biomarker utilities from the ELATIVE trial (EQ-5D-3L)</w:t>
            </w:r>
            <w:r w:rsidRPr="05042C88">
              <w:rPr>
                <w:rFonts w:ascii="Arial Narrow" w:hAnsi="Arial Narrow" w:cs="Times New Roman"/>
                <w:sz w:val="20"/>
                <w:szCs w:val="20"/>
                <w:vertAlign w:val="superscript"/>
                <w:lang w:eastAsia="en-US"/>
              </w:rPr>
              <w:t>a</w:t>
            </w:r>
            <w:r w:rsidRPr="05042C88">
              <w:rPr>
                <w:rFonts w:ascii="Arial Narrow" w:hAnsi="Arial Narrow" w:cs="Times New Roman"/>
                <w:sz w:val="20"/>
                <w:szCs w:val="20"/>
                <w:lang w:eastAsia="en-US"/>
              </w:rPr>
              <w:t xml:space="preserve"> </w:t>
            </w:r>
          </w:p>
        </w:tc>
        <w:tc>
          <w:tcPr>
            <w:tcW w:w="2561" w:type="pct"/>
            <w:shd w:val="clear" w:color="auto" w:fill="auto"/>
            <w:vAlign w:val="center"/>
          </w:tcPr>
          <w:p w14:paraId="32C956B0" w14:textId="3A3B3C21" w:rsidR="00B21DDE" w:rsidRPr="00CB5596" w:rsidRDefault="6EBABB6A" w:rsidP="05042C88">
            <w:pPr>
              <w:keepNext/>
              <w:jc w:val="left"/>
              <w:rPr>
                <w:rFonts w:ascii="Arial Narrow" w:hAnsi="Arial Narrow" w:cs="Times New Roman"/>
                <w:sz w:val="20"/>
                <w:szCs w:val="20"/>
                <w:lang w:eastAsia="en-US"/>
              </w:rPr>
            </w:pPr>
            <w:r w:rsidRPr="05042C88">
              <w:rPr>
                <w:rFonts w:ascii="Arial Narrow" w:hAnsi="Arial Narrow" w:cs="Times New Roman"/>
                <w:sz w:val="20"/>
                <w:szCs w:val="20"/>
                <w:lang w:eastAsia="en-US"/>
              </w:rPr>
              <w:t xml:space="preserve">The </w:t>
            </w:r>
            <w:r w:rsidR="766B459F" w:rsidRPr="05042C88">
              <w:rPr>
                <w:rFonts w:ascii="Arial Narrow" w:hAnsi="Arial Narrow" w:cs="Times New Roman"/>
                <w:sz w:val="20"/>
                <w:szCs w:val="20"/>
                <w:lang w:eastAsia="en-US"/>
              </w:rPr>
              <w:t xml:space="preserve">utility values applied in the </w:t>
            </w:r>
            <w:r w:rsidRPr="05042C88">
              <w:rPr>
                <w:rFonts w:ascii="Arial Narrow" w:hAnsi="Arial Narrow" w:cs="Times New Roman"/>
                <w:sz w:val="20"/>
                <w:szCs w:val="20"/>
                <w:lang w:eastAsia="en-US"/>
              </w:rPr>
              <w:t xml:space="preserve">model </w:t>
            </w:r>
            <w:r w:rsidR="766B459F" w:rsidRPr="05042C88">
              <w:rPr>
                <w:rFonts w:ascii="Arial Narrow" w:hAnsi="Arial Narrow" w:cs="Times New Roman"/>
                <w:sz w:val="20"/>
                <w:szCs w:val="20"/>
                <w:lang w:eastAsia="en-US"/>
              </w:rPr>
              <w:t>were</w:t>
            </w:r>
            <w:r w:rsidRPr="05042C88">
              <w:rPr>
                <w:rFonts w:ascii="Arial Narrow" w:hAnsi="Arial Narrow" w:cs="Times New Roman"/>
                <w:sz w:val="20"/>
                <w:szCs w:val="20"/>
                <w:lang w:eastAsia="en-US"/>
              </w:rPr>
              <w:t xml:space="preserve"> mild-risk=0.84; moderate-risk=0.84; and high-risk=0.55 from</w:t>
            </w:r>
            <w:r w:rsidR="00677033" w:rsidRPr="05042C88">
              <w:rPr>
                <w:rFonts w:ascii="Arial Narrow" w:hAnsi="Arial Narrow" w:cs="Times New Roman"/>
                <w:sz w:val="20"/>
                <w:szCs w:val="20"/>
                <w:lang w:eastAsia="en-US"/>
              </w:rPr>
              <w:t xml:space="preserve"> Younossi (2001) and</w:t>
            </w:r>
            <w:r w:rsidRPr="05042C88">
              <w:rPr>
                <w:rFonts w:ascii="Arial Narrow" w:hAnsi="Arial Narrow" w:cs="Times New Roman"/>
                <w:sz w:val="20"/>
                <w:szCs w:val="20"/>
                <w:lang w:eastAsia="en-US"/>
              </w:rPr>
              <w:t xml:space="preserve"> Wright (2006).</w:t>
            </w:r>
            <w:r w:rsidR="00B21DDE" w:rsidRPr="05042C88">
              <w:rPr>
                <w:rStyle w:val="FootnoteReference"/>
                <w:rFonts w:ascii="Arial Narrow" w:hAnsi="Arial Narrow" w:cs="Times New Roman"/>
                <w:sz w:val="20"/>
                <w:szCs w:val="20"/>
                <w:lang w:eastAsia="en-US"/>
              </w:rPr>
              <w:footnoteReference w:id="39"/>
            </w:r>
            <w:r w:rsidRPr="05042C88">
              <w:rPr>
                <w:rFonts w:ascii="Arial Narrow" w:hAnsi="Arial Narrow" w:cs="Times New Roman"/>
                <w:sz w:val="20"/>
                <w:szCs w:val="20"/>
                <w:lang w:eastAsia="en-US"/>
              </w:rPr>
              <w:t xml:space="preserve"> </w:t>
            </w:r>
          </w:p>
          <w:p w14:paraId="710F796C" w14:textId="15CC3F50" w:rsidR="00B21DDE" w:rsidRPr="00CB5596" w:rsidRDefault="00677033" w:rsidP="00A046E2">
            <w:pPr>
              <w:keepNext/>
              <w:jc w:val="left"/>
              <w:rPr>
                <w:rFonts w:ascii="Arial Narrow" w:hAnsi="Arial Narrow" w:cs="Times New Roman"/>
                <w:sz w:val="20"/>
                <w:szCs w:val="20"/>
                <w:lang w:eastAsia="en-US"/>
              </w:rPr>
            </w:pPr>
            <w:r w:rsidRPr="00CB5596">
              <w:rPr>
                <w:rFonts w:ascii="Arial Narrow" w:hAnsi="Arial Narrow" w:cs="Times New Roman"/>
                <w:sz w:val="20"/>
                <w:szCs w:val="20"/>
                <w:lang w:eastAsia="en-US"/>
              </w:rPr>
              <w:t>Trial-based utilities from the ELATIVE trial were available.</w:t>
            </w:r>
          </w:p>
        </w:tc>
        <w:tc>
          <w:tcPr>
            <w:tcW w:w="1489" w:type="pct"/>
            <w:shd w:val="clear" w:color="auto" w:fill="auto"/>
            <w:vAlign w:val="center"/>
          </w:tcPr>
          <w:p w14:paraId="79B21C1E" w14:textId="495F880B" w:rsidR="00B21DDE" w:rsidRPr="00CB5596" w:rsidRDefault="00B21DDE" w:rsidP="05042C88">
            <w:pPr>
              <w:keepNext/>
              <w:jc w:val="left"/>
              <w:rPr>
                <w:rFonts w:ascii="Arial Narrow" w:hAnsi="Arial Narrow" w:cs="Times New Roman"/>
                <w:sz w:val="20"/>
                <w:szCs w:val="20"/>
                <w:lang w:eastAsia="en-US"/>
              </w:rPr>
            </w:pPr>
            <w:r w:rsidRPr="05042C88">
              <w:rPr>
                <w:rFonts w:ascii="Arial Narrow" w:hAnsi="Arial Narrow" w:cs="Times New Roman"/>
                <w:sz w:val="20"/>
                <w:szCs w:val="20"/>
                <w:lang w:eastAsia="en-US"/>
              </w:rPr>
              <w:t xml:space="preserve">High. Favours </w:t>
            </w:r>
            <w:r w:rsidR="00FE6C19" w:rsidRPr="05042C88">
              <w:rPr>
                <w:rFonts w:ascii="Arial Narrow" w:hAnsi="Arial Narrow" w:cs="Times New Roman"/>
                <w:sz w:val="20"/>
                <w:szCs w:val="20"/>
                <w:lang w:eastAsia="en-US"/>
              </w:rPr>
              <w:t>ELA</w:t>
            </w:r>
            <w:r w:rsidRPr="05042C88">
              <w:rPr>
                <w:rFonts w:ascii="Arial Narrow" w:hAnsi="Arial Narrow" w:cs="Times New Roman"/>
                <w:sz w:val="20"/>
                <w:szCs w:val="20"/>
                <w:lang w:eastAsia="en-US"/>
              </w:rPr>
              <w:t xml:space="preserve">. </w:t>
            </w:r>
            <w:r w:rsidR="00A35D2A" w:rsidRPr="05042C88">
              <w:rPr>
                <w:rFonts w:ascii="Arial Narrow" w:eastAsiaTheme="majorEastAsia" w:hAnsi="Arial Narrow" w:cstheme="majorBidi"/>
                <w:sz w:val="20"/>
                <w:szCs w:val="20"/>
              </w:rPr>
              <w:t xml:space="preserve">Applying </w:t>
            </w:r>
            <w:r w:rsidRPr="05042C88">
              <w:rPr>
                <w:rFonts w:ascii="Arial Narrow" w:eastAsiaTheme="majorEastAsia" w:hAnsi="Arial Narrow" w:cstheme="majorBidi"/>
                <w:sz w:val="20"/>
                <w:szCs w:val="20"/>
              </w:rPr>
              <w:t xml:space="preserve">utility values for the mild, moderate and high-risk health states </w:t>
            </w:r>
            <w:r w:rsidR="00A35D2A" w:rsidRPr="05042C88">
              <w:rPr>
                <w:rFonts w:ascii="Arial Narrow" w:eastAsiaTheme="majorEastAsia" w:hAnsi="Arial Narrow" w:cstheme="majorBidi"/>
                <w:sz w:val="20"/>
                <w:szCs w:val="20"/>
              </w:rPr>
              <w:t xml:space="preserve">from </w:t>
            </w:r>
            <w:r w:rsidRPr="05042C88">
              <w:rPr>
                <w:rFonts w:ascii="Arial Narrow" w:eastAsiaTheme="majorEastAsia" w:hAnsi="Arial Narrow" w:cstheme="majorBidi"/>
                <w:sz w:val="20"/>
                <w:szCs w:val="20"/>
              </w:rPr>
              <w:t xml:space="preserve">the ELATIVE trial estimated from the regression analysis increased the ICER from </w:t>
            </w:r>
            <w:r w:rsidR="00B55D47" w:rsidRPr="00B55D47">
              <w:rPr>
                <w:rFonts w:ascii="Arial Narrow" w:eastAsiaTheme="majorEastAsia" w:hAnsi="Arial Narrow" w:cstheme="majorBidi"/>
                <w:color w:val="000000"/>
                <w:spacing w:val="53"/>
                <w:sz w:val="20"/>
                <w:szCs w:val="20"/>
                <w:shd w:val="solid" w:color="000000" w:fill="000000"/>
                <w:fitText w:val="330" w:id="-694465278"/>
                <w14:textFill>
                  <w14:solidFill>
                    <w14:srgbClr w14:val="000000">
                      <w14:alpha w14:val="100000"/>
                    </w14:srgbClr>
                  </w14:solidFill>
                </w14:textFill>
              </w:rPr>
              <w:t>|||</w:t>
            </w:r>
            <w:r w:rsidR="00B55D47" w:rsidRPr="00B55D47">
              <w:rPr>
                <w:rFonts w:ascii="Arial Narrow" w:eastAsiaTheme="majorEastAsia" w:hAnsi="Arial Narrow" w:cstheme="majorBidi"/>
                <w:color w:val="000000"/>
                <w:spacing w:val="1"/>
                <w:sz w:val="20"/>
                <w:szCs w:val="20"/>
                <w:shd w:val="solid" w:color="000000" w:fill="000000"/>
                <w:fitText w:val="330" w:id="-694465278"/>
                <w14:textFill>
                  <w14:solidFill>
                    <w14:srgbClr w14:val="000000">
                      <w14:alpha w14:val="100000"/>
                    </w14:srgbClr>
                  </w14:solidFill>
                </w14:textFill>
              </w:rPr>
              <w:t>|</w:t>
            </w:r>
            <w:r w:rsidRPr="05042C88">
              <w:rPr>
                <w:rFonts w:ascii="Arial Narrow" w:eastAsiaTheme="majorEastAsia" w:hAnsi="Arial Narrow" w:cstheme="majorBidi"/>
                <w:sz w:val="20"/>
                <w:szCs w:val="20"/>
              </w:rPr>
              <w:t xml:space="preserve"> </w:t>
            </w:r>
            <w:r w:rsidR="00580944" w:rsidRPr="00580944">
              <w:rPr>
                <w:rFonts w:ascii="Arial Narrow" w:hAnsi="Arial Narrow" w:cs="Times New Roman"/>
                <w:b/>
                <w:sz w:val="20"/>
                <w:szCs w:val="22"/>
                <w:vertAlign w:val="superscript"/>
                <w:lang w:eastAsia="en-US"/>
              </w:rPr>
              <w:t>1</w:t>
            </w:r>
            <w:r w:rsidR="00B05C10">
              <w:rPr>
                <w:rFonts w:ascii="Arial Narrow" w:hAnsi="Arial Narrow" w:cs="Times New Roman"/>
                <w:b/>
                <w:sz w:val="20"/>
                <w:szCs w:val="22"/>
                <w:vertAlign w:val="superscript"/>
                <w:lang w:eastAsia="en-US"/>
              </w:rPr>
              <w:t xml:space="preserve"> </w:t>
            </w:r>
            <w:r w:rsidRPr="05042C88">
              <w:rPr>
                <w:rFonts w:ascii="Arial Narrow" w:eastAsiaTheme="majorEastAsia" w:hAnsi="Arial Narrow" w:cstheme="majorBidi"/>
                <w:sz w:val="20"/>
                <w:szCs w:val="20"/>
              </w:rPr>
              <w:t xml:space="preserve">to </w:t>
            </w:r>
            <w:r w:rsidR="00B55D47" w:rsidRPr="00B55D47">
              <w:rPr>
                <w:rFonts w:ascii="Arial Narrow" w:eastAsiaTheme="majorEastAsia" w:hAnsi="Arial Narrow" w:cstheme="majorBidi"/>
                <w:color w:val="000000"/>
                <w:spacing w:val="53"/>
                <w:sz w:val="20"/>
                <w:szCs w:val="20"/>
                <w:shd w:val="solid" w:color="000000" w:fill="000000"/>
                <w:fitText w:val="330" w:id="-694465277"/>
                <w14:textFill>
                  <w14:solidFill>
                    <w14:srgbClr w14:val="000000">
                      <w14:alpha w14:val="100000"/>
                    </w14:srgbClr>
                  </w14:solidFill>
                </w14:textFill>
              </w:rPr>
              <w:t>|||</w:t>
            </w:r>
            <w:r w:rsidR="00B55D47" w:rsidRPr="00B55D47">
              <w:rPr>
                <w:rFonts w:ascii="Arial Narrow" w:eastAsiaTheme="majorEastAsia" w:hAnsi="Arial Narrow" w:cstheme="majorBidi"/>
                <w:color w:val="000000"/>
                <w:spacing w:val="1"/>
                <w:sz w:val="20"/>
                <w:szCs w:val="20"/>
                <w:shd w:val="solid" w:color="000000" w:fill="000000"/>
                <w:fitText w:val="330" w:id="-694465277"/>
                <w14:textFill>
                  <w14:solidFill>
                    <w14:srgbClr w14:val="000000">
                      <w14:alpha w14:val="100000"/>
                    </w14:srgbClr>
                  </w14:solidFill>
                </w14:textFill>
              </w:rPr>
              <w:t>|</w:t>
            </w:r>
            <w:r w:rsidR="00580944" w:rsidRPr="00580944">
              <w:rPr>
                <w:rFonts w:ascii="Arial Narrow" w:hAnsi="Arial Narrow" w:cs="Times New Roman"/>
                <w:b/>
                <w:sz w:val="20"/>
                <w:szCs w:val="22"/>
                <w:vertAlign w:val="superscript"/>
                <w:lang w:eastAsia="en-US"/>
              </w:rPr>
              <w:t>1</w:t>
            </w:r>
            <w:r w:rsidRPr="05042C88">
              <w:rPr>
                <w:rFonts w:ascii="Arial Narrow" w:eastAsiaTheme="majorEastAsia" w:hAnsi="Arial Narrow" w:cstheme="majorBidi"/>
                <w:sz w:val="20"/>
                <w:szCs w:val="20"/>
              </w:rPr>
              <w:t>/QALY gained</w:t>
            </w:r>
            <w:r w:rsidR="00A35D2A" w:rsidRPr="05042C88">
              <w:rPr>
                <w:rFonts w:ascii="Arial Narrow" w:eastAsiaTheme="majorEastAsia" w:hAnsi="Arial Narrow" w:cstheme="majorBidi"/>
                <w:sz w:val="20"/>
                <w:szCs w:val="20"/>
              </w:rPr>
              <w:t xml:space="preserve">. Applying values </w:t>
            </w:r>
            <w:r w:rsidR="003F0D40" w:rsidRPr="05042C88">
              <w:rPr>
                <w:rFonts w:ascii="Arial Narrow" w:eastAsiaTheme="majorEastAsia" w:hAnsi="Arial Narrow" w:cstheme="majorBidi"/>
                <w:sz w:val="20"/>
                <w:szCs w:val="20"/>
              </w:rPr>
              <w:t xml:space="preserve">from ELATIVE estimated from </w:t>
            </w:r>
            <w:r w:rsidR="00FE6C19" w:rsidRPr="05042C88">
              <w:rPr>
                <w:rFonts w:ascii="Arial Narrow" w:eastAsiaTheme="majorEastAsia" w:hAnsi="Arial Narrow" w:cstheme="majorBidi"/>
                <w:sz w:val="20"/>
                <w:szCs w:val="20"/>
              </w:rPr>
              <w:t xml:space="preserve">the </w:t>
            </w:r>
            <w:r w:rsidRPr="05042C88">
              <w:rPr>
                <w:rFonts w:ascii="Arial Narrow" w:eastAsiaTheme="majorEastAsia" w:hAnsi="Arial Narrow" w:cstheme="majorBidi"/>
                <w:sz w:val="20"/>
                <w:szCs w:val="20"/>
              </w:rPr>
              <w:t xml:space="preserve">descriptive analysis increased the ICER from </w:t>
            </w:r>
            <w:r w:rsidR="00B55D47" w:rsidRPr="00B55D47">
              <w:rPr>
                <w:rFonts w:ascii="Arial Narrow" w:eastAsiaTheme="majorEastAsia" w:hAnsi="Arial Narrow" w:cstheme="majorBidi"/>
                <w:color w:val="000000"/>
                <w:spacing w:val="53"/>
                <w:sz w:val="20"/>
                <w:szCs w:val="20"/>
                <w:shd w:val="solid" w:color="000000" w:fill="000000"/>
                <w:fitText w:val="330" w:id="-694465276"/>
                <w14:textFill>
                  <w14:solidFill>
                    <w14:srgbClr w14:val="000000">
                      <w14:alpha w14:val="100000"/>
                    </w14:srgbClr>
                  </w14:solidFill>
                </w14:textFill>
              </w:rPr>
              <w:t>|||</w:t>
            </w:r>
            <w:r w:rsidR="00B55D47" w:rsidRPr="00B55D47">
              <w:rPr>
                <w:rFonts w:ascii="Arial Narrow" w:eastAsiaTheme="majorEastAsia" w:hAnsi="Arial Narrow" w:cstheme="majorBidi"/>
                <w:color w:val="000000"/>
                <w:spacing w:val="1"/>
                <w:sz w:val="20"/>
                <w:szCs w:val="20"/>
                <w:shd w:val="solid" w:color="000000" w:fill="000000"/>
                <w:fitText w:val="330" w:id="-694465276"/>
                <w14:textFill>
                  <w14:solidFill>
                    <w14:srgbClr w14:val="000000">
                      <w14:alpha w14:val="100000"/>
                    </w14:srgbClr>
                  </w14:solidFill>
                </w14:textFill>
              </w:rPr>
              <w:t>|</w:t>
            </w:r>
            <w:r w:rsidRPr="05042C88">
              <w:rPr>
                <w:rFonts w:ascii="Arial Narrow" w:eastAsiaTheme="majorEastAsia" w:hAnsi="Arial Narrow" w:cstheme="majorBidi"/>
                <w:sz w:val="20"/>
                <w:szCs w:val="20"/>
              </w:rPr>
              <w:t xml:space="preserve"> </w:t>
            </w:r>
            <w:r w:rsidR="00580944" w:rsidRPr="00580944">
              <w:rPr>
                <w:rFonts w:ascii="Arial Narrow" w:hAnsi="Arial Narrow" w:cs="Times New Roman"/>
                <w:b/>
                <w:sz w:val="20"/>
                <w:szCs w:val="22"/>
                <w:vertAlign w:val="superscript"/>
                <w:lang w:eastAsia="en-US"/>
              </w:rPr>
              <w:t>1</w:t>
            </w:r>
            <w:r w:rsidR="00580944">
              <w:rPr>
                <w:rFonts w:ascii="Arial Narrow" w:hAnsi="Arial Narrow" w:cs="Times New Roman"/>
                <w:b/>
                <w:sz w:val="20"/>
                <w:szCs w:val="22"/>
                <w:vertAlign w:val="superscript"/>
                <w:lang w:eastAsia="en-US"/>
              </w:rPr>
              <w:t xml:space="preserve"> </w:t>
            </w:r>
            <w:r w:rsidRPr="05042C88">
              <w:rPr>
                <w:rFonts w:ascii="Arial Narrow" w:eastAsiaTheme="majorEastAsia" w:hAnsi="Arial Narrow" w:cstheme="majorBidi"/>
                <w:sz w:val="20"/>
                <w:szCs w:val="20"/>
              </w:rPr>
              <w:t xml:space="preserve">to </w:t>
            </w:r>
            <w:r w:rsidR="00B55D47" w:rsidRPr="00B55D47">
              <w:rPr>
                <w:rFonts w:ascii="Arial Narrow" w:eastAsiaTheme="majorEastAsia" w:hAnsi="Arial Narrow" w:cstheme="majorBidi"/>
                <w:color w:val="000000"/>
                <w:spacing w:val="53"/>
                <w:sz w:val="20"/>
                <w:szCs w:val="20"/>
                <w:shd w:val="solid" w:color="000000" w:fill="000000"/>
                <w:fitText w:val="330" w:id="-694465275"/>
                <w14:textFill>
                  <w14:solidFill>
                    <w14:srgbClr w14:val="000000">
                      <w14:alpha w14:val="100000"/>
                    </w14:srgbClr>
                  </w14:solidFill>
                </w14:textFill>
              </w:rPr>
              <w:t>|||</w:t>
            </w:r>
            <w:r w:rsidR="00B55D47" w:rsidRPr="00B55D47">
              <w:rPr>
                <w:rFonts w:ascii="Arial Narrow" w:eastAsiaTheme="majorEastAsia" w:hAnsi="Arial Narrow" w:cstheme="majorBidi"/>
                <w:color w:val="000000"/>
                <w:spacing w:val="1"/>
                <w:sz w:val="20"/>
                <w:szCs w:val="20"/>
                <w:shd w:val="solid" w:color="000000" w:fill="000000"/>
                <w:fitText w:val="330" w:id="-694465275"/>
                <w14:textFill>
                  <w14:solidFill>
                    <w14:srgbClr w14:val="000000">
                      <w14:alpha w14:val="100000"/>
                    </w14:srgbClr>
                  </w14:solidFill>
                </w14:textFill>
              </w:rPr>
              <w:t>|</w:t>
            </w:r>
            <w:r w:rsidR="00580944" w:rsidRPr="00580944">
              <w:rPr>
                <w:rFonts w:ascii="Arial Narrow" w:hAnsi="Arial Narrow" w:cs="Times New Roman"/>
                <w:b/>
                <w:sz w:val="20"/>
                <w:szCs w:val="22"/>
                <w:vertAlign w:val="superscript"/>
                <w:lang w:eastAsia="en-US"/>
              </w:rPr>
              <w:t>1</w:t>
            </w:r>
            <w:r w:rsidRPr="05042C88">
              <w:rPr>
                <w:rFonts w:ascii="Arial Narrow" w:eastAsiaTheme="majorEastAsia" w:hAnsi="Arial Narrow" w:cstheme="majorBidi"/>
                <w:sz w:val="20"/>
                <w:szCs w:val="20"/>
              </w:rPr>
              <w:t>/QALY gained.</w:t>
            </w:r>
          </w:p>
        </w:tc>
      </w:tr>
      <w:tr w:rsidR="00A4497B" w:rsidRPr="007A7A2A" w14:paraId="0D19A16D" w14:textId="77777777" w:rsidTr="05042C88">
        <w:tc>
          <w:tcPr>
            <w:tcW w:w="950" w:type="pct"/>
            <w:shd w:val="clear" w:color="auto" w:fill="auto"/>
            <w:vAlign w:val="center"/>
          </w:tcPr>
          <w:p w14:paraId="6ED4E884" w14:textId="4D07F831" w:rsidR="00A4497B" w:rsidRPr="00CB5596" w:rsidRDefault="00A4497B" w:rsidP="004A7088">
            <w:pPr>
              <w:keepNext/>
              <w:jc w:val="left"/>
              <w:rPr>
                <w:rFonts w:ascii="Arial Narrow" w:hAnsi="Arial Narrow" w:cs="Times New Roman"/>
                <w:sz w:val="20"/>
                <w:szCs w:val="22"/>
                <w:lang w:eastAsia="en-US"/>
              </w:rPr>
            </w:pPr>
            <w:r w:rsidRPr="00CB5596">
              <w:rPr>
                <w:rFonts w:ascii="Arial Narrow" w:hAnsi="Arial Narrow" w:cs="Times New Roman"/>
                <w:sz w:val="20"/>
                <w:szCs w:val="22"/>
                <w:lang w:eastAsia="en-US"/>
              </w:rPr>
              <w:t>OCA</w:t>
            </w:r>
            <w:r w:rsidR="00B43513" w:rsidRPr="00CB5596">
              <w:rPr>
                <w:rFonts w:ascii="Arial Narrow" w:hAnsi="Arial Narrow" w:cs="Times New Roman"/>
                <w:sz w:val="20"/>
                <w:szCs w:val="22"/>
                <w:lang w:eastAsia="en-US"/>
              </w:rPr>
              <w:t>:</w:t>
            </w:r>
            <w:r w:rsidRPr="00CB5596">
              <w:rPr>
                <w:rFonts w:ascii="Arial Narrow" w:hAnsi="Arial Narrow" w:cs="Times New Roman"/>
                <w:sz w:val="20"/>
                <w:szCs w:val="22"/>
                <w:lang w:eastAsia="en-US"/>
              </w:rPr>
              <w:t xml:space="preserve"> </w:t>
            </w:r>
            <w:r w:rsidR="00212BBF" w:rsidRPr="00CB5596">
              <w:rPr>
                <w:rFonts w:ascii="Arial Narrow" w:hAnsi="Arial Narrow" w:cs="Times New Roman"/>
                <w:sz w:val="20"/>
                <w:szCs w:val="22"/>
                <w:lang w:eastAsia="en-US"/>
              </w:rPr>
              <w:t>OR</w:t>
            </w:r>
            <w:r w:rsidRPr="00CB5596">
              <w:rPr>
                <w:rFonts w:ascii="Arial Narrow" w:hAnsi="Arial Narrow" w:cs="Times New Roman"/>
                <w:sz w:val="20"/>
                <w:szCs w:val="22"/>
                <w:lang w:eastAsia="en-US"/>
              </w:rPr>
              <w:t xml:space="preserve"> of cholestasis response</w:t>
            </w:r>
          </w:p>
        </w:tc>
        <w:tc>
          <w:tcPr>
            <w:tcW w:w="2561" w:type="pct"/>
            <w:shd w:val="clear" w:color="auto" w:fill="auto"/>
            <w:vAlign w:val="center"/>
          </w:tcPr>
          <w:p w14:paraId="78E8FCAC" w14:textId="169D0E06" w:rsidR="00A4497B" w:rsidRPr="00CB5596" w:rsidRDefault="00A4497B" w:rsidP="05042C88">
            <w:pPr>
              <w:keepNext/>
              <w:jc w:val="left"/>
              <w:rPr>
                <w:rFonts w:ascii="Arial Narrow" w:hAnsi="Arial Narrow" w:cs="Times New Roman"/>
                <w:sz w:val="20"/>
                <w:szCs w:val="20"/>
                <w:lang w:eastAsia="en-US"/>
              </w:rPr>
            </w:pPr>
            <w:r w:rsidRPr="05042C88">
              <w:rPr>
                <w:rFonts w:ascii="Arial Narrow" w:hAnsi="Arial Narrow" w:cs="Times New Roman"/>
                <w:sz w:val="20"/>
                <w:szCs w:val="20"/>
                <w:lang w:eastAsia="en-US"/>
              </w:rPr>
              <w:t xml:space="preserve">OCA </w:t>
            </w:r>
            <w:r w:rsidR="00212BBF" w:rsidRPr="05042C88">
              <w:rPr>
                <w:rFonts w:ascii="Arial Narrow" w:hAnsi="Arial Narrow" w:cs="Times New Roman"/>
                <w:sz w:val="20"/>
                <w:szCs w:val="20"/>
                <w:lang w:eastAsia="en-US"/>
              </w:rPr>
              <w:t>OR</w:t>
            </w:r>
            <w:r w:rsidRPr="05042C88">
              <w:rPr>
                <w:rFonts w:ascii="Arial Narrow" w:hAnsi="Arial Narrow" w:cs="Times New Roman"/>
                <w:sz w:val="20"/>
                <w:szCs w:val="20"/>
                <w:lang w:eastAsia="en-US"/>
              </w:rPr>
              <w:t xml:space="preserve"> of cholestasis response = 0.26</w:t>
            </w:r>
            <w:r w:rsidR="570FC0D8" w:rsidRPr="05042C88">
              <w:rPr>
                <w:rFonts w:ascii="Arial Narrow" w:hAnsi="Arial Narrow" w:cs="Times New Roman"/>
                <w:sz w:val="20"/>
                <w:szCs w:val="20"/>
                <w:lang w:eastAsia="en-US"/>
              </w:rPr>
              <w:t>.</w:t>
            </w:r>
            <w:r w:rsidRPr="05042C88">
              <w:rPr>
                <w:rFonts w:ascii="Arial Narrow" w:hAnsi="Arial Narrow" w:cs="Times New Roman"/>
                <w:sz w:val="20"/>
                <w:szCs w:val="20"/>
                <w:lang w:eastAsia="en-US"/>
              </w:rPr>
              <w:t xml:space="preserve"> </w:t>
            </w:r>
            <w:r w:rsidR="0030A7DC" w:rsidRPr="05042C88">
              <w:rPr>
                <w:rFonts w:ascii="Arial Narrow" w:hAnsi="Arial Narrow" w:cs="Times New Roman"/>
                <w:sz w:val="20"/>
                <w:szCs w:val="20"/>
                <w:lang w:eastAsia="en-US"/>
              </w:rPr>
              <w:t xml:space="preserve">This was not consistent with the clinical claim that </w:t>
            </w:r>
            <w:proofErr w:type="spellStart"/>
            <w:r w:rsidR="0030A7DC" w:rsidRPr="05042C88">
              <w:rPr>
                <w:rFonts w:ascii="Arial Narrow" w:hAnsi="Arial Narrow" w:cs="Times New Roman"/>
                <w:sz w:val="20"/>
                <w:szCs w:val="20"/>
                <w:lang w:eastAsia="en-US"/>
              </w:rPr>
              <w:t>elafibranor</w:t>
            </w:r>
            <w:proofErr w:type="spellEnd"/>
            <w:r w:rsidR="0030A7DC" w:rsidRPr="05042C88">
              <w:rPr>
                <w:rFonts w:ascii="Arial Narrow" w:hAnsi="Arial Narrow" w:cs="Times New Roman"/>
                <w:sz w:val="20"/>
                <w:szCs w:val="20"/>
                <w:lang w:eastAsia="en-US"/>
              </w:rPr>
              <w:t xml:space="preserve"> was non-inferior in terms of effectiveness compared to OCA. </w:t>
            </w:r>
            <w:r w:rsidR="00EB31CF" w:rsidRPr="05042C88">
              <w:rPr>
                <w:rFonts w:ascii="Arial Narrow" w:hAnsi="Arial Narrow" w:cs="Times New Roman"/>
                <w:sz w:val="20"/>
                <w:szCs w:val="20"/>
                <w:lang w:eastAsia="en-US"/>
              </w:rPr>
              <w:t>Further, t</w:t>
            </w:r>
            <w:r w:rsidR="0030A7DC" w:rsidRPr="05042C88">
              <w:rPr>
                <w:rFonts w:ascii="Arial Narrow" w:hAnsi="Arial Narrow" w:cs="Times New Roman"/>
                <w:sz w:val="20"/>
                <w:szCs w:val="20"/>
                <w:lang w:eastAsia="en-US"/>
              </w:rPr>
              <w:t>he indirect comparison</w:t>
            </w:r>
            <w:r w:rsidR="05F59F7F" w:rsidRPr="05042C88">
              <w:rPr>
                <w:rFonts w:ascii="Arial Narrow" w:hAnsi="Arial Narrow" w:cs="Times New Roman"/>
                <w:sz w:val="20"/>
                <w:szCs w:val="20"/>
                <w:lang w:eastAsia="en-US"/>
              </w:rPr>
              <w:t>s</w:t>
            </w:r>
            <w:r w:rsidR="0030A7DC" w:rsidRPr="05042C88">
              <w:rPr>
                <w:rFonts w:ascii="Arial Narrow" w:hAnsi="Arial Narrow" w:cs="Times New Roman"/>
                <w:sz w:val="20"/>
                <w:szCs w:val="20"/>
                <w:lang w:eastAsia="en-US"/>
              </w:rPr>
              <w:t xml:space="preserve"> of </w:t>
            </w:r>
            <w:proofErr w:type="spellStart"/>
            <w:r w:rsidR="0030A7DC" w:rsidRPr="05042C88">
              <w:rPr>
                <w:rFonts w:ascii="Arial Narrow" w:hAnsi="Arial Narrow" w:cs="Times New Roman"/>
                <w:sz w:val="20"/>
                <w:szCs w:val="20"/>
                <w:lang w:eastAsia="en-US"/>
              </w:rPr>
              <w:t>elafibranor</w:t>
            </w:r>
            <w:proofErr w:type="spellEnd"/>
            <w:r w:rsidR="0030A7DC" w:rsidRPr="05042C88">
              <w:rPr>
                <w:rFonts w:ascii="Arial Narrow" w:hAnsi="Arial Narrow" w:cs="Times New Roman"/>
                <w:sz w:val="20"/>
                <w:szCs w:val="20"/>
                <w:lang w:eastAsia="en-US"/>
              </w:rPr>
              <w:t xml:space="preserve"> compared to OCA in terms of cholestasis response were not </w:t>
            </w:r>
            <w:r w:rsidR="1BEC996B" w:rsidRPr="05042C88">
              <w:rPr>
                <w:rFonts w:ascii="Arial Narrow" w:hAnsi="Arial Narrow" w:cs="Times New Roman"/>
                <w:sz w:val="20"/>
                <w:szCs w:val="20"/>
                <w:lang w:eastAsia="en-US"/>
              </w:rPr>
              <w:t>statistically</w:t>
            </w:r>
            <w:r w:rsidR="0030A7DC" w:rsidRPr="05042C88">
              <w:rPr>
                <w:rFonts w:ascii="Arial Narrow" w:hAnsi="Arial Narrow" w:cs="Times New Roman"/>
                <w:sz w:val="20"/>
                <w:szCs w:val="20"/>
                <w:lang w:eastAsia="en-US"/>
              </w:rPr>
              <w:t xml:space="preserve"> significant</w:t>
            </w:r>
            <w:r w:rsidR="00EB31CF" w:rsidRPr="05042C88">
              <w:rPr>
                <w:rFonts w:ascii="Arial Narrow" w:hAnsi="Arial Narrow" w:cs="Times New Roman"/>
                <w:sz w:val="20"/>
                <w:szCs w:val="20"/>
                <w:lang w:eastAsia="en-US"/>
              </w:rPr>
              <w:t>ly different</w:t>
            </w:r>
            <w:r w:rsidR="0030A7DC" w:rsidRPr="05042C88">
              <w:rPr>
                <w:rFonts w:ascii="Arial Narrow" w:hAnsi="Arial Narrow" w:cs="Times New Roman"/>
                <w:sz w:val="20"/>
                <w:szCs w:val="20"/>
                <w:lang w:eastAsia="en-US"/>
              </w:rPr>
              <w:t xml:space="preserve">. </w:t>
            </w:r>
          </w:p>
        </w:tc>
        <w:tc>
          <w:tcPr>
            <w:tcW w:w="1489" w:type="pct"/>
            <w:shd w:val="clear" w:color="auto" w:fill="auto"/>
            <w:vAlign w:val="center"/>
          </w:tcPr>
          <w:p w14:paraId="2C1718A8" w14:textId="1614144C" w:rsidR="00A4497B" w:rsidRPr="00CB5596" w:rsidRDefault="000F657F" w:rsidP="05042C88">
            <w:pPr>
              <w:keepNext/>
              <w:jc w:val="left"/>
              <w:rPr>
                <w:rFonts w:ascii="Arial Narrow" w:hAnsi="Arial Narrow" w:cs="Times New Roman"/>
                <w:sz w:val="20"/>
                <w:szCs w:val="20"/>
                <w:lang w:eastAsia="en-US"/>
              </w:rPr>
            </w:pPr>
            <w:r w:rsidRPr="05042C88">
              <w:rPr>
                <w:rFonts w:ascii="Arial Narrow" w:hAnsi="Arial Narrow" w:cs="Times New Roman"/>
                <w:sz w:val="20"/>
                <w:szCs w:val="20"/>
                <w:lang w:eastAsia="en-US"/>
              </w:rPr>
              <w:t>Moderate</w:t>
            </w:r>
            <w:r w:rsidR="0009142F" w:rsidRPr="05042C88">
              <w:rPr>
                <w:rFonts w:ascii="Arial Narrow" w:hAnsi="Arial Narrow" w:cs="Times New Roman"/>
                <w:sz w:val="20"/>
                <w:szCs w:val="20"/>
                <w:lang w:eastAsia="en-US"/>
              </w:rPr>
              <w:t>.</w:t>
            </w:r>
            <w:r w:rsidR="00A4497B" w:rsidRPr="05042C88">
              <w:rPr>
                <w:rFonts w:ascii="Arial Narrow" w:hAnsi="Arial Narrow" w:cs="Times New Roman"/>
                <w:sz w:val="20"/>
                <w:szCs w:val="20"/>
                <w:lang w:eastAsia="en-US"/>
              </w:rPr>
              <w:t xml:space="preserve"> </w:t>
            </w:r>
            <w:r w:rsidR="0009142F" w:rsidRPr="05042C88">
              <w:rPr>
                <w:rFonts w:ascii="Arial Narrow" w:hAnsi="Arial Narrow" w:cs="Times New Roman"/>
                <w:sz w:val="20"/>
                <w:szCs w:val="20"/>
                <w:lang w:eastAsia="en-US"/>
              </w:rPr>
              <w:t>F</w:t>
            </w:r>
            <w:r w:rsidR="00A4497B" w:rsidRPr="05042C88">
              <w:rPr>
                <w:rFonts w:ascii="Arial Narrow" w:hAnsi="Arial Narrow" w:cs="Times New Roman"/>
                <w:sz w:val="20"/>
                <w:szCs w:val="20"/>
                <w:lang w:eastAsia="en-US"/>
              </w:rPr>
              <w:t xml:space="preserve">avours ELA. </w:t>
            </w:r>
            <w:r w:rsidR="00970E36" w:rsidRPr="05042C88">
              <w:rPr>
                <w:rFonts w:ascii="Arial Narrow" w:hAnsi="Arial Narrow" w:cs="Times New Roman"/>
                <w:sz w:val="20"/>
                <w:szCs w:val="20"/>
                <w:lang w:eastAsia="en-US"/>
              </w:rPr>
              <w:t>Changing</w:t>
            </w:r>
            <w:r w:rsidR="00CE5C0F" w:rsidRPr="05042C88">
              <w:rPr>
                <w:rFonts w:ascii="Arial Narrow" w:hAnsi="Arial Narrow" w:cs="Times New Roman"/>
                <w:sz w:val="20"/>
                <w:szCs w:val="20"/>
                <w:lang w:eastAsia="en-US"/>
              </w:rPr>
              <w:t xml:space="preserve"> the </w:t>
            </w:r>
            <w:r w:rsidR="00212BBF" w:rsidRPr="05042C88">
              <w:rPr>
                <w:rFonts w:ascii="Arial Narrow" w:hAnsi="Arial Narrow" w:cs="Times New Roman"/>
                <w:sz w:val="20"/>
                <w:szCs w:val="20"/>
                <w:lang w:eastAsia="en-US"/>
              </w:rPr>
              <w:t>OR</w:t>
            </w:r>
            <w:r w:rsidR="00CE5C0F" w:rsidRPr="05042C88">
              <w:rPr>
                <w:rFonts w:ascii="Arial Narrow" w:hAnsi="Arial Narrow" w:cs="Times New Roman"/>
                <w:sz w:val="20"/>
                <w:szCs w:val="20"/>
                <w:lang w:eastAsia="en-US"/>
              </w:rPr>
              <w:t xml:space="preserve"> </w:t>
            </w:r>
            <w:r w:rsidR="00E70205" w:rsidRPr="05042C88">
              <w:rPr>
                <w:rFonts w:ascii="Arial Narrow" w:hAnsi="Arial Narrow" w:cs="Times New Roman"/>
                <w:sz w:val="20"/>
                <w:szCs w:val="20"/>
                <w:lang w:eastAsia="en-US"/>
              </w:rPr>
              <w:t xml:space="preserve">from 0.26 </w:t>
            </w:r>
            <w:r w:rsidR="000B2E13" w:rsidRPr="05042C88">
              <w:rPr>
                <w:rFonts w:ascii="Arial Narrow" w:hAnsi="Arial Narrow" w:cs="Times New Roman"/>
                <w:sz w:val="20"/>
                <w:szCs w:val="20"/>
                <w:lang w:eastAsia="en-US"/>
              </w:rPr>
              <w:t xml:space="preserve">(in favour of </w:t>
            </w:r>
            <w:proofErr w:type="spellStart"/>
            <w:r w:rsidR="000B2E13" w:rsidRPr="05042C88">
              <w:rPr>
                <w:rFonts w:ascii="Arial Narrow" w:hAnsi="Arial Narrow" w:cs="Times New Roman"/>
                <w:sz w:val="20"/>
                <w:szCs w:val="20"/>
                <w:lang w:eastAsia="en-US"/>
              </w:rPr>
              <w:t>elafibranor</w:t>
            </w:r>
            <w:proofErr w:type="spellEnd"/>
            <w:r w:rsidR="000B2E13" w:rsidRPr="05042C88">
              <w:rPr>
                <w:rFonts w:ascii="Arial Narrow" w:hAnsi="Arial Narrow" w:cs="Times New Roman"/>
                <w:sz w:val="20"/>
                <w:szCs w:val="20"/>
                <w:lang w:eastAsia="en-US"/>
              </w:rPr>
              <w:t xml:space="preserve">) </w:t>
            </w:r>
            <w:r w:rsidR="00E70205" w:rsidRPr="05042C88">
              <w:rPr>
                <w:rFonts w:ascii="Arial Narrow" w:hAnsi="Arial Narrow" w:cs="Times New Roman"/>
                <w:sz w:val="20"/>
                <w:szCs w:val="20"/>
                <w:lang w:eastAsia="en-US"/>
              </w:rPr>
              <w:t>to 1</w:t>
            </w:r>
            <w:r w:rsidR="00485824" w:rsidRPr="05042C88">
              <w:rPr>
                <w:rFonts w:ascii="Arial Narrow" w:hAnsi="Arial Narrow" w:cs="Times New Roman"/>
                <w:sz w:val="20"/>
                <w:szCs w:val="20"/>
                <w:lang w:eastAsia="en-US"/>
              </w:rPr>
              <w:t>.0</w:t>
            </w:r>
            <w:r w:rsidR="00E70205" w:rsidRPr="05042C88">
              <w:rPr>
                <w:rFonts w:ascii="Arial Narrow" w:hAnsi="Arial Narrow" w:cs="Times New Roman"/>
                <w:sz w:val="20"/>
                <w:szCs w:val="20"/>
                <w:lang w:eastAsia="en-US"/>
              </w:rPr>
              <w:t xml:space="preserve"> </w:t>
            </w:r>
            <w:r w:rsidR="00455754" w:rsidRPr="05042C88">
              <w:rPr>
                <w:rFonts w:ascii="Arial Narrow" w:hAnsi="Arial Narrow" w:cs="Times New Roman"/>
                <w:sz w:val="20"/>
                <w:szCs w:val="20"/>
                <w:lang w:eastAsia="en-US"/>
              </w:rPr>
              <w:t xml:space="preserve">(reflecting no difference in effectiveness) </w:t>
            </w:r>
            <w:r w:rsidR="006B6635" w:rsidRPr="05042C88">
              <w:rPr>
                <w:rFonts w:ascii="Arial Narrow" w:hAnsi="Arial Narrow" w:cs="Times New Roman"/>
                <w:sz w:val="20"/>
                <w:szCs w:val="20"/>
                <w:lang w:eastAsia="en-US"/>
              </w:rPr>
              <w:t xml:space="preserve">increased the </w:t>
            </w:r>
            <w:r w:rsidR="00970E36" w:rsidRPr="05042C88">
              <w:rPr>
                <w:rFonts w:ascii="Arial Narrow" w:hAnsi="Arial Narrow" w:cs="Times New Roman"/>
                <w:sz w:val="20"/>
                <w:szCs w:val="20"/>
                <w:lang w:eastAsia="en-US"/>
              </w:rPr>
              <w:t>ICER</w:t>
            </w:r>
            <w:r w:rsidR="00970E36" w:rsidRPr="05042C88">
              <w:t xml:space="preserve"> </w:t>
            </w:r>
            <w:r w:rsidR="00082C23" w:rsidRPr="05042C88">
              <w:rPr>
                <w:rFonts w:ascii="Arial Narrow" w:hAnsi="Arial Narrow" w:cs="Times New Roman"/>
                <w:sz w:val="20"/>
                <w:szCs w:val="20"/>
                <w:lang w:eastAsia="en-US"/>
              </w:rPr>
              <w:t xml:space="preserve">from </w:t>
            </w:r>
            <w:r w:rsidR="00B55D47" w:rsidRPr="00B55D47">
              <w:rPr>
                <w:rFonts w:ascii="Arial Narrow" w:hAnsi="Arial Narrow" w:cs="Times New Roman"/>
                <w:color w:val="000000"/>
                <w:spacing w:val="53"/>
                <w:sz w:val="20"/>
                <w:szCs w:val="20"/>
                <w:shd w:val="solid" w:color="000000" w:fill="000000"/>
                <w:fitText w:val="330" w:id="-694465274"/>
                <w:lang w:eastAsia="en-US"/>
                <w14:textFill>
                  <w14:solidFill>
                    <w14:srgbClr w14:val="000000">
                      <w14:alpha w14:val="100000"/>
                    </w14:srgbClr>
                  </w14:solidFill>
                </w14:textFill>
              </w:rPr>
              <w:t>|||</w:t>
            </w:r>
            <w:r w:rsidR="00B55D47" w:rsidRPr="00B55D47">
              <w:rPr>
                <w:rFonts w:ascii="Arial Narrow" w:hAnsi="Arial Narrow" w:cs="Times New Roman"/>
                <w:color w:val="000000"/>
                <w:spacing w:val="1"/>
                <w:sz w:val="20"/>
                <w:szCs w:val="20"/>
                <w:shd w:val="solid" w:color="000000" w:fill="000000"/>
                <w:fitText w:val="330" w:id="-694465274"/>
                <w:lang w:eastAsia="en-US"/>
                <w14:textFill>
                  <w14:solidFill>
                    <w14:srgbClr w14:val="000000">
                      <w14:alpha w14:val="100000"/>
                    </w14:srgbClr>
                  </w14:solidFill>
                </w14:textFill>
              </w:rPr>
              <w:t>|</w:t>
            </w:r>
            <w:r w:rsidR="00082C23" w:rsidRPr="05042C88">
              <w:rPr>
                <w:rFonts w:ascii="Arial Narrow" w:hAnsi="Arial Narrow" w:cs="Times New Roman"/>
                <w:sz w:val="20"/>
                <w:szCs w:val="20"/>
                <w:lang w:eastAsia="en-US"/>
              </w:rPr>
              <w:t xml:space="preserve"> </w:t>
            </w:r>
            <w:r w:rsidR="00580944" w:rsidRPr="00580944">
              <w:rPr>
                <w:rFonts w:ascii="Arial Narrow" w:hAnsi="Arial Narrow" w:cs="Times New Roman"/>
                <w:b/>
                <w:sz w:val="20"/>
                <w:szCs w:val="22"/>
                <w:vertAlign w:val="superscript"/>
                <w:lang w:eastAsia="en-US"/>
              </w:rPr>
              <w:t>1</w:t>
            </w:r>
            <w:r w:rsidR="00B05C10">
              <w:rPr>
                <w:rFonts w:ascii="Arial Narrow" w:hAnsi="Arial Narrow" w:cs="Times New Roman"/>
                <w:b/>
                <w:sz w:val="20"/>
                <w:szCs w:val="22"/>
                <w:vertAlign w:val="superscript"/>
                <w:lang w:eastAsia="en-US"/>
              </w:rPr>
              <w:t xml:space="preserve"> </w:t>
            </w:r>
            <w:r w:rsidR="00082C23" w:rsidRPr="05042C88">
              <w:rPr>
                <w:rFonts w:ascii="Arial Narrow" w:hAnsi="Arial Narrow" w:cs="Times New Roman"/>
                <w:sz w:val="20"/>
                <w:szCs w:val="20"/>
                <w:lang w:eastAsia="en-US"/>
              </w:rPr>
              <w:t>to</w:t>
            </w:r>
            <w:r w:rsidR="00970E36" w:rsidRPr="05042C88">
              <w:rPr>
                <w:rFonts w:ascii="Arial Narrow" w:hAnsi="Arial Narrow" w:cs="Times New Roman"/>
                <w:sz w:val="20"/>
                <w:szCs w:val="20"/>
                <w:lang w:eastAsia="en-US"/>
              </w:rPr>
              <w:t xml:space="preserve"> </w:t>
            </w:r>
            <w:r w:rsidR="0065477E" w:rsidRPr="05042C88">
              <w:rPr>
                <w:rFonts w:ascii="Arial Narrow" w:hAnsi="Arial Narrow" w:cs="Times New Roman"/>
                <w:sz w:val="20"/>
                <w:szCs w:val="20"/>
                <w:lang w:eastAsia="en-US"/>
              </w:rPr>
              <w:t>$</w:t>
            </w:r>
            <w:r w:rsidR="00B55D47" w:rsidRPr="00B55D47">
              <w:rPr>
                <w:rFonts w:ascii="Arial Narrow" w:hAnsi="Arial Narrow" w:cs="Times New Roman"/>
                <w:color w:val="000000"/>
                <w:spacing w:val="53"/>
                <w:sz w:val="20"/>
                <w:szCs w:val="20"/>
                <w:shd w:val="solid" w:color="000000" w:fill="000000"/>
                <w:fitText w:val="330" w:id="-694465273"/>
                <w:lang w:eastAsia="en-US"/>
                <w14:textFill>
                  <w14:solidFill>
                    <w14:srgbClr w14:val="000000">
                      <w14:alpha w14:val="100000"/>
                    </w14:srgbClr>
                  </w14:solidFill>
                </w14:textFill>
              </w:rPr>
              <w:t>|||</w:t>
            </w:r>
            <w:r w:rsidR="00B55D47" w:rsidRPr="00B55D47">
              <w:rPr>
                <w:rFonts w:ascii="Arial Narrow" w:hAnsi="Arial Narrow" w:cs="Times New Roman"/>
                <w:color w:val="000000"/>
                <w:spacing w:val="1"/>
                <w:sz w:val="20"/>
                <w:szCs w:val="20"/>
                <w:shd w:val="solid" w:color="000000" w:fill="000000"/>
                <w:fitText w:val="330" w:id="-694465273"/>
                <w:lang w:eastAsia="en-US"/>
                <w14:textFill>
                  <w14:solidFill>
                    <w14:srgbClr w14:val="000000">
                      <w14:alpha w14:val="100000"/>
                    </w14:srgbClr>
                  </w14:solidFill>
                </w14:textFill>
              </w:rPr>
              <w:t>|</w:t>
            </w:r>
            <w:r w:rsidR="00580944" w:rsidRPr="00580944">
              <w:rPr>
                <w:rFonts w:ascii="Arial Narrow" w:hAnsi="Arial Narrow" w:cs="Times New Roman"/>
                <w:b/>
                <w:sz w:val="20"/>
                <w:szCs w:val="22"/>
                <w:vertAlign w:val="superscript"/>
                <w:lang w:eastAsia="en-US"/>
              </w:rPr>
              <w:t>1</w:t>
            </w:r>
            <w:r w:rsidR="00F74AE0" w:rsidRPr="05042C88">
              <w:rPr>
                <w:rFonts w:ascii="Arial Narrow" w:hAnsi="Arial Narrow" w:cs="Times New Roman"/>
                <w:sz w:val="20"/>
                <w:szCs w:val="20"/>
                <w:lang w:eastAsia="en-US"/>
              </w:rPr>
              <w:t>/QALY</w:t>
            </w:r>
            <w:r w:rsidR="00732718" w:rsidRPr="05042C88">
              <w:rPr>
                <w:rFonts w:ascii="Arial Narrow" w:hAnsi="Arial Narrow" w:cs="Times New Roman"/>
                <w:sz w:val="20"/>
                <w:szCs w:val="20"/>
                <w:lang w:eastAsia="en-US"/>
              </w:rPr>
              <w:t xml:space="preserve"> gained</w:t>
            </w:r>
            <w:r w:rsidR="00F74AE0" w:rsidRPr="05042C88">
              <w:rPr>
                <w:rFonts w:ascii="Arial Narrow" w:hAnsi="Arial Narrow" w:cs="Times New Roman"/>
                <w:sz w:val="20"/>
                <w:szCs w:val="20"/>
                <w:lang w:eastAsia="en-US"/>
              </w:rPr>
              <w:t>.</w:t>
            </w:r>
          </w:p>
        </w:tc>
      </w:tr>
      <w:tr w:rsidR="00B44C8C" w:rsidRPr="007A7A2A" w14:paraId="7B25FDAC" w14:textId="77777777" w:rsidTr="05042C88">
        <w:tc>
          <w:tcPr>
            <w:tcW w:w="950" w:type="pct"/>
            <w:shd w:val="clear" w:color="auto" w:fill="auto"/>
            <w:vAlign w:val="center"/>
          </w:tcPr>
          <w:p w14:paraId="0D1EC4AC" w14:textId="2F46314B" w:rsidR="00B44C8C" w:rsidRPr="00CB5596" w:rsidRDefault="00B44C8C" w:rsidP="004A7088">
            <w:pPr>
              <w:keepNext/>
              <w:jc w:val="left"/>
              <w:rPr>
                <w:rFonts w:ascii="Arial Narrow" w:hAnsi="Arial Narrow" w:cs="Times New Roman"/>
                <w:sz w:val="20"/>
                <w:szCs w:val="22"/>
                <w:lang w:eastAsia="en-US"/>
              </w:rPr>
            </w:pPr>
            <w:r w:rsidRPr="00CB5596">
              <w:rPr>
                <w:rFonts w:ascii="Arial Narrow" w:hAnsi="Arial Narrow" w:cs="Times New Roman"/>
                <w:sz w:val="20"/>
                <w:szCs w:val="22"/>
                <w:lang w:eastAsia="en-US"/>
              </w:rPr>
              <w:t>OCA</w:t>
            </w:r>
            <w:r w:rsidR="00B43513" w:rsidRPr="00CB5596">
              <w:rPr>
                <w:rFonts w:ascii="Arial Narrow" w:hAnsi="Arial Narrow" w:cs="Times New Roman"/>
                <w:sz w:val="20"/>
                <w:szCs w:val="22"/>
                <w:lang w:eastAsia="en-US"/>
              </w:rPr>
              <w:t>:</w:t>
            </w:r>
            <w:r w:rsidRPr="00CB5596">
              <w:rPr>
                <w:rFonts w:ascii="Arial Narrow" w:hAnsi="Arial Narrow" w:cs="Times New Roman"/>
                <w:sz w:val="20"/>
                <w:szCs w:val="22"/>
                <w:lang w:eastAsia="en-US"/>
              </w:rPr>
              <w:t xml:space="preserve"> </w:t>
            </w:r>
            <w:r w:rsidR="00212BBF" w:rsidRPr="00CB5596">
              <w:rPr>
                <w:rFonts w:ascii="Arial Narrow" w:hAnsi="Arial Narrow" w:cs="Times New Roman"/>
                <w:sz w:val="20"/>
                <w:szCs w:val="22"/>
                <w:lang w:eastAsia="en-US"/>
              </w:rPr>
              <w:t>OR</w:t>
            </w:r>
            <w:r w:rsidRPr="00CB5596">
              <w:rPr>
                <w:rFonts w:ascii="Arial Narrow" w:hAnsi="Arial Narrow" w:cs="Times New Roman"/>
                <w:sz w:val="20"/>
                <w:szCs w:val="22"/>
                <w:lang w:eastAsia="en-US"/>
              </w:rPr>
              <w:t xml:space="preserve"> of </w:t>
            </w:r>
            <w:r w:rsidR="00A844E7" w:rsidRPr="00CB5596">
              <w:rPr>
                <w:rFonts w:ascii="Arial Narrow" w:hAnsi="Arial Narrow" w:cs="Times New Roman"/>
                <w:sz w:val="20"/>
                <w:szCs w:val="22"/>
                <w:lang w:eastAsia="en-US"/>
              </w:rPr>
              <w:t xml:space="preserve">all-cause </w:t>
            </w:r>
            <w:r w:rsidRPr="00CB5596">
              <w:rPr>
                <w:rFonts w:ascii="Arial Narrow" w:hAnsi="Arial Narrow" w:cs="Times New Roman"/>
                <w:sz w:val="20"/>
                <w:szCs w:val="22"/>
                <w:lang w:eastAsia="en-US"/>
              </w:rPr>
              <w:t>discontinuation</w:t>
            </w:r>
          </w:p>
        </w:tc>
        <w:tc>
          <w:tcPr>
            <w:tcW w:w="2561" w:type="pct"/>
            <w:shd w:val="clear" w:color="auto" w:fill="auto"/>
            <w:vAlign w:val="center"/>
          </w:tcPr>
          <w:p w14:paraId="706BB05B" w14:textId="46E9A8D0" w:rsidR="00B44C8C" w:rsidRPr="00CB5596" w:rsidRDefault="2EFCEB4E" w:rsidP="004A7088">
            <w:pPr>
              <w:keepNext/>
              <w:jc w:val="left"/>
              <w:rPr>
                <w:rFonts w:ascii="Arial Narrow" w:hAnsi="Arial Narrow" w:cs="Times New Roman"/>
                <w:sz w:val="20"/>
                <w:szCs w:val="20"/>
                <w:lang w:eastAsia="en-US"/>
              </w:rPr>
            </w:pPr>
            <w:r w:rsidRPr="00CB5596">
              <w:rPr>
                <w:rFonts w:ascii="Arial Narrow" w:hAnsi="Arial Narrow" w:cs="Times New Roman"/>
                <w:sz w:val="20"/>
                <w:szCs w:val="20"/>
                <w:lang w:eastAsia="en-US"/>
              </w:rPr>
              <w:t xml:space="preserve">OCA </w:t>
            </w:r>
            <w:r w:rsidR="00212BBF" w:rsidRPr="00CB5596">
              <w:rPr>
                <w:rFonts w:ascii="Arial Narrow" w:hAnsi="Arial Narrow" w:cs="Times New Roman"/>
                <w:sz w:val="20"/>
                <w:szCs w:val="20"/>
                <w:lang w:eastAsia="en-US"/>
              </w:rPr>
              <w:t>OR</w:t>
            </w:r>
            <w:r w:rsidRPr="00CB5596">
              <w:rPr>
                <w:rFonts w:ascii="Arial Narrow" w:hAnsi="Arial Narrow" w:cs="Times New Roman"/>
                <w:sz w:val="20"/>
                <w:szCs w:val="20"/>
                <w:lang w:eastAsia="en-US"/>
              </w:rPr>
              <w:t xml:space="preserve"> of </w:t>
            </w:r>
            <w:r w:rsidR="0B38D783" w:rsidRPr="00CB5596">
              <w:rPr>
                <w:rFonts w:ascii="Arial Narrow" w:hAnsi="Arial Narrow" w:cs="Times New Roman"/>
                <w:sz w:val="20"/>
                <w:szCs w:val="20"/>
                <w:lang w:eastAsia="en-US"/>
              </w:rPr>
              <w:t xml:space="preserve">all-cause </w:t>
            </w:r>
            <w:r w:rsidRPr="00CB5596">
              <w:rPr>
                <w:rFonts w:ascii="Arial Narrow" w:hAnsi="Arial Narrow" w:cs="Times New Roman"/>
                <w:sz w:val="20"/>
                <w:szCs w:val="20"/>
                <w:lang w:eastAsia="en-US"/>
              </w:rPr>
              <w:t xml:space="preserve">discontinuation = 2.73. </w:t>
            </w:r>
            <w:r w:rsidR="2E1FB70E" w:rsidRPr="00CB5596">
              <w:rPr>
                <w:rFonts w:ascii="Arial Narrow" w:hAnsi="Arial Narrow" w:cs="Times New Roman"/>
                <w:sz w:val="20"/>
                <w:szCs w:val="20"/>
                <w:lang w:eastAsia="en-US"/>
              </w:rPr>
              <w:t>This</w:t>
            </w:r>
            <w:r w:rsidR="00C16D07" w:rsidRPr="00CB5596">
              <w:rPr>
                <w:rFonts w:ascii="Arial Narrow" w:hAnsi="Arial Narrow" w:cs="Times New Roman"/>
                <w:sz w:val="20"/>
                <w:szCs w:val="20"/>
                <w:lang w:eastAsia="en-US"/>
              </w:rPr>
              <w:t xml:space="preserve"> analysis </w:t>
            </w:r>
            <w:r w:rsidR="2E1FB70E" w:rsidRPr="00CB5596">
              <w:rPr>
                <w:rFonts w:ascii="Arial Narrow" w:hAnsi="Arial Narrow" w:cs="Times New Roman"/>
                <w:sz w:val="20"/>
                <w:szCs w:val="20"/>
                <w:lang w:eastAsia="en-US"/>
              </w:rPr>
              <w:t>was not presented in the indirect comparison results</w:t>
            </w:r>
            <w:r w:rsidR="00C16D07" w:rsidRPr="00CB5596">
              <w:rPr>
                <w:rFonts w:ascii="Arial Narrow" w:hAnsi="Arial Narrow" w:cs="Times New Roman"/>
                <w:sz w:val="20"/>
                <w:szCs w:val="20"/>
                <w:lang w:eastAsia="en-US"/>
              </w:rPr>
              <w:t xml:space="preserve"> and thus</w:t>
            </w:r>
            <w:r w:rsidR="719CEBCF" w:rsidRPr="00CB5596">
              <w:rPr>
                <w:rFonts w:ascii="Arial Narrow" w:hAnsi="Arial Narrow" w:cs="Times New Roman"/>
                <w:sz w:val="20"/>
                <w:szCs w:val="20"/>
                <w:lang w:eastAsia="en-US"/>
              </w:rPr>
              <w:t>,</w:t>
            </w:r>
            <w:r w:rsidR="00C16D07" w:rsidRPr="00CB5596">
              <w:rPr>
                <w:rFonts w:ascii="Arial Narrow" w:hAnsi="Arial Narrow" w:cs="Times New Roman"/>
                <w:sz w:val="20"/>
                <w:szCs w:val="20"/>
                <w:lang w:eastAsia="en-US"/>
              </w:rPr>
              <w:t xml:space="preserve"> the </w:t>
            </w:r>
            <w:r w:rsidR="766B459F" w:rsidRPr="00CB5596">
              <w:rPr>
                <w:rFonts w:ascii="Arial Narrow" w:hAnsi="Arial Narrow" w:cs="Times New Roman"/>
                <w:sz w:val="20"/>
                <w:szCs w:val="20"/>
                <w:lang w:eastAsia="en-US"/>
              </w:rPr>
              <w:t>value could not be verified. Further, t</w:t>
            </w:r>
            <w:r w:rsidRPr="00CB5596">
              <w:rPr>
                <w:rFonts w:ascii="Arial Narrow" w:hAnsi="Arial Narrow" w:cs="Times New Roman"/>
                <w:sz w:val="20"/>
                <w:szCs w:val="20"/>
                <w:lang w:eastAsia="en-US"/>
              </w:rPr>
              <w:t xml:space="preserve">he indirect comparison of </w:t>
            </w:r>
            <w:r w:rsidR="0B38D783" w:rsidRPr="00CB5596">
              <w:rPr>
                <w:rFonts w:ascii="Arial Narrow" w:hAnsi="Arial Narrow" w:cs="Times New Roman"/>
                <w:sz w:val="20"/>
                <w:szCs w:val="20"/>
                <w:lang w:eastAsia="en-US"/>
              </w:rPr>
              <w:t>discontinuations due to pruritus was not statistically significant</w:t>
            </w:r>
            <w:r w:rsidR="00EB31CF">
              <w:rPr>
                <w:rFonts w:ascii="Arial Narrow" w:hAnsi="Arial Narrow" w:cs="Times New Roman"/>
                <w:sz w:val="20"/>
                <w:szCs w:val="20"/>
                <w:lang w:eastAsia="en-US"/>
              </w:rPr>
              <w:t>ly different</w:t>
            </w:r>
            <w:r w:rsidRPr="00CB5596">
              <w:rPr>
                <w:rFonts w:ascii="Arial Narrow" w:hAnsi="Arial Narrow" w:cs="Times New Roman"/>
                <w:sz w:val="20"/>
                <w:szCs w:val="20"/>
                <w:lang w:eastAsia="en-US"/>
              </w:rPr>
              <w:t xml:space="preserve">. </w:t>
            </w:r>
          </w:p>
        </w:tc>
        <w:tc>
          <w:tcPr>
            <w:tcW w:w="1489" w:type="pct"/>
            <w:shd w:val="clear" w:color="auto" w:fill="auto"/>
            <w:vAlign w:val="center"/>
          </w:tcPr>
          <w:p w14:paraId="6E5983E6" w14:textId="5C3DC9F0" w:rsidR="00B44C8C" w:rsidRPr="00CB5596" w:rsidRDefault="0009142F" w:rsidP="000441A5">
            <w:pPr>
              <w:keepNext/>
              <w:jc w:val="left"/>
              <w:rPr>
                <w:rFonts w:ascii="Arial Narrow" w:hAnsi="Arial Narrow" w:cs="Times New Roman"/>
                <w:sz w:val="20"/>
                <w:szCs w:val="22"/>
                <w:lang w:eastAsia="en-US"/>
              </w:rPr>
            </w:pPr>
            <w:r w:rsidRPr="00CB5596">
              <w:rPr>
                <w:rFonts w:ascii="Arial Narrow" w:hAnsi="Arial Narrow" w:cs="Times New Roman"/>
                <w:sz w:val="20"/>
                <w:szCs w:val="22"/>
                <w:lang w:eastAsia="en-US"/>
              </w:rPr>
              <w:t xml:space="preserve">Moderate. Favours </w:t>
            </w:r>
            <w:r w:rsidR="00DB6B87" w:rsidRPr="00CB5596">
              <w:rPr>
                <w:rFonts w:ascii="Arial Narrow" w:hAnsi="Arial Narrow" w:cs="Times New Roman"/>
                <w:sz w:val="20"/>
                <w:szCs w:val="22"/>
                <w:lang w:eastAsia="en-US"/>
              </w:rPr>
              <w:t>ELA</w:t>
            </w:r>
            <w:r w:rsidRPr="00CB5596">
              <w:rPr>
                <w:rFonts w:ascii="Arial Narrow" w:hAnsi="Arial Narrow" w:cs="Times New Roman"/>
                <w:sz w:val="20"/>
                <w:szCs w:val="22"/>
                <w:lang w:eastAsia="en-US"/>
              </w:rPr>
              <w:t xml:space="preserve">. Changing the </w:t>
            </w:r>
            <w:r w:rsidR="00212BBF" w:rsidRPr="00CB5596">
              <w:rPr>
                <w:rFonts w:ascii="Arial Narrow" w:hAnsi="Arial Narrow" w:cs="Times New Roman"/>
                <w:sz w:val="20"/>
                <w:szCs w:val="22"/>
                <w:lang w:eastAsia="en-US"/>
              </w:rPr>
              <w:t>OR</w:t>
            </w:r>
            <w:r w:rsidRPr="00CB5596">
              <w:rPr>
                <w:rFonts w:ascii="Arial Narrow" w:hAnsi="Arial Narrow" w:cs="Times New Roman"/>
                <w:sz w:val="20"/>
                <w:szCs w:val="22"/>
                <w:lang w:eastAsia="en-US"/>
              </w:rPr>
              <w:t xml:space="preserve"> from 2.</w:t>
            </w:r>
            <w:r w:rsidR="00FA7DE0" w:rsidRPr="00CB5596">
              <w:rPr>
                <w:rFonts w:ascii="Arial Narrow" w:hAnsi="Arial Narrow" w:cs="Times New Roman"/>
                <w:sz w:val="20"/>
                <w:szCs w:val="22"/>
                <w:lang w:eastAsia="en-US"/>
              </w:rPr>
              <w:t>73</w:t>
            </w:r>
            <w:r w:rsidRPr="00CB5596">
              <w:rPr>
                <w:rFonts w:ascii="Arial Narrow" w:hAnsi="Arial Narrow" w:cs="Times New Roman"/>
                <w:sz w:val="20"/>
                <w:szCs w:val="22"/>
                <w:lang w:eastAsia="en-US"/>
              </w:rPr>
              <w:t xml:space="preserve"> to 1 </w:t>
            </w:r>
            <w:r w:rsidR="00A844E7" w:rsidRPr="00CB5596">
              <w:rPr>
                <w:rFonts w:ascii="Arial Narrow" w:hAnsi="Arial Narrow" w:cs="Times New Roman"/>
                <w:sz w:val="20"/>
                <w:szCs w:val="22"/>
                <w:lang w:eastAsia="en-US"/>
              </w:rPr>
              <w:t xml:space="preserve">increased </w:t>
            </w:r>
            <w:r w:rsidRPr="00CB5596">
              <w:rPr>
                <w:rFonts w:ascii="Arial Narrow" w:hAnsi="Arial Narrow" w:cs="Times New Roman"/>
                <w:sz w:val="20"/>
                <w:szCs w:val="22"/>
                <w:lang w:eastAsia="en-US"/>
              </w:rPr>
              <w:t>the ICER</w:t>
            </w:r>
            <w:r w:rsidRPr="00CB5596">
              <w:t xml:space="preserve"> </w:t>
            </w:r>
            <w:r w:rsidRPr="00CB5596">
              <w:rPr>
                <w:rFonts w:ascii="Arial Narrow" w:hAnsi="Arial Narrow" w:cs="Times New Roman"/>
                <w:sz w:val="20"/>
                <w:szCs w:val="22"/>
                <w:lang w:eastAsia="en-US"/>
              </w:rPr>
              <w:t xml:space="preserve">from </w:t>
            </w:r>
            <w:r w:rsidR="00B55D47" w:rsidRPr="00B55D47">
              <w:rPr>
                <w:rFonts w:ascii="Arial Narrow" w:hAnsi="Arial Narrow" w:cs="Times New Roman"/>
                <w:color w:val="000000"/>
                <w:spacing w:val="53"/>
                <w:sz w:val="20"/>
                <w:szCs w:val="22"/>
                <w:shd w:val="solid" w:color="000000" w:fill="000000"/>
                <w:fitText w:val="330" w:id="-694465272"/>
                <w:lang w:eastAsia="en-US"/>
                <w14:textFill>
                  <w14:solidFill>
                    <w14:srgbClr w14:val="000000">
                      <w14:alpha w14:val="100000"/>
                    </w14:srgbClr>
                  </w14:solidFill>
                </w14:textFill>
              </w:rPr>
              <w:t>|||</w:t>
            </w:r>
            <w:r w:rsidR="00B55D47" w:rsidRPr="00B55D47">
              <w:rPr>
                <w:rFonts w:ascii="Arial Narrow" w:hAnsi="Arial Narrow" w:cs="Times New Roman"/>
                <w:color w:val="000000"/>
                <w:spacing w:val="1"/>
                <w:sz w:val="20"/>
                <w:szCs w:val="22"/>
                <w:shd w:val="solid" w:color="000000" w:fill="000000"/>
                <w:fitText w:val="330" w:id="-694465272"/>
                <w:lang w:eastAsia="en-US"/>
                <w14:textFill>
                  <w14:solidFill>
                    <w14:srgbClr w14:val="000000">
                      <w14:alpha w14:val="100000"/>
                    </w14:srgbClr>
                  </w14:solidFill>
                </w14:textFill>
              </w:rPr>
              <w:t>|</w:t>
            </w:r>
            <w:r w:rsidRPr="00CB5596">
              <w:rPr>
                <w:rFonts w:ascii="Arial Narrow" w:hAnsi="Arial Narrow" w:cs="Times New Roman"/>
                <w:sz w:val="20"/>
                <w:szCs w:val="22"/>
                <w:lang w:eastAsia="en-US"/>
              </w:rPr>
              <w:t xml:space="preserve"> </w:t>
            </w:r>
            <w:r w:rsidR="00580944" w:rsidRPr="00580944">
              <w:rPr>
                <w:rFonts w:ascii="Arial Narrow" w:hAnsi="Arial Narrow" w:cs="Times New Roman"/>
                <w:b/>
                <w:sz w:val="20"/>
                <w:szCs w:val="22"/>
                <w:vertAlign w:val="superscript"/>
                <w:lang w:eastAsia="en-US"/>
              </w:rPr>
              <w:t>1</w:t>
            </w:r>
            <w:r w:rsidR="003274E9">
              <w:rPr>
                <w:rFonts w:ascii="Arial Narrow" w:hAnsi="Arial Narrow" w:cs="Times New Roman"/>
                <w:b/>
                <w:sz w:val="20"/>
                <w:szCs w:val="22"/>
                <w:vertAlign w:val="superscript"/>
                <w:lang w:eastAsia="en-US"/>
              </w:rPr>
              <w:t xml:space="preserve"> </w:t>
            </w:r>
            <w:r w:rsidRPr="00CB5596">
              <w:rPr>
                <w:rFonts w:ascii="Arial Narrow" w:hAnsi="Arial Narrow" w:cs="Times New Roman"/>
                <w:sz w:val="20"/>
                <w:szCs w:val="22"/>
                <w:lang w:eastAsia="en-US"/>
              </w:rPr>
              <w:t xml:space="preserve">to </w:t>
            </w:r>
            <w:r w:rsidR="00B55D47" w:rsidRPr="00B55D47">
              <w:rPr>
                <w:rFonts w:ascii="Arial Narrow" w:hAnsi="Arial Narrow" w:cs="Times New Roman"/>
                <w:color w:val="000000"/>
                <w:spacing w:val="49"/>
                <w:sz w:val="20"/>
                <w:szCs w:val="22"/>
                <w:shd w:val="solid" w:color="000000" w:fill="000000"/>
                <w:fitText w:val="320" w:id="-694465271"/>
                <w:lang w:eastAsia="en-US"/>
                <w14:textFill>
                  <w14:solidFill>
                    <w14:srgbClr w14:val="000000">
                      <w14:alpha w14:val="100000"/>
                    </w14:srgbClr>
                  </w14:solidFill>
                </w14:textFill>
              </w:rPr>
              <w:t>|||</w:t>
            </w:r>
            <w:r w:rsidR="00B55D47" w:rsidRPr="00B55D47">
              <w:rPr>
                <w:rFonts w:ascii="Arial Narrow" w:hAnsi="Arial Narrow" w:cs="Times New Roman"/>
                <w:color w:val="000000"/>
                <w:spacing w:val="3"/>
                <w:sz w:val="20"/>
                <w:szCs w:val="22"/>
                <w:shd w:val="solid" w:color="000000" w:fill="000000"/>
                <w:fitText w:val="320" w:id="-694465271"/>
                <w:lang w:eastAsia="en-US"/>
                <w14:textFill>
                  <w14:solidFill>
                    <w14:srgbClr w14:val="000000">
                      <w14:alpha w14:val="100000"/>
                    </w14:srgbClr>
                  </w14:solidFill>
                </w14:textFill>
              </w:rPr>
              <w:t>|</w:t>
            </w:r>
            <w:r w:rsidR="00580944" w:rsidRPr="00580944">
              <w:rPr>
                <w:rFonts w:ascii="Arial Narrow" w:hAnsi="Arial Narrow" w:cs="Times New Roman"/>
                <w:b/>
                <w:sz w:val="20"/>
                <w:szCs w:val="22"/>
                <w:vertAlign w:val="superscript"/>
                <w:lang w:eastAsia="en-US"/>
              </w:rPr>
              <w:t>1</w:t>
            </w:r>
            <w:r w:rsidRPr="00CB5596">
              <w:rPr>
                <w:rFonts w:ascii="Arial Narrow" w:hAnsi="Arial Narrow" w:cs="Times New Roman"/>
                <w:sz w:val="20"/>
                <w:szCs w:val="22"/>
                <w:lang w:eastAsia="en-US"/>
              </w:rPr>
              <w:t>/QALY gained.</w:t>
            </w:r>
          </w:p>
        </w:tc>
      </w:tr>
    </w:tbl>
    <w:p w14:paraId="2B529583" w14:textId="0DFB141F" w:rsidR="00A4497B" w:rsidRDefault="00A4497B" w:rsidP="004A7088">
      <w:pPr>
        <w:pStyle w:val="TableFigureFooter"/>
        <w:keepNext/>
      </w:pPr>
      <w:r w:rsidRPr="05042C88">
        <w:t xml:space="preserve">Source: Compiled during the evaluation from Table 3.1 of the submission </w:t>
      </w:r>
      <w:r w:rsidR="00056A2F" w:rsidRPr="05042C88">
        <w:t>&amp; Sheet ‘Model Parameters’, cell D33 &amp;</w:t>
      </w:r>
      <w:r w:rsidR="00F548FD" w:rsidRPr="05042C88">
        <w:t xml:space="preserve"> </w:t>
      </w:r>
      <w:proofErr w:type="spellStart"/>
      <w:r w:rsidR="00F548FD" w:rsidRPr="05042C88">
        <w:t>Elafibranor</w:t>
      </w:r>
      <w:proofErr w:type="spellEnd"/>
      <w:r w:rsidR="00F548FD" w:rsidRPr="05042C88">
        <w:t xml:space="preserve"> for the treatment of primary biliary cholangitis health state utility value analysis (2023).Technical report.</w:t>
      </w:r>
      <w:r w:rsidR="00056A2F" w:rsidRPr="05042C88">
        <w:t xml:space="preserve"> </w:t>
      </w:r>
    </w:p>
    <w:p w14:paraId="1A3E7DF0" w14:textId="5C49F34F" w:rsidR="00A4497B" w:rsidRDefault="002438B1" w:rsidP="004A7088">
      <w:pPr>
        <w:pStyle w:val="TableFigureFooter"/>
        <w:keepNext/>
      </w:pPr>
      <w:r w:rsidRPr="05042C88">
        <w:t xml:space="preserve">ICER = </w:t>
      </w:r>
      <w:r w:rsidR="00C74BB7" w:rsidRPr="05042C88">
        <w:t xml:space="preserve">Incremental cost-effectiveness ratio; </w:t>
      </w:r>
      <w:r w:rsidR="00A4497B" w:rsidRPr="05042C88">
        <w:t xml:space="preserve">ELA = </w:t>
      </w:r>
      <w:proofErr w:type="spellStart"/>
      <w:r w:rsidR="00A4497B" w:rsidRPr="05042C88">
        <w:t>elafibranor</w:t>
      </w:r>
      <w:proofErr w:type="spellEnd"/>
      <w:r w:rsidR="00A4497B" w:rsidRPr="05042C88">
        <w:t xml:space="preserve">; OCA = </w:t>
      </w:r>
      <w:proofErr w:type="spellStart"/>
      <w:r w:rsidR="00A4497B" w:rsidRPr="05042C88">
        <w:t>obeticholic</w:t>
      </w:r>
      <w:proofErr w:type="spellEnd"/>
      <w:r w:rsidR="00A4497B" w:rsidRPr="05042C88">
        <w:t xml:space="preserve"> acid; </w:t>
      </w:r>
      <w:r w:rsidR="00212BBF" w:rsidRPr="05042C88">
        <w:t xml:space="preserve">OR = odds ratio; </w:t>
      </w:r>
      <w:r w:rsidR="00A4497B" w:rsidRPr="05042C88">
        <w:t>PBAC = Pharmaceutical benefits advisory committee; PSD = Public summary document; QALY = Quality adjusted life years</w:t>
      </w:r>
    </w:p>
    <w:p w14:paraId="28D8A828" w14:textId="77777777" w:rsidR="0076687F" w:rsidRPr="00337B98" w:rsidRDefault="00AC6CEF" w:rsidP="0076687F">
      <w:pPr>
        <w:pStyle w:val="TableFigureFooter"/>
      </w:pPr>
      <w:r w:rsidRPr="00251976">
        <w:rPr>
          <w:vertAlign w:val="superscript"/>
        </w:rPr>
        <w:t>a</w:t>
      </w:r>
      <w:r>
        <w:t xml:space="preserve"> </w:t>
      </w:r>
      <w:r w:rsidR="00D80084">
        <w:t xml:space="preserve">Utility values applied </w:t>
      </w:r>
      <w:r w:rsidR="00B40CC3">
        <w:t xml:space="preserve">were from the regression analysis. </w:t>
      </w:r>
      <w:r w:rsidR="00422E46">
        <w:t>R</w:t>
      </w:r>
      <w:r w:rsidR="00422E46" w:rsidRPr="00422E46">
        <w:t>egression and descriptive analyses were performed on the EQ-5D-3L utility values that were obtained by mapping EQ-5D-5L data from the ELATIVE trial</w:t>
      </w:r>
      <w:r w:rsidR="00D52DF7">
        <w:t>,</w:t>
      </w:r>
      <w:r w:rsidR="00034884">
        <w:t xml:space="preserve"> </w:t>
      </w:r>
      <w:r w:rsidR="00D52DF7" w:rsidRPr="00D52DF7">
        <w:t>using the Hernandez-Alava et al. (2020) mapping algorithm</w:t>
      </w:r>
      <w:r w:rsidR="00D52DF7">
        <w:t>.</w:t>
      </w:r>
      <w:r w:rsidR="0076687F">
        <w:t xml:space="preserve"> </w:t>
      </w:r>
      <w:r w:rsidR="0076687F" w:rsidRPr="00337B98">
        <w:t xml:space="preserve">The redacted values correspond to the following ranges: </w:t>
      </w:r>
    </w:p>
    <w:p w14:paraId="08A6A79D" w14:textId="4289394D" w:rsidR="00FD5EB3" w:rsidRPr="00337B98" w:rsidRDefault="00580944" w:rsidP="0076687F">
      <w:pPr>
        <w:pStyle w:val="TableFigureFooter"/>
      </w:pPr>
      <w:r w:rsidRPr="00337B98">
        <w:t>1</w:t>
      </w:r>
      <w:r w:rsidR="0076687F" w:rsidRPr="00337B98">
        <w:t xml:space="preserve"> $75,000 to &lt; $95,000</w:t>
      </w:r>
    </w:p>
    <w:p w14:paraId="6689AA42" w14:textId="67C13870" w:rsidR="000C3DEB" w:rsidRPr="00FF10DD" w:rsidRDefault="000C3DEB" w:rsidP="00560A8A">
      <w:pPr>
        <w:pStyle w:val="3-BodyText"/>
      </w:pPr>
      <w:r w:rsidRPr="00FF10DD">
        <w:t xml:space="preserve">The incorporation of </w:t>
      </w:r>
      <w:proofErr w:type="spellStart"/>
      <w:r w:rsidR="00502C1B" w:rsidRPr="00FF10DD">
        <w:t>dis</w:t>
      </w:r>
      <w:r w:rsidRPr="00FF10DD">
        <w:t>utilities</w:t>
      </w:r>
      <w:proofErr w:type="spellEnd"/>
      <w:r w:rsidRPr="00FF10DD">
        <w:t xml:space="preserve"> </w:t>
      </w:r>
      <w:r w:rsidR="00502C1B" w:rsidRPr="00FF10DD">
        <w:t xml:space="preserve">due to pruritus </w:t>
      </w:r>
      <w:r w:rsidRPr="00FF10DD">
        <w:t>(i.e., pruritus TEAEs</w:t>
      </w:r>
      <w:r w:rsidR="00502C1B" w:rsidRPr="00FF10DD">
        <w:t>, mild itch and clinically significant itch</w:t>
      </w:r>
      <w:r w:rsidRPr="00FF10DD">
        <w:t xml:space="preserve">) did not significantly change the ICER. </w:t>
      </w:r>
      <w:r w:rsidR="00DE5E4C" w:rsidRPr="00FF10DD">
        <w:t>Removing the</w:t>
      </w:r>
      <w:r w:rsidRPr="00FF10DD">
        <w:t xml:space="preserve"> pruritus </w:t>
      </w:r>
      <w:proofErr w:type="spellStart"/>
      <w:r w:rsidR="00502C1B" w:rsidRPr="00FF10DD">
        <w:t>dis</w:t>
      </w:r>
      <w:r w:rsidR="00DE5E4C" w:rsidRPr="00FF10DD">
        <w:t>utilities</w:t>
      </w:r>
      <w:proofErr w:type="spellEnd"/>
      <w:r w:rsidR="00DE5E4C" w:rsidRPr="00FF10DD">
        <w:t xml:space="preserve"> </w:t>
      </w:r>
      <w:r w:rsidR="007E160C" w:rsidRPr="00FF10DD">
        <w:t>de</w:t>
      </w:r>
      <w:r w:rsidRPr="00FF10DD">
        <w:t xml:space="preserve">creased the ICER from </w:t>
      </w:r>
      <w:r w:rsidR="00E31FA1" w:rsidRPr="00E31FA1">
        <w:t>$75,000</w:t>
      </w:r>
      <w:r w:rsidR="003274E9">
        <w:t> </w:t>
      </w:r>
      <w:r w:rsidR="00E31FA1" w:rsidRPr="00E31FA1">
        <w:t>to</w:t>
      </w:r>
      <w:r w:rsidR="003274E9">
        <w:t> </w:t>
      </w:r>
      <w:r w:rsidR="00E31FA1" w:rsidRPr="00E31FA1">
        <w:t>&lt;</w:t>
      </w:r>
      <w:r w:rsidR="003274E9">
        <w:t> </w:t>
      </w:r>
      <w:r w:rsidR="00E31FA1" w:rsidRPr="00E31FA1">
        <w:t>$95,000</w:t>
      </w:r>
      <w:r w:rsidR="003274E9">
        <w:t xml:space="preserve"> </w:t>
      </w:r>
      <w:r w:rsidR="0090600D" w:rsidRPr="00FF10DD">
        <w:t xml:space="preserve">to </w:t>
      </w:r>
      <w:r w:rsidR="00E31FA1" w:rsidRPr="00E31FA1">
        <w:t>$75,000</w:t>
      </w:r>
      <w:r w:rsidR="003274E9">
        <w:t> </w:t>
      </w:r>
      <w:r w:rsidR="00E31FA1" w:rsidRPr="00E31FA1">
        <w:t>to</w:t>
      </w:r>
      <w:r w:rsidR="003274E9">
        <w:t> </w:t>
      </w:r>
      <w:r w:rsidR="00E31FA1" w:rsidRPr="00E31FA1">
        <w:t>&lt;</w:t>
      </w:r>
      <w:r w:rsidR="003274E9">
        <w:t> </w:t>
      </w:r>
      <w:r w:rsidR="00E31FA1" w:rsidRPr="00E31FA1">
        <w:t>$95,000</w:t>
      </w:r>
      <w:r w:rsidRPr="00FF10DD">
        <w:t>/QALY gained</w:t>
      </w:r>
      <w:r w:rsidR="00F92839" w:rsidRPr="00FF10DD">
        <w:t xml:space="preserve"> which was </w:t>
      </w:r>
      <w:r w:rsidR="004850E4" w:rsidRPr="00FF10DD">
        <w:t>counterintuitive</w:t>
      </w:r>
      <w:r w:rsidRPr="00FF10DD">
        <w:t>.</w:t>
      </w:r>
      <w:r w:rsidR="00B85CB7" w:rsidRPr="00FF10DD">
        <w:t xml:space="preserve"> The PSCR stated that the ICER reduced w</w:t>
      </w:r>
      <w:r w:rsidR="0047418C" w:rsidRPr="00FF10DD">
        <w:t xml:space="preserve">hen </w:t>
      </w:r>
      <w:proofErr w:type="spellStart"/>
      <w:r w:rsidR="0047418C" w:rsidRPr="00FF10DD">
        <w:t>disutilities</w:t>
      </w:r>
      <w:proofErr w:type="spellEnd"/>
      <w:r w:rsidR="0047418C" w:rsidRPr="00FF10DD">
        <w:t xml:space="preserve"> due to pruritus were removed due to the higher discontinuation rate for </w:t>
      </w:r>
      <w:r w:rsidR="00526A28" w:rsidRPr="00FF10DD">
        <w:t>OCA, which resulted in OCA patients effectively avoiding the disutility of pruritus.</w:t>
      </w:r>
      <w:r w:rsidR="00B94784" w:rsidRPr="00FF10DD">
        <w:t xml:space="preserve"> </w:t>
      </w:r>
      <w:r w:rsidR="00F21C13">
        <w:t>T</w:t>
      </w:r>
      <w:r w:rsidR="0095616A" w:rsidRPr="00FF10DD">
        <w:t xml:space="preserve">he ESC noted </w:t>
      </w:r>
      <w:r w:rsidR="0001493E" w:rsidRPr="00FF10DD">
        <w:t xml:space="preserve">that </w:t>
      </w:r>
      <w:r w:rsidR="00B94784" w:rsidRPr="00FF10DD">
        <w:t xml:space="preserve">if the </w:t>
      </w:r>
      <w:r w:rsidR="0001493E" w:rsidRPr="00FF10DD">
        <w:t>odds ratio</w:t>
      </w:r>
      <w:r w:rsidR="00B94784" w:rsidRPr="00FF10DD">
        <w:t xml:space="preserve"> for </w:t>
      </w:r>
      <w:r w:rsidR="001E4A95" w:rsidRPr="00FF10DD">
        <w:t xml:space="preserve">discontinuation of </w:t>
      </w:r>
      <w:r w:rsidR="00B94784" w:rsidRPr="00FF10DD">
        <w:t xml:space="preserve">OCA </w:t>
      </w:r>
      <w:r w:rsidR="001E4A95" w:rsidRPr="00FF10DD">
        <w:t xml:space="preserve">compared to </w:t>
      </w:r>
      <w:proofErr w:type="spellStart"/>
      <w:r w:rsidR="001E4A95" w:rsidRPr="00FF10DD">
        <w:t>elafibr</w:t>
      </w:r>
      <w:r w:rsidR="005051D0" w:rsidRPr="00FF10DD">
        <w:t>a</w:t>
      </w:r>
      <w:r w:rsidR="001E4A95" w:rsidRPr="00FF10DD">
        <w:t>nor</w:t>
      </w:r>
      <w:proofErr w:type="spellEnd"/>
      <w:r w:rsidR="001E4A95" w:rsidRPr="00FF10DD">
        <w:t xml:space="preserve"> </w:t>
      </w:r>
      <w:r w:rsidR="005051D0" w:rsidRPr="00FF10DD">
        <w:t xml:space="preserve">was </w:t>
      </w:r>
      <w:r w:rsidR="00B94784" w:rsidRPr="00FF10DD">
        <w:t xml:space="preserve">set at 1.0 the </w:t>
      </w:r>
      <w:r w:rsidR="001E4A95" w:rsidRPr="00FF10DD">
        <w:t xml:space="preserve">resulting </w:t>
      </w:r>
      <w:r w:rsidR="00B94784" w:rsidRPr="00FF10DD">
        <w:t>ICERs</w:t>
      </w:r>
      <w:r w:rsidR="005051D0" w:rsidRPr="00FF10DD">
        <w:t>,</w:t>
      </w:r>
      <w:r w:rsidR="00B94784" w:rsidRPr="00FF10DD">
        <w:t xml:space="preserve"> with and without </w:t>
      </w:r>
      <w:proofErr w:type="spellStart"/>
      <w:r w:rsidR="00B94784" w:rsidRPr="00FF10DD">
        <w:lastRenderedPageBreak/>
        <w:t>disutilities</w:t>
      </w:r>
      <w:proofErr w:type="spellEnd"/>
      <w:r w:rsidR="00B94784" w:rsidRPr="00FF10DD">
        <w:t xml:space="preserve"> for pruritus</w:t>
      </w:r>
      <w:r w:rsidR="005051D0" w:rsidRPr="00FF10DD">
        <w:t>,</w:t>
      </w:r>
      <w:r w:rsidR="00B94784" w:rsidRPr="00FF10DD">
        <w:t xml:space="preserve"> are </w:t>
      </w:r>
      <w:r w:rsidR="00E31FA1" w:rsidRPr="00E31FA1">
        <w:t>$75,000</w:t>
      </w:r>
      <w:r w:rsidR="0050025A">
        <w:t> </w:t>
      </w:r>
      <w:r w:rsidR="00E31FA1" w:rsidRPr="00E31FA1">
        <w:t>to</w:t>
      </w:r>
      <w:r w:rsidR="0050025A">
        <w:t> </w:t>
      </w:r>
      <w:r w:rsidR="00E31FA1" w:rsidRPr="00E31FA1">
        <w:t>&lt;</w:t>
      </w:r>
      <w:r w:rsidR="0050025A">
        <w:t> </w:t>
      </w:r>
      <w:r w:rsidR="00E31FA1" w:rsidRPr="00E31FA1">
        <w:t>$95,000</w:t>
      </w:r>
      <w:r w:rsidR="00573B9F">
        <w:t xml:space="preserve"> </w:t>
      </w:r>
      <w:r w:rsidR="00D74440" w:rsidRPr="00FF10DD">
        <w:t xml:space="preserve">per QALY </w:t>
      </w:r>
      <w:r w:rsidR="00B94784" w:rsidRPr="00FF10DD">
        <w:t xml:space="preserve">and </w:t>
      </w:r>
      <w:r w:rsidR="00E31FA1" w:rsidRPr="00E31FA1">
        <w:t>$75,000</w:t>
      </w:r>
      <w:r w:rsidR="0050025A">
        <w:t> </w:t>
      </w:r>
      <w:r w:rsidR="00E31FA1" w:rsidRPr="00E31FA1">
        <w:t>to</w:t>
      </w:r>
      <w:r w:rsidR="0050025A">
        <w:t> </w:t>
      </w:r>
      <w:r w:rsidR="00E31FA1" w:rsidRPr="00E31FA1">
        <w:t>&lt;</w:t>
      </w:r>
      <w:r w:rsidR="0050025A">
        <w:t> </w:t>
      </w:r>
      <w:r w:rsidR="00E31FA1" w:rsidRPr="00E31FA1">
        <w:t>$95,000</w:t>
      </w:r>
      <w:r w:rsidR="0050025A">
        <w:t xml:space="preserve"> </w:t>
      </w:r>
      <w:r w:rsidR="0095616A" w:rsidRPr="00FF10DD">
        <w:t xml:space="preserve">per QALY </w:t>
      </w:r>
      <w:r w:rsidR="00B94784" w:rsidRPr="00FF10DD">
        <w:t>respectively.</w:t>
      </w:r>
    </w:p>
    <w:p w14:paraId="27F8CA71" w14:textId="2F6F80D4" w:rsidR="004A3D46" w:rsidRPr="00FF10DD" w:rsidRDefault="00B5552B">
      <w:pPr>
        <w:pStyle w:val="3-BodyText"/>
      </w:pPr>
      <w:r w:rsidRPr="00FF10DD">
        <w:fldChar w:fldCharType="begin" w:fldLock="1"/>
      </w:r>
      <w:r w:rsidRPr="00FF10DD">
        <w:instrText xml:space="preserve"> REF _Ref184715855 \h </w:instrText>
      </w:r>
      <w:r w:rsidR="00CB5596" w:rsidRPr="00FF10DD">
        <w:instrText xml:space="preserve"> \* MERGEFORMAT </w:instrText>
      </w:r>
      <w:r w:rsidRPr="00FF10DD">
        <w:fldChar w:fldCharType="separate"/>
      </w:r>
      <w:r w:rsidR="002B3034" w:rsidRPr="00FF10DD">
        <w:t xml:space="preserve">Table </w:t>
      </w:r>
      <w:r w:rsidR="002B3034" w:rsidRPr="00FF10DD">
        <w:rPr>
          <w:noProof/>
        </w:rPr>
        <w:t>16</w:t>
      </w:r>
      <w:r w:rsidRPr="00FF10DD">
        <w:fldChar w:fldCharType="end"/>
      </w:r>
      <w:r w:rsidRPr="00FF10DD">
        <w:t xml:space="preserve"> </w:t>
      </w:r>
      <w:r w:rsidR="00431E5A" w:rsidRPr="00FF10DD">
        <w:t xml:space="preserve">presents the results of the stepped economic evaluation. </w:t>
      </w:r>
    </w:p>
    <w:p w14:paraId="160F3FA9" w14:textId="1983585E" w:rsidR="00680F0C" w:rsidRPr="00F21C13" w:rsidRDefault="00E16AD8" w:rsidP="00AF35DE">
      <w:pPr>
        <w:pStyle w:val="3-BodyText"/>
        <w:keepNext/>
        <w:numPr>
          <w:ilvl w:val="0"/>
          <w:numId w:val="0"/>
        </w:numPr>
        <w:spacing w:after="0"/>
        <w:rPr>
          <w:szCs w:val="24"/>
        </w:rPr>
      </w:pPr>
      <w:bookmarkStart w:id="70" w:name="_Ref184715855"/>
      <w:r w:rsidRPr="00184FAC">
        <w:rPr>
          <w:rFonts w:ascii="Arial Narrow" w:hAnsi="Arial Narrow"/>
          <w:b/>
          <w:bCs/>
          <w:sz w:val="20"/>
          <w:szCs w:val="20"/>
        </w:rPr>
        <w:t xml:space="preserve">Table </w:t>
      </w:r>
      <w:r w:rsidR="00780A90" w:rsidRPr="00184FAC">
        <w:rPr>
          <w:rFonts w:ascii="Arial Narrow" w:hAnsi="Arial Narrow"/>
          <w:b/>
          <w:bCs/>
          <w:sz w:val="20"/>
          <w:szCs w:val="20"/>
        </w:rPr>
        <w:fldChar w:fldCharType="begin" w:fldLock="1"/>
      </w:r>
      <w:r w:rsidR="00780A90" w:rsidRPr="00184FAC">
        <w:rPr>
          <w:rFonts w:ascii="Arial Narrow" w:hAnsi="Arial Narrow"/>
          <w:b/>
          <w:bCs/>
          <w:sz w:val="20"/>
          <w:szCs w:val="20"/>
        </w:rPr>
        <w:instrText xml:space="preserve"> SEQ Table \* ARABIC </w:instrText>
      </w:r>
      <w:r w:rsidR="00780A90" w:rsidRPr="00184FAC">
        <w:rPr>
          <w:rFonts w:ascii="Arial Narrow" w:hAnsi="Arial Narrow"/>
          <w:b/>
          <w:bCs/>
          <w:sz w:val="20"/>
          <w:szCs w:val="20"/>
        </w:rPr>
        <w:fldChar w:fldCharType="separate"/>
      </w:r>
      <w:r w:rsidR="00780A90" w:rsidRPr="00184FAC">
        <w:rPr>
          <w:rFonts w:ascii="Arial Narrow" w:hAnsi="Arial Narrow"/>
          <w:b/>
          <w:bCs/>
          <w:noProof/>
          <w:sz w:val="20"/>
          <w:szCs w:val="20"/>
        </w:rPr>
        <w:t>16</w:t>
      </w:r>
      <w:r w:rsidR="00780A90" w:rsidRPr="00184FAC">
        <w:rPr>
          <w:rFonts w:ascii="Arial Narrow" w:hAnsi="Arial Narrow"/>
          <w:b/>
          <w:bCs/>
          <w:noProof/>
          <w:sz w:val="20"/>
          <w:szCs w:val="20"/>
        </w:rPr>
        <w:fldChar w:fldCharType="end"/>
      </w:r>
      <w:bookmarkEnd w:id="70"/>
      <w:r w:rsidRPr="00184FAC">
        <w:rPr>
          <w:rFonts w:ascii="Arial Narrow" w:hAnsi="Arial Narrow"/>
          <w:b/>
          <w:bCs/>
          <w:sz w:val="20"/>
          <w:szCs w:val="20"/>
        </w:rPr>
        <w:t>:</w:t>
      </w:r>
      <w:r w:rsidR="005A373D" w:rsidRPr="00F21C13">
        <w:rPr>
          <w:rStyle w:val="CommentReference"/>
          <w:szCs w:val="24"/>
        </w:rPr>
        <w:t xml:space="preserve"> Results of the stepped economic evaluation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75"/>
        <w:gridCol w:w="1801"/>
        <w:gridCol w:w="1799"/>
        <w:gridCol w:w="1940"/>
      </w:tblGrid>
      <w:tr w:rsidR="00680F0C" w:rsidRPr="004850E4" w14:paraId="081234F7" w14:textId="77777777" w:rsidTr="05042C88">
        <w:trPr>
          <w:trHeight w:val="70"/>
          <w:tblHeader/>
        </w:trPr>
        <w:tc>
          <w:tcPr>
            <w:tcW w:w="1927" w:type="pct"/>
            <w:vAlign w:val="center"/>
          </w:tcPr>
          <w:p w14:paraId="6209FF00" w14:textId="77777777" w:rsidR="00680F0C" w:rsidRPr="004850E4" w:rsidRDefault="00680F0C" w:rsidP="00AF35DE">
            <w:pPr>
              <w:keepNext/>
              <w:keepLines/>
              <w:jc w:val="left"/>
              <w:rPr>
                <w:rFonts w:ascii="Arial Narrow" w:eastAsiaTheme="majorEastAsia" w:hAnsi="Arial Narrow" w:cs="Times New Roman"/>
                <w:b/>
                <w:bCs/>
                <w:sz w:val="20"/>
                <w:szCs w:val="20"/>
              </w:rPr>
            </w:pPr>
            <w:r w:rsidRPr="05042C88">
              <w:rPr>
                <w:rFonts w:ascii="Arial Narrow" w:eastAsiaTheme="majorEastAsia" w:hAnsi="Arial Narrow" w:cs="Times New Roman"/>
                <w:b/>
                <w:bCs/>
                <w:sz w:val="20"/>
                <w:szCs w:val="20"/>
              </w:rPr>
              <w:t>Step and component</w:t>
            </w:r>
          </w:p>
        </w:tc>
        <w:tc>
          <w:tcPr>
            <w:tcW w:w="999" w:type="pct"/>
            <w:vAlign w:val="center"/>
          </w:tcPr>
          <w:p w14:paraId="34887D37" w14:textId="77777777" w:rsidR="00680F0C" w:rsidRPr="004850E4" w:rsidRDefault="00680F0C" w:rsidP="00AF35DE">
            <w:pPr>
              <w:keepNext/>
              <w:keepLines/>
              <w:jc w:val="center"/>
              <w:rPr>
                <w:rFonts w:ascii="Arial Narrow" w:eastAsiaTheme="majorEastAsia" w:hAnsi="Arial Narrow" w:cs="Times New Roman"/>
                <w:b/>
                <w:sz w:val="20"/>
                <w:szCs w:val="20"/>
              </w:rPr>
            </w:pPr>
            <w:r w:rsidRPr="004850E4">
              <w:rPr>
                <w:rFonts w:ascii="Arial Narrow" w:eastAsiaTheme="majorEastAsia" w:hAnsi="Arial Narrow" w:cs="Times New Roman"/>
                <w:b/>
                <w:sz w:val="20"/>
                <w:szCs w:val="20"/>
              </w:rPr>
              <w:t xml:space="preserve">ELA </w:t>
            </w:r>
          </w:p>
        </w:tc>
        <w:tc>
          <w:tcPr>
            <w:tcW w:w="998" w:type="pct"/>
            <w:vAlign w:val="center"/>
          </w:tcPr>
          <w:p w14:paraId="73387521" w14:textId="77777777" w:rsidR="00680F0C" w:rsidRPr="004850E4" w:rsidRDefault="00680F0C" w:rsidP="00AF35DE">
            <w:pPr>
              <w:keepNext/>
              <w:keepLines/>
              <w:jc w:val="center"/>
              <w:rPr>
                <w:rFonts w:ascii="Arial Narrow" w:eastAsiaTheme="majorEastAsia" w:hAnsi="Arial Narrow" w:cs="Times New Roman"/>
                <w:b/>
                <w:sz w:val="20"/>
                <w:szCs w:val="20"/>
              </w:rPr>
            </w:pPr>
            <w:r w:rsidRPr="004850E4">
              <w:rPr>
                <w:rFonts w:ascii="Arial Narrow" w:eastAsiaTheme="majorEastAsia" w:hAnsi="Arial Narrow" w:cs="Times New Roman"/>
                <w:b/>
                <w:sz w:val="20"/>
                <w:szCs w:val="20"/>
              </w:rPr>
              <w:t xml:space="preserve">OCA </w:t>
            </w:r>
          </w:p>
        </w:tc>
        <w:tc>
          <w:tcPr>
            <w:tcW w:w="1076" w:type="pct"/>
            <w:vAlign w:val="center"/>
          </w:tcPr>
          <w:p w14:paraId="57F25E22" w14:textId="77777777" w:rsidR="00680F0C" w:rsidRPr="004850E4" w:rsidRDefault="00680F0C" w:rsidP="00AF35DE">
            <w:pPr>
              <w:keepNext/>
              <w:keepLines/>
              <w:jc w:val="center"/>
              <w:rPr>
                <w:rFonts w:ascii="Arial Narrow" w:eastAsiaTheme="majorEastAsia" w:hAnsi="Arial Narrow" w:cs="Times New Roman"/>
                <w:b/>
                <w:sz w:val="20"/>
                <w:szCs w:val="20"/>
              </w:rPr>
            </w:pPr>
            <w:r w:rsidRPr="004850E4">
              <w:rPr>
                <w:rFonts w:ascii="Arial Narrow" w:eastAsiaTheme="majorEastAsia" w:hAnsi="Arial Narrow" w:cs="Times New Roman"/>
                <w:b/>
                <w:sz w:val="20"/>
                <w:szCs w:val="20"/>
              </w:rPr>
              <w:t>Increment</w:t>
            </w:r>
          </w:p>
        </w:tc>
      </w:tr>
      <w:tr w:rsidR="00391994" w:rsidRPr="004850E4" w14:paraId="1615A8B6" w14:textId="77777777" w:rsidTr="05042C88">
        <w:trPr>
          <w:trHeight w:val="70"/>
          <w:tblHeader/>
        </w:trPr>
        <w:tc>
          <w:tcPr>
            <w:tcW w:w="5000" w:type="pct"/>
            <w:gridSpan w:val="4"/>
            <w:vAlign w:val="center"/>
          </w:tcPr>
          <w:p w14:paraId="2538FB83" w14:textId="58364197" w:rsidR="00391994" w:rsidRPr="004850E4" w:rsidRDefault="00391994" w:rsidP="00AF35DE">
            <w:pPr>
              <w:keepNext/>
              <w:keepLines/>
              <w:jc w:val="left"/>
              <w:rPr>
                <w:rFonts w:ascii="Arial Narrow" w:eastAsiaTheme="majorEastAsia" w:hAnsi="Arial Narrow" w:cs="Times New Roman"/>
                <w:b/>
                <w:sz w:val="20"/>
                <w:szCs w:val="20"/>
              </w:rPr>
            </w:pPr>
            <w:r w:rsidRPr="004850E4">
              <w:rPr>
                <w:rFonts w:ascii="Arial Narrow" w:eastAsiaTheme="majorEastAsia" w:hAnsi="Arial Narrow" w:cstheme="majorBidi"/>
                <w:b/>
                <w:sz w:val="20"/>
                <w:szCs w:val="20"/>
              </w:rPr>
              <w:t>Step 1: Trial-based costs and outcomes</w:t>
            </w:r>
          </w:p>
        </w:tc>
      </w:tr>
      <w:tr w:rsidR="00AF7041" w:rsidRPr="004850E4" w14:paraId="7E6B6180" w14:textId="77777777" w:rsidTr="00B55D47">
        <w:trPr>
          <w:trHeight w:val="70"/>
          <w:tblHeader/>
        </w:trPr>
        <w:tc>
          <w:tcPr>
            <w:tcW w:w="1927" w:type="pct"/>
            <w:vAlign w:val="center"/>
          </w:tcPr>
          <w:p w14:paraId="4E3406BE" w14:textId="6857EEA6" w:rsidR="00AF7041" w:rsidRPr="004850E4" w:rsidRDefault="00AF7041" w:rsidP="00AF35DE">
            <w:pPr>
              <w:keepNext/>
              <w:keepLines/>
              <w:jc w:val="left"/>
              <w:rPr>
                <w:rFonts w:ascii="Arial Narrow" w:eastAsiaTheme="majorEastAsia" w:hAnsi="Arial Narrow" w:cs="Times New Roman"/>
                <w:b/>
                <w:bCs/>
                <w:sz w:val="20"/>
                <w:szCs w:val="20"/>
              </w:rPr>
            </w:pPr>
            <w:proofErr w:type="spellStart"/>
            <w:r w:rsidRPr="05042C88">
              <w:rPr>
                <w:rFonts w:ascii="Arial Narrow" w:eastAsiaTheme="majorEastAsia" w:hAnsi="Arial Narrow" w:cstheme="majorBidi"/>
                <w:sz w:val="20"/>
                <w:szCs w:val="20"/>
              </w:rPr>
              <w:t>Costs</w:t>
            </w:r>
            <w:r w:rsidRPr="05042C88">
              <w:rPr>
                <w:rFonts w:ascii="Arial Narrow" w:eastAsiaTheme="majorEastAsia" w:hAnsi="Arial Narrow" w:cstheme="majorBidi"/>
                <w:sz w:val="20"/>
                <w:szCs w:val="20"/>
                <w:vertAlign w:val="superscript"/>
              </w:rPr>
              <w:t>a</w:t>
            </w:r>
            <w:proofErr w:type="spellEnd"/>
          </w:p>
        </w:tc>
        <w:tc>
          <w:tcPr>
            <w:tcW w:w="999" w:type="pct"/>
            <w:shd w:val="solid" w:color="000000" w:fill="000000"/>
            <w:vAlign w:val="center"/>
          </w:tcPr>
          <w:p w14:paraId="3CF39625" w14:textId="156699CB" w:rsidR="00AF7041" w:rsidRPr="004850E4" w:rsidRDefault="00B55D47" w:rsidP="00AF35DE">
            <w:pPr>
              <w:keepNext/>
              <w:keepLines/>
              <w:jc w:val="center"/>
              <w:rPr>
                <w:rFonts w:ascii="Arial Narrow" w:eastAsiaTheme="majorEastAsia" w:hAnsi="Arial Narrow" w:cs="Times New Roman"/>
                <w:b/>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67D3CB3A" w14:textId="6AD17BFB" w:rsidR="00AF7041" w:rsidRPr="004850E4" w:rsidRDefault="00AF7041" w:rsidP="00AF35DE">
            <w:pPr>
              <w:keepNext/>
              <w:keepLines/>
              <w:jc w:val="center"/>
              <w:rPr>
                <w:rFonts w:ascii="Arial Narrow" w:eastAsiaTheme="majorEastAsia" w:hAnsi="Arial Narrow" w:cs="Times New Roman"/>
                <w:b/>
                <w:sz w:val="20"/>
                <w:szCs w:val="20"/>
              </w:rPr>
            </w:pPr>
            <w:r w:rsidRPr="004850E4">
              <w:rPr>
                <w:rFonts w:ascii="Arial Narrow" w:eastAsiaTheme="majorEastAsia" w:hAnsi="Arial Narrow" w:cstheme="majorBidi"/>
                <w:bCs/>
                <w:sz w:val="20"/>
                <w:szCs w:val="20"/>
              </w:rPr>
              <w:t>$</w:t>
            </w:r>
            <w:r w:rsidR="00EB311A" w:rsidRPr="004850E4">
              <w:rPr>
                <w:rFonts w:ascii="Arial Narrow" w:eastAsiaTheme="majorEastAsia" w:hAnsi="Arial Narrow" w:cstheme="majorBidi"/>
                <w:bCs/>
                <w:sz w:val="20"/>
                <w:szCs w:val="20"/>
              </w:rPr>
              <w:t>41,831</w:t>
            </w:r>
          </w:p>
        </w:tc>
        <w:tc>
          <w:tcPr>
            <w:tcW w:w="1076" w:type="pct"/>
            <w:shd w:val="solid" w:color="000000" w:fill="000000"/>
            <w:vAlign w:val="center"/>
          </w:tcPr>
          <w:p w14:paraId="43285C58" w14:textId="0381DD47" w:rsidR="00AF7041" w:rsidRPr="004850E4" w:rsidRDefault="00B55D47" w:rsidP="00AF35DE">
            <w:pPr>
              <w:keepNext/>
              <w:keepLines/>
              <w:jc w:val="center"/>
              <w:rPr>
                <w:rFonts w:ascii="Arial Narrow" w:eastAsiaTheme="majorEastAsia" w:hAnsi="Arial Narrow" w:cs="Times New Roman"/>
                <w:b/>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0BB6DD53" w14:textId="77777777" w:rsidTr="05042C88">
        <w:trPr>
          <w:trHeight w:val="70"/>
          <w:tblHeader/>
        </w:trPr>
        <w:tc>
          <w:tcPr>
            <w:tcW w:w="1927" w:type="pct"/>
            <w:vAlign w:val="center"/>
          </w:tcPr>
          <w:p w14:paraId="514D1245" w14:textId="75570732" w:rsidR="00391994" w:rsidRPr="004850E4" w:rsidRDefault="00391994" w:rsidP="00AF35DE">
            <w:pPr>
              <w:keepNext/>
              <w:keepLines/>
              <w:jc w:val="left"/>
              <w:rPr>
                <w:rFonts w:ascii="Arial Narrow" w:eastAsiaTheme="majorEastAsia" w:hAnsi="Arial Narrow" w:cs="Times New Roman"/>
                <w:b/>
                <w:sz w:val="20"/>
                <w:szCs w:val="20"/>
              </w:rPr>
            </w:pPr>
            <w:r w:rsidRPr="004850E4">
              <w:rPr>
                <w:rFonts w:ascii="Arial Narrow" w:eastAsiaTheme="majorEastAsia" w:hAnsi="Arial Narrow" w:cstheme="majorBidi"/>
                <w:bCs/>
                <w:sz w:val="20"/>
                <w:szCs w:val="20"/>
              </w:rPr>
              <w:t>Cholestasis response at 1 year</w:t>
            </w:r>
          </w:p>
        </w:tc>
        <w:tc>
          <w:tcPr>
            <w:tcW w:w="999" w:type="pct"/>
            <w:vAlign w:val="center"/>
          </w:tcPr>
          <w:p w14:paraId="14C2CADE" w14:textId="5DF8644E" w:rsidR="00391994" w:rsidRPr="004850E4" w:rsidRDefault="00391994" w:rsidP="00AF35DE">
            <w:pPr>
              <w:keepNext/>
              <w:keepLines/>
              <w:jc w:val="center"/>
              <w:rPr>
                <w:rFonts w:ascii="Arial Narrow" w:eastAsiaTheme="majorEastAsia" w:hAnsi="Arial Narrow" w:cs="Times New Roman"/>
                <w:b/>
                <w:sz w:val="20"/>
                <w:szCs w:val="20"/>
              </w:rPr>
            </w:pPr>
            <w:r w:rsidRPr="004850E4">
              <w:rPr>
                <w:rFonts w:ascii="Arial Narrow" w:eastAsiaTheme="majorEastAsia" w:hAnsi="Arial Narrow" w:cstheme="majorBidi"/>
                <w:bCs/>
                <w:sz w:val="20"/>
                <w:szCs w:val="20"/>
              </w:rPr>
              <w:t>0.5093</w:t>
            </w:r>
          </w:p>
        </w:tc>
        <w:tc>
          <w:tcPr>
            <w:tcW w:w="998" w:type="pct"/>
            <w:vAlign w:val="center"/>
          </w:tcPr>
          <w:p w14:paraId="2DE44929" w14:textId="4F2C8ED8" w:rsidR="00391994" w:rsidRPr="004850E4" w:rsidRDefault="00391994" w:rsidP="00AF35DE">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0.46 (5-10 mg)</w:t>
            </w:r>
          </w:p>
          <w:p w14:paraId="0FED6C69" w14:textId="092E4DE7" w:rsidR="00391994" w:rsidRPr="004850E4" w:rsidRDefault="00391994" w:rsidP="00AF35DE">
            <w:pPr>
              <w:keepNext/>
              <w:keepLines/>
              <w:jc w:val="center"/>
              <w:rPr>
                <w:rFonts w:ascii="Arial Narrow" w:eastAsiaTheme="majorEastAsia" w:hAnsi="Arial Narrow" w:cs="Times New Roman"/>
                <w:bCs/>
                <w:sz w:val="20"/>
                <w:szCs w:val="20"/>
              </w:rPr>
            </w:pPr>
            <w:r w:rsidRPr="004850E4">
              <w:rPr>
                <w:rFonts w:ascii="Arial Narrow" w:eastAsiaTheme="majorEastAsia" w:hAnsi="Arial Narrow" w:cs="Times New Roman"/>
                <w:bCs/>
                <w:sz w:val="20"/>
                <w:szCs w:val="20"/>
              </w:rPr>
              <w:t>0.47 (10 mg)</w:t>
            </w:r>
          </w:p>
        </w:tc>
        <w:tc>
          <w:tcPr>
            <w:tcW w:w="1076" w:type="pct"/>
            <w:vAlign w:val="center"/>
          </w:tcPr>
          <w:p w14:paraId="57FA7CA8" w14:textId="7AACEC0F" w:rsidR="00391994" w:rsidRPr="004850E4" w:rsidRDefault="00391994" w:rsidP="00AF35DE">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0.0493 (5-10 mg)</w:t>
            </w:r>
          </w:p>
          <w:p w14:paraId="2264AFBE" w14:textId="2B0CDDA1" w:rsidR="00391994" w:rsidRPr="004850E4" w:rsidRDefault="00391994" w:rsidP="00AF35DE">
            <w:pPr>
              <w:keepNext/>
              <w:keepLines/>
              <w:jc w:val="center"/>
              <w:rPr>
                <w:rFonts w:ascii="Arial Narrow" w:eastAsiaTheme="majorEastAsia" w:hAnsi="Arial Narrow" w:cs="Times New Roman"/>
                <w:bCs/>
                <w:sz w:val="20"/>
                <w:szCs w:val="20"/>
              </w:rPr>
            </w:pPr>
            <w:r w:rsidRPr="004850E4">
              <w:rPr>
                <w:rFonts w:ascii="Arial Narrow" w:eastAsiaTheme="majorEastAsia" w:hAnsi="Arial Narrow" w:cs="Times New Roman"/>
                <w:bCs/>
                <w:sz w:val="20"/>
                <w:szCs w:val="20"/>
              </w:rPr>
              <w:t>0.0393 (10 mg)</w:t>
            </w:r>
          </w:p>
        </w:tc>
      </w:tr>
      <w:tr w:rsidR="007C2343" w:rsidRPr="004850E4" w14:paraId="54C8AE54" w14:textId="77777777" w:rsidTr="05042C88">
        <w:trPr>
          <w:trHeight w:val="70"/>
          <w:tblHeader/>
        </w:trPr>
        <w:tc>
          <w:tcPr>
            <w:tcW w:w="3924" w:type="pct"/>
            <w:gridSpan w:val="3"/>
            <w:vAlign w:val="center"/>
          </w:tcPr>
          <w:p w14:paraId="19BA2C87" w14:textId="3F3021D3" w:rsidR="007C2343" w:rsidRPr="004850E4" w:rsidRDefault="007C2343" w:rsidP="007C2343">
            <w:pPr>
              <w:keepNext/>
              <w:keepLines/>
              <w:jc w:val="left"/>
              <w:rPr>
                <w:rFonts w:ascii="Arial Narrow" w:eastAsiaTheme="majorEastAsia" w:hAnsi="Arial Narrow" w:cs="Times New Roman"/>
                <w:b/>
                <w:sz w:val="20"/>
                <w:szCs w:val="20"/>
              </w:rPr>
            </w:pPr>
            <w:r w:rsidRPr="004850E4">
              <w:rPr>
                <w:rFonts w:ascii="Arial Narrow" w:eastAsiaTheme="majorEastAsia" w:hAnsi="Arial Narrow" w:cstheme="majorBidi"/>
                <w:bCs/>
                <w:sz w:val="20"/>
                <w:szCs w:val="20"/>
              </w:rPr>
              <w:t>Incremental cost/additional cholestasis response</w:t>
            </w:r>
          </w:p>
        </w:tc>
        <w:tc>
          <w:tcPr>
            <w:tcW w:w="1076" w:type="pct"/>
            <w:vAlign w:val="center"/>
          </w:tcPr>
          <w:p w14:paraId="318F2426" w14:textId="583C956F" w:rsidR="007C2343" w:rsidRPr="004850E4" w:rsidRDefault="00B55D47" w:rsidP="00391994">
            <w:pPr>
              <w:keepNext/>
              <w:keepLines/>
              <w:jc w:val="center"/>
              <w:rPr>
                <w:rFonts w:ascii="Arial Narrow" w:eastAsiaTheme="majorEastAsia" w:hAnsi="Arial Narrow" w:cs="Times New Roman"/>
                <w:bCs/>
                <w:sz w:val="20"/>
                <w:szCs w:val="20"/>
              </w:rPr>
            </w:pPr>
            <w:r w:rsidRPr="00B55D47">
              <w:rPr>
                <w:rFonts w:ascii="Arial Narrow" w:eastAsiaTheme="majorEastAsia" w:hAnsi="Arial Narrow" w:cs="Times New Roman" w:hint="eastAsia"/>
                <w:bCs/>
                <w:color w:val="000000"/>
                <w:w w:val="15"/>
                <w:sz w:val="20"/>
                <w:szCs w:val="20"/>
                <w:shd w:val="solid" w:color="000000" w:fill="000000"/>
                <w:fitText w:val="30" w:id="-694465270"/>
                <w14:textFill>
                  <w14:solidFill>
                    <w14:srgbClr w14:val="000000">
                      <w14:alpha w14:val="100000"/>
                    </w14:srgbClr>
                  </w14:solidFill>
                </w14:textFill>
              </w:rPr>
              <w:t xml:space="preserve">　</w:t>
            </w:r>
            <w:r w:rsidRPr="00B55D47">
              <w:rPr>
                <w:rFonts w:ascii="Arial Narrow" w:eastAsiaTheme="majorEastAsia" w:hAnsi="Arial Narrow" w:cs="Times New Roman"/>
                <w:bCs/>
                <w:color w:val="000000"/>
                <w:w w:val="15"/>
                <w:sz w:val="20"/>
                <w:szCs w:val="20"/>
                <w:shd w:val="solid" w:color="000000" w:fill="000000"/>
                <w:fitText w:val="30" w:id="-694465270"/>
                <w14:textFill>
                  <w14:solidFill>
                    <w14:srgbClr w14:val="000000">
                      <w14:alpha w14:val="100000"/>
                    </w14:srgbClr>
                  </w14:solidFill>
                </w14:textFill>
              </w:rPr>
              <w:t>|</w:t>
            </w:r>
            <w:r w:rsidRPr="00B55D47">
              <w:rPr>
                <w:rFonts w:ascii="Arial Narrow" w:eastAsiaTheme="majorEastAsia" w:hAnsi="Arial Narrow" w:cs="Times New Roman" w:hint="eastAsia"/>
                <w:bCs/>
                <w:color w:val="000000"/>
                <w:spacing w:val="-35"/>
                <w:w w:val="15"/>
                <w:sz w:val="20"/>
                <w:szCs w:val="20"/>
                <w:shd w:val="solid" w:color="000000" w:fill="000000"/>
                <w:fitText w:val="30" w:id="-694465270"/>
                <w14:textFill>
                  <w14:solidFill>
                    <w14:srgbClr w14:val="000000">
                      <w14:alpha w14:val="100000"/>
                    </w14:srgbClr>
                  </w14:solidFill>
                </w14:textFill>
              </w:rPr>
              <w:t xml:space="preserve">　</w:t>
            </w:r>
            <w:r w:rsidR="007C2343" w:rsidRPr="004850E4">
              <w:rPr>
                <w:rFonts w:ascii="Arial Narrow" w:eastAsiaTheme="majorEastAsia" w:hAnsi="Arial Narrow" w:cs="Times New Roman"/>
                <w:bCs/>
                <w:sz w:val="20"/>
                <w:szCs w:val="20"/>
              </w:rPr>
              <w:t xml:space="preserve"> </w:t>
            </w:r>
            <w:r w:rsidR="004D39A1" w:rsidRPr="004D39A1">
              <w:rPr>
                <w:rFonts w:ascii="Arial Narrow" w:eastAsiaTheme="majorEastAsia" w:hAnsi="Arial Narrow" w:cs="Times New Roman"/>
                <w:bCs/>
                <w:sz w:val="20"/>
                <w:szCs w:val="20"/>
                <w:vertAlign w:val="superscript"/>
              </w:rPr>
              <w:t>1</w:t>
            </w:r>
            <w:r w:rsidR="004D39A1">
              <w:rPr>
                <w:rFonts w:ascii="Arial Narrow" w:eastAsiaTheme="majorEastAsia" w:hAnsi="Arial Narrow" w:cs="Times New Roman"/>
                <w:bCs/>
                <w:sz w:val="20"/>
                <w:szCs w:val="20"/>
                <w:vertAlign w:val="superscript"/>
              </w:rPr>
              <w:t xml:space="preserve"> </w:t>
            </w:r>
            <w:r w:rsidR="007C2343" w:rsidRPr="004850E4">
              <w:rPr>
                <w:rFonts w:ascii="Arial Narrow" w:eastAsiaTheme="majorEastAsia" w:hAnsi="Arial Narrow" w:cs="Times New Roman"/>
                <w:bCs/>
                <w:sz w:val="20"/>
                <w:szCs w:val="20"/>
              </w:rPr>
              <w:t>(5-10 mg)</w:t>
            </w:r>
          </w:p>
          <w:p w14:paraId="164AF5E9" w14:textId="4DF7E905" w:rsidR="007C2343" w:rsidRPr="004850E4" w:rsidRDefault="00B55D47" w:rsidP="00391994">
            <w:pPr>
              <w:keepNext/>
              <w:keepLines/>
              <w:jc w:val="center"/>
              <w:rPr>
                <w:rFonts w:ascii="Arial Narrow" w:eastAsiaTheme="majorEastAsia" w:hAnsi="Arial Narrow" w:cs="Times New Roman"/>
                <w:b/>
                <w:sz w:val="20"/>
                <w:szCs w:val="20"/>
              </w:rPr>
            </w:pPr>
            <w:r w:rsidRPr="00B55D47">
              <w:rPr>
                <w:rFonts w:ascii="Arial Narrow" w:eastAsiaTheme="majorEastAsia" w:hAnsi="Arial Narrow" w:cs="Times New Roman"/>
                <w:bCs/>
                <w:color w:val="000000"/>
                <w:sz w:val="20"/>
                <w:szCs w:val="20"/>
                <w:shd w:val="solid" w:color="000000" w:fill="000000"/>
                <w14:textFill>
                  <w14:solidFill>
                    <w14:srgbClr w14:val="000000">
                      <w14:alpha w14:val="100000"/>
                    </w14:srgbClr>
                  </w14:solidFill>
                </w14:textFill>
              </w:rPr>
              <w:t>|</w:t>
            </w:r>
            <w:r w:rsidR="00E17657" w:rsidRPr="00E17657">
              <w:rPr>
                <w:rFonts w:ascii="Arial Narrow" w:eastAsiaTheme="majorEastAsia" w:hAnsi="Arial Narrow" w:cs="Times New Roman"/>
                <w:bCs/>
                <w:sz w:val="20"/>
                <w:szCs w:val="20"/>
                <w:vertAlign w:val="superscript"/>
              </w:rPr>
              <w:t>2</w:t>
            </w:r>
            <w:r w:rsidR="00E17657">
              <w:rPr>
                <w:rFonts w:ascii="Arial Narrow" w:eastAsiaTheme="majorEastAsia" w:hAnsi="Arial Narrow" w:cs="Times New Roman"/>
                <w:bCs/>
                <w:sz w:val="20"/>
                <w:szCs w:val="20"/>
              </w:rPr>
              <w:t xml:space="preserve"> </w:t>
            </w:r>
            <w:r w:rsidR="007C2343" w:rsidRPr="004850E4">
              <w:rPr>
                <w:rFonts w:ascii="Arial Narrow" w:eastAsiaTheme="majorEastAsia" w:hAnsi="Arial Narrow" w:cs="Times New Roman"/>
                <w:bCs/>
                <w:sz w:val="20"/>
                <w:szCs w:val="20"/>
              </w:rPr>
              <w:t xml:space="preserve"> (10 mg)</w:t>
            </w:r>
          </w:p>
        </w:tc>
      </w:tr>
      <w:tr w:rsidR="00391994" w:rsidRPr="004850E4" w14:paraId="73138E5C" w14:textId="77777777" w:rsidTr="05042C88">
        <w:tc>
          <w:tcPr>
            <w:tcW w:w="5000" w:type="pct"/>
            <w:gridSpan w:val="4"/>
            <w:vAlign w:val="center"/>
          </w:tcPr>
          <w:p w14:paraId="3D86AFD0" w14:textId="5175AAF8" w:rsidR="00391994" w:rsidRPr="004850E4" w:rsidRDefault="00391994" w:rsidP="00391994">
            <w:pPr>
              <w:keepNext/>
              <w:keepLines/>
              <w:jc w:val="left"/>
              <w:rPr>
                <w:rFonts w:ascii="Arial Narrow" w:eastAsiaTheme="majorEastAsia" w:hAnsi="Arial Narrow" w:cstheme="majorBidi"/>
                <w:b/>
                <w:sz w:val="20"/>
                <w:szCs w:val="20"/>
              </w:rPr>
            </w:pPr>
            <w:r w:rsidRPr="004850E4">
              <w:rPr>
                <w:rFonts w:ascii="Arial Narrow" w:eastAsiaTheme="majorEastAsia" w:hAnsi="Arial Narrow" w:cstheme="majorBidi"/>
                <w:b/>
                <w:sz w:val="20"/>
                <w:szCs w:val="20"/>
              </w:rPr>
              <w:t xml:space="preserve">Step 2: </w:t>
            </w:r>
            <w:r w:rsidRPr="004850E4">
              <w:rPr>
                <w:rFonts w:ascii="Arial Narrow" w:eastAsiaTheme="majorEastAsia" w:hAnsi="Arial Narrow" w:cs="Times New Roman"/>
                <w:b/>
                <w:sz w:val="20"/>
                <w:szCs w:val="20"/>
              </w:rPr>
              <w:t>Time horizon 1 year and life years gained</w:t>
            </w:r>
          </w:p>
        </w:tc>
      </w:tr>
      <w:tr w:rsidR="00EB311A" w:rsidRPr="004850E4" w14:paraId="21E6AAE6" w14:textId="77777777" w:rsidTr="00B55D47">
        <w:tc>
          <w:tcPr>
            <w:tcW w:w="1927" w:type="pct"/>
            <w:vAlign w:val="center"/>
          </w:tcPr>
          <w:p w14:paraId="50494A6B" w14:textId="1E9A2D15" w:rsidR="00EB311A" w:rsidRPr="004850E4" w:rsidRDefault="00EB311A" w:rsidP="05042C88">
            <w:pPr>
              <w:keepNext/>
              <w:keepLines/>
              <w:jc w:val="left"/>
              <w:rPr>
                <w:rFonts w:ascii="Arial Narrow" w:eastAsiaTheme="majorEastAsia" w:hAnsi="Arial Narrow" w:cstheme="majorBidi"/>
                <w:sz w:val="20"/>
                <w:szCs w:val="20"/>
              </w:rPr>
            </w:pPr>
            <w:proofErr w:type="spellStart"/>
            <w:r w:rsidRPr="05042C88">
              <w:rPr>
                <w:rFonts w:ascii="Arial Narrow" w:eastAsiaTheme="majorEastAsia" w:hAnsi="Arial Narrow" w:cstheme="majorBidi"/>
                <w:sz w:val="20"/>
                <w:szCs w:val="20"/>
              </w:rPr>
              <w:t>Costs</w:t>
            </w:r>
            <w:r w:rsidRPr="05042C88">
              <w:rPr>
                <w:rFonts w:ascii="Arial Narrow" w:eastAsiaTheme="majorEastAsia" w:hAnsi="Arial Narrow" w:cstheme="majorBidi"/>
                <w:sz w:val="20"/>
                <w:szCs w:val="20"/>
                <w:vertAlign w:val="superscript"/>
              </w:rPr>
              <w:t>a</w:t>
            </w:r>
            <w:proofErr w:type="spellEnd"/>
          </w:p>
        </w:tc>
        <w:tc>
          <w:tcPr>
            <w:tcW w:w="999" w:type="pct"/>
            <w:shd w:val="solid" w:color="000000" w:fill="000000"/>
            <w:vAlign w:val="center"/>
          </w:tcPr>
          <w:p w14:paraId="26B8D366" w14:textId="38BD8546" w:rsidR="00EB311A" w:rsidRPr="004850E4" w:rsidRDefault="00B55D47" w:rsidP="00EB311A">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1B92B272" w14:textId="5C671E4D" w:rsidR="00EB311A" w:rsidRPr="004850E4" w:rsidRDefault="00EB311A" w:rsidP="00EB311A">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$41,831</w:t>
            </w:r>
          </w:p>
        </w:tc>
        <w:tc>
          <w:tcPr>
            <w:tcW w:w="1076" w:type="pct"/>
            <w:shd w:val="solid" w:color="000000" w:fill="000000"/>
            <w:vAlign w:val="center"/>
          </w:tcPr>
          <w:p w14:paraId="65D47057" w14:textId="779DFAC9" w:rsidR="00EB311A" w:rsidRPr="004850E4" w:rsidRDefault="00B55D47" w:rsidP="00EB311A">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429DFB43" w14:textId="77777777" w:rsidTr="05042C88">
        <w:tc>
          <w:tcPr>
            <w:tcW w:w="1927" w:type="pct"/>
            <w:vAlign w:val="center"/>
          </w:tcPr>
          <w:p w14:paraId="2937059C" w14:textId="2F07F386"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LY</w:t>
            </w:r>
          </w:p>
        </w:tc>
        <w:tc>
          <w:tcPr>
            <w:tcW w:w="999" w:type="pct"/>
            <w:vAlign w:val="center"/>
          </w:tcPr>
          <w:p w14:paraId="3EDEF329" w14:textId="5F16390A"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0.895</w:t>
            </w:r>
          </w:p>
        </w:tc>
        <w:tc>
          <w:tcPr>
            <w:tcW w:w="998" w:type="pct"/>
            <w:vAlign w:val="center"/>
          </w:tcPr>
          <w:p w14:paraId="0A233C4C" w14:textId="72971AE8"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0.895</w:t>
            </w:r>
          </w:p>
        </w:tc>
        <w:tc>
          <w:tcPr>
            <w:tcW w:w="1076" w:type="pct"/>
            <w:vAlign w:val="center"/>
          </w:tcPr>
          <w:p w14:paraId="04CCDF45" w14:textId="4C7C4D7D"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0.0003</w:t>
            </w:r>
          </w:p>
        </w:tc>
      </w:tr>
      <w:tr w:rsidR="00391994" w:rsidRPr="004850E4" w14:paraId="26ACA5D8" w14:textId="77777777" w:rsidTr="05042C88">
        <w:tc>
          <w:tcPr>
            <w:tcW w:w="3924" w:type="pct"/>
            <w:gridSpan w:val="3"/>
            <w:vAlign w:val="center"/>
          </w:tcPr>
          <w:p w14:paraId="41BCFEB9" w14:textId="7F0DE8B9"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Incremental cost/extra LY</w:t>
            </w:r>
            <w:r w:rsidR="00FB0482" w:rsidRPr="004850E4">
              <w:rPr>
                <w:rFonts w:ascii="Arial Narrow" w:eastAsiaTheme="majorEastAsia" w:hAnsi="Arial Narrow" w:cstheme="majorBidi"/>
                <w:bCs/>
                <w:sz w:val="20"/>
                <w:szCs w:val="20"/>
              </w:rPr>
              <w:t>G</w:t>
            </w:r>
          </w:p>
        </w:tc>
        <w:tc>
          <w:tcPr>
            <w:tcW w:w="1076" w:type="pct"/>
            <w:vAlign w:val="center"/>
          </w:tcPr>
          <w:p w14:paraId="0A84E0B1" w14:textId="07E1B216" w:rsidR="00391994" w:rsidRPr="004850E4" w:rsidRDefault="00B55D47" w:rsidP="00AF7041">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8E0186" w:rsidRPr="008E0186">
              <w:rPr>
                <w:rFonts w:ascii="Arial Narrow" w:eastAsiaTheme="majorEastAsia" w:hAnsi="Arial Narrow" w:cstheme="majorBidi"/>
                <w:bCs/>
                <w:sz w:val="20"/>
                <w:szCs w:val="20"/>
                <w:vertAlign w:val="superscript"/>
              </w:rPr>
              <w:t>3</w:t>
            </w:r>
          </w:p>
        </w:tc>
      </w:tr>
      <w:tr w:rsidR="00391994" w:rsidRPr="004850E4" w14:paraId="19A2CD85" w14:textId="77777777" w:rsidTr="05042C88">
        <w:tc>
          <w:tcPr>
            <w:tcW w:w="5000" w:type="pct"/>
            <w:gridSpan w:val="4"/>
            <w:vAlign w:val="center"/>
          </w:tcPr>
          <w:p w14:paraId="48630425" w14:textId="35342F7C" w:rsidR="00391994" w:rsidRPr="004850E4" w:rsidRDefault="00391994" w:rsidP="00391994">
            <w:pPr>
              <w:keepNext/>
              <w:keepLines/>
              <w:jc w:val="left"/>
              <w:rPr>
                <w:rFonts w:ascii="Arial Narrow" w:eastAsiaTheme="majorEastAsia" w:hAnsi="Arial Narrow" w:cs="Times New Roman"/>
                <w:b/>
                <w:sz w:val="20"/>
                <w:szCs w:val="20"/>
              </w:rPr>
            </w:pPr>
            <w:r w:rsidRPr="004850E4">
              <w:rPr>
                <w:rFonts w:ascii="Arial Narrow" w:eastAsiaTheme="majorEastAsia" w:hAnsi="Arial Narrow" w:cs="Times New Roman"/>
                <w:b/>
                <w:sz w:val="20"/>
                <w:szCs w:val="20"/>
              </w:rPr>
              <w:t>Step 3: Time horizon extended to lifetime horizon</w:t>
            </w:r>
          </w:p>
        </w:tc>
      </w:tr>
      <w:tr w:rsidR="00391994" w:rsidRPr="004850E4" w14:paraId="40E8F45A" w14:textId="77777777" w:rsidTr="00B55D47">
        <w:tc>
          <w:tcPr>
            <w:tcW w:w="1927" w:type="pct"/>
            <w:vAlign w:val="center"/>
          </w:tcPr>
          <w:p w14:paraId="15B32523" w14:textId="5ACF8014" w:rsidR="00391994" w:rsidRPr="004850E4" w:rsidRDefault="00391994" w:rsidP="05042C88">
            <w:pPr>
              <w:keepNext/>
              <w:keepLines/>
              <w:jc w:val="left"/>
              <w:rPr>
                <w:rFonts w:ascii="Arial Narrow" w:eastAsiaTheme="majorEastAsia" w:hAnsi="Arial Narrow" w:cstheme="majorBidi"/>
                <w:sz w:val="20"/>
                <w:szCs w:val="20"/>
              </w:rPr>
            </w:pPr>
            <w:proofErr w:type="spellStart"/>
            <w:r w:rsidRPr="05042C88">
              <w:rPr>
                <w:rFonts w:ascii="Arial Narrow" w:eastAsiaTheme="majorEastAsia" w:hAnsi="Arial Narrow" w:cstheme="majorBidi"/>
                <w:sz w:val="20"/>
                <w:szCs w:val="20"/>
              </w:rPr>
              <w:t>Costs</w:t>
            </w:r>
            <w:r w:rsidR="00545346" w:rsidRPr="05042C88">
              <w:rPr>
                <w:rFonts w:ascii="Arial Narrow" w:eastAsiaTheme="majorEastAsia" w:hAnsi="Arial Narrow" w:cstheme="majorBidi"/>
                <w:sz w:val="20"/>
                <w:szCs w:val="20"/>
                <w:vertAlign w:val="superscript"/>
              </w:rPr>
              <w:t>a</w:t>
            </w:r>
            <w:proofErr w:type="spellEnd"/>
          </w:p>
        </w:tc>
        <w:tc>
          <w:tcPr>
            <w:tcW w:w="999" w:type="pct"/>
            <w:shd w:val="solid" w:color="000000" w:fill="000000"/>
            <w:vAlign w:val="center"/>
          </w:tcPr>
          <w:p w14:paraId="14A45D93" w14:textId="7741D961" w:rsidR="00391994" w:rsidRPr="004850E4" w:rsidRDefault="00B55D47" w:rsidP="00AF7041">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00A68A2D" w14:textId="02F9093D" w:rsidR="00391994" w:rsidRPr="004850E4" w:rsidRDefault="00AF7041" w:rsidP="00AF7041">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$19</w:t>
            </w:r>
            <w:r w:rsidR="00EB311A" w:rsidRPr="004850E4">
              <w:rPr>
                <w:rFonts w:ascii="Arial Narrow" w:eastAsiaTheme="majorEastAsia" w:hAnsi="Arial Narrow" w:cstheme="majorBidi"/>
                <w:bCs/>
                <w:sz w:val="20"/>
                <w:szCs w:val="20"/>
              </w:rPr>
              <w:t>0</w:t>
            </w:r>
            <w:r w:rsidRPr="004850E4">
              <w:rPr>
                <w:rFonts w:ascii="Arial Narrow" w:eastAsiaTheme="majorEastAsia" w:hAnsi="Arial Narrow" w:cstheme="majorBidi"/>
                <w:bCs/>
                <w:sz w:val="20"/>
                <w:szCs w:val="20"/>
              </w:rPr>
              <w:t>,</w:t>
            </w:r>
            <w:r w:rsidR="00EB311A" w:rsidRPr="004850E4">
              <w:rPr>
                <w:rFonts w:ascii="Arial Narrow" w:eastAsiaTheme="majorEastAsia" w:hAnsi="Arial Narrow" w:cstheme="majorBidi"/>
                <w:bCs/>
                <w:sz w:val="20"/>
                <w:szCs w:val="20"/>
              </w:rPr>
              <w:t>347</w:t>
            </w:r>
          </w:p>
        </w:tc>
        <w:tc>
          <w:tcPr>
            <w:tcW w:w="1076" w:type="pct"/>
            <w:shd w:val="solid" w:color="000000" w:fill="000000"/>
            <w:vAlign w:val="center"/>
          </w:tcPr>
          <w:p w14:paraId="100F958D" w14:textId="1EEE10F9" w:rsidR="00391994" w:rsidRPr="004850E4" w:rsidRDefault="00B55D47" w:rsidP="00AF7041">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1CBB2672" w14:textId="77777777" w:rsidTr="05042C88">
        <w:tc>
          <w:tcPr>
            <w:tcW w:w="1927" w:type="pct"/>
            <w:vAlign w:val="center"/>
          </w:tcPr>
          <w:p w14:paraId="43F2F387" w14:textId="157B7A43"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LY</w:t>
            </w:r>
          </w:p>
        </w:tc>
        <w:tc>
          <w:tcPr>
            <w:tcW w:w="999" w:type="pct"/>
            <w:vAlign w:val="center"/>
          </w:tcPr>
          <w:p w14:paraId="5A75677F"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17.891</w:t>
            </w:r>
          </w:p>
        </w:tc>
        <w:tc>
          <w:tcPr>
            <w:tcW w:w="998" w:type="pct"/>
            <w:vAlign w:val="center"/>
          </w:tcPr>
          <w:p w14:paraId="65104ABA"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14.962</w:t>
            </w:r>
          </w:p>
        </w:tc>
        <w:tc>
          <w:tcPr>
            <w:tcW w:w="1076" w:type="pct"/>
            <w:vAlign w:val="center"/>
          </w:tcPr>
          <w:p w14:paraId="3D0FA85F"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2.929</w:t>
            </w:r>
          </w:p>
        </w:tc>
      </w:tr>
      <w:tr w:rsidR="00391994" w:rsidRPr="004850E4" w14:paraId="35EAF942" w14:textId="77777777" w:rsidTr="05042C88">
        <w:tc>
          <w:tcPr>
            <w:tcW w:w="3924" w:type="pct"/>
            <w:gridSpan w:val="3"/>
            <w:vAlign w:val="center"/>
          </w:tcPr>
          <w:p w14:paraId="52BEA666" w14:textId="1E862EC9"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Incremental cost/extra LY</w:t>
            </w:r>
            <w:r w:rsidR="00FB0482" w:rsidRPr="004850E4">
              <w:rPr>
                <w:rStyle w:val="CommentReference"/>
                <w:rFonts w:cs="Times New Roman"/>
                <w:b w:val="0"/>
                <w:bCs/>
              </w:rPr>
              <w:t>G</w:t>
            </w:r>
          </w:p>
        </w:tc>
        <w:tc>
          <w:tcPr>
            <w:tcW w:w="1076" w:type="pct"/>
            <w:vAlign w:val="center"/>
          </w:tcPr>
          <w:p w14:paraId="77027FBA" w14:textId="4FE5C3E4" w:rsidR="00391994" w:rsidRPr="004850E4" w:rsidRDefault="00B55D47" w:rsidP="00AF7041">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472D04" w:rsidRPr="00472D04">
              <w:rPr>
                <w:rFonts w:ascii="Arial Narrow" w:eastAsiaTheme="majorEastAsia" w:hAnsi="Arial Narrow" w:cstheme="majorBidi"/>
                <w:bCs/>
                <w:sz w:val="20"/>
                <w:szCs w:val="20"/>
                <w:vertAlign w:val="superscript"/>
              </w:rPr>
              <w:t>4</w:t>
            </w:r>
          </w:p>
        </w:tc>
      </w:tr>
      <w:tr w:rsidR="00391994" w:rsidRPr="004850E4" w14:paraId="6C452FB7" w14:textId="77777777" w:rsidTr="00B55D47">
        <w:tc>
          <w:tcPr>
            <w:tcW w:w="3924" w:type="pct"/>
            <w:gridSpan w:val="3"/>
          </w:tcPr>
          <w:p w14:paraId="12692807" w14:textId="0DA36859" w:rsidR="00391994" w:rsidRPr="004850E4" w:rsidRDefault="00391994" w:rsidP="00391994">
            <w:pPr>
              <w:keepNext/>
              <w:keepLines/>
              <w:jc w:val="left"/>
              <w:rPr>
                <w:rFonts w:ascii="Arial Narrow" w:eastAsiaTheme="majorEastAsia" w:hAnsi="Arial Narrow" w:cstheme="majorBidi"/>
                <w:b/>
                <w:bCs/>
                <w:sz w:val="20"/>
                <w:szCs w:val="20"/>
              </w:rPr>
            </w:pPr>
            <w:r w:rsidRPr="004850E4">
              <w:rPr>
                <w:rFonts w:ascii="Arial Narrow" w:hAnsi="Arial Narrow"/>
                <w:b/>
                <w:bCs/>
                <w:sz w:val="20"/>
                <w:szCs w:val="20"/>
              </w:rPr>
              <w:t>Step 4: Discounting (</w:t>
            </w:r>
            <w:r w:rsidR="00B55D47" w:rsidRPr="00B55D47">
              <w:rPr>
                <w:rFonts w:ascii="Arial Narrow" w:hAnsi="Arial Narrow"/>
                <w:b/>
                <w:bCs/>
                <w:color w:val="000000"/>
                <w:spacing w:val="55"/>
                <w:sz w:val="20"/>
                <w:szCs w:val="20"/>
                <w:shd w:val="solid" w:color="000000" w:fill="000000"/>
                <w:fitText w:val="350" w:id="-694465024"/>
                <w14:textFill>
                  <w14:solidFill>
                    <w14:srgbClr w14:val="000000">
                      <w14:alpha w14:val="100000"/>
                    </w14:srgbClr>
                  </w14:solidFill>
                </w14:textFill>
              </w:rPr>
              <w:t>|||</w:t>
            </w:r>
            <w:r w:rsidR="00B55D47" w:rsidRPr="00B55D47">
              <w:rPr>
                <w:rFonts w:ascii="Arial Narrow" w:hAnsi="Arial Narrow"/>
                <w:b/>
                <w:bCs/>
                <w:color w:val="000000"/>
                <w:spacing w:val="2"/>
                <w:sz w:val="20"/>
                <w:szCs w:val="20"/>
                <w:shd w:val="solid" w:color="000000" w:fill="000000"/>
                <w:fitText w:val="350" w:id="-694465024"/>
                <w14:textFill>
                  <w14:solidFill>
                    <w14:srgbClr w14:val="000000">
                      <w14:alpha w14:val="100000"/>
                    </w14:srgbClr>
                  </w14:solidFill>
                </w14:textFill>
              </w:rPr>
              <w:t>|</w:t>
            </w:r>
            <w:r w:rsidRPr="004850E4">
              <w:rPr>
                <w:rFonts w:ascii="Arial Narrow" w:hAnsi="Arial Narrow"/>
                <w:b/>
                <w:bCs/>
                <w:sz w:val="20"/>
                <w:szCs w:val="20"/>
              </w:rPr>
              <w:t>%) included</w:t>
            </w:r>
          </w:p>
        </w:tc>
        <w:tc>
          <w:tcPr>
            <w:tcW w:w="1076" w:type="pct"/>
            <w:tcBorders>
              <w:bottom w:val="single" w:sz="4" w:space="0" w:color="auto"/>
            </w:tcBorders>
          </w:tcPr>
          <w:p w14:paraId="67316038" w14:textId="77777777" w:rsidR="00391994" w:rsidRPr="004850E4" w:rsidRDefault="00391994" w:rsidP="00391994">
            <w:pPr>
              <w:keepNext/>
              <w:keepLines/>
              <w:jc w:val="center"/>
              <w:rPr>
                <w:rFonts w:ascii="Arial Narrow" w:eastAsiaTheme="majorEastAsia" w:hAnsi="Arial Narrow" w:cstheme="majorBidi"/>
                <w:bCs/>
                <w:sz w:val="20"/>
                <w:szCs w:val="20"/>
              </w:rPr>
            </w:pPr>
          </w:p>
        </w:tc>
      </w:tr>
      <w:tr w:rsidR="00391994" w:rsidRPr="004850E4" w14:paraId="7BEE929F" w14:textId="77777777" w:rsidTr="00B55D47">
        <w:tc>
          <w:tcPr>
            <w:tcW w:w="1927" w:type="pct"/>
          </w:tcPr>
          <w:p w14:paraId="3544647C" w14:textId="24DC1E58" w:rsidR="00391994" w:rsidRPr="004850E4" w:rsidRDefault="00391994" w:rsidP="05042C88">
            <w:pPr>
              <w:keepNext/>
              <w:keepLines/>
              <w:jc w:val="left"/>
              <w:rPr>
                <w:rFonts w:ascii="Arial Narrow" w:eastAsiaTheme="majorEastAsia" w:hAnsi="Arial Narrow" w:cstheme="majorBidi"/>
                <w:sz w:val="20"/>
                <w:szCs w:val="20"/>
              </w:rPr>
            </w:pPr>
            <w:proofErr w:type="spellStart"/>
            <w:r w:rsidRPr="05042C88">
              <w:rPr>
                <w:rFonts w:ascii="Arial Narrow" w:hAnsi="Arial Narrow"/>
                <w:sz w:val="20"/>
                <w:szCs w:val="20"/>
              </w:rPr>
              <w:t>Costs</w:t>
            </w:r>
            <w:r w:rsidR="00545346" w:rsidRPr="05042C88">
              <w:rPr>
                <w:rFonts w:ascii="Arial Narrow" w:eastAsiaTheme="majorEastAsia" w:hAnsi="Arial Narrow" w:cstheme="majorBidi"/>
                <w:sz w:val="20"/>
                <w:szCs w:val="20"/>
                <w:vertAlign w:val="superscript"/>
              </w:rPr>
              <w:t>a</w:t>
            </w:r>
            <w:proofErr w:type="spellEnd"/>
          </w:p>
        </w:tc>
        <w:tc>
          <w:tcPr>
            <w:tcW w:w="999" w:type="pct"/>
            <w:shd w:val="solid" w:color="000000" w:fill="000000"/>
            <w:vAlign w:val="center"/>
          </w:tcPr>
          <w:p w14:paraId="1BCFBD32" w14:textId="45ECBAFD" w:rsidR="00391994" w:rsidRPr="004850E4" w:rsidRDefault="00B55D47" w:rsidP="00F32B0B">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0B99D9F8" w14:textId="57CBD1A3" w:rsidR="00391994" w:rsidRPr="004850E4" w:rsidRDefault="00F32B0B" w:rsidP="00F32B0B">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$162,</w:t>
            </w:r>
            <w:r w:rsidR="001B55E0" w:rsidRPr="004850E4">
              <w:rPr>
                <w:rFonts w:ascii="Arial Narrow" w:eastAsiaTheme="majorEastAsia" w:hAnsi="Arial Narrow" w:cstheme="majorBidi"/>
                <w:bCs/>
                <w:sz w:val="20"/>
                <w:szCs w:val="20"/>
              </w:rPr>
              <w:t>078</w:t>
            </w:r>
          </w:p>
        </w:tc>
        <w:tc>
          <w:tcPr>
            <w:tcW w:w="1076" w:type="pct"/>
            <w:shd w:val="solid" w:color="000000" w:fill="000000"/>
            <w:vAlign w:val="center"/>
          </w:tcPr>
          <w:p w14:paraId="284BB86A" w14:textId="41901EA3" w:rsidR="00391994" w:rsidRPr="004850E4" w:rsidRDefault="00B55D47" w:rsidP="00F32B0B">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3DC6F4C1" w14:textId="77777777" w:rsidTr="05042C88">
        <w:tc>
          <w:tcPr>
            <w:tcW w:w="1927" w:type="pct"/>
          </w:tcPr>
          <w:p w14:paraId="0A7BCEFB" w14:textId="2FD950F4"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LY</w:t>
            </w:r>
          </w:p>
        </w:tc>
        <w:tc>
          <w:tcPr>
            <w:tcW w:w="999" w:type="pct"/>
            <w:vAlign w:val="center"/>
          </w:tcPr>
          <w:p w14:paraId="4AC03858"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11.235</w:t>
            </w:r>
          </w:p>
        </w:tc>
        <w:tc>
          <w:tcPr>
            <w:tcW w:w="998" w:type="pct"/>
            <w:vAlign w:val="center"/>
          </w:tcPr>
          <w:p w14:paraId="4B3E548C"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9.982</w:t>
            </w:r>
          </w:p>
        </w:tc>
        <w:tc>
          <w:tcPr>
            <w:tcW w:w="1076" w:type="pct"/>
            <w:vAlign w:val="center"/>
          </w:tcPr>
          <w:p w14:paraId="313E4AC3"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1.252</w:t>
            </w:r>
          </w:p>
        </w:tc>
      </w:tr>
      <w:tr w:rsidR="00391994" w:rsidRPr="004850E4" w14:paraId="50EE4333" w14:textId="77777777" w:rsidTr="05042C88">
        <w:tc>
          <w:tcPr>
            <w:tcW w:w="3924" w:type="pct"/>
            <w:gridSpan w:val="3"/>
            <w:vAlign w:val="center"/>
          </w:tcPr>
          <w:p w14:paraId="14A868C2" w14:textId="7FF7FAF6"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Incremental cost/extra LY</w:t>
            </w:r>
            <w:r w:rsidR="00FB0482" w:rsidRPr="004850E4">
              <w:rPr>
                <w:rFonts w:ascii="Arial Narrow" w:eastAsiaTheme="majorEastAsia" w:hAnsi="Arial Narrow" w:cstheme="majorBidi"/>
                <w:bCs/>
                <w:sz w:val="20"/>
                <w:szCs w:val="20"/>
              </w:rPr>
              <w:t>G</w:t>
            </w:r>
          </w:p>
        </w:tc>
        <w:tc>
          <w:tcPr>
            <w:tcW w:w="1076" w:type="pct"/>
            <w:vAlign w:val="center"/>
          </w:tcPr>
          <w:p w14:paraId="1BC78962" w14:textId="0C75FED4" w:rsidR="00391994" w:rsidRPr="004850E4" w:rsidRDefault="00B55D47" w:rsidP="00F32B0B">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8E0186" w:rsidRPr="00E17657">
              <w:rPr>
                <w:rFonts w:ascii="Arial Narrow" w:eastAsiaTheme="majorEastAsia" w:hAnsi="Arial Narrow" w:cs="Times New Roman"/>
                <w:bCs/>
                <w:sz w:val="20"/>
                <w:szCs w:val="20"/>
                <w:vertAlign w:val="superscript"/>
              </w:rPr>
              <w:t>2</w:t>
            </w:r>
          </w:p>
        </w:tc>
      </w:tr>
      <w:tr w:rsidR="00391994" w:rsidRPr="004850E4" w14:paraId="6EE684FF" w14:textId="77777777" w:rsidTr="05042C88">
        <w:tc>
          <w:tcPr>
            <w:tcW w:w="5000" w:type="pct"/>
            <w:gridSpan w:val="4"/>
            <w:vAlign w:val="center"/>
          </w:tcPr>
          <w:p w14:paraId="5F94EA1F" w14:textId="53A90477" w:rsidR="00391994" w:rsidRPr="004850E4" w:rsidRDefault="00391994" w:rsidP="00391994">
            <w:pPr>
              <w:keepNext/>
              <w:keepLines/>
              <w:jc w:val="left"/>
              <w:rPr>
                <w:rFonts w:ascii="Arial Narrow" w:eastAsiaTheme="majorEastAsia" w:hAnsi="Arial Narrow" w:cs="Times New Roman"/>
                <w:b/>
                <w:sz w:val="20"/>
                <w:szCs w:val="20"/>
              </w:rPr>
            </w:pPr>
            <w:r w:rsidRPr="004850E4">
              <w:rPr>
                <w:rFonts w:ascii="Arial Narrow" w:eastAsiaTheme="majorEastAsia" w:hAnsi="Arial Narrow" w:cs="Times New Roman"/>
                <w:b/>
                <w:sz w:val="20"/>
                <w:szCs w:val="20"/>
              </w:rPr>
              <w:t>Step 5: Incorporation of medical resource costs</w:t>
            </w:r>
          </w:p>
        </w:tc>
      </w:tr>
      <w:tr w:rsidR="00391994" w:rsidRPr="004850E4" w14:paraId="649AC99D" w14:textId="77777777" w:rsidTr="00B55D47">
        <w:tc>
          <w:tcPr>
            <w:tcW w:w="1927" w:type="pct"/>
            <w:vAlign w:val="center"/>
          </w:tcPr>
          <w:p w14:paraId="1C890D65" w14:textId="0C7175FF" w:rsidR="00391994" w:rsidRPr="004850E4" w:rsidRDefault="00391994" w:rsidP="05042C88">
            <w:pPr>
              <w:keepNext/>
              <w:keepLines/>
              <w:jc w:val="left"/>
              <w:rPr>
                <w:rFonts w:ascii="Arial Narrow" w:eastAsiaTheme="majorEastAsia" w:hAnsi="Arial Narrow" w:cstheme="majorBidi"/>
                <w:sz w:val="20"/>
                <w:szCs w:val="20"/>
              </w:rPr>
            </w:pPr>
            <w:proofErr w:type="spellStart"/>
            <w:r w:rsidRPr="05042C88">
              <w:rPr>
                <w:rFonts w:ascii="Arial Narrow" w:eastAsiaTheme="majorEastAsia" w:hAnsi="Arial Narrow" w:cstheme="majorBidi"/>
                <w:sz w:val="20"/>
                <w:szCs w:val="20"/>
              </w:rPr>
              <w:t>Costs</w:t>
            </w:r>
            <w:r w:rsidR="00545346" w:rsidRPr="05042C88">
              <w:rPr>
                <w:rFonts w:ascii="Arial Narrow" w:eastAsiaTheme="majorEastAsia" w:hAnsi="Arial Narrow" w:cstheme="majorBidi"/>
                <w:sz w:val="20"/>
                <w:szCs w:val="20"/>
                <w:vertAlign w:val="superscript"/>
              </w:rPr>
              <w:t>a</w:t>
            </w:r>
            <w:proofErr w:type="spellEnd"/>
          </w:p>
        </w:tc>
        <w:tc>
          <w:tcPr>
            <w:tcW w:w="999" w:type="pct"/>
            <w:shd w:val="solid" w:color="000000" w:fill="000000"/>
            <w:vAlign w:val="center"/>
          </w:tcPr>
          <w:p w14:paraId="50D39EC0" w14:textId="6C9B3B9D" w:rsidR="00391994" w:rsidRPr="004850E4" w:rsidRDefault="00B55D47" w:rsidP="0039199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617E1B64" w14:textId="290BB976" w:rsidR="00391994" w:rsidRPr="004850E4" w:rsidRDefault="00F32B0B"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$381,509</w:t>
            </w:r>
          </w:p>
        </w:tc>
        <w:tc>
          <w:tcPr>
            <w:tcW w:w="1076" w:type="pct"/>
            <w:shd w:val="solid" w:color="000000" w:fill="000000"/>
            <w:vAlign w:val="center"/>
          </w:tcPr>
          <w:p w14:paraId="3DEDBDE5" w14:textId="297592B0" w:rsidR="00391994" w:rsidRPr="004850E4" w:rsidRDefault="00B55D47" w:rsidP="00F32B0B">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0A51CC6B" w14:textId="77777777" w:rsidTr="05042C88">
        <w:trPr>
          <w:trHeight w:val="70"/>
        </w:trPr>
        <w:tc>
          <w:tcPr>
            <w:tcW w:w="1927" w:type="pct"/>
            <w:vAlign w:val="center"/>
          </w:tcPr>
          <w:p w14:paraId="21357A8E" w14:textId="440F67F9"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LY</w:t>
            </w:r>
          </w:p>
        </w:tc>
        <w:tc>
          <w:tcPr>
            <w:tcW w:w="999" w:type="pct"/>
            <w:vAlign w:val="center"/>
          </w:tcPr>
          <w:p w14:paraId="1BAB705B"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11.235</w:t>
            </w:r>
          </w:p>
        </w:tc>
        <w:tc>
          <w:tcPr>
            <w:tcW w:w="998" w:type="pct"/>
            <w:vAlign w:val="center"/>
          </w:tcPr>
          <w:p w14:paraId="1B021393"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9.982</w:t>
            </w:r>
          </w:p>
        </w:tc>
        <w:tc>
          <w:tcPr>
            <w:tcW w:w="1076" w:type="pct"/>
            <w:vAlign w:val="center"/>
          </w:tcPr>
          <w:p w14:paraId="39B5B0F0"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1.252</w:t>
            </w:r>
          </w:p>
        </w:tc>
      </w:tr>
      <w:tr w:rsidR="00391994" w:rsidRPr="004850E4" w14:paraId="4AA817A2" w14:textId="77777777" w:rsidTr="05042C88">
        <w:tc>
          <w:tcPr>
            <w:tcW w:w="3924" w:type="pct"/>
            <w:gridSpan w:val="3"/>
            <w:vAlign w:val="center"/>
          </w:tcPr>
          <w:p w14:paraId="7F1BE78E" w14:textId="14717026"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Incremental cost/extra LY</w:t>
            </w:r>
            <w:r w:rsidR="00FB0482" w:rsidRPr="004850E4">
              <w:rPr>
                <w:rFonts w:ascii="Arial Narrow" w:eastAsiaTheme="majorEastAsia" w:hAnsi="Arial Narrow" w:cstheme="majorBidi"/>
                <w:bCs/>
                <w:sz w:val="20"/>
                <w:szCs w:val="20"/>
              </w:rPr>
              <w:t>G</w:t>
            </w:r>
          </w:p>
        </w:tc>
        <w:tc>
          <w:tcPr>
            <w:tcW w:w="1076" w:type="pct"/>
            <w:vAlign w:val="center"/>
          </w:tcPr>
          <w:p w14:paraId="6C8F25C0" w14:textId="4EAA7362" w:rsidR="00391994" w:rsidRPr="004850E4" w:rsidRDefault="00B55D47" w:rsidP="0039199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472D04" w:rsidRPr="00472D04">
              <w:rPr>
                <w:rFonts w:ascii="Arial Narrow" w:eastAsiaTheme="majorEastAsia" w:hAnsi="Arial Narrow" w:cstheme="majorBidi"/>
                <w:bCs/>
                <w:sz w:val="20"/>
                <w:szCs w:val="20"/>
                <w:vertAlign w:val="superscript"/>
              </w:rPr>
              <w:t>4</w:t>
            </w:r>
          </w:p>
        </w:tc>
      </w:tr>
      <w:tr w:rsidR="00391994" w:rsidRPr="004850E4" w14:paraId="7D2C637F" w14:textId="77777777" w:rsidTr="00B55D47">
        <w:tc>
          <w:tcPr>
            <w:tcW w:w="3924" w:type="pct"/>
            <w:gridSpan w:val="3"/>
            <w:vAlign w:val="center"/>
          </w:tcPr>
          <w:p w14:paraId="2D9F7672" w14:textId="09D1B714"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imes New Roman"/>
                <w:b/>
                <w:sz w:val="20"/>
                <w:szCs w:val="20"/>
              </w:rPr>
              <w:t>Step 6: Incorporation of utilities</w:t>
            </w:r>
            <w:r w:rsidRPr="004850E4">
              <w:rPr>
                <w:rFonts w:ascii="Arial Narrow" w:eastAsiaTheme="majorEastAsia" w:hAnsi="Arial Narrow" w:cs="Times New Roman"/>
                <w:b/>
                <w:sz w:val="20"/>
                <w:szCs w:val="20"/>
                <w:vertAlign w:val="superscript"/>
              </w:rPr>
              <w:t xml:space="preserve"> </w:t>
            </w:r>
          </w:p>
        </w:tc>
        <w:tc>
          <w:tcPr>
            <w:tcW w:w="1076" w:type="pct"/>
            <w:tcBorders>
              <w:bottom w:val="single" w:sz="4" w:space="0" w:color="auto"/>
            </w:tcBorders>
            <w:vAlign w:val="center"/>
          </w:tcPr>
          <w:p w14:paraId="598FD006" w14:textId="77777777" w:rsidR="00391994" w:rsidRPr="004850E4" w:rsidRDefault="00391994" w:rsidP="00391994">
            <w:pPr>
              <w:keepNext/>
              <w:keepLines/>
              <w:jc w:val="center"/>
              <w:rPr>
                <w:rFonts w:ascii="Arial Narrow" w:eastAsiaTheme="majorEastAsia" w:hAnsi="Arial Narrow" w:cstheme="majorBidi"/>
                <w:bCs/>
                <w:sz w:val="20"/>
                <w:szCs w:val="20"/>
              </w:rPr>
            </w:pPr>
          </w:p>
        </w:tc>
      </w:tr>
      <w:tr w:rsidR="00391994" w:rsidRPr="004850E4" w14:paraId="010049CB" w14:textId="77777777" w:rsidTr="00B55D47">
        <w:tc>
          <w:tcPr>
            <w:tcW w:w="1927" w:type="pct"/>
            <w:vAlign w:val="center"/>
          </w:tcPr>
          <w:p w14:paraId="2AF1FFDD" w14:textId="70DB3C08" w:rsidR="00391994" w:rsidRPr="004850E4" w:rsidRDefault="00391994" w:rsidP="00391994">
            <w:pPr>
              <w:keepNext/>
              <w:keepLines/>
              <w:jc w:val="left"/>
              <w:rPr>
                <w:rFonts w:ascii="Arial Narrow" w:eastAsiaTheme="majorEastAsia" w:hAnsi="Arial Narrow" w:cstheme="majorBidi"/>
                <w:bCs/>
                <w:sz w:val="20"/>
                <w:szCs w:val="20"/>
              </w:rPr>
            </w:pPr>
            <w:proofErr w:type="spellStart"/>
            <w:r w:rsidRPr="004850E4">
              <w:rPr>
                <w:rFonts w:ascii="Arial Narrow" w:eastAsiaTheme="majorEastAsia" w:hAnsi="Arial Narrow" w:cstheme="majorBidi"/>
                <w:bCs/>
                <w:sz w:val="20"/>
                <w:szCs w:val="20"/>
              </w:rPr>
              <w:t>Costs</w:t>
            </w:r>
            <w:r w:rsidR="00545346" w:rsidRPr="004850E4">
              <w:rPr>
                <w:rFonts w:ascii="Arial Narrow" w:eastAsiaTheme="majorEastAsia" w:hAnsi="Arial Narrow" w:cstheme="majorBidi"/>
                <w:bCs/>
                <w:sz w:val="20"/>
                <w:szCs w:val="20"/>
                <w:vertAlign w:val="superscript"/>
              </w:rPr>
              <w:t>a</w:t>
            </w:r>
            <w:proofErr w:type="spellEnd"/>
          </w:p>
        </w:tc>
        <w:tc>
          <w:tcPr>
            <w:tcW w:w="999" w:type="pct"/>
            <w:shd w:val="solid" w:color="000000" w:fill="000000"/>
            <w:vAlign w:val="center"/>
          </w:tcPr>
          <w:p w14:paraId="20F19D86" w14:textId="79257D66" w:rsidR="00391994" w:rsidRPr="004850E4" w:rsidRDefault="00B55D47" w:rsidP="0039199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7034E828"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$381,509</w:t>
            </w:r>
          </w:p>
        </w:tc>
        <w:tc>
          <w:tcPr>
            <w:tcW w:w="1076" w:type="pct"/>
            <w:shd w:val="solid" w:color="000000" w:fill="000000"/>
            <w:vAlign w:val="center"/>
          </w:tcPr>
          <w:p w14:paraId="38BB3580" w14:textId="07FD7CA8" w:rsidR="00391994" w:rsidRPr="004850E4" w:rsidRDefault="00B55D47" w:rsidP="005A0B1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3ECAC5D8" w14:textId="77777777" w:rsidTr="05042C88">
        <w:tc>
          <w:tcPr>
            <w:tcW w:w="1927" w:type="pct"/>
            <w:vAlign w:val="center"/>
          </w:tcPr>
          <w:p w14:paraId="031B9F81" w14:textId="77777777"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QALYs</w:t>
            </w:r>
          </w:p>
        </w:tc>
        <w:tc>
          <w:tcPr>
            <w:tcW w:w="999" w:type="pct"/>
            <w:vAlign w:val="center"/>
          </w:tcPr>
          <w:p w14:paraId="55C2D887" w14:textId="3A668C50"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7.802</w:t>
            </w:r>
          </w:p>
        </w:tc>
        <w:tc>
          <w:tcPr>
            <w:tcW w:w="998" w:type="pct"/>
            <w:vAlign w:val="center"/>
          </w:tcPr>
          <w:p w14:paraId="2EF98F04" w14:textId="23164530"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6.532</w:t>
            </w:r>
          </w:p>
        </w:tc>
        <w:tc>
          <w:tcPr>
            <w:tcW w:w="1076" w:type="pct"/>
            <w:vAlign w:val="center"/>
          </w:tcPr>
          <w:p w14:paraId="36F0611F" w14:textId="1FF2C3E2"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1.270</w:t>
            </w:r>
          </w:p>
        </w:tc>
      </w:tr>
      <w:tr w:rsidR="00391994" w:rsidRPr="004850E4" w14:paraId="6145F277" w14:textId="77777777" w:rsidTr="05042C88">
        <w:tc>
          <w:tcPr>
            <w:tcW w:w="3924" w:type="pct"/>
            <w:gridSpan w:val="3"/>
            <w:vAlign w:val="center"/>
          </w:tcPr>
          <w:p w14:paraId="0414B24F" w14:textId="77777777"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Incremental cost/extra QALY gained</w:t>
            </w:r>
          </w:p>
        </w:tc>
        <w:tc>
          <w:tcPr>
            <w:tcW w:w="1076" w:type="pct"/>
            <w:vAlign w:val="center"/>
          </w:tcPr>
          <w:p w14:paraId="29093513" w14:textId="53220014" w:rsidR="00391994" w:rsidRPr="004850E4" w:rsidRDefault="00B55D47" w:rsidP="0039199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E17657" w:rsidRPr="004D39A1">
              <w:rPr>
                <w:rFonts w:ascii="Arial Narrow" w:eastAsiaTheme="majorEastAsia" w:hAnsi="Arial Narrow" w:cs="Times New Roman"/>
                <w:bCs/>
                <w:sz w:val="20"/>
                <w:szCs w:val="20"/>
                <w:vertAlign w:val="superscript"/>
              </w:rPr>
              <w:t>1</w:t>
            </w:r>
          </w:p>
        </w:tc>
      </w:tr>
      <w:tr w:rsidR="00391994" w:rsidRPr="004850E4" w14:paraId="18C92AEA" w14:textId="77777777" w:rsidTr="05042C88">
        <w:tc>
          <w:tcPr>
            <w:tcW w:w="5000" w:type="pct"/>
            <w:gridSpan w:val="4"/>
            <w:vAlign w:val="center"/>
          </w:tcPr>
          <w:p w14:paraId="5373B3E5" w14:textId="7B09682F" w:rsidR="00391994" w:rsidRPr="004850E4" w:rsidRDefault="00391994" w:rsidP="05042C88">
            <w:pPr>
              <w:keepNext/>
              <w:keepLines/>
              <w:jc w:val="left"/>
              <w:rPr>
                <w:rFonts w:ascii="Arial Narrow" w:eastAsiaTheme="majorEastAsia" w:hAnsi="Arial Narrow" w:cs="Times New Roman"/>
                <w:b/>
                <w:bCs/>
                <w:sz w:val="20"/>
                <w:szCs w:val="20"/>
              </w:rPr>
            </w:pPr>
            <w:r w:rsidRPr="05042C88">
              <w:rPr>
                <w:rFonts w:ascii="Arial Narrow" w:eastAsiaTheme="majorEastAsia" w:hAnsi="Arial Narrow" w:cs="Times New Roman"/>
                <w:b/>
                <w:bCs/>
                <w:sz w:val="20"/>
                <w:szCs w:val="20"/>
              </w:rPr>
              <w:t xml:space="preserve">Step 7: Incorporation of adverse events </w:t>
            </w:r>
            <w:proofErr w:type="spellStart"/>
            <w:r w:rsidRPr="05042C88">
              <w:rPr>
                <w:rFonts w:ascii="Arial Narrow" w:eastAsiaTheme="majorEastAsia" w:hAnsi="Arial Narrow" w:cs="Times New Roman"/>
                <w:b/>
                <w:bCs/>
                <w:sz w:val="20"/>
                <w:szCs w:val="20"/>
              </w:rPr>
              <w:t>disutilities</w:t>
            </w:r>
            <w:proofErr w:type="spellEnd"/>
            <w:r w:rsidRPr="05042C88">
              <w:rPr>
                <w:rFonts w:ascii="Arial Narrow" w:eastAsiaTheme="majorEastAsia" w:hAnsi="Arial Narrow" w:cs="Times New Roman"/>
                <w:b/>
                <w:bCs/>
                <w:sz w:val="20"/>
                <w:szCs w:val="20"/>
                <w:vertAlign w:val="superscript"/>
              </w:rPr>
              <w:t xml:space="preserve"> </w:t>
            </w:r>
            <w:r w:rsidRPr="05042C88">
              <w:rPr>
                <w:rFonts w:ascii="Arial Narrow" w:eastAsiaTheme="majorEastAsia" w:hAnsi="Arial Narrow" w:cs="Times New Roman"/>
                <w:b/>
                <w:bCs/>
                <w:sz w:val="20"/>
                <w:szCs w:val="20"/>
              </w:rPr>
              <w:t>(base case)</w:t>
            </w:r>
          </w:p>
        </w:tc>
      </w:tr>
      <w:tr w:rsidR="00391994" w:rsidRPr="004850E4" w14:paraId="18672615" w14:textId="77777777" w:rsidTr="00B55D47">
        <w:tc>
          <w:tcPr>
            <w:tcW w:w="1927" w:type="pct"/>
            <w:vAlign w:val="center"/>
          </w:tcPr>
          <w:p w14:paraId="78801ADC" w14:textId="334AE456" w:rsidR="00391994" w:rsidRPr="004850E4" w:rsidRDefault="00391994" w:rsidP="05042C88">
            <w:pPr>
              <w:keepNext/>
              <w:keepLines/>
              <w:jc w:val="left"/>
              <w:rPr>
                <w:rFonts w:ascii="Arial Narrow" w:eastAsiaTheme="majorEastAsia" w:hAnsi="Arial Narrow" w:cstheme="majorBidi"/>
                <w:sz w:val="20"/>
                <w:szCs w:val="20"/>
              </w:rPr>
            </w:pPr>
            <w:proofErr w:type="spellStart"/>
            <w:r w:rsidRPr="05042C88">
              <w:rPr>
                <w:rFonts w:ascii="Arial Narrow" w:eastAsiaTheme="majorEastAsia" w:hAnsi="Arial Narrow" w:cstheme="majorBidi"/>
                <w:sz w:val="20"/>
                <w:szCs w:val="20"/>
              </w:rPr>
              <w:t>Costs</w:t>
            </w:r>
            <w:r w:rsidR="00545346" w:rsidRPr="05042C88">
              <w:rPr>
                <w:rFonts w:ascii="Arial Narrow" w:eastAsiaTheme="majorEastAsia" w:hAnsi="Arial Narrow" w:cstheme="majorBidi"/>
                <w:sz w:val="20"/>
                <w:szCs w:val="20"/>
                <w:vertAlign w:val="superscript"/>
              </w:rPr>
              <w:t>a</w:t>
            </w:r>
            <w:proofErr w:type="spellEnd"/>
          </w:p>
        </w:tc>
        <w:tc>
          <w:tcPr>
            <w:tcW w:w="999" w:type="pct"/>
            <w:shd w:val="solid" w:color="000000" w:fill="000000"/>
            <w:vAlign w:val="center"/>
          </w:tcPr>
          <w:p w14:paraId="6593718A" w14:textId="1CEEE9E1" w:rsidR="005A0B14" w:rsidRPr="004850E4" w:rsidRDefault="00B55D47" w:rsidP="0039199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98" w:type="pct"/>
            <w:vAlign w:val="center"/>
          </w:tcPr>
          <w:p w14:paraId="6477B2A4" w14:textId="4015048F" w:rsidR="005A0B14" w:rsidRPr="004850E4" w:rsidRDefault="00391994" w:rsidP="005A0B1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$381,509</w:t>
            </w:r>
          </w:p>
        </w:tc>
        <w:tc>
          <w:tcPr>
            <w:tcW w:w="1076" w:type="pct"/>
            <w:shd w:val="solid" w:color="000000" w:fill="000000"/>
            <w:vAlign w:val="center"/>
          </w:tcPr>
          <w:p w14:paraId="5F0D32EA" w14:textId="5F8114CD" w:rsidR="005A0B14" w:rsidRPr="004850E4" w:rsidRDefault="00B55D47" w:rsidP="00391994">
            <w:pPr>
              <w:keepNext/>
              <w:keepLines/>
              <w:jc w:val="center"/>
              <w:rPr>
                <w:rFonts w:ascii="Arial Narrow" w:eastAsiaTheme="majorEastAsia" w:hAnsi="Arial Narrow" w:cstheme="majorBidi"/>
                <w:bCs/>
                <w:sz w:val="20"/>
                <w:szCs w:val="20"/>
              </w:rPr>
            </w:pPr>
            <w:r w:rsidRPr="00B55D47">
              <w:rPr>
                <w:rFonts w:ascii="Arial Narrow" w:eastAsiaTheme="majorEastAsia" w:hAnsi="Arial Narrow" w:cstheme="majorBidi"/>
                <w:bCs/>
                <w:color w:val="000000"/>
                <w:sz w:val="20"/>
                <w:szCs w:val="20"/>
                <w14:textFill>
                  <w14:solidFill>
                    <w14:srgbClr w14:val="000000">
                      <w14:alpha w14:val="100000"/>
                    </w14:srgbClr>
                  </w14:solidFill>
                </w14:textFill>
              </w:rPr>
              <w:t>|</w:t>
            </w:r>
          </w:p>
        </w:tc>
      </w:tr>
      <w:tr w:rsidR="00391994" w:rsidRPr="004850E4" w14:paraId="787D7A1E" w14:textId="77777777" w:rsidTr="05042C88">
        <w:tc>
          <w:tcPr>
            <w:tcW w:w="1927" w:type="pct"/>
            <w:vAlign w:val="center"/>
          </w:tcPr>
          <w:p w14:paraId="482CBCC2" w14:textId="77777777" w:rsidR="00391994" w:rsidRPr="004850E4" w:rsidRDefault="00391994" w:rsidP="00391994">
            <w:pPr>
              <w:keepNext/>
              <w:keepLines/>
              <w:jc w:val="left"/>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QALYs</w:t>
            </w:r>
          </w:p>
        </w:tc>
        <w:tc>
          <w:tcPr>
            <w:tcW w:w="999" w:type="pct"/>
            <w:vAlign w:val="center"/>
          </w:tcPr>
          <w:p w14:paraId="7752431A" w14:textId="5D1E270F"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7.550</w:t>
            </w:r>
          </w:p>
        </w:tc>
        <w:tc>
          <w:tcPr>
            <w:tcW w:w="998" w:type="pct"/>
            <w:vAlign w:val="center"/>
          </w:tcPr>
          <w:p w14:paraId="29E53A7A" w14:textId="38064475"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6.306</w:t>
            </w:r>
          </w:p>
        </w:tc>
        <w:tc>
          <w:tcPr>
            <w:tcW w:w="1076" w:type="pct"/>
            <w:vAlign w:val="center"/>
          </w:tcPr>
          <w:p w14:paraId="5A0121E0" w14:textId="77777777" w:rsidR="00391994" w:rsidRPr="004850E4" w:rsidRDefault="00391994" w:rsidP="00391994">
            <w:pPr>
              <w:keepNext/>
              <w:keepLines/>
              <w:jc w:val="center"/>
              <w:rPr>
                <w:rFonts w:ascii="Arial Narrow" w:eastAsiaTheme="majorEastAsia" w:hAnsi="Arial Narrow" w:cstheme="majorBidi"/>
                <w:bCs/>
                <w:sz w:val="20"/>
                <w:szCs w:val="20"/>
              </w:rPr>
            </w:pPr>
            <w:r w:rsidRPr="004850E4">
              <w:rPr>
                <w:rFonts w:ascii="Arial Narrow" w:eastAsiaTheme="majorEastAsia" w:hAnsi="Arial Narrow" w:cstheme="majorBidi"/>
                <w:bCs/>
                <w:sz w:val="20"/>
                <w:szCs w:val="20"/>
              </w:rPr>
              <w:t>1.244</w:t>
            </w:r>
          </w:p>
        </w:tc>
      </w:tr>
      <w:tr w:rsidR="00391994" w:rsidRPr="004850E4" w14:paraId="37A1FD02" w14:textId="77777777" w:rsidTr="05042C88">
        <w:tc>
          <w:tcPr>
            <w:tcW w:w="3924" w:type="pct"/>
            <w:gridSpan w:val="3"/>
            <w:vAlign w:val="center"/>
          </w:tcPr>
          <w:p w14:paraId="00C2D8BF" w14:textId="77777777" w:rsidR="00391994" w:rsidRPr="004850E4" w:rsidRDefault="00391994" w:rsidP="00391994">
            <w:pPr>
              <w:keepNext/>
              <w:keepLines/>
              <w:jc w:val="left"/>
              <w:rPr>
                <w:rFonts w:ascii="Arial Narrow" w:eastAsiaTheme="majorEastAsia" w:hAnsi="Arial Narrow" w:cstheme="majorBidi"/>
                <w:b/>
                <w:bCs/>
                <w:sz w:val="20"/>
                <w:szCs w:val="20"/>
              </w:rPr>
            </w:pPr>
            <w:r w:rsidRPr="004850E4">
              <w:rPr>
                <w:rFonts w:ascii="Arial Narrow" w:eastAsiaTheme="majorEastAsia" w:hAnsi="Arial Narrow" w:cstheme="majorBidi"/>
                <w:b/>
                <w:bCs/>
                <w:sz w:val="20"/>
                <w:szCs w:val="20"/>
              </w:rPr>
              <w:t xml:space="preserve">Incremental cost/extra QALY gained </w:t>
            </w:r>
          </w:p>
        </w:tc>
        <w:tc>
          <w:tcPr>
            <w:tcW w:w="1076" w:type="pct"/>
            <w:vAlign w:val="center"/>
          </w:tcPr>
          <w:p w14:paraId="4E01D700" w14:textId="701CF75E" w:rsidR="005A0B14" w:rsidRPr="004850E4" w:rsidRDefault="00B55D47" w:rsidP="00391994">
            <w:pPr>
              <w:keepNext/>
              <w:keepLines/>
              <w:jc w:val="center"/>
              <w:rPr>
                <w:rFonts w:ascii="Arial Narrow" w:eastAsiaTheme="majorEastAsia" w:hAnsi="Arial Narrow" w:cstheme="majorBidi"/>
                <w:b/>
                <w:bCs/>
                <w:sz w:val="20"/>
                <w:szCs w:val="20"/>
              </w:rPr>
            </w:pPr>
            <w:r w:rsidRPr="00B55D47">
              <w:rPr>
                <w:rFonts w:ascii="Arial Narrow" w:eastAsiaTheme="majorEastAsia" w:hAnsi="Arial Narrow" w:cstheme="majorBidi"/>
                <w:b/>
                <w:bCs/>
                <w:color w:val="000000"/>
                <w:sz w:val="20"/>
                <w:szCs w:val="20"/>
                <w:shd w:val="solid" w:color="000000" w:fill="000000"/>
                <w14:textFill>
                  <w14:solidFill>
                    <w14:srgbClr w14:val="000000">
                      <w14:alpha w14:val="100000"/>
                    </w14:srgbClr>
                  </w14:solidFill>
                </w14:textFill>
              </w:rPr>
              <w:t>|</w:t>
            </w:r>
            <w:r w:rsidR="00E17657" w:rsidRPr="004D39A1">
              <w:rPr>
                <w:rFonts w:ascii="Arial Narrow" w:eastAsiaTheme="majorEastAsia" w:hAnsi="Arial Narrow" w:cs="Times New Roman"/>
                <w:bCs/>
                <w:sz w:val="20"/>
                <w:szCs w:val="20"/>
                <w:vertAlign w:val="superscript"/>
              </w:rPr>
              <w:t>1</w:t>
            </w:r>
          </w:p>
        </w:tc>
      </w:tr>
    </w:tbl>
    <w:p w14:paraId="67ACBDD0" w14:textId="7A9F1546" w:rsidR="00776CBB" w:rsidRPr="00B64004" w:rsidRDefault="00776CBB" w:rsidP="00776CBB">
      <w:pPr>
        <w:keepNext/>
        <w:spacing w:after="120"/>
        <w:contextualSpacing/>
        <w:rPr>
          <w:rFonts w:ascii="Arial Narrow" w:hAnsi="Arial Narrow"/>
          <w:snapToGrid w:val="0"/>
          <w:sz w:val="18"/>
          <w:szCs w:val="22"/>
        </w:rPr>
      </w:pPr>
      <w:r w:rsidRPr="00B64004">
        <w:rPr>
          <w:rFonts w:ascii="Arial Narrow" w:hAnsi="Arial Narrow"/>
          <w:snapToGrid w:val="0"/>
          <w:sz w:val="18"/>
          <w:szCs w:val="22"/>
        </w:rPr>
        <w:t xml:space="preserve">Source: Table 3-15, submission and compiled during the evaluation based on 20241025 </w:t>
      </w:r>
      <w:proofErr w:type="spellStart"/>
      <w:r w:rsidRPr="00B64004">
        <w:rPr>
          <w:rFonts w:ascii="Arial Narrow" w:hAnsi="Arial Narrow"/>
          <w:snapToGrid w:val="0"/>
          <w:sz w:val="18"/>
          <w:szCs w:val="22"/>
        </w:rPr>
        <w:t>Elafibranor_CEM</w:t>
      </w:r>
      <w:proofErr w:type="spellEnd"/>
      <w:r w:rsidRPr="00B64004">
        <w:rPr>
          <w:rFonts w:ascii="Arial Narrow" w:hAnsi="Arial Narrow"/>
          <w:snapToGrid w:val="0"/>
          <w:sz w:val="18"/>
          <w:szCs w:val="22"/>
        </w:rPr>
        <w:t xml:space="preserve"> _FINAL_20241115.xlsm</w:t>
      </w:r>
    </w:p>
    <w:p w14:paraId="68FAC40E" w14:textId="77777777" w:rsidR="00776CBB" w:rsidRPr="00B64004" w:rsidRDefault="00776CBB" w:rsidP="00776CBB">
      <w:pPr>
        <w:keepNext/>
        <w:spacing w:after="120"/>
        <w:contextualSpacing/>
        <w:rPr>
          <w:rFonts w:ascii="Arial Narrow" w:hAnsi="Arial Narrow"/>
          <w:snapToGrid w:val="0"/>
          <w:sz w:val="18"/>
          <w:szCs w:val="22"/>
        </w:rPr>
      </w:pPr>
      <w:r w:rsidRPr="00B64004">
        <w:rPr>
          <w:rFonts w:ascii="Arial Narrow" w:hAnsi="Arial Narrow"/>
          <w:snapToGrid w:val="0"/>
          <w:sz w:val="18"/>
          <w:szCs w:val="22"/>
        </w:rPr>
        <w:t xml:space="preserve">ELA = </w:t>
      </w:r>
      <w:proofErr w:type="spellStart"/>
      <w:r w:rsidRPr="00B64004">
        <w:rPr>
          <w:rFonts w:ascii="Arial Narrow" w:hAnsi="Arial Narrow"/>
          <w:snapToGrid w:val="0"/>
          <w:sz w:val="18"/>
          <w:szCs w:val="22"/>
        </w:rPr>
        <w:t>elafibranor</w:t>
      </w:r>
      <w:proofErr w:type="spellEnd"/>
      <w:r w:rsidRPr="00B64004">
        <w:rPr>
          <w:rFonts w:ascii="Arial Narrow" w:hAnsi="Arial Narrow"/>
          <w:snapToGrid w:val="0"/>
          <w:sz w:val="18"/>
          <w:szCs w:val="22"/>
        </w:rPr>
        <w:t xml:space="preserve">; LYG = life years gained; OCA = </w:t>
      </w:r>
      <w:proofErr w:type="spellStart"/>
      <w:r w:rsidRPr="00B64004">
        <w:rPr>
          <w:rFonts w:ascii="Arial Narrow" w:hAnsi="Arial Narrow"/>
          <w:snapToGrid w:val="0"/>
          <w:sz w:val="18"/>
          <w:szCs w:val="22"/>
        </w:rPr>
        <w:t>obeticholic</w:t>
      </w:r>
      <w:proofErr w:type="spellEnd"/>
      <w:r w:rsidRPr="00B64004">
        <w:rPr>
          <w:rFonts w:ascii="Arial Narrow" w:hAnsi="Arial Narrow"/>
          <w:snapToGrid w:val="0"/>
          <w:sz w:val="18"/>
          <w:szCs w:val="22"/>
        </w:rPr>
        <w:t xml:space="preserve"> acid; QALY = Quality adjusted life-years</w:t>
      </w:r>
    </w:p>
    <w:p w14:paraId="5A16A67E" w14:textId="768F5256" w:rsidR="00545346" w:rsidRPr="00B64004" w:rsidRDefault="00545346" w:rsidP="00FE6C19">
      <w:pPr>
        <w:keepNext/>
        <w:spacing w:after="120"/>
        <w:contextualSpacing/>
        <w:rPr>
          <w:rFonts w:ascii="Arial Narrow" w:hAnsi="Arial Narrow"/>
          <w:snapToGrid w:val="0"/>
          <w:sz w:val="18"/>
          <w:szCs w:val="22"/>
        </w:rPr>
      </w:pPr>
      <w:proofErr w:type="spellStart"/>
      <w:r w:rsidRPr="0016299F">
        <w:rPr>
          <w:rFonts w:ascii="Arial Narrow" w:hAnsi="Arial Narrow"/>
          <w:snapToGrid w:val="0"/>
          <w:sz w:val="18"/>
          <w:szCs w:val="22"/>
          <w:vertAlign w:val="superscript"/>
        </w:rPr>
        <w:t>a</w:t>
      </w:r>
      <w:proofErr w:type="spellEnd"/>
      <w:r w:rsidRPr="0016299F">
        <w:rPr>
          <w:rFonts w:ascii="Arial Narrow" w:hAnsi="Arial Narrow"/>
          <w:snapToGrid w:val="0"/>
          <w:sz w:val="18"/>
          <w:szCs w:val="22"/>
          <w:vertAlign w:val="superscript"/>
        </w:rPr>
        <w:t xml:space="preserve"> </w:t>
      </w:r>
      <w:r w:rsidRPr="00B64004">
        <w:rPr>
          <w:rFonts w:ascii="Arial Narrow" w:hAnsi="Arial Narrow"/>
          <w:snapToGrid w:val="0"/>
          <w:sz w:val="18"/>
          <w:szCs w:val="22"/>
        </w:rPr>
        <w:t xml:space="preserve">The submission applied a </w:t>
      </w:r>
      <w:r w:rsidR="00B55D47" w:rsidRPr="00B55D47">
        <w:rPr>
          <w:rFonts w:ascii="Arial Narrow" w:hAnsi="Arial Narrow"/>
          <w:snapToGrid w:val="0"/>
          <w:color w:val="000000"/>
          <w:spacing w:val="37"/>
          <w:sz w:val="18"/>
          <w:szCs w:val="22"/>
          <w:shd w:val="solid" w:color="000000" w:fill="000000"/>
          <w:fitText w:val="270" w:id="-694465023"/>
          <w14:textFill>
            <w14:solidFill>
              <w14:srgbClr w14:val="000000">
                <w14:alpha w14:val="100000"/>
              </w14:srgbClr>
            </w14:solidFill>
          </w14:textFill>
        </w:rPr>
        <w:t xml:space="preserve">|  </w:t>
      </w:r>
      <w:r w:rsidR="00B55D47" w:rsidRPr="00B55D47">
        <w:rPr>
          <w:rFonts w:ascii="Arial Narrow" w:hAnsi="Arial Narrow"/>
          <w:snapToGrid w:val="0"/>
          <w:color w:val="000000"/>
          <w:spacing w:val="1"/>
          <w:sz w:val="18"/>
          <w:szCs w:val="22"/>
          <w:shd w:val="solid" w:color="000000" w:fill="000000"/>
          <w:fitText w:val="270" w:id="-694465023"/>
          <w14:textFill>
            <w14:solidFill>
              <w14:srgbClr w14:val="000000">
                <w14:alpha w14:val="100000"/>
              </w14:srgbClr>
            </w14:solidFill>
          </w14:textFill>
        </w:rPr>
        <w:t>|</w:t>
      </w:r>
      <w:r w:rsidRPr="00B64004">
        <w:rPr>
          <w:rFonts w:ascii="Arial Narrow" w:hAnsi="Arial Narrow"/>
          <w:snapToGrid w:val="0"/>
          <w:sz w:val="18"/>
          <w:szCs w:val="22"/>
        </w:rPr>
        <w:t xml:space="preserve">% price discount to </w:t>
      </w:r>
      <w:proofErr w:type="spellStart"/>
      <w:r w:rsidRPr="00B64004">
        <w:rPr>
          <w:rFonts w:ascii="Arial Narrow" w:hAnsi="Arial Narrow"/>
          <w:snapToGrid w:val="0"/>
          <w:sz w:val="18"/>
          <w:szCs w:val="22"/>
        </w:rPr>
        <w:t>elafibranor</w:t>
      </w:r>
      <w:proofErr w:type="spellEnd"/>
      <w:r w:rsidRPr="00B64004">
        <w:rPr>
          <w:rFonts w:ascii="Arial Narrow" w:hAnsi="Arial Narrow"/>
          <w:snapToGrid w:val="0"/>
          <w:sz w:val="18"/>
          <w:szCs w:val="22"/>
        </w:rPr>
        <w:t xml:space="preserve">, including the AEMP and dispensing fees. This was </w:t>
      </w:r>
      <w:r w:rsidR="00B64004">
        <w:rPr>
          <w:rFonts w:ascii="Arial Narrow" w:hAnsi="Arial Narrow"/>
          <w:snapToGrid w:val="0"/>
          <w:sz w:val="18"/>
          <w:szCs w:val="22"/>
        </w:rPr>
        <w:t>incorrect</w:t>
      </w:r>
      <w:r w:rsidR="00635449" w:rsidRPr="00B64004">
        <w:rPr>
          <w:rFonts w:ascii="Arial Narrow" w:hAnsi="Arial Narrow"/>
          <w:snapToGrid w:val="0"/>
          <w:sz w:val="18"/>
          <w:szCs w:val="22"/>
        </w:rPr>
        <w:t>. Changed sheet ‘Data Store’, cell K233 to $</w:t>
      </w:r>
      <w:r w:rsidR="00B55D47" w:rsidRPr="005A09B9">
        <w:rPr>
          <w:rFonts w:ascii="Arial Narrow" w:hAnsi="Arial Narrow"/>
          <w:snapToGrid w:val="0"/>
          <w:color w:val="000000"/>
          <w:spacing w:val="37"/>
          <w:sz w:val="18"/>
          <w:szCs w:val="22"/>
          <w:shd w:val="solid" w:color="000000" w:fill="000000"/>
          <w:fitText w:val="270" w:id="-694465022"/>
          <w14:textFill>
            <w14:solidFill>
              <w14:srgbClr w14:val="000000">
                <w14:alpha w14:val="100000"/>
              </w14:srgbClr>
            </w14:solidFill>
          </w14:textFill>
        </w:rPr>
        <w:t xml:space="preserve">|  </w:t>
      </w:r>
      <w:r w:rsidR="00B55D47" w:rsidRPr="005A09B9">
        <w:rPr>
          <w:rFonts w:ascii="Arial Narrow" w:hAnsi="Arial Narrow"/>
          <w:snapToGrid w:val="0"/>
          <w:color w:val="000000"/>
          <w:spacing w:val="1"/>
          <w:sz w:val="18"/>
          <w:szCs w:val="22"/>
          <w:shd w:val="solid" w:color="000000" w:fill="000000"/>
          <w:fitText w:val="270" w:id="-694465022"/>
          <w14:textFill>
            <w14:solidFill>
              <w14:srgbClr w14:val="000000">
                <w14:alpha w14:val="100000"/>
              </w14:srgbClr>
            </w14:solidFill>
          </w14:textFill>
        </w:rPr>
        <w:t>|</w:t>
      </w:r>
      <w:r w:rsidRPr="00B64004">
        <w:rPr>
          <w:rFonts w:ascii="Arial Narrow" w:hAnsi="Arial Narrow"/>
          <w:snapToGrid w:val="0"/>
          <w:sz w:val="18"/>
          <w:szCs w:val="22"/>
        </w:rPr>
        <w:t>.</w:t>
      </w:r>
    </w:p>
    <w:p w14:paraId="51C09A49" w14:textId="77777777" w:rsidR="00EE180F" w:rsidRDefault="00B3578C" w:rsidP="00EE180F">
      <w:pPr>
        <w:keepNext/>
        <w:spacing w:after="120"/>
        <w:contextualSpacing/>
      </w:pPr>
      <w:r w:rsidRPr="00B64004">
        <w:rPr>
          <w:rFonts w:ascii="Arial Narrow" w:hAnsi="Arial Narrow"/>
          <w:snapToGrid w:val="0"/>
          <w:sz w:val="18"/>
          <w:szCs w:val="22"/>
        </w:rPr>
        <w:t xml:space="preserve">STEP 6: Remove adverse event </w:t>
      </w:r>
      <w:proofErr w:type="spellStart"/>
      <w:r w:rsidRPr="00B64004">
        <w:rPr>
          <w:rFonts w:ascii="Arial Narrow" w:hAnsi="Arial Narrow"/>
          <w:snapToGrid w:val="0"/>
          <w:sz w:val="18"/>
          <w:szCs w:val="22"/>
        </w:rPr>
        <w:t>disutilities</w:t>
      </w:r>
      <w:proofErr w:type="spellEnd"/>
      <w:r w:rsidRPr="00B64004">
        <w:rPr>
          <w:rFonts w:ascii="Arial Narrow" w:hAnsi="Arial Narrow"/>
          <w:snapToGrid w:val="0"/>
          <w:sz w:val="18"/>
          <w:szCs w:val="22"/>
        </w:rPr>
        <w:t xml:space="preserve">: sheet ‘Quality of life’, cells F28:F30 and F37:F38 changed to 0. STEP 5: Life years gained only; STEP 4: Remove medical resource costs, sheet ‘Data Store’, cells D267:D279; D282:D286; D311:D313; D325:D327; D330:D334; D339:D347; </w:t>
      </w:r>
      <w:r w:rsidR="005B60B9" w:rsidRPr="00B64004">
        <w:rPr>
          <w:rFonts w:ascii="Arial Narrow" w:hAnsi="Arial Narrow"/>
          <w:snapToGrid w:val="0"/>
          <w:sz w:val="18"/>
          <w:szCs w:val="22"/>
        </w:rPr>
        <w:t xml:space="preserve">H330:H334; </w:t>
      </w:r>
      <w:r w:rsidRPr="00B64004">
        <w:rPr>
          <w:rFonts w:ascii="Arial Narrow" w:hAnsi="Arial Narrow"/>
          <w:snapToGrid w:val="0"/>
          <w:sz w:val="18"/>
          <w:szCs w:val="22"/>
        </w:rPr>
        <w:t>I306:J306 changed to 0; STEP 3: Reduce</w:t>
      </w:r>
      <w:r>
        <w:rPr>
          <w:rFonts w:ascii="Arial Narrow" w:hAnsi="Arial Narrow"/>
          <w:snapToGrid w:val="0"/>
          <w:sz w:val="18"/>
          <w:szCs w:val="22"/>
        </w:rPr>
        <w:t xml:space="preserve"> d</w:t>
      </w:r>
      <w:r w:rsidRPr="00776CBB">
        <w:rPr>
          <w:rFonts w:ascii="Arial Narrow" w:hAnsi="Arial Narrow"/>
          <w:snapToGrid w:val="0"/>
          <w:sz w:val="18"/>
          <w:szCs w:val="22"/>
        </w:rPr>
        <w:t xml:space="preserve">iscount rate: Sheet ‘Settings’, cells G29:G30 </w:t>
      </w:r>
      <w:r>
        <w:rPr>
          <w:rFonts w:ascii="Arial Narrow" w:hAnsi="Arial Narrow"/>
          <w:snapToGrid w:val="0"/>
          <w:sz w:val="18"/>
          <w:szCs w:val="22"/>
        </w:rPr>
        <w:t>changed to 0</w:t>
      </w:r>
      <w:r w:rsidRPr="00776CBB">
        <w:rPr>
          <w:rFonts w:ascii="Arial Narrow" w:hAnsi="Arial Narrow"/>
          <w:snapToGrid w:val="0"/>
          <w:sz w:val="18"/>
          <w:szCs w:val="22"/>
        </w:rPr>
        <w:t xml:space="preserve">; STEP </w:t>
      </w:r>
      <w:r>
        <w:rPr>
          <w:rFonts w:ascii="Arial Narrow" w:hAnsi="Arial Narrow"/>
          <w:snapToGrid w:val="0"/>
          <w:sz w:val="18"/>
          <w:szCs w:val="22"/>
        </w:rPr>
        <w:t>2</w:t>
      </w:r>
      <w:r w:rsidRPr="00776CBB">
        <w:rPr>
          <w:rFonts w:ascii="Arial Narrow" w:hAnsi="Arial Narrow"/>
          <w:snapToGrid w:val="0"/>
          <w:sz w:val="18"/>
          <w:szCs w:val="22"/>
        </w:rPr>
        <w:t xml:space="preserve">: </w:t>
      </w:r>
      <w:r>
        <w:rPr>
          <w:rFonts w:ascii="Arial Narrow" w:hAnsi="Arial Narrow"/>
          <w:snapToGrid w:val="0"/>
          <w:sz w:val="18"/>
          <w:szCs w:val="22"/>
        </w:rPr>
        <w:t>Reduce t</w:t>
      </w:r>
      <w:r w:rsidRPr="00776CBB">
        <w:rPr>
          <w:rFonts w:ascii="Arial Narrow" w:hAnsi="Arial Narrow"/>
          <w:snapToGrid w:val="0"/>
          <w:sz w:val="18"/>
          <w:szCs w:val="22"/>
        </w:rPr>
        <w:t xml:space="preserve">ime horizon, Sheet ‘Settings’, cell G17 change ‘time horizon’ to </w:t>
      </w:r>
      <w:r>
        <w:rPr>
          <w:rFonts w:ascii="Arial Narrow" w:hAnsi="Arial Narrow"/>
          <w:snapToGrid w:val="0"/>
          <w:sz w:val="18"/>
          <w:szCs w:val="22"/>
        </w:rPr>
        <w:t>1</w:t>
      </w:r>
      <w:r w:rsidRPr="00776CBB">
        <w:rPr>
          <w:rFonts w:ascii="Arial Narrow" w:hAnsi="Arial Narrow"/>
          <w:snapToGrid w:val="0"/>
          <w:sz w:val="18"/>
          <w:szCs w:val="22"/>
        </w:rPr>
        <w:t xml:space="preserve"> year (=5</w:t>
      </w:r>
      <w:r>
        <w:rPr>
          <w:rFonts w:ascii="Arial Narrow" w:hAnsi="Arial Narrow"/>
          <w:snapToGrid w:val="0"/>
          <w:sz w:val="18"/>
          <w:szCs w:val="22"/>
        </w:rPr>
        <w:t>8</w:t>
      </w:r>
      <w:r w:rsidRPr="00776CBB">
        <w:rPr>
          <w:rFonts w:ascii="Arial Narrow" w:hAnsi="Arial Narrow"/>
          <w:snapToGrid w:val="0"/>
          <w:sz w:val="18"/>
          <w:szCs w:val="22"/>
        </w:rPr>
        <w:t xml:space="preserve">-ageVar); </w:t>
      </w:r>
      <w:r>
        <w:rPr>
          <w:rFonts w:ascii="Arial Narrow" w:hAnsi="Arial Narrow"/>
          <w:snapToGrid w:val="0"/>
          <w:sz w:val="18"/>
          <w:szCs w:val="22"/>
        </w:rPr>
        <w:t>STEP 1: Cholestasis response as per indirect comparison results.</w:t>
      </w:r>
      <w:r w:rsidR="00EE180F" w:rsidRPr="00EE180F">
        <w:t xml:space="preserve"> </w:t>
      </w:r>
    </w:p>
    <w:p w14:paraId="77A4E918" w14:textId="336F5946" w:rsidR="00EE180F" w:rsidRPr="00337B98" w:rsidRDefault="00EE180F" w:rsidP="00EE180F">
      <w:pPr>
        <w:keepNext/>
        <w:spacing w:after="120"/>
        <w:contextualSpacing/>
        <w:rPr>
          <w:rFonts w:ascii="Arial Narrow" w:hAnsi="Arial Narrow"/>
          <w:snapToGrid w:val="0"/>
          <w:sz w:val="18"/>
          <w:szCs w:val="22"/>
        </w:rPr>
      </w:pPr>
      <w:r w:rsidRPr="00337B98">
        <w:rPr>
          <w:rFonts w:ascii="Arial Narrow" w:hAnsi="Arial Narrow"/>
          <w:snapToGrid w:val="0"/>
          <w:sz w:val="18"/>
          <w:szCs w:val="22"/>
        </w:rPr>
        <w:t xml:space="preserve">The redacted values correspond to the following ranges: </w:t>
      </w:r>
    </w:p>
    <w:p w14:paraId="523AFE62" w14:textId="77777777" w:rsidR="008E0186" w:rsidRPr="00337B98" w:rsidRDefault="00EE180F" w:rsidP="00EE180F">
      <w:pPr>
        <w:keepNext/>
        <w:spacing w:after="120"/>
        <w:contextualSpacing/>
        <w:rPr>
          <w:rFonts w:ascii="Arial Narrow" w:hAnsi="Arial Narrow"/>
          <w:snapToGrid w:val="0"/>
          <w:sz w:val="18"/>
          <w:szCs w:val="22"/>
        </w:rPr>
      </w:pPr>
      <w:r w:rsidRPr="00337B98">
        <w:rPr>
          <w:rFonts w:ascii="Arial Narrow" w:hAnsi="Arial Narrow"/>
          <w:snapToGrid w:val="0"/>
          <w:sz w:val="18"/>
          <w:szCs w:val="22"/>
        </w:rPr>
        <w:t>1 $75,000 to &lt; $95,000</w:t>
      </w:r>
    </w:p>
    <w:p w14:paraId="63A5075E" w14:textId="4400108C" w:rsidR="00472D04" w:rsidRPr="00337B98" w:rsidRDefault="008E0186" w:rsidP="00EE180F">
      <w:pPr>
        <w:keepNext/>
        <w:spacing w:after="120"/>
        <w:contextualSpacing/>
        <w:rPr>
          <w:rFonts w:ascii="Arial Narrow" w:hAnsi="Arial Narrow"/>
          <w:snapToGrid w:val="0"/>
          <w:sz w:val="18"/>
          <w:szCs w:val="22"/>
        </w:rPr>
      </w:pPr>
      <w:r w:rsidRPr="00337B98">
        <w:rPr>
          <w:rFonts w:ascii="Arial Narrow" w:hAnsi="Arial Narrow"/>
          <w:snapToGrid w:val="0"/>
          <w:sz w:val="18"/>
          <w:szCs w:val="22"/>
        </w:rPr>
        <w:t>2 $95,000 to &lt; $115,000</w:t>
      </w:r>
      <w:r w:rsidR="00472D04" w:rsidRPr="00337B98">
        <w:rPr>
          <w:rFonts w:ascii="Arial Narrow" w:hAnsi="Arial Narrow"/>
          <w:snapToGrid w:val="0"/>
          <w:sz w:val="18"/>
          <w:szCs w:val="22"/>
        </w:rPr>
        <w:t xml:space="preserve"> </w:t>
      </w:r>
    </w:p>
    <w:p w14:paraId="5160EEA8" w14:textId="77777777" w:rsidR="002B0841" w:rsidRPr="00337B98" w:rsidRDefault="00472D04" w:rsidP="00EE180F">
      <w:pPr>
        <w:keepNext/>
        <w:spacing w:after="120"/>
        <w:contextualSpacing/>
        <w:rPr>
          <w:rFonts w:ascii="Arial Narrow" w:hAnsi="Arial Narrow"/>
          <w:snapToGrid w:val="0"/>
          <w:sz w:val="18"/>
          <w:szCs w:val="22"/>
        </w:rPr>
      </w:pPr>
      <w:r w:rsidRPr="00337B98">
        <w:rPr>
          <w:rFonts w:ascii="Arial Narrow" w:hAnsi="Arial Narrow"/>
          <w:snapToGrid w:val="0"/>
          <w:sz w:val="18"/>
          <w:szCs w:val="22"/>
        </w:rPr>
        <w:t>3 &gt; $1,055,000</w:t>
      </w:r>
      <w:r w:rsidR="002B0841" w:rsidRPr="00337B98">
        <w:rPr>
          <w:rFonts w:ascii="Arial Narrow" w:hAnsi="Arial Narrow"/>
          <w:snapToGrid w:val="0"/>
          <w:sz w:val="18"/>
          <w:szCs w:val="22"/>
        </w:rPr>
        <w:t xml:space="preserve"> </w:t>
      </w:r>
    </w:p>
    <w:p w14:paraId="774031B6" w14:textId="6365BF18" w:rsidR="00776CBB" w:rsidRPr="00337B98" w:rsidRDefault="002B0841" w:rsidP="00EE180F">
      <w:pPr>
        <w:keepNext/>
        <w:spacing w:after="120"/>
        <w:contextualSpacing/>
        <w:rPr>
          <w:rFonts w:ascii="Arial Narrow" w:hAnsi="Arial Narrow"/>
          <w:snapToGrid w:val="0"/>
          <w:sz w:val="18"/>
          <w:szCs w:val="22"/>
        </w:rPr>
      </w:pPr>
      <w:r w:rsidRPr="00337B98">
        <w:rPr>
          <w:rFonts w:ascii="Arial Narrow" w:hAnsi="Arial Narrow"/>
          <w:snapToGrid w:val="0"/>
          <w:sz w:val="18"/>
          <w:szCs w:val="22"/>
        </w:rPr>
        <w:t>4 $55,000 to &lt; $75,000</w:t>
      </w:r>
    </w:p>
    <w:p w14:paraId="546766B7" w14:textId="506DC7B9" w:rsidR="00A01BB1" w:rsidRPr="00FF10DD" w:rsidRDefault="00A01BB1" w:rsidP="00A01BB1">
      <w:pPr>
        <w:pStyle w:val="3-BodyText"/>
      </w:pPr>
      <w:r w:rsidRPr="00FF10DD">
        <w:t xml:space="preserve">The </w:t>
      </w:r>
      <w:r w:rsidR="00D504F9" w:rsidRPr="00FF10DD">
        <w:t xml:space="preserve">ESC considered the </w:t>
      </w:r>
      <w:r w:rsidRPr="00FF10DD">
        <w:t xml:space="preserve">results </w:t>
      </w:r>
      <w:r w:rsidR="00D504F9" w:rsidRPr="00FF10DD">
        <w:t xml:space="preserve">of the economic evaluation </w:t>
      </w:r>
      <w:r w:rsidRPr="00FF10DD">
        <w:t xml:space="preserve">should be considered with caution </w:t>
      </w:r>
      <w:r w:rsidR="00D504F9" w:rsidRPr="00FF10DD">
        <w:t>as</w:t>
      </w:r>
      <w:r w:rsidRPr="00FF10DD">
        <w:t>:</w:t>
      </w:r>
    </w:p>
    <w:p w14:paraId="3C668589" w14:textId="441AE685" w:rsidR="00A01BB1" w:rsidRPr="00FF10DD" w:rsidRDefault="00A01BB1" w:rsidP="00DF74E0">
      <w:pPr>
        <w:pStyle w:val="ListParagraph"/>
        <w:ind w:left="1080"/>
        <w:jc w:val="both"/>
      </w:pPr>
      <w:r w:rsidRPr="00FF10DD">
        <w:lastRenderedPageBreak/>
        <w:t>The submission applied the results of the indirect comparison (cholestasis response) to estimate the transition probabilities. This was not appropriate</w:t>
      </w:r>
      <w:r w:rsidR="00AB50D0" w:rsidRPr="00FF10DD">
        <w:t xml:space="preserve"> as the results were not statistically significant</w:t>
      </w:r>
      <w:r w:rsidR="00E61BE8" w:rsidRPr="00FF10DD">
        <w:t>ly different</w:t>
      </w:r>
      <w:r w:rsidR="00AB50D0" w:rsidRPr="00FF10DD">
        <w:t xml:space="preserve"> and </w:t>
      </w:r>
      <w:r w:rsidR="00671C7B">
        <w:t xml:space="preserve">were </w:t>
      </w:r>
      <w:r w:rsidR="00AB50D0" w:rsidRPr="00FF10DD">
        <w:t>not consistent with the claim of non-inferior clinical effectiveness</w:t>
      </w:r>
      <w:r w:rsidR="000D7248" w:rsidRPr="00FF10DD">
        <w:t xml:space="preserve"> (see </w:t>
      </w:r>
      <w:r w:rsidR="00A83F28" w:rsidRPr="00FF10DD">
        <w:t>para</w:t>
      </w:r>
      <w:r w:rsidR="00516E9A" w:rsidRPr="00FF10DD">
        <w:t>graph</w:t>
      </w:r>
      <w:r w:rsidR="00A83F28" w:rsidRPr="00FF10DD">
        <w:t xml:space="preserve"> </w:t>
      </w:r>
      <w:r w:rsidR="00A83F28" w:rsidRPr="00FF10DD">
        <w:fldChar w:fldCharType="begin" w:fldLock="1"/>
      </w:r>
      <w:r w:rsidR="00A83F28" w:rsidRPr="00FF10DD">
        <w:instrText xml:space="preserve"> REF _Ref184815075 \r \h </w:instrText>
      </w:r>
      <w:r w:rsidR="00EE179E" w:rsidRPr="00FF10DD">
        <w:instrText xml:space="preserve"> \* MERGEFORMAT </w:instrText>
      </w:r>
      <w:r w:rsidR="00A83F28" w:rsidRPr="00FF10DD">
        <w:fldChar w:fldCharType="separate"/>
      </w:r>
      <w:r w:rsidR="00A56EA5">
        <w:t>6.62</w:t>
      </w:r>
      <w:r w:rsidR="00A83F28" w:rsidRPr="00FF10DD">
        <w:fldChar w:fldCharType="end"/>
      </w:r>
      <w:r w:rsidR="00A83F28" w:rsidRPr="00FF10DD">
        <w:t>).</w:t>
      </w:r>
    </w:p>
    <w:p w14:paraId="175EA881" w14:textId="590BAB22" w:rsidR="001C7F93" w:rsidRPr="00FF10DD" w:rsidRDefault="001C7F93" w:rsidP="00DF74E0">
      <w:pPr>
        <w:pStyle w:val="ListParagraph"/>
        <w:ind w:left="1080"/>
        <w:jc w:val="both"/>
      </w:pPr>
      <w:r w:rsidRPr="00FF10DD">
        <w:t>The submission applied a</w:t>
      </w:r>
      <w:r w:rsidR="00560A8A" w:rsidRPr="00FF10DD">
        <w:t>n</w:t>
      </w:r>
      <w:r w:rsidRPr="00FF10DD">
        <w:t xml:space="preserve"> </w:t>
      </w:r>
      <w:r w:rsidR="00212BBF" w:rsidRPr="00FF10DD">
        <w:t>OR</w:t>
      </w:r>
      <w:r w:rsidRPr="00FF10DD">
        <w:t xml:space="preserve"> of all-cause discontinuation </w:t>
      </w:r>
      <w:r w:rsidR="00AA1948" w:rsidRPr="00FF10DD">
        <w:t xml:space="preserve">with OCA vs </w:t>
      </w:r>
      <w:proofErr w:type="spellStart"/>
      <w:r w:rsidR="00AA1948" w:rsidRPr="00FF10DD">
        <w:t>elafibranor</w:t>
      </w:r>
      <w:proofErr w:type="spellEnd"/>
      <w:r w:rsidR="00AA1948" w:rsidRPr="00FF10DD">
        <w:t xml:space="preserve"> </w:t>
      </w:r>
      <w:r w:rsidR="006A3181" w:rsidRPr="00FF10DD">
        <w:t>of</w:t>
      </w:r>
      <w:r w:rsidRPr="00FF10DD">
        <w:t xml:space="preserve"> 2.73</w:t>
      </w:r>
      <w:r w:rsidR="00AA1948" w:rsidRPr="00FF10DD">
        <w:t xml:space="preserve"> (i.e. a higher risk of discontinuation with OCA). This analysis was not presented in the indirect comparison results and therefore could not be verified. Further, the indirect comparison of discontinuations due to pruritus was not statistically significant</w:t>
      </w:r>
      <w:r w:rsidR="00E61BE8" w:rsidRPr="00FF10DD">
        <w:t>ly different</w:t>
      </w:r>
      <w:r w:rsidR="00416EC0" w:rsidRPr="00FF10DD">
        <w:t xml:space="preserve"> </w:t>
      </w:r>
      <w:r w:rsidR="006A3181" w:rsidRPr="00FF10DD">
        <w:t>(see para</w:t>
      </w:r>
      <w:r w:rsidR="00516E9A" w:rsidRPr="00FF10DD">
        <w:t>graph</w:t>
      </w:r>
      <w:r w:rsidR="006A3181" w:rsidRPr="00FF10DD">
        <w:t xml:space="preserve"> </w:t>
      </w:r>
      <w:r w:rsidR="006A3181" w:rsidRPr="00FF10DD">
        <w:fldChar w:fldCharType="begin" w:fldLock="1"/>
      </w:r>
      <w:r w:rsidR="006A3181" w:rsidRPr="00FF10DD">
        <w:instrText xml:space="preserve"> REF _Ref184824292 \r \h </w:instrText>
      </w:r>
      <w:r w:rsidR="00EE179E" w:rsidRPr="00FF10DD">
        <w:instrText xml:space="preserve"> \* MERGEFORMAT </w:instrText>
      </w:r>
      <w:r w:rsidR="006A3181" w:rsidRPr="00FF10DD">
        <w:fldChar w:fldCharType="separate"/>
      </w:r>
      <w:r w:rsidR="00A56EA5">
        <w:t>6.63</w:t>
      </w:r>
      <w:r w:rsidR="006A3181" w:rsidRPr="00FF10DD">
        <w:fldChar w:fldCharType="end"/>
      </w:r>
      <w:r w:rsidR="006A3181" w:rsidRPr="00FF10DD">
        <w:t>)</w:t>
      </w:r>
      <w:r w:rsidRPr="00FF10DD">
        <w:t>.</w:t>
      </w:r>
    </w:p>
    <w:p w14:paraId="47C4D84E" w14:textId="6DF0B430" w:rsidR="00A01BB1" w:rsidRPr="00FF10DD" w:rsidRDefault="00A01BB1" w:rsidP="00DF74E0">
      <w:pPr>
        <w:pStyle w:val="ListParagraph"/>
        <w:ind w:left="1080"/>
        <w:jc w:val="both"/>
      </w:pPr>
      <w:r w:rsidRPr="00FF10DD">
        <w:t>The submission applied estimates of both pruritus severity, informed by the PBC-40 itch domain, and the risk of pruritus TEAE</w:t>
      </w:r>
      <w:r w:rsidR="00080E17" w:rsidRPr="00FF10DD">
        <w:t>s</w:t>
      </w:r>
      <w:r w:rsidRPr="00FF10DD">
        <w:t xml:space="preserve"> in the economic model</w:t>
      </w:r>
      <w:r w:rsidR="00D21E65" w:rsidRPr="00FF10DD">
        <w:t xml:space="preserve">. </w:t>
      </w:r>
      <w:r w:rsidRPr="00FF10DD">
        <w:t xml:space="preserve">This may have double-counted the incidence of pruritus. </w:t>
      </w:r>
    </w:p>
    <w:p w14:paraId="6D8D7DDC" w14:textId="7CADF78A" w:rsidR="00A01BB1" w:rsidRPr="00FF10DD" w:rsidRDefault="00A01BB1" w:rsidP="00A01BB1">
      <w:pPr>
        <w:pStyle w:val="3-BodyText"/>
      </w:pPr>
      <w:r w:rsidRPr="00FF10DD">
        <w:t>The results of key univariate sensitivity analyses are summarised in</w:t>
      </w:r>
      <w:r w:rsidR="00B5552B" w:rsidRPr="00FF10DD">
        <w:t xml:space="preserve"> </w:t>
      </w:r>
      <w:r w:rsidR="00B5552B" w:rsidRPr="00FF10DD">
        <w:fldChar w:fldCharType="begin" w:fldLock="1"/>
      </w:r>
      <w:r w:rsidR="00B5552B" w:rsidRPr="00FF10DD">
        <w:instrText xml:space="preserve"> REF _Ref184715896 \h </w:instrText>
      </w:r>
      <w:r w:rsidR="00FF10DD" w:rsidRPr="00FF10DD">
        <w:instrText xml:space="preserve"> \* MERGEFORMAT </w:instrText>
      </w:r>
      <w:r w:rsidR="00B5552B" w:rsidRPr="00FF10DD">
        <w:fldChar w:fldCharType="separate"/>
      </w:r>
      <w:r w:rsidR="002B3034" w:rsidRPr="00FF10DD">
        <w:t xml:space="preserve">Table </w:t>
      </w:r>
      <w:r w:rsidR="002B3034" w:rsidRPr="00FF10DD">
        <w:rPr>
          <w:noProof/>
        </w:rPr>
        <w:t>17</w:t>
      </w:r>
      <w:r w:rsidR="00B5552B" w:rsidRPr="00FF10DD">
        <w:fldChar w:fldCharType="end"/>
      </w:r>
      <w:r w:rsidRPr="00FF10DD">
        <w:t>.</w:t>
      </w:r>
    </w:p>
    <w:p w14:paraId="1324D205" w14:textId="4AC4245A" w:rsidR="00DF4395" w:rsidRDefault="00DF4395">
      <w:pPr>
        <w:jc w:val="left"/>
      </w:pPr>
      <w:r>
        <w:br w:type="page"/>
      </w:r>
    </w:p>
    <w:p w14:paraId="343934F4" w14:textId="3A59AC47" w:rsidR="006067D3" w:rsidRPr="00125349" w:rsidRDefault="001458AE" w:rsidP="00B5552B">
      <w:pPr>
        <w:pStyle w:val="Caption"/>
        <w:rPr>
          <w:rStyle w:val="CommentReference"/>
          <w:b/>
          <w:szCs w:val="24"/>
        </w:rPr>
      </w:pPr>
      <w:bookmarkStart w:id="71" w:name="_Ref184715896"/>
      <w:r w:rsidRPr="00125349">
        <w:lastRenderedPageBreak/>
        <w:t xml:space="preserve">Table </w:t>
      </w:r>
      <w:r w:rsidR="00780A90">
        <w:fldChar w:fldCharType="begin" w:fldLock="1"/>
      </w:r>
      <w:r w:rsidR="00780A90">
        <w:instrText xml:space="preserve"> SEQ Table \* ARABIC </w:instrText>
      </w:r>
      <w:r w:rsidR="00780A90">
        <w:fldChar w:fldCharType="separate"/>
      </w:r>
      <w:r w:rsidR="00780A90" w:rsidRPr="00125349">
        <w:rPr>
          <w:noProof/>
        </w:rPr>
        <w:t>17</w:t>
      </w:r>
      <w:r w:rsidR="00780A90">
        <w:rPr>
          <w:noProof/>
        </w:rPr>
        <w:fldChar w:fldCharType="end"/>
      </w:r>
      <w:bookmarkEnd w:id="71"/>
      <w:r w:rsidR="006067D3" w:rsidRPr="00125349">
        <w:t>:</w:t>
      </w:r>
      <w:r w:rsidR="006067D3" w:rsidRPr="00125349">
        <w:rPr>
          <w:rStyle w:val="CommentReference"/>
          <w:b/>
          <w:szCs w:val="24"/>
        </w:rPr>
        <w:t xml:space="preserve"> </w:t>
      </w:r>
      <w:r w:rsidR="00914642" w:rsidRPr="00125349">
        <w:rPr>
          <w:rStyle w:val="CommentReference"/>
          <w:b/>
          <w:szCs w:val="24"/>
        </w:rPr>
        <w:t>Key s</w:t>
      </w:r>
      <w:r w:rsidR="006067D3" w:rsidRPr="00125349">
        <w:rPr>
          <w:rStyle w:val="CommentReference"/>
          <w:b/>
          <w:szCs w:val="24"/>
        </w:rPr>
        <w:t xml:space="preserve">ensitivity </w:t>
      </w:r>
      <w:proofErr w:type="spellStart"/>
      <w:r w:rsidR="006067D3" w:rsidRPr="00125349">
        <w:rPr>
          <w:rStyle w:val="CommentReference"/>
          <w:b/>
          <w:szCs w:val="24"/>
        </w:rPr>
        <w:t>analyses</w:t>
      </w:r>
      <w:r w:rsidR="00CF3530" w:rsidRPr="00125349">
        <w:rPr>
          <w:rStyle w:val="CommentReference"/>
          <w:b/>
          <w:szCs w:val="24"/>
          <w:vertAlign w:val="superscript"/>
        </w:rPr>
        <w:t>a</w:t>
      </w:r>
      <w:proofErr w:type="spellEnd"/>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5"/>
        <w:gridCol w:w="1201"/>
        <w:gridCol w:w="1199"/>
        <w:gridCol w:w="1080"/>
        <w:gridCol w:w="1102"/>
      </w:tblGrid>
      <w:tr w:rsidR="006067D3" w:rsidRPr="00125349" w14:paraId="7DF9BCAC" w14:textId="77777777" w:rsidTr="00B55D47">
        <w:trPr>
          <w:cantSplit/>
          <w:tblHeader/>
        </w:trPr>
        <w:tc>
          <w:tcPr>
            <w:tcW w:w="2459" w:type="pct"/>
          </w:tcPr>
          <w:p w14:paraId="11B149D6" w14:textId="77777777" w:rsidR="006067D3" w:rsidRPr="00125349" w:rsidRDefault="006067D3" w:rsidP="003078FE">
            <w:pPr>
              <w:pStyle w:val="In-tableHeading"/>
              <w:rPr>
                <w:lang w:val="en-AU"/>
              </w:rPr>
            </w:pPr>
            <w:r w:rsidRPr="00125349">
              <w:rPr>
                <w:lang w:val="en-AU"/>
              </w:rPr>
              <w:t>Analyses</w:t>
            </w:r>
          </w:p>
        </w:tc>
        <w:tc>
          <w:tcPr>
            <w:tcW w:w="666" w:type="pct"/>
            <w:tcBorders>
              <w:bottom w:val="single" w:sz="4" w:space="0" w:color="auto"/>
            </w:tcBorders>
          </w:tcPr>
          <w:p w14:paraId="596A5E5F" w14:textId="77777777" w:rsidR="006067D3" w:rsidRPr="00125349" w:rsidRDefault="006067D3" w:rsidP="003078FE">
            <w:pPr>
              <w:pStyle w:val="In-tableHeading"/>
              <w:jc w:val="center"/>
              <w:rPr>
                <w:lang w:val="en-AU"/>
              </w:rPr>
            </w:pPr>
            <w:r w:rsidRPr="00125349">
              <w:rPr>
                <w:lang w:val="en-AU"/>
              </w:rPr>
              <w:t>Incremental cost</w:t>
            </w:r>
          </w:p>
        </w:tc>
        <w:tc>
          <w:tcPr>
            <w:tcW w:w="665" w:type="pct"/>
          </w:tcPr>
          <w:p w14:paraId="60B3553A" w14:textId="77777777" w:rsidR="006067D3" w:rsidRPr="00125349" w:rsidRDefault="006067D3" w:rsidP="003078FE">
            <w:pPr>
              <w:pStyle w:val="In-tableHeading"/>
              <w:jc w:val="center"/>
              <w:rPr>
                <w:lang w:val="en-AU"/>
              </w:rPr>
            </w:pPr>
            <w:r w:rsidRPr="00125349">
              <w:rPr>
                <w:lang w:val="en-AU"/>
              </w:rPr>
              <w:t>Incremental QALY</w:t>
            </w:r>
          </w:p>
        </w:tc>
        <w:tc>
          <w:tcPr>
            <w:tcW w:w="599" w:type="pct"/>
          </w:tcPr>
          <w:p w14:paraId="5AD96F6E" w14:textId="77777777" w:rsidR="006067D3" w:rsidRPr="00125349" w:rsidRDefault="006067D3" w:rsidP="003078FE">
            <w:pPr>
              <w:pStyle w:val="In-tableHeading"/>
              <w:jc w:val="center"/>
              <w:rPr>
                <w:lang w:val="en-AU"/>
              </w:rPr>
            </w:pPr>
            <w:r w:rsidRPr="00125349">
              <w:rPr>
                <w:lang w:val="en-AU"/>
              </w:rPr>
              <w:t>ICER</w:t>
            </w:r>
          </w:p>
        </w:tc>
        <w:tc>
          <w:tcPr>
            <w:tcW w:w="611" w:type="pct"/>
          </w:tcPr>
          <w:p w14:paraId="6294B53C" w14:textId="77777777" w:rsidR="006067D3" w:rsidRPr="00125349" w:rsidRDefault="006067D3" w:rsidP="003078FE">
            <w:pPr>
              <w:pStyle w:val="In-tableHeading"/>
              <w:jc w:val="center"/>
              <w:rPr>
                <w:lang w:val="en-AU"/>
              </w:rPr>
            </w:pPr>
            <w:r w:rsidRPr="00125349">
              <w:rPr>
                <w:lang w:val="en-AU"/>
              </w:rPr>
              <w:t>% change to ICER</w:t>
            </w:r>
          </w:p>
        </w:tc>
      </w:tr>
      <w:tr w:rsidR="006067D3" w:rsidRPr="00125349" w14:paraId="41D651D8" w14:textId="77777777" w:rsidTr="00B55D47">
        <w:trPr>
          <w:cantSplit/>
        </w:trPr>
        <w:tc>
          <w:tcPr>
            <w:tcW w:w="2459" w:type="pct"/>
          </w:tcPr>
          <w:p w14:paraId="70C818AE" w14:textId="32F1DE80" w:rsidR="006067D3" w:rsidRPr="00125349" w:rsidRDefault="004A3D46" w:rsidP="003078FE">
            <w:pPr>
              <w:pStyle w:val="TableText0"/>
              <w:rPr>
                <w:b/>
              </w:rPr>
            </w:pPr>
            <w:r w:rsidRPr="00125349">
              <w:rPr>
                <w:b/>
              </w:rPr>
              <w:t>Revised b</w:t>
            </w:r>
            <w:r w:rsidR="006067D3" w:rsidRPr="00125349">
              <w:rPr>
                <w:b/>
              </w:rPr>
              <w:t>ase case</w:t>
            </w:r>
          </w:p>
        </w:tc>
        <w:tc>
          <w:tcPr>
            <w:tcW w:w="666" w:type="pct"/>
            <w:shd w:val="solid" w:color="000000" w:fill="000000"/>
          </w:tcPr>
          <w:p w14:paraId="4767B157" w14:textId="79A04820" w:rsidR="006067D3" w:rsidRPr="00125349" w:rsidRDefault="00B55D47" w:rsidP="009708E0">
            <w:pPr>
              <w:pStyle w:val="TableText0"/>
              <w:jc w:val="center"/>
              <w:rPr>
                <w:b/>
                <w:bCs w:val="0"/>
              </w:rPr>
            </w:pPr>
            <w:r w:rsidRPr="00B55D47">
              <w:rPr>
                <w:rFonts w:hint="eastAsia"/>
                <w:b/>
                <w:bCs w:val="0"/>
                <w:color w:val="000000"/>
                <w:w w:val="22"/>
                <w:fitText w:val="100" w:id="-694465021"/>
                <w14:textFill>
                  <w14:solidFill>
                    <w14:srgbClr w14:val="000000">
                      <w14:alpha w14:val="100000"/>
                    </w14:srgbClr>
                  </w14:solidFill>
                </w14:textFill>
              </w:rPr>
              <w:t xml:space="preserve">　</w:t>
            </w:r>
            <w:r w:rsidRPr="00B55D47">
              <w:rPr>
                <w:b/>
                <w:bCs w:val="0"/>
                <w:color w:val="000000"/>
                <w:w w:val="22"/>
                <w:fitText w:val="100" w:id="-694465021"/>
                <w14:textFill>
                  <w14:solidFill>
                    <w14:srgbClr w14:val="000000">
                      <w14:alpha w14:val="100000"/>
                    </w14:srgbClr>
                  </w14:solidFill>
                </w14:textFill>
              </w:rPr>
              <w:t>|</w:t>
            </w:r>
            <w:r w:rsidRPr="00B55D47">
              <w:rPr>
                <w:rFonts w:hint="eastAsia"/>
                <w:b/>
                <w:bCs w:val="0"/>
                <w:color w:val="000000"/>
                <w:w w:val="22"/>
                <w:fitText w:val="100" w:id="-694465021"/>
                <w14:textFill>
                  <w14:solidFill>
                    <w14:srgbClr w14:val="000000">
                      <w14:alpha w14:val="100000"/>
                    </w14:srgbClr>
                  </w14:solidFill>
                </w14:textFill>
              </w:rPr>
              <w:t xml:space="preserve">　</w:t>
            </w:r>
          </w:p>
        </w:tc>
        <w:tc>
          <w:tcPr>
            <w:tcW w:w="665" w:type="pct"/>
          </w:tcPr>
          <w:p w14:paraId="700B2042" w14:textId="77777777" w:rsidR="006067D3" w:rsidRPr="00125349" w:rsidRDefault="006067D3" w:rsidP="009708E0">
            <w:pPr>
              <w:pStyle w:val="TableText0"/>
              <w:jc w:val="center"/>
              <w:rPr>
                <w:b/>
                <w:bCs w:val="0"/>
              </w:rPr>
            </w:pPr>
            <w:r w:rsidRPr="00125349">
              <w:rPr>
                <w:b/>
                <w:bCs w:val="0"/>
              </w:rPr>
              <w:t>1.24</w:t>
            </w:r>
          </w:p>
        </w:tc>
        <w:tc>
          <w:tcPr>
            <w:tcW w:w="599" w:type="pct"/>
          </w:tcPr>
          <w:p w14:paraId="75E17304" w14:textId="51C0E6F5" w:rsidR="006067D3" w:rsidRPr="00125349" w:rsidRDefault="00B55D47" w:rsidP="009708E0">
            <w:pPr>
              <w:pStyle w:val="TableText0"/>
              <w:jc w:val="center"/>
              <w:rPr>
                <w:b/>
                <w:bCs w:val="0"/>
              </w:rPr>
            </w:pPr>
            <w:r w:rsidRPr="00B55D47">
              <w:rPr>
                <w:b/>
                <w:bCs w:val="0"/>
                <w:color w:val="000000"/>
                <w:spacing w:val="98"/>
                <w:shd w:val="solid" w:color="000000" w:fill="000000"/>
                <w:fitText w:val="190" w:id="-694465020"/>
                <w14:textFill>
                  <w14:solidFill>
                    <w14:srgbClr w14:val="000000">
                      <w14:alpha w14:val="100000"/>
                    </w14:srgbClr>
                  </w14:solidFill>
                </w14:textFill>
              </w:rPr>
              <w:t>|</w:t>
            </w:r>
            <w:r w:rsidRPr="00B55D47">
              <w:rPr>
                <w:b/>
                <w:bCs w:val="0"/>
                <w:color w:val="000000"/>
                <w:spacing w:val="1"/>
                <w:shd w:val="solid" w:color="000000" w:fill="000000"/>
                <w:fitText w:val="190" w:id="-694465020"/>
                <w14:textFill>
                  <w14:solidFill>
                    <w14:srgbClr w14:val="000000">
                      <w14:alpha w14:val="100000"/>
                    </w14:srgbClr>
                  </w14:solidFill>
                </w14:textFill>
              </w:rPr>
              <w:t>|</w:t>
            </w:r>
            <w:r w:rsidR="00BF2E3A" w:rsidRPr="00BF2E3A">
              <w:rPr>
                <w:b/>
                <w:bCs w:val="0"/>
                <w:vertAlign w:val="superscript"/>
              </w:rPr>
              <w:t>1</w:t>
            </w:r>
          </w:p>
        </w:tc>
        <w:tc>
          <w:tcPr>
            <w:tcW w:w="611" w:type="pct"/>
          </w:tcPr>
          <w:p w14:paraId="65066825" w14:textId="77777777" w:rsidR="006067D3" w:rsidRPr="00125349" w:rsidRDefault="006067D3" w:rsidP="003078FE">
            <w:pPr>
              <w:pStyle w:val="TableText0"/>
              <w:rPr>
                <w:rFonts w:eastAsia="Calibri"/>
                <w:b/>
                <w:szCs w:val="20"/>
              </w:rPr>
            </w:pPr>
          </w:p>
        </w:tc>
      </w:tr>
      <w:tr w:rsidR="00DF4395" w:rsidRPr="00125349" w14:paraId="6E8D40F4" w14:textId="77777777" w:rsidTr="00DF4395">
        <w:trPr>
          <w:cantSplit/>
        </w:trPr>
        <w:tc>
          <w:tcPr>
            <w:tcW w:w="5000" w:type="pct"/>
            <w:gridSpan w:val="5"/>
          </w:tcPr>
          <w:p w14:paraId="0D5E1D0D" w14:textId="1B83B33E" w:rsidR="00DF4395" w:rsidRPr="00125349" w:rsidRDefault="00DF4395" w:rsidP="003078FE">
            <w:pPr>
              <w:pStyle w:val="TableText0"/>
            </w:pPr>
            <w:r w:rsidRPr="00125349">
              <w:rPr>
                <w:b/>
                <w:bCs w:val="0"/>
              </w:rPr>
              <w:t>Time horizon (base case 43 years)</w:t>
            </w:r>
          </w:p>
        </w:tc>
      </w:tr>
      <w:tr w:rsidR="006067D3" w:rsidRPr="00125349" w14:paraId="498F3A5D" w14:textId="77777777" w:rsidTr="00B55D47">
        <w:trPr>
          <w:cantSplit/>
          <w:trHeight w:val="50"/>
        </w:trPr>
        <w:tc>
          <w:tcPr>
            <w:tcW w:w="2459" w:type="pct"/>
          </w:tcPr>
          <w:p w14:paraId="06E041A1" w14:textId="77777777" w:rsidR="006067D3" w:rsidRPr="00125349" w:rsidRDefault="006067D3" w:rsidP="00DF4395">
            <w:pPr>
              <w:pStyle w:val="TableText0"/>
              <w:keepNext w:val="0"/>
              <w:keepLines w:val="0"/>
              <w:widowControl w:val="0"/>
            </w:pPr>
            <w:r w:rsidRPr="00125349">
              <w:t>20 years</w:t>
            </w:r>
          </w:p>
        </w:tc>
        <w:tc>
          <w:tcPr>
            <w:tcW w:w="666" w:type="pct"/>
            <w:tcBorders>
              <w:bottom w:val="single" w:sz="4" w:space="0" w:color="auto"/>
            </w:tcBorders>
            <w:shd w:val="solid" w:color="000000" w:fill="000000"/>
          </w:tcPr>
          <w:p w14:paraId="64426C17" w14:textId="28AA0BBB" w:rsidR="006067D3" w:rsidRPr="00011B0A" w:rsidRDefault="00B55D47" w:rsidP="00DF4395">
            <w:pPr>
              <w:pStyle w:val="TableText0"/>
              <w:keepNext w:val="0"/>
              <w:keepLines w:val="0"/>
              <w:widowControl w:val="0"/>
              <w:jc w:val="center"/>
              <w:rPr>
                <w:highlight w:val="darkGray"/>
              </w:rPr>
            </w:pPr>
            <w:r w:rsidRPr="00B55D47">
              <w:rPr>
                <w:rFonts w:hint="eastAsia"/>
                <w:color w:val="000000"/>
                <w:w w:val="15"/>
                <w:fitText w:val="60" w:id="-694465019"/>
                <w14:textFill>
                  <w14:solidFill>
                    <w14:srgbClr w14:val="000000">
                      <w14:alpha w14:val="100000"/>
                    </w14:srgbClr>
                  </w14:solidFill>
                </w14:textFill>
              </w:rPr>
              <w:t xml:space="preserve">　</w:t>
            </w:r>
            <w:r w:rsidRPr="00B55D47">
              <w:rPr>
                <w:color w:val="000000"/>
                <w:w w:val="15"/>
                <w:fitText w:val="60" w:id="-694465019"/>
                <w14:textFill>
                  <w14:solidFill>
                    <w14:srgbClr w14:val="000000">
                      <w14:alpha w14:val="100000"/>
                    </w14:srgbClr>
                  </w14:solidFill>
                </w14:textFill>
              </w:rPr>
              <w:t>|</w:t>
            </w:r>
            <w:r w:rsidRPr="00B55D47">
              <w:rPr>
                <w:rFonts w:hint="eastAsia"/>
                <w:color w:val="000000"/>
                <w:w w:val="15"/>
                <w:fitText w:val="60" w:id="-694465019"/>
                <w14:textFill>
                  <w14:solidFill>
                    <w14:srgbClr w14:val="000000">
                      <w14:alpha w14:val="100000"/>
                    </w14:srgbClr>
                  </w14:solidFill>
                </w14:textFill>
              </w:rPr>
              <w:t xml:space="preserve">　</w:t>
            </w:r>
          </w:p>
        </w:tc>
        <w:tc>
          <w:tcPr>
            <w:tcW w:w="665" w:type="pct"/>
          </w:tcPr>
          <w:p w14:paraId="6339ADCF" w14:textId="7215F9A0" w:rsidR="006067D3" w:rsidRPr="00125349" w:rsidRDefault="007B4EA3" w:rsidP="00DF4395">
            <w:pPr>
              <w:pStyle w:val="TableText0"/>
              <w:keepNext w:val="0"/>
              <w:keepLines w:val="0"/>
              <w:widowControl w:val="0"/>
              <w:jc w:val="center"/>
            </w:pPr>
            <w:r w:rsidRPr="00125349">
              <w:t>1.03</w:t>
            </w:r>
          </w:p>
        </w:tc>
        <w:tc>
          <w:tcPr>
            <w:tcW w:w="599" w:type="pct"/>
          </w:tcPr>
          <w:p w14:paraId="36CDB6EA" w14:textId="726208B7" w:rsidR="006067D3"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18"/>
                <w14:textFill>
                  <w14:solidFill>
                    <w14:srgbClr w14:val="000000">
                      <w14:alpha w14:val="100000"/>
                    </w14:srgbClr>
                  </w14:solidFill>
                </w14:textFill>
              </w:rPr>
              <w:t xml:space="preserve">　</w:t>
            </w:r>
            <w:r w:rsidRPr="00B55D47">
              <w:rPr>
                <w:color w:val="000000"/>
                <w:w w:val="33"/>
                <w:shd w:val="solid" w:color="000000" w:fill="000000"/>
                <w:fitText w:val="150" w:id="-694465018"/>
                <w14:textFill>
                  <w14:solidFill>
                    <w14:srgbClr w14:val="000000">
                      <w14:alpha w14:val="100000"/>
                    </w14:srgbClr>
                  </w14:solidFill>
                </w14:textFill>
              </w:rPr>
              <w:t>|</w:t>
            </w:r>
            <w:r w:rsidRPr="00B55D47">
              <w:rPr>
                <w:rFonts w:hint="eastAsia"/>
                <w:color w:val="000000"/>
                <w:spacing w:val="4"/>
                <w:w w:val="33"/>
                <w:shd w:val="solid" w:color="000000" w:fill="000000"/>
                <w:fitText w:val="150" w:id="-694465018"/>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0CEF0B3F" w14:textId="6D122AE0" w:rsidR="006067D3" w:rsidRPr="00125349" w:rsidRDefault="00B55D47" w:rsidP="00DF4395">
            <w:pPr>
              <w:pStyle w:val="TableText0"/>
              <w:keepNext w:val="0"/>
              <w:keepLines w:val="0"/>
              <w:widowControl w:val="0"/>
              <w:jc w:val="center"/>
            </w:pPr>
            <w:r w:rsidRPr="00B55D47">
              <w:rPr>
                <w:color w:val="000000"/>
                <w:spacing w:val="94"/>
                <w:shd w:val="solid" w:color="000000" w:fill="000000"/>
                <w:fitText w:val="180" w:id="-694465017"/>
                <w14:textFill>
                  <w14:solidFill>
                    <w14:srgbClr w14:val="000000">
                      <w14:alpha w14:val="100000"/>
                    </w14:srgbClr>
                  </w14:solidFill>
                </w14:textFill>
              </w:rPr>
              <w:t>|</w:t>
            </w:r>
            <w:r w:rsidRPr="00B55D47">
              <w:rPr>
                <w:color w:val="000000"/>
                <w:spacing w:val="1"/>
                <w:shd w:val="solid" w:color="000000" w:fill="000000"/>
                <w:fitText w:val="180" w:id="-694465017"/>
                <w14:textFill>
                  <w14:solidFill>
                    <w14:srgbClr w14:val="000000">
                      <w14:alpha w14:val="100000"/>
                    </w14:srgbClr>
                  </w14:solidFill>
                </w14:textFill>
              </w:rPr>
              <w:t>|</w:t>
            </w:r>
            <w:r w:rsidR="000452B8" w:rsidRPr="00125349">
              <w:t>%</w:t>
            </w:r>
          </w:p>
        </w:tc>
      </w:tr>
      <w:tr w:rsidR="001230AF" w:rsidRPr="00125349" w14:paraId="75464E3B" w14:textId="77777777" w:rsidTr="00B55D47">
        <w:trPr>
          <w:cantSplit/>
          <w:trHeight w:val="50"/>
        </w:trPr>
        <w:tc>
          <w:tcPr>
            <w:tcW w:w="2459" w:type="pct"/>
          </w:tcPr>
          <w:p w14:paraId="72114CD4" w14:textId="37FE31FA" w:rsidR="001230AF" w:rsidRPr="00125349" w:rsidRDefault="001230AF" w:rsidP="00DF4395">
            <w:pPr>
              <w:pStyle w:val="TableText0"/>
              <w:keepNext w:val="0"/>
              <w:keepLines w:val="0"/>
              <w:widowControl w:val="0"/>
            </w:pPr>
            <w:r w:rsidRPr="00125349">
              <w:t>30 years</w:t>
            </w:r>
          </w:p>
        </w:tc>
        <w:tc>
          <w:tcPr>
            <w:tcW w:w="666" w:type="pct"/>
            <w:shd w:val="solid" w:color="000000" w:fill="000000"/>
          </w:tcPr>
          <w:p w14:paraId="1CBD44AC" w14:textId="5939CA72" w:rsidR="001230AF" w:rsidRPr="00011B0A" w:rsidRDefault="00B55D47" w:rsidP="00DF4395">
            <w:pPr>
              <w:pStyle w:val="TableText0"/>
              <w:keepNext w:val="0"/>
              <w:keepLines w:val="0"/>
              <w:widowControl w:val="0"/>
              <w:jc w:val="center"/>
              <w:rPr>
                <w:highlight w:val="darkGray"/>
              </w:rPr>
            </w:pPr>
            <w:r w:rsidRPr="00B55D47">
              <w:rPr>
                <w:rFonts w:hint="eastAsia"/>
                <w:color w:val="000000"/>
                <w:w w:val="15"/>
                <w:fitText w:val="60" w:id="-694465016"/>
                <w14:textFill>
                  <w14:solidFill>
                    <w14:srgbClr w14:val="000000">
                      <w14:alpha w14:val="100000"/>
                    </w14:srgbClr>
                  </w14:solidFill>
                </w14:textFill>
              </w:rPr>
              <w:t xml:space="preserve">　</w:t>
            </w:r>
            <w:r w:rsidRPr="00B55D47">
              <w:rPr>
                <w:color w:val="000000"/>
                <w:w w:val="15"/>
                <w:fitText w:val="60" w:id="-694465016"/>
                <w14:textFill>
                  <w14:solidFill>
                    <w14:srgbClr w14:val="000000">
                      <w14:alpha w14:val="100000"/>
                    </w14:srgbClr>
                  </w14:solidFill>
                </w14:textFill>
              </w:rPr>
              <w:t>|</w:t>
            </w:r>
            <w:r w:rsidRPr="00B55D47">
              <w:rPr>
                <w:rFonts w:hint="eastAsia"/>
                <w:color w:val="000000"/>
                <w:w w:val="15"/>
                <w:fitText w:val="60" w:id="-694465016"/>
                <w14:textFill>
                  <w14:solidFill>
                    <w14:srgbClr w14:val="000000">
                      <w14:alpha w14:val="100000"/>
                    </w14:srgbClr>
                  </w14:solidFill>
                </w14:textFill>
              </w:rPr>
              <w:t xml:space="preserve">　</w:t>
            </w:r>
          </w:p>
        </w:tc>
        <w:tc>
          <w:tcPr>
            <w:tcW w:w="665" w:type="pct"/>
          </w:tcPr>
          <w:p w14:paraId="24004471" w14:textId="662193E4" w:rsidR="001230AF" w:rsidRPr="00125349" w:rsidRDefault="001230AF" w:rsidP="00DF4395">
            <w:pPr>
              <w:pStyle w:val="TableText0"/>
              <w:keepNext w:val="0"/>
              <w:keepLines w:val="0"/>
              <w:widowControl w:val="0"/>
              <w:jc w:val="center"/>
            </w:pPr>
            <w:r w:rsidRPr="00125349">
              <w:t>1.2</w:t>
            </w:r>
            <w:r w:rsidR="009708E0" w:rsidRPr="00125349">
              <w:t>2</w:t>
            </w:r>
          </w:p>
        </w:tc>
        <w:tc>
          <w:tcPr>
            <w:tcW w:w="599" w:type="pct"/>
          </w:tcPr>
          <w:p w14:paraId="394E613E" w14:textId="393DDA1E" w:rsidR="001230AF"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15"/>
                <w14:textFill>
                  <w14:solidFill>
                    <w14:srgbClr w14:val="000000">
                      <w14:alpha w14:val="100000"/>
                    </w14:srgbClr>
                  </w14:solidFill>
                </w14:textFill>
              </w:rPr>
              <w:t xml:space="preserve">　</w:t>
            </w:r>
            <w:r w:rsidRPr="00B55D47">
              <w:rPr>
                <w:color w:val="000000"/>
                <w:w w:val="33"/>
                <w:shd w:val="solid" w:color="000000" w:fill="000000"/>
                <w:fitText w:val="150" w:id="-694465015"/>
                <w14:textFill>
                  <w14:solidFill>
                    <w14:srgbClr w14:val="000000">
                      <w14:alpha w14:val="100000"/>
                    </w14:srgbClr>
                  </w14:solidFill>
                </w14:textFill>
              </w:rPr>
              <w:t>|</w:t>
            </w:r>
            <w:r w:rsidRPr="00B55D47">
              <w:rPr>
                <w:rFonts w:hint="eastAsia"/>
                <w:color w:val="000000"/>
                <w:spacing w:val="4"/>
                <w:w w:val="33"/>
                <w:shd w:val="solid" w:color="000000" w:fill="000000"/>
                <w:fitText w:val="150" w:id="-694465015"/>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0EF55839" w14:textId="74156F6B" w:rsidR="001230AF" w:rsidRPr="00125349" w:rsidRDefault="00B55D47" w:rsidP="00DF4395">
            <w:pPr>
              <w:pStyle w:val="TableText0"/>
              <w:keepNext w:val="0"/>
              <w:keepLines w:val="0"/>
              <w:widowControl w:val="0"/>
              <w:jc w:val="center"/>
            </w:pPr>
            <w:r w:rsidRPr="00B55D47">
              <w:rPr>
                <w:color w:val="000000"/>
                <w:spacing w:val="94"/>
                <w:shd w:val="solid" w:color="000000" w:fill="000000"/>
                <w:fitText w:val="180" w:id="-694465014"/>
                <w14:textFill>
                  <w14:solidFill>
                    <w14:srgbClr w14:val="000000">
                      <w14:alpha w14:val="100000"/>
                    </w14:srgbClr>
                  </w14:solidFill>
                </w14:textFill>
              </w:rPr>
              <w:t>|</w:t>
            </w:r>
            <w:r w:rsidRPr="00B55D47">
              <w:rPr>
                <w:color w:val="000000"/>
                <w:spacing w:val="1"/>
                <w:shd w:val="solid" w:color="000000" w:fill="000000"/>
                <w:fitText w:val="180" w:id="-694465014"/>
                <w14:textFill>
                  <w14:solidFill>
                    <w14:srgbClr w14:val="000000">
                      <w14:alpha w14:val="100000"/>
                    </w14:srgbClr>
                  </w14:solidFill>
                </w14:textFill>
              </w:rPr>
              <w:t>|</w:t>
            </w:r>
            <w:r w:rsidR="001230AF" w:rsidRPr="00125349">
              <w:t>%</w:t>
            </w:r>
          </w:p>
        </w:tc>
      </w:tr>
      <w:tr w:rsidR="00FF71DC" w:rsidRPr="00125349" w14:paraId="3BFADC3C" w14:textId="77777777" w:rsidTr="00DF4395">
        <w:trPr>
          <w:cantSplit/>
          <w:trHeight w:val="50"/>
        </w:trPr>
        <w:tc>
          <w:tcPr>
            <w:tcW w:w="5000" w:type="pct"/>
            <w:gridSpan w:val="5"/>
          </w:tcPr>
          <w:p w14:paraId="7CD96B6B" w14:textId="4A862757" w:rsidR="00FF71DC" w:rsidRPr="00125349" w:rsidRDefault="00FF71DC" w:rsidP="00DF4395">
            <w:pPr>
              <w:pStyle w:val="TableText0"/>
              <w:keepNext w:val="0"/>
              <w:keepLines w:val="0"/>
              <w:widowControl w:val="0"/>
            </w:pPr>
            <w:r w:rsidRPr="00125349">
              <w:rPr>
                <w:b/>
                <w:bCs w:val="0"/>
              </w:rPr>
              <w:t>Utilities</w:t>
            </w:r>
            <w:r w:rsidR="00FF49A4">
              <w:rPr>
                <w:b/>
                <w:bCs w:val="0"/>
              </w:rPr>
              <w:t xml:space="preserve"> (base case</w:t>
            </w:r>
            <w:r w:rsidR="00A51FE5">
              <w:rPr>
                <w:b/>
                <w:bCs w:val="0"/>
              </w:rPr>
              <w:t>:</w:t>
            </w:r>
            <w:r w:rsidR="00FF49A4">
              <w:rPr>
                <w:b/>
                <w:bCs w:val="0"/>
              </w:rPr>
              <w:t xml:space="preserve"> mild </w:t>
            </w:r>
            <w:r w:rsidR="00A51FE5">
              <w:rPr>
                <w:b/>
                <w:bCs w:val="0"/>
              </w:rPr>
              <w:t xml:space="preserve">risk </w:t>
            </w:r>
            <w:r w:rsidR="00FF49A4">
              <w:rPr>
                <w:b/>
                <w:bCs w:val="0"/>
              </w:rPr>
              <w:t xml:space="preserve">= </w:t>
            </w:r>
            <w:r w:rsidR="00A65212">
              <w:rPr>
                <w:b/>
                <w:bCs w:val="0"/>
              </w:rPr>
              <w:t xml:space="preserve">0.84; moderate </w:t>
            </w:r>
            <w:r w:rsidR="00A51FE5">
              <w:rPr>
                <w:b/>
                <w:bCs w:val="0"/>
              </w:rPr>
              <w:t xml:space="preserve">risk </w:t>
            </w:r>
            <w:r w:rsidR="00A65212">
              <w:rPr>
                <w:b/>
                <w:bCs w:val="0"/>
              </w:rPr>
              <w:t>= 0.84, high</w:t>
            </w:r>
            <w:r w:rsidR="00A51FE5">
              <w:rPr>
                <w:b/>
                <w:bCs w:val="0"/>
              </w:rPr>
              <w:t xml:space="preserve"> risk</w:t>
            </w:r>
            <w:r w:rsidR="00A65212">
              <w:rPr>
                <w:b/>
                <w:bCs w:val="0"/>
              </w:rPr>
              <w:t xml:space="preserve"> = 0.55</w:t>
            </w:r>
            <w:r w:rsidR="004F76EE">
              <w:rPr>
                <w:b/>
                <w:bCs w:val="0"/>
              </w:rPr>
              <w:t>)</w:t>
            </w:r>
          </w:p>
        </w:tc>
      </w:tr>
      <w:tr w:rsidR="00AE0ECC" w:rsidRPr="00125349" w14:paraId="2EEBA597" w14:textId="77777777" w:rsidTr="00B55D47">
        <w:trPr>
          <w:cantSplit/>
          <w:trHeight w:val="50"/>
        </w:trPr>
        <w:tc>
          <w:tcPr>
            <w:tcW w:w="2459" w:type="pct"/>
          </w:tcPr>
          <w:p w14:paraId="0B98A7F2" w14:textId="7AE2ED49" w:rsidR="00AE0ECC" w:rsidRPr="00125349" w:rsidRDefault="004F76EE" w:rsidP="00DF4395">
            <w:pPr>
              <w:pStyle w:val="TableText0"/>
              <w:keepNext w:val="0"/>
              <w:keepLines w:val="0"/>
              <w:widowControl w:val="0"/>
            </w:pPr>
            <w:r>
              <w:t>EQ-5D</w:t>
            </w:r>
            <w:r w:rsidR="00AE0ECC" w:rsidRPr="00125349">
              <w:t xml:space="preserve"> </w:t>
            </w:r>
            <w:r>
              <w:t xml:space="preserve">ELATIVE </w:t>
            </w:r>
            <w:r w:rsidR="00C004FF">
              <w:t>regression analysis</w:t>
            </w:r>
            <w:r w:rsidR="00AE0ECC" w:rsidRPr="00125349">
              <w:t xml:space="preserve">: </w:t>
            </w:r>
            <w:r w:rsidR="00C004FF">
              <w:t xml:space="preserve">mild risk = </w:t>
            </w:r>
            <w:r w:rsidR="00AE0ECC" w:rsidRPr="00125349">
              <w:t>0.81</w:t>
            </w:r>
            <w:r w:rsidR="00C004FF">
              <w:t>; moderate risk =</w:t>
            </w:r>
            <w:r w:rsidR="00AE0ECC" w:rsidRPr="00125349">
              <w:t xml:space="preserve"> 0.79</w:t>
            </w:r>
            <w:r w:rsidR="00C004FF">
              <w:t>; high risk =</w:t>
            </w:r>
            <w:r w:rsidR="00AE0ECC" w:rsidRPr="00125349">
              <w:t xml:space="preserve"> 0.79</w:t>
            </w:r>
          </w:p>
        </w:tc>
        <w:tc>
          <w:tcPr>
            <w:tcW w:w="666" w:type="pct"/>
            <w:tcBorders>
              <w:bottom w:val="single" w:sz="4" w:space="0" w:color="auto"/>
            </w:tcBorders>
            <w:shd w:val="solid" w:color="000000" w:fill="000000"/>
          </w:tcPr>
          <w:p w14:paraId="7A6FAF46" w14:textId="756B7418" w:rsidR="00AE0ECC" w:rsidRPr="00011B0A" w:rsidRDefault="00B55D47" w:rsidP="00DF4395">
            <w:pPr>
              <w:pStyle w:val="TableText0"/>
              <w:keepNext w:val="0"/>
              <w:keepLines w:val="0"/>
              <w:widowControl w:val="0"/>
              <w:jc w:val="center"/>
              <w:rPr>
                <w:highlight w:val="darkGray"/>
              </w:rPr>
            </w:pPr>
            <w:r w:rsidRPr="00B55D47">
              <w:rPr>
                <w:rFonts w:hint="eastAsia"/>
                <w:color w:val="000000"/>
                <w:w w:val="15"/>
                <w:fitText w:val="60" w:id="-694465013"/>
                <w14:textFill>
                  <w14:solidFill>
                    <w14:srgbClr w14:val="000000">
                      <w14:alpha w14:val="100000"/>
                    </w14:srgbClr>
                  </w14:solidFill>
                </w14:textFill>
              </w:rPr>
              <w:t xml:space="preserve">　</w:t>
            </w:r>
            <w:r w:rsidRPr="00B55D47">
              <w:rPr>
                <w:color w:val="000000"/>
                <w:w w:val="15"/>
                <w:fitText w:val="60" w:id="-694465013"/>
                <w14:textFill>
                  <w14:solidFill>
                    <w14:srgbClr w14:val="000000">
                      <w14:alpha w14:val="100000"/>
                    </w14:srgbClr>
                  </w14:solidFill>
                </w14:textFill>
              </w:rPr>
              <w:t>|</w:t>
            </w:r>
            <w:r w:rsidRPr="00B55D47">
              <w:rPr>
                <w:rFonts w:hint="eastAsia"/>
                <w:color w:val="000000"/>
                <w:w w:val="15"/>
                <w:fitText w:val="60" w:id="-694465013"/>
                <w14:textFill>
                  <w14:solidFill>
                    <w14:srgbClr w14:val="000000">
                      <w14:alpha w14:val="100000"/>
                    </w14:srgbClr>
                  </w14:solidFill>
                </w14:textFill>
              </w:rPr>
              <w:t xml:space="preserve">　</w:t>
            </w:r>
          </w:p>
        </w:tc>
        <w:tc>
          <w:tcPr>
            <w:tcW w:w="665" w:type="pct"/>
          </w:tcPr>
          <w:p w14:paraId="29A411C2" w14:textId="36C3638D" w:rsidR="00AE0ECC" w:rsidRPr="00125349" w:rsidRDefault="00AE0ECC" w:rsidP="00DF4395">
            <w:pPr>
              <w:pStyle w:val="TableText0"/>
              <w:keepNext w:val="0"/>
              <w:keepLines w:val="0"/>
              <w:widowControl w:val="0"/>
              <w:jc w:val="center"/>
            </w:pPr>
            <w:r w:rsidRPr="00125349">
              <w:t>1.07</w:t>
            </w:r>
          </w:p>
        </w:tc>
        <w:tc>
          <w:tcPr>
            <w:tcW w:w="599" w:type="pct"/>
          </w:tcPr>
          <w:p w14:paraId="164A06BC" w14:textId="1C9105D0" w:rsidR="00AE0ECC"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12"/>
                <w14:textFill>
                  <w14:solidFill>
                    <w14:srgbClr w14:val="000000">
                      <w14:alpha w14:val="100000"/>
                    </w14:srgbClr>
                  </w14:solidFill>
                </w14:textFill>
              </w:rPr>
              <w:t xml:space="preserve">　</w:t>
            </w:r>
            <w:r w:rsidRPr="00B55D47">
              <w:rPr>
                <w:color w:val="000000"/>
                <w:w w:val="33"/>
                <w:shd w:val="solid" w:color="000000" w:fill="000000"/>
                <w:fitText w:val="150" w:id="-694465012"/>
                <w14:textFill>
                  <w14:solidFill>
                    <w14:srgbClr w14:val="000000">
                      <w14:alpha w14:val="100000"/>
                    </w14:srgbClr>
                  </w14:solidFill>
                </w14:textFill>
              </w:rPr>
              <w:t>|</w:t>
            </w:r>
            <w:r w:rsidRPr="00B55D47">
              <w:rPr>
                <w:rFonts w:hint="eastAsia"/>
                <w:color w:val="000000"/>
                <w:spacing w:val="4"/>
                <w:w w:val="33"/>
                <w:shd w:val="solid" w:color="000000" w:fill="000000"/>
                <w:fitText w:val="150" w:id="-694465012"/>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30F12A2C" w14:textId="26B05BFF" w:rsidR="00AE0ECC" w:rsidRPr="00125349" w:rsidRDefault="00B55D47" w:rsidP="00DF4395">
            <w:pPr>
              <w:pStyle w:val="TableText0"/>
              <w:keepNext w:val="0"/>
              <w:keepLines w:val="0"/>
              <w:widowControl w:val="0"/>
              <w:jc w:val="center"/>
            </w:pPr>
            <w:r w:rsidRPr="00B55D47">
              <w:rPr>
                <w:color w:val="000000"/>
                <w:spacing w:val="94"/>
                <w:shd w:val="solid" w:color="000000" w:fill="000000"/>
                <w:fitText w:val="180" w:id="-694465011"/>
                <w14:textFill>
                  <w14:solidFill>
                    <w14:srgbClr w14:val="000000">
                      <w14:alpha w14:val="100000"/>
                    </w14:srgbClr>
                  </w14:solidFill>
                </w14:textFill>
              </w:rPr>
              <w:t>|</w:t>
            </w:r>
            <w:r w:rsidRPr="00B55D47">
              <w:rPr>
                <w:color w:val="000000"/>
                <w:spacing w:val="1"/>
                <w:shd w:val="solid" w:color="000000" w:fill="000000"/>
                <w:fitText w:val="180" w:id="-694465011"/>
                <w14:textFill>
                  <w14:solidFill>
                    <w14:srgbClr w14:val="000000">
                      <w14:alpha w14:val="100000"/>
                    </w14:srgbClr>
                  </w14:solidFill>
                </w14:textFill>
              </w:rPr>
              <w:t>|</w:t>
            </w:r>
            <w:r w:rsidR="00AE0ECC" w:rsidRPr="00125349">
              <w:t>%</w:t>
            </w:r>
          </w:p>
        </w:tc>
      </w:tr>
      <w:tr w:rsidR="00AE0ECC" w:rsidRPr="00125349" w14:paraId="58D632C4" w14:textId="77777777" w:rsidTr="00B55D47">
        <w:trPr>
          <w:cantSplit/>
          <w:trHeight w:val="50"/>
        </w:trPr>
        <w:tc>
          <w:tcPr>
            <w:tcW w:w="2459" w:type="pct"/>
          </w:tcPr>
          <w:p w14:paraId="308B6885" w14:textId="1DD25B1A" w:rsidR="00AE0ECC" w:rsidRPr="00125349" w:rsidRDefault="00C004FF" w:rsidP="00DF4395">
            <w:pPr>
              <w:pStyle w:val="TableText0"/>
              <w:keepNext w:val="0"/>
              <w:keepLines w:val="0"/>
              <w:widowControl w:val="0"/>
            </w:pPr>
            <w:r>
              <w:t>EQ-5D ELATIVE descriptive analysis</w:t>
            </w:r>
            <w:r w:rsidR="00AE0ECC" w:rsidRPr="00125349">
              <w:t xml:space="preserve">: </w:t>
            </w:r>
            <w:r>
              <w:t xml:space="preserve">mild risk = </w:t>
            </w:r>
            <w:r w:rsidR="00AE0ECC" w:rsidRPr="00125349">
              <w:t>0.80</w:t>
            </w:r>
            <w:r>
              <w:t>; moderate risk =</w:t>
            </w:r>
            <w:r w:rsidR="00AE0ECC" w:rsidRPr="00125349">
              <w:t xml:space="preserve"> 0.75</w:t>
            </w:r>
            <w:r>
              <w:t>; high risk =</w:t>
            </w:r>
            <w:r w:rsidR="00AE0ECC" w:rsidRPr="00125349">
              <w:t xml:space="preserve"> 0.75</w:t>
            </w:r>
          </w:p>
        </w:tc>
        <w:tc>
          <w:tcPr>
            <w:tcW w:w="666" w:type="pct"/>
            <w:shd w:val="solid" w:color="000000" w:fill="000000"/>
          </w:tcPr>
          <w:p w14:paraId="6F35709C" w14:textId="30F67403" w:rsidR="00AE0ECC" w:rsidRPr="00011B0A" w:rsidRDefault="00B55D47" w:rsidP="00DF4395">
            <w:pPr>
              <w:pStyle w:val="TableText0"/>
              <w:keepNext w:val="0"/>
              <w:keepLines w:val="0"/>
              <w:widowControl w:val="0"/>
              <w:jc w:val="center"/>
              <w:rPr>
                <w:highlight w:val="darkGray"/>
              </w:rPr>
            </w:pPr>
            <w:r w:rsidRPr="00B55D47">
              <w:rPr>
                <w:rFonts w:hint="eastAsia"/>
                <w:color w:val="000000"/>
                <w:w w:val="15"/>
                <w:fitText w:val="60" w:id="-694465010"/>
                <w14:textFill>
                  <w14:solidFill>
                    <w14:srgbClr w14:val="000000">
                      <w14:alpha w14:val="100000"/>
                    </w14:srgbClr>
                  </w14:solidFill>
                </w14:textFill>
              </w:rPr>
              <w:t xml:space="preserve">　</w:t>
            </w:r>
            <w:r w:rsidRPr="00B55D47">
              <w:rPr>
                <w:color w:val="000000"/>
                <w:w w:val="15"/>
                <w:fitText w:val="60" w:id="-694465010"/>
                <w14:textFill>
                  <w14:solidFill>
                    <w14:srgbClr w14:val="000000">
                      <w14:alpha w14:val="100000"/>
                    </w14:srgbClr>
                  </w14:solidFill>
                </w14:textFill>
              </w:rPr>
              <w:t>|</w:t>
            </w:r>
            <w:r w:rsidRPr="00B55D47">
              <w:rPr>
                <w:rFonts w:hint="eastAsia"/>
                <w:color w:val="000000"/>
                <w:w w:val="15"/>
                <w:fitText w:val="60" w:id="-694465010"/>
                <w14:textFill>
                  <w14:solidFill>
                    <w14:srgbClr w14:val="000000">
                      <w14:alpha w14:val="100000"/>
                    </w14:srgbClr>
                  </w14:solidFill>
                </w14:textFill>
              </w:rPr>
              <w:t xml:space="preserve">　</w:t>
            </w:r>
          </w:p>
        </w:tc>
        <w:tc>
          <w:tcPr>
            <w:tcW w:w="665" w:type="pct"/>
          </w:tcPr>
          <w:p w14:paraId="702DF6A6" w14:textId="1019AFCD" w:rsidR="00AE0ECC" w:rsidRPr="00125349" w:rsidRDefault="00AE0ECC" w:rsidP="00DF4395">
            <w:pPr>
              <w:pStyle w:val="TableText0"/>
              <w:keepNext w:val="0"/>
              <w:keepLines w:val="0"/>
              <w:widowControl w:val="0"/>
              <w:jc w:val="center"/>
            </w:pPr>
            <w:r w:rsidRPr="00125349">
              <w:t>1.09</w:t>
            </w:r>
          </w:p>
        </w:tc>
        <w:tc>
          <w:tcPr>
            <w:tcW w:w="599" w:type="pct"/>
          </w:tcPr>
          <w:p w14:paraId="2E5C2063" w14:textId="7720B2EB" w:rsidR="00AE0ECC"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09"/>
                <w14:textFill>
                  <w14:solidFill>
                    <w14:srgbClr w14:val="000000">
                      <w14:alpha w14:val="100000"/>
                    </w14:srgbClr>
                  </w14:solidFill>
                </w14:textFill>
              </w:rPr>
              <w:t xml:space="preserve">　</w:t>
            </w:r>
            <w:r w:rsidRPr="00B55D47">
              <w:rPr>
                <w:color w:val="000000"/>
                <w:w w:val="33"/>
                <w:shd w:val="solid" w:color="000000" w:fill="000000"/>
                <w:fitText w:val="150" w:id="-694465009"/>
                <w14:textFill>
                  <w14:solidFill>
                    <w14:srgbClr w14:val="000000">
                      <w14:alpha w14:val="100000"/>
                    </w14:srgbClr>
                  </w14:solidFill>
                </w14:textFill>
              </w:rPr>
              <w:t>|</w:t>
            </w:r>
            <w:r w:rsidRPr="00B55D47">
              <w:rPr>
                <w:rFonts w:hint="eastAsia"/>
                <w:color w:val="000000"/>
                <w:spacing w:val="4"/>
                <w:w w:val="33"/>
                <w:shd w:val="solid" w:color="000000" w:fill="000000"/>
                <w:fitText w:val="150" w:id="-694465009"/>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1F5346F7" w14:textId="0561D587" w:rsidR="00AE0ECC" w:rsidRPr="00125349" w:rsidRDefault="00B55D47" w:rsidP="00DF4395">
            <w:pPr>
              <w:pStyle w:val="TableText0"/>
              <w:keepNext w:val="0"/>
              <w:keepLines w:val="0"/>
              <w:widowControl w:val="0"/>
              <w:jc w:val="center"/>
            </w:pPr>
            <w:r w:rsidRPr="00B55D47">
              <w:rPr>
                <w:color w:val="000000"/>
                <w:spacing w:val="94"/>
                <w:shd w:val="solid" w:color="000000" w:fill="000000"/>
                <w:fitText w:val="180" w:id="-694465008"/>
                <w14:textFill>
                  <w14:solidFill>
                    <w14:srgbClr w14:val="000000">
                      <w14:alpha w14:val="100000"/>
                    </w14:srgbClr>
                  </w14:solidFill>
                </w14:textFill>
              </w:rPr>
              <w:t>|</w:t>
            </w:r>
            <w:r w:rsidRPr="00B55D47">
              <w:rPr>
                <w:color w:val="000000"/>
                <w:spacing w:val="1"/>
                <w:shd w:val="solid" w:color="000000" w:fill="000000"/>
                <w:fitText w:val="180" w:id="-694465008"/>
                <w14:textFill>
                  <w14:solidFill>
                    <w14:srgbClr w14:val="000000">
                      <w14:alpha w14:val="100000"/>
                    </w14:srgbClr>
                  </w14:solidFill>
                </w14:textFill>
              </w:rPr>
              <w:t>|</w:t>
            </w:r>
            <w:r w:rsidR="00AE0ECC" w:rsidRPr="00125349">
              <w:t>%</w:t>
            </w:r>
          </w:p>
        </w:tc>
      </w:tr>
      <w:tr w:rsidR="00FF71DC" w:rsidRPr="00125349" w14:paraId="1C82FB78" w14:textId="77777777" w:rsidTr="00DF4395">
        <w:trPr>
          <w:cantSplit/>
          <w:trHeight w:val="104"/>
        </w:trPr>
        <w:tc>
          <w:tcPr>
            <w:tcW w:w="5000" w:type="pct"/>
            <w:gridSpan w:val="5"/>
          </w:tcPr>
          <w:p w14:paraId="41B01E30" w14:textId="2E8D3287" w:rsidR="00FF71DC" w:rsidRPr="00125349" w:rsidRDefault="00FF71DC" w:rsidP="00DF4395">
            <w:pPr>
              <w:pStyle w:val="TableText0"/>
              <w:keepNext w:val="0"/>
              <w:keepLines w:val="0"/>
              <w:widowControl w:val="0"/>
              <w:rPr>
                <w:rFonts w:eastAsia="Calibri"/>
                <w:szCs w:val="20"/>
              </w:rPr>
            </w:pPr>
            <w:r w:rsidRPr="00125349">
              <w:rPr>
                <w:b/>
                <w:bCs w:val="0"/>
              </w:rPr>
              <w:t xml:space="preserve">Response </w:t>
            </w:r>
          </w:p>
        </w:tc>
      </w:tr>
      <w:tr w:rsidR="006067D3" w:rsidRPr="00125349" w14:paraId="205FD7E5" w14:textId="77777777" w:rsidTr="00B55D47">
        <w:trPr>
          <w:cantSplit/>
          <w:trHeight w:val="220"/>
        </w:trPr>
        <w:tc>
          <w:tcPr>
            <w:tcW w:w="2459" w:type="pct"/>
          </w:tcPr>
          <w:p w14:paraId="0B604ED7" w14:textId="597F409A" w:rsidR="006067D3" w:rsidRPr="00125349" w:rsidRDefault="00DF4395" w:rsidP="00DF4395">
            <w:pPr>
              <w:pStyle w:val="TableText0"/>
              <w:keepNext w:val="0"/>
              <w:keepLines w:val="0"/>
              <w:widowControl w:val="0"/>
            </w:pPr>
            <w:r w:rsidRPr="00125349">
              <w:t>Transition probabilities from the moderate and high-risk health states to the mild-risk health state: c</w:t>
            </w:r>
            <w:r w:rsidR="006067D3" w:rsidRPr="00125349">
              <w:t xml:space="preserve">hanged the </w:t>
            </w:r>
            <w:r w:rsidR="00212BBF" w:rsidRPr="00125349">
              <w:t>OR</w:t>
            </w:r>
            <w:r w:rsidR="006067D3" w:rsidRPr="00125349">
              <w:t xml:space="preserve"> </w:t>
            </w:r>
            <w:r w:rsidRPr="00125349">
              <w:t xml:space="preserve">of response </w:t>
            </w:r>
            <w:r w:rsidR="006067D3" w:rsidRPr="00125349">
              <w:t>from 0.26 to 1</w:t>
            </w:r>
            <w:r w:rsidR="00485824" w:rsidRPr="00125349">
              <w:t>.0</w:t>
            </w:r>
          </w:p>
        </w:tc>
        <w:tc>
          <w:tcPr>
            <w:tcW w:w="666" w:type="pct"/>
            <w:shd w:val="solid" w:color="000000" w:fill="000000"/>
          </w:tcPr>
          <w:p w14:paraId="08BD33DF" w14:textId="4AEAE6F8" w:rsidR="006067D3" w:rsidRPr="00125349" w:rsidRDefault="00B55D47" w:rsidP="00DF4395">
            <w:pPr>
              <w:pStyle w:val="TableText0"/>
              <w:keepNext w:val="0"/>
              <w:keepLines w:val="0"/>
              <w:widowControl w:val="0"/>
              <w:jc w:val="center"/>
            </w:pPr>
            <w:r w:rsidRPr="00B55D47">
              <w:rPr>
                <w:rFonts w:hint="eastAsia"/>
                <w:color w:val="000000"/>
                <w:w w:val="15"/>
                <w:fitText w:val="60" w:id="-694465024"/>
                <w14:textFill>
                  <w14:solidFill>
                    <w14:srgbClr w14:val="000000">
                      <w14:alpha w14:val="100000"/>
                    </w14:srgbClr>
                  </w14:solidFill>
                </w14:textFill>
              </w:rPr>
              <w:t xml:space="preserve">　</w:t>
            </w:r>
            <w:r w:rsidRPr="00B55D47">
              <w:rPr>
                <w:color w:val="000000"/>
                <w:w w:val="15"/>
                <w:fitText w:val="60" w:id="-694465024"/>
                <w14:textFill>
                  <w14:solidFill>
                    <w14:srgbClr w14:val="000000">
                      <w14:alpha w14:val="100000"/>
                    </w14:srgbClr>
                  </w14:solidFill>
                </w14:textFill>
              </w:rPr>
              <w:t>|</w:t>
            </w:r>
            <w:r w:rsidRPr="00B55D47">
              <w:rPr>
                <w:rFonts w:hint="eastAsia"/>
                <w:color w:val="000000"/>
                <w:w w:val="15"/>
                <w:fitText w:val="60" w:id="-694465024"/>
                <w14:textFill>
                  <w14:solidFill>
                    <w14:srgbClr w14:val="000000">
                      <w14:alpha w14:val="100000"/>
                    </w14:srgbClr>
                  </w14:solidFill>
                </w14:textFill>
              </w:rPr>
              <w:t xml:space="preserve">　</w:t>
            </w:r>
          </w:p>
        </w:tc>
        <w:tc>
          <w:tcPr>
            <w:tcW w:w="665" w:type="pct"/>
          </w:tcPr>
          <w:p w14:paraId="5D7BBA77" w14:textId="77777777" w:rsidR="006067D3" w:rsidRPr="00125349" w:rsidRDefault="006067D3" w:rsidP="00DF4395">
            <w:pPr>
              <w:pStyle w:val="TableText0"/>
              <w:keepNext w:val="0"/>
              <w:keepLines w:val="0"/>
              <w:widowControl w:val="0"/>
              <w:jc w:val="center"/>
            </w:pPr>
            <w:r w:rsidRPr="00125349">
              <w:t>1.11</w:t>
            </w:r>
          </w:p>
        </w:tc>
        <w:tc>
          <w:tcPr>
            <w:tcW w:w="599" w:type="pct"/>
          </w:tcPr>
          <w:p w14:paraId="6EAD59DE" w14:textId="0481D040" w:rsidR="006067D3" w:rsidRPr="00125349" w:rsidRDefault="00B55D47" w:rsidP="00DF4395">
            <w:pPr>
              <w:pStyle w:val="TableText0"/>
              <w:keepNext w:val="0"/>
              <w:keepLines w:val="0"/>
              <w:widowControl w:val="0"/>
              <w:jc w:val="center"/>
            </w:pPr>
            <w:r w:rsidRPr="00B55D47">
              <w:rPr>
                <w:rFonts w:hint="eastAsia"/>
                <w:color w:val="000000"/>
                <w:w w:val="33"/>
                <w:shd w:val="solid" w:color="000000" w:fill="000000"/>
                <w:fitText w:val="150" w:id="-694465023"/>
                <w14:textFill>
                  <w14:solidFill>
                    <w14:srgbClr w14:val="000000">
                      <w14:alpha w14:val="100000"/>
                    </w14:srgbClr>
                  </w14:solidFill>
                </w14:textFill>
              </w:rPr>
              <w:t xml:space="preserve">　</w:t>
            </w:r>
            <w:r w:rsidRPr="00B55D47">
              <w:rPr>
                <w:color w:val="000000"/>
                <w:w w:val="33"/>
                <w:shd w:val="solid" w:color="000000" w:fill="000000"/>
                <w:fitText w:val="150" w:id="-694465023"/>
                <w14:textFill>
                  <w14:solidFill>
                    <w14:srgbClr w14:val="000000">
                      <w14:alpha w14:val="100000"/>
                    </w14:srgbClr>
                  </w14:solidFill>
                </w14:textFill>
              </w:rPr>
              <w:t>|</w:t>
            </w:r>
            <w:r w:rsidRPr="00B55D47">
              <w:rPr>
                <w:rFonts w:hint="eastAsia"/>
                <w:color w:val="000000"/>
                <w:spacing w:val="4"/>
                <w:w w:val="33"/>
                <w:shd w:val="solid" w:color="000000" w:fill="000000"/>
                <w:fitText w:val="150" w:id="-694465023"/>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0B5D9668" w14:textId="48C3D01F" w:rsidR="006067D3" w:rsidRPr="00125349" w:rsidRDefault="00B55D47" w:rsidP="00DF4395">
            <w:pPr>
              <w:pStyle w:val="TableText0"/>
              <w:keepNext w:val="0"/>
              <w:keepLines w:val="0"/>
              <w:widowControl w:val="0"/>
              <w:jc w:val="center"/>
              <w:rPr>
                <w:rFonts w:eastAsia="Calibri"/>
                <w:szCs w:val="20"/>
              </w:rPr>
            </w:pPr>
            <w:r w:rsidRPr="00B55D47">
              <w:rPr>
                <w:rFonts w:eastAsia="Calibri"/>
                <w:color w:val="000000"/>
                <w:spacing w:val="94"/>
                <w:szCs w:val="20"/>
                <w:shd w:val="solid" w:color="000000" w:fill="000000"/>
                <w:fitText w:val="180" w:id="-694465022"/>
                <w14:textFill>
                  <w14:solidFill>
                    <w14:srgbClr w14:val="000000">
                      <w14:alpha w14:val="100000"/>
                    </w14:srgbClr>
                  </w14:solidFill>
                </w14:textFill>
              </w:rPr>
              <w:t>|</w:t>
            </w:r>
            <w:r w:rsidRPr="00B55D47">
              <w:rPr>
                <w:rFonts w:eastAsia="Calibri"/>
                <w:color w:val="000000"/>
                <w:spacing w:val="1"/>
                <w:szCs w:val="20"/>
                <w:shd w:val="solid" w:color="000000" w:fill="000000"/>
                <w:fitText w:val="180" w:id="-694465022"/>
                <w14:textFill>
                  <w14:solidFill>
                    <w14:srgbClr w14:val="000000">
                      <w14:alpha w14:val="100000"/>
                    </w14:srgbClr>
                  </w14:solidFill>
                </w14:textFill>
              </w:rPr>
              <w:t>|</w:t>
            </w:r>
            <w:r w:rsidR="008B2713" w:rsidRPr="00125349">
              <w:rPr>
                <w:rFonts w:eastAsia="Calibri"/>
                <w:szCs w:val="20"/>
              </w:rPr>
              <w:t>%</w:t>
            </w:r>
          </w:p>
        </w:tc>
      </w:tr>
      <w:tr w:rsidR="00FF71DC" w:rsidRPr="00125349" w14:paraId="005E9FDB" w14:textId="77777777" w:rsidTr="00DF4395">
        <w:trPr>
          <w:cantSplit/>
          <w:trHeight w:val="50"/>
        </w:trPr>
        <w:tc>
          <w:tcPr>
            <w:tcW w:w="5000" w:type="pct"/>
            <w:gridSpan w:val="5"/>
          </w:tcPr>
          <w:p w14:paraId="25E5EA6A" w14:textId="4B274663" w:rsidR="00FF71DC" w:rsidRPr="00125349" w:rsidRDefault="00FF71DC" w:rsidP="00DF4395">
            <w:pPr>
              <w:pStyle w:val="TableText0"/>
              <w:keepNext w:val="0"/>
              <w:keepLines w:val="0"/>
              <w:widowControl w:val="0"/>
              <w:rPr>
                <w:rFonts w:eastAsia="Calibri"/>
                <w:szCs w:val="20"/>
              </w:rPr>
            </w:pPr>
            <w:r w:rsidRPr="00125349">
              <w:rPr>
                <w:b/>
                <w:bCs w:val="0"/>
              </w:rPr>
              <w:t>Pruritus</w:t>
            </w:r>
          </w:p>
        </w:tc>
      </w:tr>
      <w:tr w:rsidR="006067D3" w:rsidRPr="00125349" w14:paraId="5F4B059B" w14:textId="77777777" w:rsidTr="00B55D47">
        <w:trPr>
          <w:cantSplit/>
          <w:trHeight w:val="283"/>
        </w:trPr>
        <w:tc>
          <w:tcPr>
            <w:tcW w:w="2459" w:type="pct"/>
          </w:tcPr>
          <w:p w14:paraId="103F9F07" w14:textId="1ACF18C0" w:rsidR="006067D3" w:rsidRPr="00125349" w:rsidRDefault="003E2A95" w:rsidP="00DF4395">
            <w:pPr>
              <w:pStyle w:val="TableText0"/>
              <w:keepNext w:val="0"/>
              <w:keepLines w:val="0"/>
              <w:widowControl w:val="0"/>
            </w:pPr>
            <w:r w:rsidRPr="00125349">
              <w:t xml:space="preserve">OCA mean difference of PBC-40 itch relative to </w:t>
            </w:r>
            <w:proofErr w:type="spellStart"/>
            <w:r w:rsidRPr="00125349">
              <w:t>elafibranor</w:t>
            </w:r>
            <w:proofErr w:type="spellEnd"/>
            <w:r w:rsidRPr="00125349">
              <w:t xml:space="preserve"> c</w:t>
            </w:r>
            <w:r w:rsidR="006067D3" w:rsidRPr="00125349">
              <w:t>hanged from 0.97 at 1 month to 0; and</w:t>
            </w:r>
            <w:r w:rsidRPr="00125349">
              <w:t xml:space="preserve"> </w:t>
            </w:r>
            <w:r w:rsidR="006067D3" w:rsidRPr="00125349">
              <w:t>changed from 1.87 at 12 months to 0</w:t>
            </w:r>
          </w:p>
        </w:tc>
        <w:tc>
          <w:tcPr>
            <w:tcW w:w="666" w:type="pct"/>
            <w:shd w:val="solid" w:color="000000" w:fill="000000"/>
          </w:tcPr>
          <w:p w14:paraId="73C489D6" w14:textId="2E7CBF4E" w:rsidR="006067D3" w:rsidRPr="00125349" w:rsidRDefault="00B55D47" w:rsidP="00DF4395">
            <w:pPr>
              <w:pStyle w:val="TableText0"/>
              <w:keepNext w:val="0"/>
              <w:keepLines w:val="0"/>
              <w:widowControl w:val="0"/>
              <w:jc w:val="center"/>
            </w:pPr>
            <w:r w:rsidRPr="00B55D47">
              <w:rPr>
                <w:rFonts w:hint="eastAsia"/>
                <w:color w:val="000000"/>
                <w:w w:val="15"/>
                <w:fitText w:val="60" w:id="-694465021"/>
                <w14:textFill>
                  <w14:solidFill>
                    <w14:srgbClr w14:val="000000">
                      <w14:alpha w14:val="100000"/>
                    </w14:srgbClr>
                  </w14:solidFill>
                </w14:textFill>
              </w:rPr>
              <w:t xml:space="preserve">　</w:t>
            </w:r>
            <w:r w:rsidRPr="00B55D47">
              <w:rPr>
                <w:color w:val="000000"/>
                <w:w w:val="15"/>
                <w:fitText w:val="60" w:id="-694465021"/>
                <w14:textFill>
                  <w14:solidFill>
                    <w14:srgbClr w14:val="000000">
                      <w14:alpha w14:val="100000"/>
                    </w14:srgbClr>
                  </w14:solidFill>
                </w14:textFill>
              </w:rPr>
              <w:t>|</w:t>
            </w:r>
            <w:r w:rsidRPr="00B55D47">
              <w:rPr>
                <w:rFonts w:hint="eastAsia"/>
                <w:color w:val="000000"/>
                <w:w w:val="15"/>
                <w:fitText w:val="60" w:id="-694465021"/>
                <w14:textFill>
                  <w14:solidFill>
                    <w14:srgbClr w14:val="000000">
                      <w14:alpha w14:val="100000"/>
                    </w14:srgbClr>
                  </w14:solidFill>
                </w14:textFill>
              </w:rPr>
              <w:t xml:space="preserve">　</w:t>
            </w:r>
          </w:p>
        </w:tc>
        <w:tc>
          <w:tcPr>
            <w:tcW w:w="665" w:type="pct"/>
          </w:tcPr>
          <w:p w14:paraId="55E8D3B9" w14:textId="77777777" w:rsidR="006067D3" w:rsidRPr="00125349" w:rsidRDefault="006067D3" w:rsidP="00DF4395">
            <w:pPr>
              <w:pStyle w:val="TableText0"/>
              <w:keepNext w:val="0"/>
              <w:keepLines w:val="0"/>
              <w:widowControl w:val="0"/>
              <w:jc w:val="center"/>
            </w:pPr>
            <w:r w:rsidRPr="00125349">
              <w:t>1.23</w:t>
            </w:r>
          </w:p>
        </w:tc>
        <w:tc>
          <w:tcPr>
            <w:tcW w:w="599" w:type="pct"/>
          </w:tcPr>
          <w:p w14:paraId="600F3925" w14:textId="11664674" w:rsidR="006067D3" w:rsidRPr="00125349" w:rsidRDefault="00B55D47" w:rsidP="00DF4395">
            <w:pPr>
              <w:pStyle w:val="TableText0"/>
              <w:keepNext w:val="0"/>
              <w:keepLines w:val="0"/>
              <w:widowControl w:val="0"/>
              <w:jc w:val="center"/>
            </w:pPr>
            <w:r w:rsidRPr="00B55D47">
              <w:rPr>
                <w:rFonts w:hint="eastAsia"/>
                <w:color w:val="000000"/>
                <w:w w:val="33"/>
                <w:shd w:val="solid" w:color="000000" w:fill="000000"/>
                <w:fitText w:val="150" w:id="-694465020"/>
                <w14:textFill>
                  <w14:solidFill>
                    <w14:srgbClr w14:val="000000">
                      <w14:alpha w14:val="100000"/>
                    </w14:srgbClr>
                  </w14:solidFill>
                </w14:textFill>
              </w:rPr>
              <w:t xml:space="preserve">　</w:t>
            </w:r>
            <w:r w:rsidRPr="00B55D47">
              <w:rPr>
                <w:color w:val="000000"/>
                <w:w w:val="33"/>
                <w:shd w:val="solid" w:color="000000" w:fill="000000"/>
                <w:fitText w:val="150" w:id="-694465020"/>
                <w14:textFill>
                  <w14:solidFill>
                    <w14:srgbClr w14:val="000000">
                      <w14:alpha w14:val="100000"/>
                    </w14:srgbClr>
                  </w14:solidFill>
                </w14:textFill>
              </w:rPr>
              <w:t>|</w:t>
            </w:r>
            <w:r w:rsidRPr="00B55D47">
              <w:rPr>
                <w:rFonts w:hint="eastAsia"/>
                <w:color w:val="000000"/>
                <w:spacing w:val="4"/>
                <w:w w:val="33"/>
                <w:shd w:val="solid" w:color="000000" w:fill="000000"/>
                <w:fitText w:val="150" w:id="-694465020"/>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43103195" w14:textId="4C88ED87" w:rsidR="006067D3" w:rsidRPr="00125349" w:rsidRDefault="00B55D47" w:rsidP="00DF4395">
            <w:pPr>
              <w:pStyle w:val="TableText0"/>
              <w:keepNext w:val="0"/>
              <w:keepLines w:val="0"/>
              <w:widowControl w:val="0"/>
              <w:jc w:val="center"/>
              <w:rPr>
                <w:rFonts w:eastAsia="Calibri"/>
                <w:szCs w:val="20"/>
              </w:rPr>
            </w:pPr>
            <w:r w:rsidRPr="00B55D47">
              <w:rPr>
                <w:rFonts w:eastAsia="Calibri"/>
                <w:color w:val="000000"/>
                <w:spacing w:val="94"/>
                <w:szCs w:val="20"/>
                <w:shd w:val="solid" w:color="000000" w:fill="000000"/>
                <w:fitText w:val="180" w:id="-694465019"/>
                <w14:textFill>
                  <w14:solidFill>
                    <w14:srgbClr w14:val="000000">
                      <w14:alpha w14:val="100000"/>
                    </w14:srgbClr>
                  </w14:solidFill>
                </w14:textFill>
              </w:rPr>
              <w:t>|</w:t>
            </w:r>
            <w:r w:rsidRPr="00B55D47">
              <w:rPr>
                <w:rFonts w:eastAsia="Calibri"/>
                <w:color w:val="000000"/>
                <w:spacing w:val="1"/>
                <w:szCs w:val="20"/>
                <w:shd w:val="solid" w:color="000000" w:fill="000000"/>
                <w:fitText w:val="180" w:id="-694465019"/>
                <w14:textFill>
                  <w14:solidFill>
                    <w14:srgbClr w14:val="000000">
                      <w14:alpha w14:val="100000"/>
                    </w14:srgbClr>
                  </w14:solidFill>
                </w14:textFill>
              </w:rPr>
              <w:t>|</w:t>
            </w:r>
            <w:r w:rsidR="00DE0989" w:rsidRPr="00125349">
              <w:rPr>
                <w:rFonts w:eastAsia="Calibri"/>
                <w:szCs w:val="20"/>
              </w:rPr>
              <w:t>%</w:t>
            </w:r>
          </w:p>
        </w:tc>
      </w:tr>
      <w:tr w:rsidR="00A87405" w:rsidRPr="00125349" w14:paraId="2F1668C9" w14:textId="77777777" w:rsidTr="00680D02">
        <w:trPr>
          <w:cantSplit/>
          <w:trHeight w:val="50"/>
        </w:trPr>
        <w:tc>
          <w:tcPr>
            <w:tcW w:w="2459" w:type="pct"/>
          </w:tcPr>
          <w:p w14:paraId="790D8C0F" w14:textId="5B51FC76" w:rsidR="00A87405" w:rsidRPr="00125349" w:rsidRDefault="003E2A95" w:rsidP="00DF4395">
            <w:pPr>
              <w:pStyle w:val="TableText0"/>
              <w:keepNext w:val="0"/>
              <w:keepLines w:val="0"/>
              <w:widowControl w:val="0"/>
            </w:pPr>
            <w:r w:rsidRPr="00125349">
              <w:t>Pruritus clinically significant itch disutility c</w:t>
            </w:r>
            <w:r w:rsidR="00FC3FDD" w:rsidRPr="00125349">
              <w:t xml:space="preserve">hanged from </w:t>
            </w:r>
            <w:r w:rsidR="00C858F0" w:rsidRPr="00125349">
              <w:t>-0.08 to 0</w:t>
            </w:r>
          </w:p>
        </w:tc>
        <w:tc>
          <w:tcPr>
            <w:tcW w:w="666" w:type="pct"/>
          </w:tcPr>
          <w:p w14:paraId="17C32386" w14:textId="2360ADC1" w:rsidR="00A87405" w:rsidRPr="00125349" w:rsidRDefault="009F6915" w:rsidP="00DF4395">
            <w:pPr>
              <w:pStyle w:val="TableText0"/>
              <w:keepNext w:val="0"/>
              <w:keepLines w:val="0"/>
              <w:widowControl w:val="0"/>
              <w:jc w:val="center"/>
            </w:pPr>
            <w:r w:rsidRPr="00125349">
              <w:t>$97,324</w:t>
            </w:r>
          </w:p>
        </w:tc>
        <w:tc>
          <w:tcPr>
            <w:tcW w:w="665" w:type="pct"/>
          </w:tcPr>
          <w:p w14:paraId="343679C3" w14:textId="1B412248" w:rsidR="00A87405" w:rsidRPr="00125349" w:rsidRDefault="00EB1033" w:rsidP="00DF4395">
            <w:pPr>
              <w:pStyle w:val="TableText0"/>
              <w:keepNext w:val="0"/>
              <w:keepLines w:val="0"/>
              <w:widowControl w:val="0"/>
              <w:jc w:val="center"/>
            </w:pPr>
            <w:r w:rsidRPr="00125349">
              <w:t>1.</w:t>
            </w:r>
            <w:r w:rsidR="004933EC" w:rsidRPr="00125349">
              <w:t>2</w:t>
            </w:r>
            <w:r w:rsidR="00C91527" w:rsidRPr="00125349">
              <w:t>7</w:t>
            </w:r>
          </w:p>
        </w:tc>
        <w:tc>
          <w:tcPr>
            <w:tcW w:w="599" w:type="pct"/>
          </w:tcPr>
          <w:p w14:paraId="28E9FC84" w14:textId="4AF89C10" w:rsidR="00A87405" w:rsidRPr="00125349" w:rsidRDefault="00B55D47" w:rsidP="00DF4395">
            <w:pPr>
              <w:pStyle w:val="TableText0"/>
              <w:keepNext w:val="0"/>
              <w:keepLines w:val="0"/>
              <w:widowControl w:val="0"/>
              <w:jc w:val="center"/>
            </w:pPr>
            <w:r w:rsidRPr="00B55D47">
              <w:rPr>
                <w:rFonts w:hint="eastAsia"/>
                <w:color w:val="000000"/>
                <w:w w:val="33"/>
                <w:shd w:val="solid" w:color="000000" w:fill="000000"/>
                <w:fitText w:val="150" w:id="-694465018"/>
                <w14:textFill>
                  <w14:solidFill>
                    <w14:srgbClr w14:val="000000">
                      <w14:alpha w14:val="100000"/>
                    </w14:srgbClr>
                  </w14:solidFill>
                </w14:textFill>
              </w:rPr>
              <w:t xml:space="preserve">　</w:t>
            </w:r>
            <w:r w:rsidRPr="00B55D47">
              <w:rPr>
                <w:color w:val="000000"/>
                <w:w w:val="33"/>
                <w:shd w:val="solid" w:color="000000" w:fill="000000"/>
                <w:fitText w:val="150" w:id="-694465018"/>
                <w14:textFill>
                  <w14:solidFill>
                    <w14:srgbClr w14:val="000000">
                      <w14:alpha w14:val="100000"/>
                    </w14:srgbClr>
                  </w14:solidFill>
                </w14:textFill>
              </w:rPr>
              <w:t>|</w:t>
            </w:r>
            <w:r w:rsidRPr="00B55D47">
              <w:rPr>
                <w:rFonts w:hint="eastAsia"/>
                <w:color w:val="000000"/>
                <w:spacing w:val="4"/>
                <w:w w:val="33"/>
                <w:shd w:val="solid" w:color="000000" w:fill="000000"/>
                <w:fitText w:val="150" w:id="-694465018"/>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33892327" w14:textId="46DE924B" w:rsidR="00A87405" w:rsidRPr="00125349" w:rsidRDefault="00C92F9A" w:rsidP="00DF4395">
            <w:pPr>
              <w:pStyle w:val="TableText0"/>
              <w:keepNext w:val="0"/>
              <w:keepLines w:val="0"/>
              <w:widowControl w:val="0"/>
              <w:jc w:val="center"/>
              <w:rPr>
                <w:rFonts w:eastAsia="Calibri"/>
                <w:szCs w:val="20"/>
              </w:rPr>
            </w:pPr>
            <w:r w:rsidRPr="00125349">
              <w:rPr>
                <w:rFonts w:eastAsia="Calibri"/>
                <w:szCs w:val="20"/>
              </w:rPr>
              <w:t>-</w:t>
            </w:r>
            <w:r w:rsidR="00B55D47" w:rsidRPr="00B55D47">
              <w:rPr>
                <w:rFonts w:eastAsia="Calibri"/>
                <w:color w:val="000000"/>
                <w:spacing w:val="41"/>
                <w:szCs w:val="20"/>
                <w:shd w:val="solid" w:color="000000" w:fill="000000"/>
                <w:fitText w:val="210" w:id="-694465017"/>
                <w14:textFill>
                  <w14:solidFill>
                    <w14:srgbClr w14:val="000000">
                      <w14:alpha w14:val="100000"/>
                    </w14:srgbClr>
                  </w14:solidFill>
                </w14:textFill>
              </w:rPr>
              <w:t>||</w:t>
            </w:r>
            <w:r w:rsidR="00B55D47" w:rsidRPr="00B55D47">
              <w:rPr>
                <w:rFonts w:eastAsia="Calibri"/>
                <w:color w:val="000000"/>
                <w:spacing w:val="1"/>
                <w:szCs w:val="20"/>
                <w:shd w:val="solid" w:color="000000" w:fill="000000"/>
                <w:fitText w:val="210" w:id="-694465017"/>
                <w14:textFill>
                  <w14:solidFill>
                    <w14:srgbClr w14:val="000000">
                      <w14:alpha w14:val="100000"/>
                    </w14:srgbClr>
                  </w14:solidFill>
                </w14:textFill>
              </w:rPr>
              <w:t>|</w:t>
            </w:r>
            <w:r w:rsidR="00410BE8" w:rsidRPr="00125349">
              <w:rPr>
                <w:rFonts w:eastAsia="Calibri"/>
                <w:szCs w:val="20"/>
              </w:rPr>
              <w:t>%</w:t>
            </w:r>
          </w:p>
        </w:tc>
      </w:tr>
      <w:tr w:rsidR="00A5756C" w:rsidRPr="00125349" w14:paraId="7F8F64A6" w14:textId="77777777" w:rsidTr="00680D02">
        <w:trPr>
          <w:cantSplit/>
          <w:trHeight w:val="50"/>
        </w:trPr>
        <w:tc>
          <w:tcPr>
            <w:tcW w:w="2459" w:type="pct"/>
          </w:tcPr>
          <w:p w14:paraId="05D84012" w14:textId="3B27199B" w:rsidR="00A5756C" w:rsidRPr="00125349" w:rsidRDefault="00CC1ECB" w:rsidP="00DF4395">
            <w:pPr>
              <w:pStyle w:val="TableText0"/>
              <w:keepNext w:val="0"/>
              <w:keepLines w:val="0"/>
              <w:widowControl w:val="0"/>
            </w:pPr>
            <w:r w:rsidRPr="00125349">
              <w:t xml:space="preserve">Changed </w:t>
            </w:r>
            <w:r w:rsidR="00190C1B" w:rsidRPr="00125349">
              <w:t xml:space="preserve">TEAE </w:t>
            </w:r>
            <w:r w:rsidR="005416B9" w:rsidRPr="00125349">
              <w:t>pruritus disutility</w:t>
            </w:r>
            <w:r w:rsidR="00BC20D6" w:rsidRPr="00125349">
              <w:t xml:space="preserve">, </w:t>
            </w:r>
            <w:r w:rsidR="00F4142D" w:rsidRPr="00125349">
              <w:t xml:space="preserve">pruritus </w:t>
            </w:r>
            <w:r w:rsidR="000D60AE" w:rsidRPr="00125349">
              <w:t>mild itch</w:t>
            </w:r>
            <w:r w:rsidR="0049671B" w:rsidRPr="00125349">
              <w:t xml:space="preserve"> </w:t>
            </w:r>
            <w:r w:rsidR="00BC20D6" w:rsidRPr="00125349">
              <w:t xml:space="preserve">disutility, and </w:t>
            </w:r>
            <w:r w:rsidR="00D446CA" w:rsidRPr="00125349">
              <w:t>clinically significant itch</w:t>
            </w:r>
            <w:r w:rsidR="0049671B" w:rsidRPr="00125349">
              <w:t xml:space="preserve"> </w:t>
            </w:r>
            <w:r w:rsidR="00BC20D6" w:rsidRPr="00125349">
              <w:t xml:space="preserve">disutility </w:t>
            </w:r>
            <w:r w:rsidR="00193B1A" w:rsidRPr="00125349">
              <w:t>to 0</w:t>
            </w:r>
          </w:p>
        </w:tc>
        <w:tc>
          <w:tcPr>
            <w:tcW w:w="666" w:type="pct"/>
          </w:tcPr>
          <w:p w14:paraId="541EB526" w14:textId="660E1644" w:rsidR="00A5756C" w:rsidRPr="00125349" w:rsidRDefault="00BC20D6" w:rsidP="00DF4395">
            <w:pPr>
              <w:pStyle w:val="TableText0"/>
              <w:keepNext w:val="0"/>
              <w:keepLines w:val="0"/>
              <w:widowControl w:val="0"/>
              <w:jc w:val="center"/>
            </w:pPr>
            <w:r w:rsidRPr="00125349">
              <w:t>$97,324</w:t>
            </w:r>
          </w:p>
        </w:tc>
        <w:tc>
          <w:tcPr>
            <w:tcW w:w="665" w:type="pct"/>
          </w:tcPr>
          <w:p w14:paraId="39185F00" w14:textId="43E57E24" w:rsidR="00A5756C" w:rsidRPr="00125349" w:rsidRDefault="0072559F" w:rsidP="00DF4395">
            <w:pPr>
              <w:pStyle w:val="TableText0"/>
              <w:keepNext w:val="0"/>
              <w:keepLines w:val="0"/>
              <w:widowControl w:val="0"/>
              <w:jc w:val="center"/>
            </w:pPr>
            <w:r w:rsidRPr="00125349">
              <w:t>1.2</w:t>
            </w:r>
            <w:r w:rsidR="00E129F1" w:rsidRPr="00125349">
              <w:t>7</w:t>
            </w:r>
          </w:p>
        </w:tc>
        <w:tc>
          <w:tcPr>
            <w:tcW w:w="599" w:type="pct"/>
          </w:tcPr>
          <w:p w14:paraId="770167ED" w14:textId="5DF41D0F" w:rsidR="00A5756C" w:rsidRPr="00125349" w:rsidRDefault="00B55D47" w:rsidP="00DF4395">
            <w:pPr>
              <w:pStyle w:val="TableText0"/>
              <w:keepNext w:val="0"/>
              <w:keepLines w:val="0"/>
              <w:widowControl w:val="0"/>
              <w:jc w:val="center"/>
            </w:pPr>
            <w:r w:rsidRPr="00B55D47">
              <w:rPr>
                <w:rFonts w:hint="eastAsia"/>
                <w:color w:val="000000"/>
                <w:w w:val="33"/>
                <w:shd w:val="solid" w:color="000000" w:fill="000000"/>
                <w:fitText w:val="150" w:id="-694465016"/>
                <w14:textFill>
                  <w14:solidFill>
                    <w14:srgbClr w14:val="000000">
                      <w14:alpha w14:val="100000"/>
                    </w14:srgbClr>
                  </w14:solidFill>
                </w14:textFill>
              </w:rPr>
              <w:t xml:space="preserve">　</w:t>
            </w:r>
            <w:r w:rsidRPr="00B55D47">
              <w:rPr>
                <w:color w:val="000000"/>
                <w:w w:val="33"/>
                <w:shd w:val="solid" w:color="000000" w:fill="000000"/>
                <w:fitText w:val="150" w:id="-694465016"/>
                <w14:textFill>
                  <w14:solidFill>
                    <w14:srgbClr w14:val="000000">
                      <w14:alpha w14:val="100000"/>
                    </w14:srgbClr>
                  </w14:solidFill>
                </w14:textFill>
              </w:rPr>
              <w:t>|</w:t>
            </w:r>
            <w:r w:rsidRPr="00B55D47">
              <w:rPr>
                <w:rFonts w:hint="eastAsia"/>
                <w:color w:val="000000"/>
                <w:spacing w:val="4"/>
                <w:w w:val="33"/>
                <w:shd w:val="solid" w:color="000000" w:fill="000000"/>
                <w:fitText w:val="150" w:id="-694465016"/>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0BFCE2A4" w14:textId="67781855" w:rsidR="00A5756C" w:rsidRPr="00125349" w:rsidRDefault="009C136F" w:rsidP="00DF4395">
            <w:pPr>
              <w:pStyle w:val="TableText0"/>
              <w:keepNext w:val="0"/>
              <w:keepLines w:val="0"/>
              <w:widowControl w:val="0"/>
              <w:jc w:val="center"/>
              <w:rPr>
                <w:rFonts w:eastAsia="Calibri"/>
                <w:szCs w:val="20"/>
              </w:rPr>
            </w:pPr>
            <w:r w:rsidRPr="00125349">
              <w:rPr>
                <w:rFonts w:eastAsia="Calibri"/>
                <w:szCs w:val="20"/>
              </w:rPr>
              <w:t>-</w:t>
            </w:r>
            <w:r w:rsidR="00B55D47" w:rsidRPr="00B55D47">
              <w:rPr>
                <w:rFonts w:eastAsia="Calibri"/>
                <w:color w:val="000000"/>
                <w:spacing w:val="41"/>
                <w:szCs w:val="20"/>
                <w:shd w:val="solid" w:color="000000" w:fill="000000"/>
                <w:fitText w:val="210" w:id="-694465015"/>
                <w14:textFill>
                  <w14:solidFill>
                    <w14:srgbClr w14:val="000000">
                      <w14:alpha w14:val="100000"/>
                    </w14:srgbClr>
                  </w14:solidFill>
                </w14:textFill>
              </w:rPr>
              <w:t>||</w:t>
            </w:r>
            <w:r w:rsidR="00B55D47" w:rsidRPr="00B55D47">
              <w:rPr>
                <w:rFonts w:eastAsia="Calibri"/>
                <w:color w:val="000000"/>
                <w:spacing w:val="1"/>
                <w:szCs w:val="20"/>
                <w:shd w:val="solid" w:color="000000" w:fill="000000"/>
                <w:fitText w:val="210" w:id="-694465015"/>
                <w14:textFill>
                  <w14:solidFill>
                    <w14:srgbClr w14:val="000000">
                      <w14:alpha w14:val="100000"/>
                    </w14:srgbClr>
                  </w14:solidFill>
                </w14:textFill>
              </w:rPr>
              <w:t>|</w:t>
            </w:r>
            <w:r w:rsidRPr="00125349">
              <w:rPr>
                <w:rFonts w:eastAsia="Calibri"/>
                <w:szCs w:val="20"/>
              </w:rPr>
              <w:t>%</w:t>
            </w:r>
          </w:p>
        </w:tc>
      </w:tr>
      <w:tr w:rsidR="0022091C" w:rsidRPr="00125349" w14:paraId="756A00BD" w14:textId="77777777" w:rsidTr="00DF4395">
        <w:trPr>
          <w:cantSplit/>
          <w:trHeight w:val="50"/>
        </w:trPr>
        <w:tc>
          <w:tcPr>
            <w:tcW w:w="5000" w:type="pct"/>
            <w:gridSpan w:val="5"/>
          </w:tcPr>
          <w:p w14:paraId="70BBF319" w14:textId="17CD0DF7" w:rsidR="0022091C" w:rsidRPr="00125349" w:rsidRDefault="0022091C" w:rsidP="00DF4395">
            <w:pPr>
              <w:pStyle w:val="TableText0"/>
              <w:keepNext w:val="0"/>
              <w:keepLines w:val="0"/>
              <w:widowControl w:val="0"/>
              <w:rPr>
                <w:rFonts w:eastAsia="Calibri"/>
                <w:szCs w:val="20"/>
              </w:rPr>
            </w:pPr>
            <w:r w:rsidRPr="00125349">
              <w:rPr>
                <w:b/>
                <w:bCs w:val="0"/>
              </w:rPr>
              <w:t>Discontinuation</w:t>
            </w:r>
          </w:p>
        </w:tc>
      </w:tr>
      <w:tr w:rsidR="006067D3" w:rsidRPr="00125349" w14:paraId="08FA1391" w14:textId="77777777" w:rsidTr="00DF4395">
        <w:trPr>
          <w:cantSplit/>
          <w:trHeight w:val="50"/>
        </w:trPr>
        <w:tc>
          <w:tcPr>
            <w:tcW w:w="5000" w:type="pct"/>
            <w:gridSpan w:val="5"/>
          </w:tcPr>
          <w:p w14:paraId="66A2A753" w14:textId="65DE2FBB" w:rsidR="006067D3" w:rsidRPr="00125349" w:rsidRDefault="006067D3" w:rsidP="00DF4395">
            <w:pPr>
              <w:pStyle w:val="TableText0"/>
              <w:keepNext w:val="0"/>
              <w:keepLines w:val="0"/>
              <w:widowControl w:val="0"/>
            </w:pPr>
            <w:r w:rsidRPr="00125349">
              <w:t xml:space="preserve">Treatment discontinuation </w:t>
            </w:r>
            <w:r w:rsidR="00C57631" w:rsidRPr="00125349">
              <w:t>e</w:t>
            </w:r>
            <w:r w:rsidRPr="00125349">
              <w:t xml:space="preserve">xtrapolation </w:t>
            </w:r>
            <w:r w:rsidR="00C57631" w:rsidRPr="00125349">
              <w:t xml:space="preserve">functions </w:t>
            </w:r>
            <w:r w:rsidRPr="00125349">
              <w:t>(base case</w:t>
            </w:r>
            <w:r w:rsidR="00DF4395" w:rsidRPr="00125349">
              <w:t>:</w:t>
            </w:r>
            <w:r w:rsidRPr="00125349">
              <w:t xml:space="preserve"> exponential)</w:t>
            </w:r>
          </w:p>
        </w:tc>
      </w:tr>
      <w:tr w:rsidR="006067D3" w:rsidRPr="00125349" w14:paraId="6DE54E29" w14:textId="77777777" w:rsidTr="00B55D47">
        <w:trPr>
          <w:cantSplit/>
          <w:trHeight w:val="50"/>
        </w:trPr>
        <w:tc>
          <w:tcPr>
            <w:tcW w:w="2459" w:type="pct"/>
          </w:tcPr>
          <w:p w14:paraId="7CCD512D" w14:textId="17DA18C4" w:rsidR="006067D3" w:rsidRPr="00125349" w:rsidRDefault="006067D3" w:rsidP="00DF4395">
            <w:pPr>
              <w:pStyle w:val="TableText0"/>
              <w:keepNext w:val="0"/>
              <w:keepLines w:val="0"/>
              <w:widowControl w:val="0"/>
            </w:pPr>
            <w:r w:rsidRPr="00125349">
              <w:t>Lognormal</w:t>
            </w:r>
          </w:p>
        </w:tc>
        <w:tc>
          <w:tcPr>
            <w:tcW w:w="666" w:type="pct"/>
            <w:tcBorders>
              <w:bottom w:val="single" w:sz="4" w:space="0" w:color="auto"/>
            </w:tcBorders>
            <w:shd w:val="solid" w:color="000000" w:fill="000000"/>
          </w:tcPr>
          <w:p w14:paraId="6BB031B1" w14:textId="3BB69ACD" w:rsidR="006067D3" w:rsidRPr="00BF2E3A" w:rsidRDefault="00B55D47" w:rsidP="00DF4395">
            <w:pPr>
              <w:pStyle w:val="TableText0"/>
              <w:keepNext w:val="0"/>
              <w:keepLines w:val="0"/>
              <w:widowControl w:val="0"/>
              <w:jc w:val="center"/>
              <w:rPr>
                <w:highlight w:val="darkGray"/>
              </w:rPr>
            </w:pPr>
            <w:r w:rsidRPr="00B55D47">
              <w:rPr>
                <w:rFonts w:hint="eastAsia"/>
                <w:color w:val="000000"/>
                <w:w w:val="15"/>
                <w:fitText w:val="60" w:id="-694465014"/>
                <w14:textFill>
                  <w14:solidFill>
                    <w14:srgbClr w14:val="000000">
                      <w14:alpha w14:val="100000"/>
                    </w14:srgbClr>
                  </w14:solidFill>
                </w14:textFill>
              </w:rPr>
              <w:t xml:space="preserve">　</w:t>
            </w:r>
            <w:r w:rsidRPr="00B55D47">
              <w:rPr>
                <w:color w:val="000000"/>
                <w:w w:val="15"/>
                <w:fitText w:val="60" w:id="-694465014"/>
                <w14:textFill>
                  <w14:solidFill>
                    <w14:srgbClr w14:val="000000">
                      <w14:alpha w14:val="100000"/>
                    </w14:srgbClr>
                  </w14:solidFill>
                </w14:textFill>
              </w:rPr>
              <w:t>|</w:t>
            </w:r>
            <w:r w:rsidRPr="00B55D47">
              <w:rPr>
                <w:rFonts w:hint="eastAsia"/>
                <w:color w:val="000000"/>
                <w:w w:val="15"/>
                <w:fitText w:val="60" w:id="-694465014"/>
                <w14:textFill>
                  <w14:solidFill>
                    <w14:srgbClr w14:val="000000">
                      <w14:alpha w14:val="100000"/>
                    </w14:srgbClr>
                  </w14:solidFill>
                </w14:textFill>
              </w:rPr>
              <w:t xml:space="preserve">　</w:t>
            </w:r>
          </w:p>
        </w:tc>
        <w:tc>
          <w:tcPr>
            <w:tcW w:w="665" w:type="pct"/>
          </w:tcPr>
          <w:p w14:paraId="616F475D" w14:textId="5D5E0EE6" w:rsidR="006067D3" w:rsidRPr="00125349" w:rsidRDefault="00DF4395" w:rsidP="00DF4395">
            <w:pPr>
              <w:pStyle w:val="TableText0"/>
              <w:keepNext w:val="0"/>
              <w:keepLines w:val="0"/>
              <w:widowControl w:val="0"/>
              <w:jc w:val="center"/>
            </w:pPr>
            <w:r w:rsidRPr="00125349">
              <w:t>1.58</w:t>
            </w:r>
          </w:p>
        </w:tc>
        <w:tc>
          <w:tcPr>
            <w:tcW w:w="599" w:type="pct"/>
          </w:tcPr>
          <w:p w14:paraId="0511A291" w14:textId="41AA6CE5" w:rsidR="006067D3"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13"/>
                <w14:textFill>
                  <w14:solidFill>
                    <w14:srgbClr w14:val="000000">
                      <w14:alpha w14:val="100000"/>
                    </w14:srgbClr>
                  </w14:solidFill>
                </w14:textFill>
              </w:rPr>
              <w:t xml:space="preserve">　</w:t>
            </w:r>
            <w:r w:rsidRPr="00B55D47">
              <w:rPr>
                <w:color w:val="000000"/>
                <w:w w:val="33"/>
                <w:shd w:val="solid" w:color="000000" w:fill="000000"/>
                <w:fitText w:val="150" w:id="-694465013"/>
                <w14:textFill>
                  <w14:solidFill>
                    <w14:srgbClr w14:val="000000">
                      <w14:alpha w14:val="100000"/>
                    </w14:srgbClr>
                  </w14:solidFill>
                </w14:textFill>
              </w:rPr>
              <w:t>|</w:t>
            </w:r>
            <w:r w:rsidRPr="00B55D47">
              <w:rPr>
                <w:rFonts w:hint="eastAsia"/>
                <w:color w:val="000000"/>
                <w:spacing w:val="4"/>
                <w:w w:val="33"/>
                <w:shd w:val="solid" w:color="000000" w:fill="000000"/>
                <w:fitText w:val="150" w:id="-694465013"/>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109637BF" w14:textId="5EBBA14D" w:rsidR="006067D3" w:rsidRPr="00125349" w:rsidRDefault="00B55D47" w:rsidP="00DF4395">
            <w:pPr>
              <w:pStyle w:val="TableText0"/>
              <w:keepNext w:val="0"/>
              <w:keepLines w:val="0"/>
              <w:widowControl w:val="0"/>
              <w:jc w:val="center"/>
              <w:rPr>
                <w:rFonts w:eastAsia="Calibri"/>
                <w:szCs w:val="20"/>
              </w:rPr>
            </w:pPr>
            <w:r w:rsidRPr="00B55D47">
              <w:rPr>
                <w:color w:val="000000"/>
                <w:spacing w:val="94"/>
                <w:shd w:val="solid" w:color="000000" w:fill="000000"/>
                <w:fitText w:val="180" w:id="-694465012"/>
                <w14:textFill>
                  <w14:solidFill>
                    <w14:srgbClr w14:val="000000">
                      <w14:alpha w14:val="100000"/>
                    </w14:srgbClr>
                  </w14:solidFill>
                </w14:textFill>
              </w:rPr>
              <w:t>|</w:t>
            </w:r>
            <w:r w:rsidRPr="00B55D47">
              <w:rPr>
                <w:color w:val="000000"/>
                <w:spacing w:val="1"/>
                <w:shd w:val="solid" w:color="000000" w:fill="000000"/>
                <w:fitText w:val="180" w:id="-694465012"/>
                <w14:textFill>
                  <w14:solidFill>
                    <w14:srgbClr w14:val="000000">
                      <w14:alpha w14:val="100000"/>
                    </w14:srgbClr>
                  </w14:solidFill>
                </w14:textFill>
              </w:rPr>
              <w:t>|</w:t>
            </w:r>
            <w:r w:rsidR="00756F5C" w:rsidRPr="00125349">
              <w:t>%</w:t>
            </w:r>
          </w:p>
        </w:tc>
      </w:tr>
      <w:tr w:rsidR="006067D3" w:rsidRPr="00125349" w14:paraId="3FE0E22F" w14:textId="77777777" w:rsidTr="00B55D47">
        <w:trPr>
          <w:cantSplit/>
          <w:trHeight w:val="81"/>
        </w:trPr>
        <w:tc>
          <w:tcPr>
            <w:tcW w:w="2459" w:type="pct"/>
          </w:tcPr>
          <w:p w14:paraId="10F46871" w14:textId="363BB46E" w:rsidR="006067D3" w:rsidRPr="00125349" w:rsidRDefault="006067D3" w:rsidP="00DF4395">
            <w:pPr>
              <w:pStyle w:val="TableText0"/>
              <w:keepNext w:val="0"/>
              <w:keepLines w:val="0"/>
              <w:widowControl w:val="0"/>
            </w:pPr>
            <w:r w:rsidRPr="00125349">
              <w:t>Gompertz</w:t>
            </w:r>
          </w:p>
        </w:tc>
        <w:tc>
          <w:tcPr>
            <w:tcW w:w="666" w:type="pct"/>
            <w:tcBorders>
              <w:bottom w:val="single" w:sz="4" w:space="0" w:color="auto"/>
            </w:tcBorders>
            <w:shd w:val="solid" w:color="000000" w:fill="000000"/>
          </w:tcPr>
          <w:p w14:paraId="0B57801C" w14:textId="38F7BDCD" w:rsidR="006067D3" w:rsidRPr="00BF2E3A" w:rsidRDefault="00B55D47" w:rsidP="00DF4395">
            <w:pPr>
              <w:pStyle w:val="TableText0"/>
              <w:keepNext w:val="0"/>
              <w:keepLines w:val="0"/>
              <w:widowControl w:val="0"/>
              <w:jc w:val="center"/>
              <w:rPr>
                <w:highlight w:val="darkGray"/>
              </w:rPr>
            </w:pPr>
            <w:r w:rsidRPr="00B55D47">
              <w:rPr>
                <w:rFonts w:hint="eastAsia"/>
                <w:color w:val="000000"/>
                <w:w w:val="15"/>
                <w:fitText w:val="60" w:id="-694465011"/>
                <w14:textFill>
                  <w14:solidFill>
                    <w14:srgbClr w14:val="000000">
                      <w14:alpha w14:val="100000"/>
                    </w14:srgbClr>
                  </w14:solidFill>
                </w14:textFill>
              </w:rPr>
              <w:t xml:space="preserve">　</w:t>
            </w:r>
            <w:r w:rsidRPr="00B55D47">
              <w:rPr>
                <w:color w:val="000000"/>
                <w:w w:val="15"/>
                <w:fitText w:val="60" w:id="-694465011"/>
                <w14:textFill>
                  <w14:solidFill>
                    <w14:srgbClr w14:val="000000">
                      <w14:alpha w14:val="100000"/>
                    </w14:srgbClr>
                  </w14:solidFill>
                </w14:textFill>
              </w:rPr>
              <w:t>|</w:t>
            </w:r>
            <w:r w:rsidRPr="00B55D47">
              <w:rPr>
                <w:rFonts w:hint="eastAsia"/>
                <w:color w:val="000000"/>
                <w:w w:val="15"/>
                <w:fitText w:val="60" w:id="-694465011"/>
                <w14:textFill>
                  <w14:solidFill>
                    <w14:srgbClr w14:val="000000">
                      <w14:alpha w14:val="100000"/>
                    </w14:srgbClr>
                  </w14:solidFill>
                </w14:textFill>
              </w:rPr>
              <w:t xml:space="preserve">　</w:t>
            </w:r>
          </w:p>
        </w:tc>
        <w:tc>
          <w:tcPr>
            <w:tcW w:w="665" w:type="pct"/>
          </w:tcPr>
          <w:p w14:paraId="36DA6978" w14:textId="77777777" w:rsidR="006067D3" w:rsidRPr="00125349" w:rsidRDefault="006067D3" w:rsidP="00DF4395">
            <w:pPr>
              <w:pStyle w:val="TableText0"/>
              <w:keepNext w:val="0"/>
              <w:keepLines w:val="0"/>
              <w:widowControl w:val="0"/>
              <w:jc w:val="center"/>
            </w:pPr>
            <w:r w:rsidRPr="00125349">
              <w:t>1.56</w:t>
            </w:r>
          </w:p>
        </w:tc>
        <w:tc>
          <w:tcPr>
            <w:tcW w:w="599" w:type="pct"/>
          </w:tcPr>
          <w:p w14:paraId="740CFC61" w14:textId="561E760A" w:rsidR="006067D3"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10"/>
                <w14:textFill>
                  <w14:solidFill>
                    <w14:srgbClr w14:val="000000">
                      <w14:alpha w14:val="100000"/>
                    </w14:srgbClr>
                  </w14:solidFill>
                </w14:textFill>
              </w:rPr>
              <w:t xml:space="preserve">　</w:t>
            </w:r>
            <w:r w:rsidRPr="00B55D47">
              <w:rPr>
                <w:color w:val="000000"/>
                <w:w w:val="33"/>
                <w:shd w:val="solid" w:color="000000" w:fill="000000"/>
                <w:fitText w:val="150" w:id="-694465010"/>
                <w14:textFill>
                  <w14:solidFill>
                    <w14:srgbClr w14:val="000000">
                      <w14:alpha w14:val="100000"/>
                    </w14:srgbClr>
                  </w14:solidFill>
                </w14:textFill>
              </w:rPr>
              <w:t>|</w:t>
            </w:r>
            <w:r w:rsidRPr="00B55D47">
              <w:rPr>
                <w:rFonts w:hint="eastAsia"/>
                <w:color w:val="000000"/>
                <w:spacing w:val="4"/>
                <w:w w:val="33"/>
                <w:shd w:val="solid" w:color="000000" w:fill="000000"/>
                <w:fitText w:val="150" w:id="-694465010"/>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313B02A3" w14:textId="3012B6D6" w:rsidR="006067D3" w:rsidRPr="00125349" w:rsidRDefault="00B55D47" w:rsidP="00DF4395">
            <w:pPr>
              <w:pStyle w:val="TableText0"/>
              <w:keepNext w:val="0"/>
              <w:keepLines w:val="0"/>
              <w:widowControl w:val="0"/>
              <w:jc w:val="center"/>
              <w:rPr>
                <w:rFonts w:eastAsia="Calibri"/>
                <w:szCs w:val="20"/>
              </w:rPr>
            </w:pPr>
            <w:r w:rsidRPr="00B55D47">
              <w:rPr>
                <w:color w:val="000000"/>
                <w:spacing w:val="94"/>
                <w:shd w:val="solid" w:color="000000" w:fill="000000"/>
                <w:fitText w:val="180" w:id="-694465009"/>
                <w14:textFill>
                  <w14:solidFill>
                    <w14:srgbClr w14:val="000000">
                      <w14:alpha w14:val="100000"/>
                    </w14:srgbClr>
                  </w14:solidFill>
                </w14:textFill>
              </w:rPr>
              <w:t>|</w:t>
            </w:r>
            <w:r w:rsidRPr="00B55D47">
              <w:rPr>
                <w:color w:val="000000"/>
                <w:spacing w:val="1"/>
                <w:shd w:val="solid" w:color="000000" w:fill="000000"/>
                <w:fitText w:val="180" w:id="-694465009"/>
                <w14:textFill>
                  <w14:solidFill>
                    <w14:srgbClr w14:val="000000">
                      <w14:alpha w14:val="100000"/>
                    </w14:srgbClr>
                  </w14:solidFill>
                </w14:textFill>
              </w:rPr>
              <w:t>|</w:t>
            </w:r>
            <w:r w:rsidR="00756F5C" w:rsidRPr="00125349">
              <w:t>%</w:t>
            </w:r>
          </w:p>
        </w:tc>
      </w:tr>
      <w:tr w:rsidR="00FD5F1D" w:rsidRPr="00125349" w14:paraId="3D95C1F4" w14:textId="77777777" w:rsidTr="00B55D47">
        <w:trPr>
          <w:cantSplit/>
          <w:trHeight w:val="119"/>
        </w:trPr>
        <w:tc>
          <w:tcPr>
            <w:tcW w:w="2459" w:type="pct"/>
          </w:tcPr>
          <w:p w14:paraId="634639B6" w14:textId="23717D0D" w:rsidR="00FD5F1D" w:rsidRPr="00125349" w:rsidRDefault="008F4D64" w:rsidP="00DF4395">
            <w:pPr>
              <w:pStyle w:val="TableText0"/>
              <w:keepNext w:val="0"/>
              <w:keepLines w:val="0"/>
              <w:widowControl w:val="0"/>
            </w:pPr>
            <w:r w:rsidRPr="00125349">
              <w:t xml:space="preserve">OR of </w:t>
            </w:r>
            <w:r w:rsidR="00C57631" w:rsidRPr="00125349">
              <w:t xml:space="preserve">all-cause </w:t>
            </w:r>
            <w:r w:rsidRPr="00125349">
              <w:t>discontinuation</w:t>
            </w:r>
            <w:r w:rsidR="00C57631" w:rsidRPr="00125349">
              <w:t xml:space="preserve"> with OCA</w:t>
            </w:r>
            <w:r w:rsidR="00DF4395" w:rsidRPr="00125349">
              <w:t xml:space="preserve"> changed from 2.73 to 1.0</w:t>
            </w:r>
          </w:p>
        </w:tc>
        <w:tc>
          <w:tcPr>
            <w:tcW w:w="666" w:type="pct"/>
            <w:tcBorders>
              <w:bottom w:val="single" w:sz="4" w:space="0" w:color="auto"/>
            </w:tcBorders>
            <w:shd w:val="solid" w:color="000000" w:fill="000000"/>
          </w:tcPr>
          <w:p w14:paraId="1820D841" w14:textId="0A887DEB" w:rsidR="00FD5F1D" w:rsidRPr="00BF2E3A" w:rsidRDefault="00B55D47" w:rsidP="00DF4395">
            <w:pPr>
              <w:pStyle w:val="TableText0"/>
              <w:keepNext w:val="0"/>
              <w:keepLines w:val="0"/>
              <w:widowControl w:val="0"/>
              <w:jc w:val="center"/>
              <w:rPr>
                <w:highlight w:val="darkGray"/>
              </w:rPr>
            </w:pPr>
            <w:r w:rsidRPr="00B55D47">
              <w:rPr>
                <w:rFonts w:hint="eastAsia"/>
                <w:color w:val="000000"/>
                <w:w w:val="15"/>
                <w:fitText w:val="60" w:id="-694465008"/>
                <w14:textFill>
                  <w14:solidFill>
                    <w14:srgbClr w14:val="000000">
                      <w14:alpha w14:val="100000"/>
                    </w14:srgbClr>
                  </w14:solidFill>
                </w14:textFill>
              </w:rPr>
              <w:t xml:space="preserve">　</w:t>
            </w:r>
            <w:r w:rsidRPr="00B55D47">
              <w:rPr>
                <w:color w:val="000000"/>
                <w:w w:val="15"/>
                <w:fitText w:val="60" w:id="-694465008"/>
                <w14:textFill>
                  <w14:solidFill>
                    <w14:srgbClr w14:val="000000">
                      <w14:alpha w14:val="100000"/>
                    </w14:srgbClr>
                  </w14:solidFill>
                </w14:textFill>
              </w:rPr>
              <w:t>|</w:t>
            </w:r>
            <w:r w:rsidRPr="00B55D47">
              <w:rPr>
                <w:rFonts w:hint="eastAsia"/>
                <w:color w:val="000000"/>
                <w:w w:val="15"/>
                <w:fitText w:val="60" w:id="-694465008"/>
                <w14:textFill>
                  <w14:solidFill>
                    <w14:srgbClr w14:val="000000">
                      <w14:alpha w14:val="100000"/>
                    </w14:srgbClr>
                  </w14:solidFill>
                </w14:textFill>
              </w:rPr>
              <w:t xml:space="preserve">　</w:t>
            </w:r>
          </w:p>
        </w:tc>
        <w:tc>
          <w:tcPr>
            <w:tcW w:w="665" w:type="pct"/>
          </w:tcPr>
          <w:p w14:paraId="3F1506FC" w14:textId="1903CE47" w:rsidR="00FD5F1D" w:rsidRPr="00125349" w:rsidRDefault="00FD5F1D" w:rsidP="00DF4395">
            <w:pPr>
              <w:pStyle w:val="TableText0"/>
              <w:keepNext w:val="0"/>
              <w:keepLines w:val="0"/>
              <w:widowControl w:val="0"/>
              <w:jc w:val="center"/>
            </w:pPr>
            <w:r w:rsidRPr="00125349">
              <w:t>0.26</w:t>
            </w:r>
          </w:p>
        </w:tc>
        <w:tc>
          <w:tcPr>
            <w:tcW w:w="599" w:type="pct"/>
          </w:tcPr>
          <w:p w14:paraId="24B9D56E" w14:textId="3813A1FF" w:rsidR="00FD5F1D" w:rsidRPr="00BF2E3A" w:rsidRDefault="00B55D47" w:rsidP="00DF4395">
            <w:pPr>
              <w:pStyle w:val="TableText0"/>
              <w:keepNext w:val="0"/>
              <w:keepLines w:val="0"/>
              <w:widowControl w:val="0"/>
              <w:jc w:val="center"/>
              <w:rPr>
                <w:highlight w:val="darkGray"/>
              </w:rPr>
            </w:pPr>
            <w:r w:rsidRPr="00B55D47">
              <w:rPr>
                <w:rFonts w:hint="eastAsia"/>
                <w:color w:val="000000"/>
                <w:w w:val="33"/>
                <w:shd w:val="solid" w:color="000000" w:fill="000000"/>
                <w:fitText w:val="150" w:id="-694465024"/>
                <w14:textFill>
                  <w14:solidFill>
                    <w14:srgbClr w14:val="000000">
                      <w14:alpha w14:val="100000"/>
                    </w14:srgbClr>
                  </w14:solidFill>
                </w14:textFill>
              </w:rPr>
              <w:t xml:space="preserve">　</w:t>
            </w:r>
            <w:r w:rsidRPr="00B55D47">
              <w:rPr>
                <w:color w:val="000000"/>
                <w:w w:val="33"/>
                <w:shd w:val="solid" w:color="000000" w:fill="000000"/>
                <w:fitText w:val="150" w:id="-694465024"/>
                <w14:textFill>
                  <w14:solidFill>
                    <w14:srgbClr w14:val="000000">
                      <w14:alpha w14:val="100000"/>
                    </w14:srgbClr>
                  </w14:solidFill>
                </w14:textFill>
              </w:rPr>
              <w:t>|</w:t>
            </w:r>
            <w:r w:rsidRPr="00B55D47">
              <w:rPr>
                <w:rFonts w:hint="eastAsia"/>
                <w:color w:val="000000"/>
                <w:spacing w:val="4"/>
                <w:w w:val="33"/>
                <w:shd w:val="solid" w:color="000000" w:fill="000000"/>
                <w:fitText w:val="150" w:id="-694465024"/>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083D9550" w14:textId="0F38C164" w:rsidR="00FD5F1D" w:rsidRPr="00125349" w:rsidRDefault="00B55D47" w:rsidP="00DF4395">
            <w:pPr>
              <w:pStyle w:val="TableText0"/>
              <w:keepNext w:val="0"/>
              <w:keepLines w:val="0"/>
              <w:widowControl w:val="0"/>
              <w:jc w:val="center"/>
            </w:pPr>
            <w:r w:rsidRPr="00B55D47">
              <w:rPr>
                <w:color w:val="000000"/>
                <w:spacing w:val="94"/>
                <w:shd w:val="solid" w:color="000000" w:fill="000000"/>
                <w:fitText w:val="180" w:id="-694465023"/>
                <w14:textFill>
                  <w14:solidFill>
                    <w14:srgbClr w14:val="000000">
                      <w14:alpha w14:val="100000"/>
                    </w14:srgbClr>
                  </w14:solidFill>
                </w14:textFill>
              </w:rPr>
              <w:t>|</w:t>
            </w:r>
            <w:r w:rsidRPr="00B55D47">
              <w:rPr>
                <w:color w:val="000000"/>
                <w:spacing w:val="1"/>
                <w:shd w:val="solid" w:color="000000" w:fill="000000"/>
                <w:fitText w:val="180" w:id="-694465023"/>
                <w14:textFill>
                  <w14:solidFill>
                    <w14:srgbClr w14:val="000000">
                      <w14:alpha w14:val="100000"/>
                    </w14:srgbClr>
                  </w14:solidFill>
                </w14:textFill>
              </w:rPr>
              <w:t>|</w:t>
            </w:r>
            <w:r w:rsidR="00FD5F1D" w:rsidRPr="00125349">
              <w:t>%</w:t>
            </w:r>
          </w:p>
        </w:tc>
      </w:tr>
      <w:tr w:rsidR="00294166" w:rsidRPr="00125349" w14:paraId="4B67C2C3" w14:textId="77777777" w:rsidTr="00B55D47">
        <w:trPr>
          <w:cantSplit/>
          <w:trHeight w:val="119"/>
        </w:trPr>
        <w:tc>
          <w:tcPr>
            <w:tcW w:w="2459" w:type="pct"/>
          </w:tcPr>
          <w:p w14:paraId="23162A33" w14:textId="6D4CA792" w:rsidR="00294166" w:rsidRPr="00125349" w:rsidRDefault="00294166" w:rsidP="00DF4395">
            <w:pPr>
              <w:pStyle w:val="TableText0"/>
              <w:keepNext w:val="0"/>
              <w:keepLines w:val="0"/>
              <w:widowControl w:val="0"/>
            </w:pPr>
            <w:r w:rsidRPr="00125349">
              <w:t xml:space="preserve">Duration of the treatment effect on discontinuations (OR = 2.73) </w:t>
            </w:r>
            <w:r w:rsidR="00EE6CEA" w:rsidRPr="00125349">
              <w:t>changed from lifetime to 1 year.</w:t>
            </w:r>
          </w:p>
        </w:tc>
        <w:tc>
          <w:tcPr>
            <w:tcW w:w="666" w:type="pct"/>
            <w:shd w:val="solid" w:color="000000" w:fill="000000"/>
          </w:tcPr>
          <w:p w14:paraId="245DACBD" w14:textId="50681589" w:rsidR="00294166" w:rsidRPr="00125349" w:rsidRDefault="00B55D47" w:rsidP="00294166">
            <w:pPr>
              <w:pStyle w:val="TableText0"/>
              <w:keepNext w:val="0"/>
              <w:keepLines w:val="0"/>
              <w:widowControl w:val="0"/>
              <w:jc w:val="center"/>
            </w:pPr>
            <w:r w:rsidRPr="00B55D47">
              <w:rPr>
                <w:rFonts w:hint="eastAsia"/>
                <w:color w:val="000000"/>
                <w:w w:val="15"/>
                <w:fitText w:val="60" w:id="-694465022"/>
                <w14:textFill>
                  <w14:solidFill>
                    <w14:srgbClr w14:val="000000">
                      <w14:alpha w14:val="100000"/>
                    </w14:srgbClr>
                  </w14:solidFill>
                </w14:textFill>
              </w:rPr>
              <w:t xml:space="preserve">　</w:t>
            </w:r>
            <w:r w:rsidRPr="00B55D47">
              <w:rPr>
                <w:color w:val="000000"/>
                <w:w w:val="15"/>
                <w:fitText w:val="60" w:id="-694465022"/>
                <w14:textFill>
                  <w14:solidFill>
                    <w14:srgbClr w14:val="000000">
                      <w14:alpha w14:val="100000"/>
                    </w14:srgbClr>
                  </w14:solidFill>
                </w14:textFill>
              </w:rPr>
              <w:t>|</w:t>
            </w:r>
            <w:r w:rsidRPr="00B55D47">
              <w:rPr>
                <w:rFonts w:hint="eastAsia"/>
                <w:color w:val="000000"/>
                <w:w w:val="15"/>
                <w:fitText w:val="60" w:id="-694465022"/>
                <w14:textFill>
                  <w14:solidFill>
                    <w14:srgbClr w14:val="000000">
                      <w14:alpha w14:val="100000"/>
                    </w14:srgbClr>
                  </w14:solidFill>
                </w14:textFill>
              </w:rPr>
              <w:t xml:space="preserve">　</w:t>
            </w:r>
          </w:p>
        </w:tc>
        <w:tc>
          <w:tcPr>
            <w:tcW w:w="665" w:type="pct"/>
          </w:tcPr>
          <w:p w14:paraId="38B889B4" w14:textId="122F7D24" w:rsidR="00294166" w:rsidRPr="00125349" w:rsidRDefault="00294166" w:rsidP="00294166">
            <w:pPr>
              <w:pStyle w:val="TableText0"/>
              <w:keepNext w:val="0"/>
              <w:keepLines w:val="0"/>
              <w:widowControl w:val="0"/>
              <w:jc w:val="center"/>
            </w:pPr>
            <w:r w:rsidRPr="00125349">
              <w:t>0.51</w:t>
            </w:r>
          </w:p>
        </w:tc>
        <w:tc>
          <w:tcPr>
            <w:tcW w:w="599" w:type="pct"/>
          </w:tcPr>
          <w:p w14:paraId="1A879D54" w14:textId="5721668F" w:rsidR="00294166" w:rsidRPr="00BF2E3A" w:rsidRDefault="00B55D47" w:rsidP="00294166">
            <w:pPr>
              <w:pStyle w:val="TableText0"/>
              <w:keepNext w:val="0"/>
              <w:keepLines w:val="0"/>
              <w:widowControl w:val="0"/>
              <w:jc w:val="center"/>
              <w:rPr>
                <w:highlight w:val="darkGray"/>
              </w:rPr>
            </w:pPr>
            <w:r w:rsidRPr="00B55D47">
              <w:rPr>
                <w:rFonts w:hint="eastAsia"/>
                <w:color w:val="000000"/>
                <w:w w:val="33"/>
                <w:shd w:val="solid" w:color="000000" w:fill="000000"/>
                <w:fitText w:val="150" w:id="-694465021"/>
                <w14:textFill>
                  <w14:solidFill>
                    <w14:srgbClr w14:val="000000">
                      <w14:alpha w14:val="100000"/>
                    </w14:srgbClr>
                  </w14:solidFill>
                </w14:textFill>
              </w:rPr>
              <w:t xml:space="preserve">　</w:t>
            </w:r>
            <w:r w:rsidRPr="00B55D47">
              <w:rPr>
                <w:color w:val="000000"/>
                <w:w w:val="33"/>
                <w:shd w:val="solid" w:color="000000" w:fill="000000"/>
                <w:fitText w:val="150" w:id="-694465021"/>
                <w14:textFill>
                  <w14:solidFill>
                    <w14:srgbClr w14:val="000000">
                      <w14:alpha w14:val="100000"/>
                    </w14:srgbClr>
                  </w14:solidFill>
                </w14:textFill>
              </w:rPr>
              <w:t>|</w:t>
            </w:r>
            <w:r w:rsidRPr="00B55D47">
              <w:rPr>
                <w:rFonts w:hint="eastAsia"/>
                <w:color w:val="000000"/>
                <w:spacing w:val="4"/>
                <w:w w:val="33"/>
                <w:shd w:val="solid" w:color="000000" w:fill="000000"/>
                <w:fitText w:val="150" w:id="-694465021"/>
                <w14:textFill>
                  <w14:solidFill>
                    <w14:srgbClr w14:val="000000">
                      <w14:alpha w14:val="100000"/>
                    </w14:srgbClr>
                  </w14:solidFill>
                </w14:textFill>
              </w:rPr>
              <w:t xml:space="preserve">　</w:t>
            </w:r>
            <w:r w:rsidR="00BF2E3A" w:rsidRPr="00BF2E3A">
              <w:rPr>
                <w:b/>
                <w:bCs w:val="0"/>
                <w:vertAlign w:val="superscript"/>
              </w:rPr>
              <w:t>1</w:t>
            </w:r>
          </w:p>
        </w:tc>
        <w:tc>
          <w:tcPr>
            <w:tcW w:w="611" w:type="pct"/>
          </w:tcPr>
          <w:p w14:paraId="5FAB584F" w14:textId="1DE143D3" w:rsidR="00294166" w:rsidRPr="00125349" w:rsidDel="00DF4395" w:rsidRDefault="00B55D47" w:rsidP="00294166">
            <w:pPr>
              <w:pStyle w:val="TableText0"/>
              <w:keepNext w:val="0"/>
              <w:keepLines w:val="0"/>
              <w:widowControl w:val="0"/>
              <w:jc w:val="center"/>
            </w:pPr>
            <w:r w:rsidRPr="00B55D47">
              <w:rPr>
                <w:color w:val="000000"/>
                <w:spacing w:val="94"/>
                <w:shd w:val="solid" w:color="000000" w:fill="000000"/>
                <w:fitText w:val="180" w:id="-694465020"/>
                <w14:textFill>
                  <w14:solidFill>
                    <w14:srgbClr w14:val="000000">
                      <w14:alpha w14:val="100000"/>
                    </w14:srgbClr>
                  </w14:solidFill>
                </w14:textFill>
              </w:rPr>
              <w:t>|</w:t>
            </w:r>
            <w:r w:rsidRPr="00B55D47">
              <w:rPr>
                <w:color w:val="000000"/>
                <w:spacing w:val="1"/>
                <w:shd w:val="solid" w:color="000000" w:fill="000000"/>
                <w:fitText w:val="180" w:id="-694465020"/>
                <w14:textFill>
                  <w14:solidFill>
                    <w14:srgbClr w14:val="000000">
                      <w14:alpha w14:val="100000"/>
                    </w14:srgbClr>
                  </w14:solidFill>
                </w14:textFill>
              </w:rPr>
              <w:t>|</w:t>
            </w:r>
            <w:r w:rsidR="00294166" w:rsidRPr="00125349">
              <w:t>%</w:t>
            </w:r>
          </w:p>
        </w:tc>
      </w:tr>
    </w:tbl>
    <w:p w14:paraId="3E73BD0C" w14:textId="2A3B4E80" w:rsidR="006067D3" w:rsidRPr="00125349" w:rsidRDefault="006067D3" w:rsidP="003078FE">
      <w:pPr>
        <w:pStyle w:val="TableFigureFooter"/>
        <w:keepNext/>
      </w:pPr>
      <w:r w:rsidRPr="00125349">
        <w:t>Source: Complied during the evaluation</w:t>
      </w:r>
      <w:r w:rsidR="004C539A" w:rsidRPr="00125349">
        <w:t xml:space="preserve"> </w:t>
      </w:r>
      <w:r w:rsidR="00EF2F02" w:rsidRPr="00125349">
        <w:t>from</w:t>
      </w:r>
      <w:r w:rsidR="004C539A" w:rsidRPr="00125349">
        <w:t xml:space="preserve"> </w:t>
      </w:r>
      <w:proofErr w:type="spellStart"/>
      <w:r w:rsidR="004C539A" w:rsidRPr="00125349">
        <w:t>Elafibranor_CEM</w:t>
      </w:r>
      <w:proofErr w:type="spellEnd"/>
      <w:r w:rsidR="004C539A" w:rsidRPr="00125349">
        <w:t xml:space="preserve"> _FINAL_20241115.xlsm</w:t>
      </w:r>
    </w:p>
    <w:p w14:paraId="79283E90" w14:textId="18DAC9AD" w:rsidR="006067D3" w:rsidRPr="00125349" w:rsidRDefault="006067D3" w:rsidP="003078FE">
      <w:pPr>
        <w:pStyle w:val="TableFigureFooter"/>
        <w:keepNext/>
      </w:pPr>
      <w:r w:rsidRPr="00125349">
        <w:t xml:space="preserve">DPMQ = Dispensed Price for Maximum Quantity; DCC = decompensated cirrhosis; ELA = </w:t>
      </w:r>
      <w:proofErr w:type="spellStart"/>
      <w:r w:rsidRPr="00125349">
        <w:t>elafibranor</w:t>
      </w:r>
      <w:proofErr w:type="spellEnd"/>
      <w:r w:rsidRPr="00125349">
        <w:t xml:space="preserve">; </w:t>
      </w:r>
      <w:r w:rsidR="00236AF3" w:rsidRPr="00125349">
        <w:t xml:space="preserve">ICER = Incremental cost-effectiveness ratio; KOL = Key opinion leader; </w:t>
      </w:r>
      <w:r w:rsidRPr="00125349">
        <w:t xml:space="preserve">LT = liver transplant; OCA = </w:t>
      </w:r>
      <w:proofErr w:type="spellStart"/>
      <w:r w:rsidRPr="00125349">
        <w:t>obeticholic</w:t>
      </w:r>
      <w:proofErr w:type="spellEnd"/>
      <w:r w:rsidRPr="00125349">
        <w:t xml:space="preserve"> acid; </w:t>
      </w:r>
      <w:r w:rsidR="00212BBF" w:rsidRPr="00125349">
        <w:t xml:space="preserve">OR = odds ratio; </w:t>
      </w:r>
      <w:r w:rsidRPr="00125349">
        <w:t>PBAC = Pharmaceutical benefits advisory committee; PBC = primary biliary cholangitis; PSD = Public summary document.</w:t>
      </w:r>
    </w:p>
    <w:p w14:paraId="0EE901D9" w14:textId="30980465" w:rsidR="00BF2E3A" w:rsidRDefault="00CF3530" w:rsidP="00BF2E3A">
      <w:pPr>
        <w:pStyle w:val="TableFigureFooter"/>
        <w:keepNext/>
      </w:pPr>
      <w:proofErr w:type="spellStart"/>
      <w:r w:rsidRPr="00125349">
        <w:t>a</w:t>
      </w:r>
      <w:proofErr w:type="spellEnd"/>
      <w:r w:rsidRPr="00125349">
        <w:t xml:space="preserve"> The submission applied a </w:t>
      </w:r>
      <w:r w:rsidR="00B55D47" w:rsidRPr="00B55D47">
        <w:rPr>
          <w:color w:val="000000"/>
          <w:spacing w:val="213"/>
          <w:shd w:val="solid" w:color="000000" w:fill="000000"/>
          <w:fitText w:val="290" w:id="-694465019"/>
          <w14:textFill>
            <w14:solidFill>
              <w14:srgbClr w14:val="000000">
                <w14:alpha w14:val="100000"/>
              </w14:srgbClr>
            </w14:solidFill>
          </w14:textFill>
        </w:rPr>
        <w:t>|</w:t>
      </w:r>
      <w:r w:rsidR="00B55D47" w:rsidRPr="00B55D47">
        <w:rPr>
          <w:color w:val="000000"/>
          <w:spacing w:val="1"/>
          <w:shd w:val="solid" w:color="000000" w:fill="000000"/>
          <w:fitText w:val="290" w:id="-694465019"/>
          <w14:textFill>
            <w14:solidFill>
              <w14:srgbClr w14:val="000000">
                <w14:alpha w14:val="100000"/>
              </w14:srgbClr>
            </w14:solidFill>
          </w14:textFill>
        </w:rPr>
        <w:t>|</w:t>
      </w:r>
      <w:r w:rsidRPr="00125349">
        <w:t xml:space="preserve">% price discount to </w:t>
      </w:r>
      <w:proofErr w:type="spellStart"/>
      <w:r w:rsidRPr="00125349">
        <w:t>elafibranor</w:t>
      </w:r>
      <w:proofErr w:type="spellEnd"/>
      <w:r w:rsidRPr="00125349">
        <w:t>, including the AEMP and dispensing fees. This was not appropriate. Changed sheet ‘Data Store’, cell K233 to $</w:t>
      </w:r>
      <w:r w:rsidR="00B55D47" w:rsidRPr="00B55D47">
        <w:rPr>
          <w:color w:val="000000"/>
          <w:spacing w:val="213"/>
          <w:shd w:val="solid" w:color="000000" w:fill="000000"/>
          <w:fitText w:val="290" w:id="-694465018"/>
          <w14:textFill>
            <w14:solidFill>
              <w14:srgbClr w14:val="000000">
                <w14:alpha w14:val="100000"/>
              </w14:srgbClr>
            </w14:solidFill>
          </w14:textFill>
        </w:rPr>
        <w:t>|</w:t>
      </w:r>
      <w:r w:rsidR="00B55D47" w:rsidRPr="00B55D47">
        <w:rPr>
          <w:color w:val="000000"/>
          <w:spacing w:val="1"/>
          <w:shd w:val="solid" w:color="000000" w:fill="000000"/>
          <w:fitText w:val="290" w:id="-694465018"/>
          <w14:textFill>
            <w14:solidFill>
              <w14:srgbClr w14:val="000000">
                <w14:alpha w14:val="100000"/>
              </w14:srgbClr>
            </w14:solidFill>
          </w14:textFill>
        </w:rPr>
        <w:t>|</w:t>
      </w:r>
      <w:r w:rsidRPr="00125349">
        <w:t>.</w:t>
      </w:r>
      <w:r w:rsidR="00BF2E3A">
        <w:t xml:space="preserve"> </w:t>
      </w:r>
    </w:p>
    <w:p w14:paraId="4F9DC4FE" w14:textId="67965FE0" w:rsidR="00BF2E3A" w:rsidRPr="00337B98" w:rsidRDefault="00BF2E3A" w:rsidP="00BF2E3A">
      <w:pPr>
        <w:pStyle w:val="TableFigureFooter"/>
        <w:keepNext/>
      </w:pPr>
      <w:r w:rsidRPr="00337B98">
        <w:t xml:space="preserve">The redacted values correspond to the following ranges: </w:t>
      </w:r>
    </w:p>
    <w:p w14:paraId="729B1F29" w14:textId="77777777" w:rsidR="00BF2E3A" w:rsidRPr="00337B98" w:rsidRDefault="00BF2E3A" w:rsidP="00BF2E3A">
      <w:pPr>
        <w:pStyle w:val="TableFigureFooter"/>
        <w:keepNext/>
      </w:pPr>
      <w:r w:rsidRPr="00337B98">
        <w:t>1 $75,000 to &lt; $95,000</w:t>
      </w:r>
    </w:p>
    <w:p w14:paraId="4A90AB06" w14:textId="5F623FC4" w:rsidR="0081556B" w:rsidRPr="00CB5596" w:rsidRDefault="0081556B" w:rsidP="0081556B">
      <w:pPr>
        <w:pStyle w:val="3-BodyText"/>
        <w:rPr>
          <w:iCs/>
        </w:rPr>
      </w:pPr>
      <w:r w:rsidRPr="00CB5596">
        <w:rPr>
          <w:iCs/>
        </w:rPr>
        <w:t xml:space="preserve">The model was </w:t>
      </w:r>
      <w:r w:rsidR="00DB2FD5" w:rsidRPr="00CB5596">
        <w:rPr>
          <w:iCs/>
        </w:rPr>
        <w:t xml:space="preserve">most </w:t>
      </w:r>
      <w:r w:rsidRPr="00CB5596">
        <w:rPr>
          <w:iCs/>
        </w:rPr>
        <w:t>sensitive to the</w:t>
      </w:r>
      <w:r w:rsidR="00DB2FD5" w:rsidRPr="00CB5596">
        <w:rPr>
          <w:iCs/>
        </w:rPr>
        <w:t xml:space="preserve"> source of the utilities for the biomarker health states, the </w:t>
      </w:r>
      <w:r w:rsidR="007D28AA" w:rsidRPr="00CB5596">
        <w:rPr>
          <w:iCs/>
        </w:rPr>
        <w:t xml:space="preserve">OR </w:t>
      </w:r>
      <w:r w:rsidR="007C6C4E" w:rsidRPr="00CB5596">
        <w:rPr>
          <w:iCs/>
        </w:rPr>
        <w:t>of cholestasis response with OCA (based on the indirect comparison),</w:t>
      </w:r>
      <w:r w:rsidR="00DB2FD5" w:rsidRPr="00CB5596">
        <w:rPr>
          <w:iCs/>
        </w:rPr>
        <w:t xml:space="preserve"> and</w:t>
      </w:r>
      <w:r w:rsidR="007C6C4E" w:rsidRPr="00CB5596">
        <w:rPr>
          <w:iCs/>
        </w:rPr>
        <w:t xml:space="preserve"> </w:t>
      </w:r>
      <w:r w:rsidR="00C9189B" w:rsidRPr="00CB5596">
        <w:rPr>
          <w:iCs/>
        </w:rPr>
        <w:t xml:space="preserve">the </w:t>
      </w:r>
      <w:r w:rsidR="005E262A" w:rsidRPr="00CB5596">
        <w:rPr>
          <w:iCs/>
        </w:rPr>
        <w:t xml:space="preserve">OCA </w:t>
      </w:r>
      <w:r w:rsidR="00212BBF" w:rsidRPr="00CB5596">
        <w:rPr>
          <w:iCs/>
        </w:rPr>
        <w:t>OR</w:t>
      </w:r>
      <w:r w:rsidR="005E262A" w:rsidRPr="00CB5596">
        <w:rPr>
          <w:iCs/>
        </w:rPr>
        <w:t xml:space="preserve"> of </w:t>
      </w:r>
      <w:r w:rsidR="00AB50D0" w:rsidRPr="00CB5596">
        <w:rPr>
          <w:iCs/>
        </w:rPr>
        <w:t xml:space="preserve">all-cause </w:t>
      </w:r>
      <w:r w:rsidRPr="00CB5596">
        <w:rPr>
          <w:iCs/>
        </w:rPr>
        <w:t>discontinuation.</w:t>
      </w:r>
    </w:p>
    <w:p w14:paraId="38BE3DE5" w14:textId="433724AF" w:rsidR="001458AE" w:rsidRDefault="001458AE" w:rsidP="001458AE">
      <w:pPr>
        <w:pStyle w:val="4-SubsectionHeading"/>
        <w:rPr>
          <w:lang w:eastAsia="en-AU"/>
        </w:rPr>
      </w:pPr>
      <w:bookmarkStart w:id="72" w:name="_Toc187914756"/>
      <w:r w:rsidRPr="00715BC2">
        <w:t>Drug/cost/patient/year</w:t>
      </w:r>
      <w:bookmarkStart w:id="73" w:name="_Ref104805102"/>
      <w:bookmarkEnd w:id="72"/>
    </w:p>
    <w:p w14:paraId="43F2A92C" w14:textId="54AFDD38" w:rsidR="00C832B2" w:rsidRPr="00826E6F" w:rsidRDefault="00946489" w:rsidP="00826E6F">
      <w:pPr>
        <w:pStyle w:val="3-BodyText"/>
      </w:pPr>
      <w:r w:rsidRPr="00826E6F">
        <w:fldChar w:fldCharType="begin" w:fldLock="1"/>
      </w:r>
      <w:r w:rsidRPr="00826E6F">
        <w:instrText xml:space="preserve"> REF _Ref184715940 \h </w:instrText>
      </w:r>
      <w:r w:rsidR="00826E6F">
        <w:instrText xml:space="preserve"> \* MERGEFORMAT </w:instrText>
      </w:r>
      <w:r w:rsidRPr="00826E6F">
        <w:fldChar w:fldCharType="separate"/>
      </w:r>
      <w:r w:rsidR="002B3034">
        <w:t>Table 18</w:t>
      </w:r>
      <w:r w:rsidRPr="00826E6F">
        <w:fldChar w:fldCharType="end"/>
      </w:r>
      <w:r w:rsidRPr="00826E6F">
        <w:t xml:space="preserve"> </w:t>
      </w:r>
      <w:r w:rsidR="00C832B2" w:rsidRPr="00826E6F">
        <w:t>presents the intervention costs per patient per year of treatment.</w:t>
      </w:r>
      <w:r w:rsidR="00420F3B">
        <w:t xml:space="preserve"> </w:t>
      </w:r>
    </w:p>
    <w:p w14:paraId="292BBABF" w14:textId="61748826" w:rsidR="00AB4DDA" w:rsidRPr="00EB2A91" w:rsidRDefault="00946489" w:rsidP="00946489">
      <w:pPr>
        <w:pStyle w:val="Caption"/>
        <w:rPr>
          <w:b w:val="0"/>
          <w:bCs w:val="0"/>
        </w:rPr>
      </w:pPr>
      <w:bookmarkStart w:id="74" w:name="_Ref184715940"/>
      <w:r w:rsidRPr="00EB2A91">
        <w:lastRenderedPageBreak/>
        <w:t xml:space="preserve">Table </w:t>
      </w:r>
      <w:r w:rsidR="00780A90">
        <w:fldChar w:fldCharType="begin" w:fldLock="1"/>
      </w:r>
      <w:r w:rsidR="00780A90">
        <w:instrText xml:space="preserve"> SEQ Table \* ARABIC </w:instrText>
      </w:r>
      <w:r w:rsidR="00780A90">
        <w:fldChar w:fldCharType="separate"/>
      </w:r>
      <w:r w:rsidR="00780A90" w:rsidRPr="00EB2A91">
        <w:rPr>
          <w:noProof/>
        </w:rPr>
        <w:t>18</w:t>
      </w:r>
      <w:r w:rsidR="00780A90">
        <w:rPr>
          <w:noProof/>
        </w:rPr>
        <w:fldChar w:fldCharType="end"/>
      </w:r>
      <w:bookmarkEnd w:id="74"/>
      <w:r w:rsidR="00AB4DDA" w:rsidRPr="00EB2A91">
        <w:t xml:space="preserve">: Intervention costs per patient per annum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7"/>
        <w:gridCol w:w="1305"/>
        <w:gridCol w:w="1320"/>
        <w:gridCol w:w="1320"/>
        <w:gridCol w:w="1314"/>
        <w:gridCol w:w="1321"/>
        <w:gridCol w:w="1460"/>
      </w:tblGrid>
      <w:tr w:rsidR="008E0E21" w:rsidRPr="00CB5596" w14:paraId="5E3FDCEE" w14:textId="77777777" w:rsidTr="009C7DA3">
        <w:trPr>
          <w:cantSplit/>
          <w:tblHeader/>
          <w:jc w:val="center"/>
        </w:trPr>
        <w:tc>
          <w:tcPr>
            <w:tcW w:w="536" w:type="pct"/>
            <w:vMerge w:val="restart"/>
            <w:shd w:val="clear" w:color="auto" w:fill="auto"/>
            <w:vAlign w:val="center"/>
          </w:tcPr>
          <w:p w14:paraId="0DA7F6EC" w14:textId="77777777" w:rsidR="008E0E21" w:rsidRPr="00CB5596" w:rsidRDefault="008E0E21" w:rsidP="00777D20">
            <w:pPr>
              <w:pStyle w:val="In-tableHeading"/>
              <w:jc w:val="center"/>
              <w:rPr>
                <w:lang w:val="en-AU"/>
              </w:rPr>
            </w:pPr>
          </w:p>
        </w:tc>
        <w:tc>
          <w:tcPr>
            <w:tcW w:w="2191" w:type="pct"/>
            <w:gridSpan w:val="3"/>
            <w:shd w:val="clear" w:color="auto" w:fill="auto"/>
            <w:vAlign w:val="center"/>
          </w:tcPr>
          <w:p w14:paraId="7FB884C9" w14:textId="77777777" w:rsidR="008E0E21" w:rsidRPr="00CB5596" w:rsidRDefault="008E0E21" w:rsidP="00777D20">
            <w:pPr>
              <w:pStyle w:val="In-tableHeading"/>
              <w:jc w:val="center"/>
              <w:rPr>
                <w:lang w:val="en-AU"/>
              </w:rPr>
            </w:pPr>
            <w:r w:rsidRPr="00CB5596">
              <w:rPr>
                <w:lang w:val="en-AU"/>
              </w:rPr>
              <w:t>ELA (+/-UDCA)</w:t>
            </w:r>
          </w:p>
        </w:tc>
        <w:tc>
          <w:tcPr>
            <w:tcW w:w="2273" w:type="pct"/>
            <w:gridSpan w:val="3"/>
            <w:shd w:val="clear" w:color="auto" w:fill="auto"/>
            <w:vAlign w:val="center"/>
          </w:tcPr>
          <w:p w14:paraId="64CB170B" w14:textId="77777777" w:rsidR="008E0E21" w:rsidRPr="00CB5596" w:rsidRDefault="008E0E21" w:rsidP="00777D20">
            <w:pPr>
              <w:pStyle w:val="In-tableHeading"/>
              <w:jc w:val="center"/>
              <w:rPr>
                <w:lang w:val="en-AU"/>
              </w:rPr>
            </w:pPr>
            <w:r w:rsidRPr="00CB5596">
              <w:rPr>
                <w:lang w:val="en-AU"/>
              </w:rPr>
              <w:t>OCA +/-UDCA</w:t>
            </w:r>
          </w:p>
        </w:tc>
      </w:tr>
      <w:tr w:rsidR="00AE188D" w:rsidRPr="00CB5596" w14:paraId="00F2511C" w14:textId="77777777" w:rsidTr="009C7DA3">
        <w:trPr>
          <w:cantSplit/>
          <w:tblHeader/>
          <w:jc w:val="center"/>
        </w:trPr>
        <w:tc>
          <w:tcPr>
            <w:tcW w:w="536" w:type="pct"/>
            <w:vMerge/>
            <w:shd w:val="clear" w:color="auto" w:fill="auto"/>
            <w:vAlign w:val="center"/>
          </w:tcPr>
          <w:p w14:paraId="530B91CB" w14:textId="77777777" w:rsidR="008E0E21" w:rsidRPr="00CB5596" w:rsidRDefault="008E0E21" w:rsidP="00777D20">
            <w:pPr>
              <w:pStyle w:val="In-tableHeading"/>
              <w:jc w:val="center"/>
              <w:rPr>
                <w:lang w:val="en-AU"/>
              </w:rPr>
            </w:pPr>
          </w:p>
        </w:tc>
        <w:tc>
          <w:tcPr>
            <w:tcW w:w="725" w:type="pct"/>
            <w:shd w:val="clear" w:color="auto" w:fill="auto"/>
            <w:vAlign w:val="center"/>
          </w:tcPr>
          <w:p w14:paraId="531E7775" w14:textId="77777777" w:rsidR="008E0E21" w:rsidRPr="00CB5596" w:rsidRDefault="008E0E21" w:rsidP="00777D20">
            <w:pPr>
              <w:pStyle w:val="In-tableHeading"/>
              <w:jc w:val="center"/>
              <w:rPr>
                <w:lang w:val="en-AU"/>
              </w:rPr>
            </w:pPr>
            <w:r w:rsidRPr="00CB5596">
              <w:rPr>
                <w:lang w:val="en-AU"/>
              </w:rPr>
              <w:t>Trial dose and duration</w:t>
            </w:r>
          </w:p>
        </w:tc>
        <w:tc>
          <w:tcPr>
            <w:tcW w:w="733" w:type="pct"/>
            <w:shd w:val="clear" w:color="auto" w:fill="auto"/>
            <w:vAlign w:val="center"/>
          </w:tcPr>
          <w:p w14:paraId="52D99FBD" w14:textId="77777777" w:rsidR="008E0E21" w:rsidRPr="00CB5596" w:rsidRDefault="008E0E21" w:rsidP="00777D20">
            <w:pPr>
              <w:pStyle w:val="In-tableHeading"/>
              <w:jc w:val="center"/>
              <w:rPr>
                <w:lang w:val="en-AU"/>
              </w:rPr>
            </w:pPr>
            <w:r w:rsidRPr="00CB5596">
              <w:rPr>
                <w:lang w:val="en-AU"/>
              </w:rPr>
              <w:t>Model</w:t>
            </w:r>
          </w:p>
        </w:tc>
        <w:tc>
          <w:tcPr>
            <w:tcW w:w="733" w:type="pct"/>
            <w:shd w:val="clear" w:color="auto" w:fill="auto"/>
            <w:vAlign w:val="center"/>
          </w:tcPr>
          <w:p w14:paraId="01D20682" w14:textId="77777777" w:rsidR="008E0E21" w:rsidRPr="00CB5596" w:rsidRDefault="008E0E21" w:rsidP="00777D20">
            <w:pPr>
              <w:pStyle w:val="In-tableHeading"/>
              <w:jc w:val="center"/>
              <w:rPr>
                <w:lang w:val="en-AU"/>
              </w:rPr>
            </w:pPr>
            <w:r w:rsidRPr="00CB5596">
              <w:rPr>
                <w:lang w:val="en-AU"/>
              </w:rPr>
              <w:t>Financial estimates</w:t>
            </w:r>
          </w:p>
        </w:tc>
        <w:tc>
          <w:tcPr>
            <w:tcW w:w="730" w:type="pct"/>
            <w:shd w:val="clear" w:color="auto" w:fill="auto"/>
            <w:vAlign w:val="center"/>
          </w:tcPr>
          <w:p w14:paraId="71504B77" w14:textId="77777777" w:rsidR="008E0E21" w:rsidRPr="00CB5596" w:rsidRDefault="008E0E21" w:rsidP="00777D20">
            <w:pPr>
              <w:pStyle w:val="In-tableHeading"/>
              <w:jc w:val="center"/>
              <w:rPr>
                <w:lang w:val="en-AU"/>
              </w:rPr>
            </w:pPr>
            <w:r w:rsidRPr="00CB5596">
              <w:rPr>
                <w:lang w:val="en-AU"/>
              </w:rPr>
              <w:t>Trial dose and duration</w:t>
            </w:r>
          </w:p>
        </w:tc>
        <w:tc>
          <w:tcPr>
            <w:tcW w:w="733" w:type="pct"/>
            <w:shd w:val="clear" w:color="auto" w:fill="auto"/>
            <w:vAlign w:val="center"/>
          </w:tcPr>
          <w:p w14:paraId="3D672E6E" w14:textId="77777777" w:rsidR="008E0E21" w:rsidRPr="00CB5596" w:rsidRDefault="008E0E21" w:rsidP="00777D20">
            <w:pPr>
              <w:pStyle w:val="In-tableHeading"/>
              <w:jc w:val="center"/>
              <w:rPr>
                <w:lang w:val="en-AU"/>
              </w:rPr>
            </w:pPr>
            <w:r w:rsidRPr="00CB5596">
              <w:rPr>
                <w:lang w:val="en-AU"/>
              </w:rPr>
              <w:t>Model</w:t>
            </w:r>
          </w:p>
        </w:tc>
        <w:tc>
          <w:tcPr>
            <w:tcW w:w="810" w:type="pct"/>
          </w:tcPr>
          <w:p w14:paraId="3A6CF4A6" w14:textId="77777777" w:rsidR="008E0E21" w:rsidRPr="00CB5596" w:rsidRDefault="008E0E21" w:rsidP="00777D20">
            <w:pPr>
              <w:pStyle w:val="In-tableHeading"/>
              <w:jc w:val="center"/>
              <w:rPr>
                <w:lang w:val="en-AU"/>
              </w:rPr>
            </w:pPr>
            <w:r w:rsidRPr="00CB5596">
              <w:rPr>
                <w:lang w:val="en-AU"/>
              </w:rPr>
              <w:t>Financial estimates</w:t>
            </w:r>
          </w:p>
        </w:tc>
      </w:tr>
      <w:tr w:rsidR="00AE188D" w:rsidRPr="00CB5596" w14:paraId="028A8373" w14:textId="77777777" w:rsidTr="009C7DA3">
        <w:trPr>
          <w:cantSplit/>
          <w:jc w:val="center"/>
        </w:trPr>
        <w:tc>
          <w:tcPr>
            <w:tcW w:w="536" w:type="pct"/>
            <w:shd w:val="clear" w:color="auto" w:fill="auto"/>
            <w:vAlign w:val="center"/>
          </w:tcPr>
          <w:p w14:paraId="6B1E599D" w14:textId="77777777" w:rsidR="00AB4DDA" w:rsidRPr="00CB5596" w:rsidRDefault="00AB4DDA" w:rsidP="00777D20">
            <w:pPr>
              <w:pStyle w:val="TableText0"/>
            </w:pPr>
            <w:r w:rsidRPr="00CB5596">
              <w:rPr>
                <w:lang w:val="en-US"/>
              </w:rPr>
              <w:t>Mean dose</w:t>
            </w:r>
          </w:p>
        </w:tc>
        <w:tc>
          <w:tcPr>
            <w:tcW w:w="725" w:type="pct"/>
            <w:shd w:val="clear" w:color="auto" w:fill="auto"/>
            <w:vAlign w:val="center"/>
          </w:tcPr>
          <w:p w14:paraId="52924397" w14:textId="77777777" w:rsidR="00AB4DDA" w:rsidRPr="00CB5596" w:rsidRDefault="00AB4DDA" w:rsidP="00777D20">
            <w:pPr>
              <w:pStyle w:val="TableText0"/>
              <w:jc w:val="center"/>
            </w:pPr>
            <w:r w:rsidRPr="00CB5596">
              <w:t>80 mg/day</w:t>
            </w:r>
          </w:p>
          <w:p w14:paraId="0660CFF4" w14:textId="5152012D" w:rsidR="00AB4DDA" w:rsidRPr="00CB5596" w:rsidRDefault="00D819B1" w:rsidP="00777D20">
            <w:pPr>
              <w:pStyle w:val="TableText0"/>
              <w:jc w:val="center"/>
            </w:pPr>
            <w:r w:rsidRPr="00CB5596">
              <w:rPr>
                <w:bCs w:val="0"/>
              </w:rPr>
              <w:t>Compliance rate</w:t>
            </w:r>
            <w:r w:rsidR="00CC5A0C" w:rsidRPr="00CB5596">
              <w:rPr>
                <w:bCs w:val="0"/>
              </w:rPr>
              <w:t xml:space="preserve">: </w:t>
            </w:r>
            <w:r w:rsidR="00EA2816" w:rsidRPr="00CB5596">
              <w:rPr>
                <w:bCs w:val="0"/>
              </w:rPr>
              <w:t>98.39</w:t>
            </w:r>
            <w:r w:rsidR="00897EBE" w:rsidRPr="00CB5596">
              <w:rPr>
                <w:bCs w:val="0"/>
              </w:rPr>
              <w:t>%</w:t>
            </w:r>
          </w:p>
        </w:tc>
        <w:tc>
          <w:tcPr>
            <w:tcW w:w="733" w:type="pct"/>
            <w:shd w:val="clear" w:color="auto" w:fill="auto"/>
            <w:vAlign w:val="center"/>
          </w:tcPr>
          <w:p w14:paraId="5880275A" w14:textId="77777777" w:rsidR="00AB4DDA" w:rsidRPr="00CB5596" w:rsidRDefault="00AB4DDA" w:rsidP="00777D20">
            <w:pPr>
              <w:pStyle w:val="TableText0"/>
              <w:jc w:val="center"/>
            </w:pPr>
            <w:r w:rsidRPr="00CB5596">
              <w:t>80 mg/day</w:t>
            </w:r>
          </w:p>
          <w:p w14:paraId="4B1682A8" w14:textId="3EFD443B" w:rsidR="00AB4DDA" w:rsidRPr="00CB5596" w:rsidRDefault="00942A88" w:rsidP="00777D20">
            <w:pPr>
              <w:pStyle w:val="TableText0"/>
              <w:jc w:val="center"/>
              <w:rPr>
                <w:b/>
              </w:rPr>
            </w:pPr>
            <w:r w:rsidRPr="00CB5596">
              <w:t>Compliance rate</w:t>
            </w:r>
            <w:r w:rsidR="00CC5A0C" w:rsidRPr="00CB5596">
              <w:t>:</w:t>
            </w:r>
            <w:r w:rsidRPr="00CB5596">
              <w:t xml:space="preserve"> 94.83%</w:t>
            </w:r>
          </w:p>
        </w:tc>
        <w:tc>
          <w:tcPr>
            <w:tcW w:w="733" w:type="pct"/>
            <w:shd w:val="clear" w:color="auto" w:fill="auto"/>
            <w:vAlign w:val="center"/>
          </w:tcPr>
          <w:p w14:paraId="399F37A8" w14:textId="77777777" w:rsidR="00AB4DDA" w:rsidRPr="00CB5596" w:rsidRDefault="00AB4DDA" w:rsidP="00777D20">
            <w:pPr>
              <w:pStyle w:val="TableText0"/>
              <w:jc w:val="center"/>
              <w:rPr>
                <w:b/>
              </w:rPr>
            </w:pPr>
            <w:r w:rsidRPr="00CB5596">
              <w:t>80 mg/day</w:t>
            </w:r>
          </w:p>
        </w:tc>
        <w:tc>
          <w:tcPr>
            <w:tcW w:w="730" w:type="pct"/>
            <w:shd w:val="clear" w:color="auto" w:fill="auto"/>
            <w:vAlign w:val="center"/>
          </w:tcPr>
          <w:p w14:paraId="43608575" w14:textId="63DD28A2" w:rsidR="00AB4DDA" w:rsidRPr="00CB5596" w:rsidRDefault="00AB4DDA" w:rsidP="00777D20">
            <w:pPr>
              <w:pStyle w:val="TableText0"/>
              <w:jc w:val="center"/>
            </w:pPr>
            <w:r w:rsidRPr="00CB5596">
              <w:t>5 mg (</w:t>
            </w:r>
            <w:r w:rsidR="00E12ED8" w:rsidRPr="00CB5596">
              <w:t>6</w:t>
            </w:r>
            <w:r w:rsidRPr="00CB5596">
              <w:t xml:space="preserve"> months)</w:t>
            </w:r>
            <w:r w:rsidR="009F6B3A">
              <w:t>;</w:t>
            </w:r>
            <w:r w:rsidRPr="00CB5596">
              <w:t xml:space="preserve"> </w:t>
            </w:r>
            <w:r w:rsidR="003B39A3" w:rsidRPr="00CB5596">
              <w:t>titrated to</w:t>
            </w:r>
            <w:r w:rsidRPr="00CB5596">
              <w:t xml:space="preserve"> </w:t>
            </w:r>
            <w:r w:rsidR="001A4A0F" w:rsidRPr="00CB5596">
              <w:br/>
            </w:r>
            <w:r w:rsidRPr="00CB5596">
              <w:t>10 mg/day</w:t>
            </w:r>
            <w:r w:rsidR="00041372">
              <w:t xml:space="preserve"> if </w:t>
            </w:r>
            <w:r w:rsidR="009F6B3A">
              <w:t>required</w:t>
            </w:r>
          </w:p>
          <w:p w14:paraId="2C26EC98" w14:textId="49574126" w:rsidR="00AB4DDA" w:rsidRPr="00CB5596" w:rsidRDefault="00942A88" w:rsidP="00777D20">
            <w:pPr>
              <w:pStyle w:val="TableText0"/>
              <w:jc w:val="center"/>
              <w:rPr>
                <w:b/>
              </w:rPr>
            </w:pPr>
            <w:r w:rsidRPr="00CB5596">
              <w:t>Compliance rate</w:t>
            </w:r>
            <w:r w:rsidR="00CC5A0C" w:rsidRPr="00CB5596">
              <w:t>:</w:t>
            </w:r>
            <w:r w:rsidRPr="00CB5596">
              <w:t xml:space="preserve"> NR</w:t>
            </w:r>
          </w:p>
        </w:tc>
        <w:tc>
          <w:tcPr>
            <w:tcW w:w="733" w:type="pct"/>
            <w:shd w:val="clear" w:color="auto" w:fill="auto"/>
            <w:vAlign w:val="center"/>
          </w:tcPr>
          <w:p w14:paraId="07B45A1D" w14:textId="165954B0" w:rsidR="00AB4DDA" w:rsidRPr="00CB5596" w:rsidRDefault="00AB4DDA" w:rsidP="00777D20">
            <w:pPr>
              <w:pStyle w:val="TableText0"/>
              <w:jc w:val="center"/>
            </w:pPr>
            <w:r w:rsidRPr="00CB5596">
              <w:t>5 mg (6 months)</w:t>
            </w:r>
            <w:r w:rsidR="009F6B3A">
              <w:t>;</w:t>
            </w:r>
            <w:r w:rsidRPr="00CB5596">
              <w:t xml:space="preserve"> </w:t>
            </w:r>
            <w:r w:rsidR="003B39A3" w:rsidRPr="00CB5596">
              <w:t xml:space="preserve">titrated to </w:t>
            </w:r>
            <w:r w:rsidR="00091483" w:rsidRPr="00CB5596">
              <w:br/>
            </w:r>
            <w:r w:rsidRPr="00CB5596">
              <w:t>10 mg/day</w:t>
            </w:r>
            <w:r w:rsidR="009F6B3A">
              <w:t xml:space="preserve"> if required</w:t>
            </w:r>
          </w:p>
          <w:p w14:paraId="6C4F3E69" w14:textId="18F5B5F2" w:rsidR="00AB4DDA" w:rsidRPr="00CB5596" w:rsidRDefault="00942A88" w:rsidP="00777D20">
            <w:pPr>
              <w:pStyle w:val="TableText0"/>
              <w:jc w:val="center"/>
              <w:rPr>
                <w:b/>
              </w:rPr>
            </w:pPr>
            <w:r w:rsidRPr="00CB5596">
              <w:t>Compliance rate</w:t>
            </w:r>
            <w:r w:rsidR="00CC5A0C" w:rsidRPr="00CB5596">
              <w:t>:</w:t>
            </w:r>
            <w:r w:rsidRPr="00CB5596">
              <w:t xml:space="preserve"> 94.83%</w:t>
            </w:r>
          </w:p>
        </w:tc>
        <w:tc>
          <w:tcPr>
            <w:tcW w:w="810" w:type="pct"/>
            <w:vAlign w:val="center"/>
          </w:tcPr>
          <w:p w14:paraId="371A2F04" w14:textId="17780271" w:rsidR="00AB4DDA" w:rsidRPr="00CB5596" w:rsidRDefault="00AB4DDA" w:rsidP="00777D20">
            <w:pPr>
              <w:pStyle w:val="TableText0"/>
              <w:jc w:val="center"/>
              <w:rPr>
                <w:b/>
              </w:rPr>
            </w:pPr>
            <w:r w:rsidRPr="00CB5596">
              <w:t xml:space="preserve">5 </w:t>
            </w:r>
            <w:r w:rsidR="003B39A3" w:rsidRPr="00CB5596">
              <w:t>-</w:t>
            </w:r>
            <w:r w:rsidRPr="00CB5596">
              <w:t xml:space="preserve"> 10 mg/day</w:t>
            </w:r>
          </w:p>
        </w:tc>
      </w:tr>
      <w:tr w:rsidR="00AE188D" w:rsidRPr="00CB5596" w14:paraId="50AA0B71" w14:textId="77777777" w:rsidTr="009C7DA3">
        <w:trPr>
          <w:cantSplit/>
          <w:jc w:val="center"/>
        </w:trPr>
        <w:tc>
          <w:tcPr>
            <w:tcW w:w="536" w:type="pct"/>
            <w:shd w:val="clear" w:color="auto" w:fill="auto"/>
            <w:vAlign w:val="center"/>
          </w:tcPr>
          <w:p w14:paraId="16E181D6" w14:textId="77777777" w:rsidR="00AB4DDA" w:rsidRPr="00CB5596" w:rsidRDefault="00AB4DDA" w:rsidP="00777D20">
            <w:pPr>
              <w:pStyle w:val="TableText0"/>
            </w:pPr>
            <w:r w:rsidRPr="00CB5596">
              <w:t>Mean duration</w:t>
            </w:r>
          </w:p>
        </w:tc>
        <w:tc>
          <w:tcPr>
            <w:tcW w:w="725" w:type="pct"/>
            <w:shd w:val="clear" w:color="auto" w:fill="auto"/>
            <w:vAlign w:val="center"/>
          </w:tcPr>
          <w:p w14:paraId="643EA4EA" w14:textId="2DA83387" w:rsidR="00AB4DDA" w:rsidRPr="00CB5596" w:rsidRDefault="006F3404" w:rsidP="00777D20">
            <w:pPr>
              <w:pStyle w:val="TableText0"/>
              <w:jc w:val="center"/>
            </w:pPr>
            <w:r w:rsidRPr="00CB5596">
              <w:t>Discontinuation rate:</w:t>
            </w:r>
            <w:r w:rsidR="00AE188D" w:rsidRPr="00CB5596">
              <w:t xml:space="preserve"> </w:t>
            </w:r>
            <w:r w:rsidR="00AB4DDA" w:rsidRPr="00CB5596">
              <w:t>8</w:t>
            </w:r>
            <w:r w:rsidR="00C0236A" w:rsidRPr="00CB5596">
              <w:t>.3</w:t>
            </w:r>
            <w:r w:rsidR="00AB4DDA" w:rsidRPr="00CB5596">
              <w:t xml:space="preserve">% </w:t>
            </w:r>
            <w:r w:rsidR="00D556BA" w:rsidRPr="00CB5596">
              <w:t xml:space="preserve">at </w:t>
            </w:r>
            <w:r w:rsidR="00CC5A0C" w:rsidRPr="00CB5596">
              <w:t>W</w:t>
            </w:r>
            <w:r w:rsidR="00D556BA" w:rsidRPr="00CB5596">
              <w:t>eek 52</w:t>
            </w:r>
          </w:p>
        </w:tc>
        <w:tc>
          <w:tcPr>
            <w:tcW w:w="733" w:type="pct"/>
            <w:shd w:val="clear" w:color="auto" w:fill="auto"/>
            <w:vAlign w:val="center"/>
          </w:tcPr>
          <w:p w14:paraId="5249A25D" w14:textId="43D7BBFF" w:rsidR="00AB4DDA" w:rsidRPr="00CB5596" w:rsidRDefault="004B6C28" w:rsidP="00777D20">
            <w:pPr>
              <w:pStyle w:val="TableText0"/>
              <w:jc w:val="center"/>
              <w:rPr>
                <w:b/>
              </w:rPr>
            </w:pPr>
            <w:r w:rsidRPr="00CB5596">
              <w:t>Discontinuation rate:</w:t>
            </w:r>
            <w:r w:rsidR="00AE188D" w:rsidRPr="00CB5596">
              <w:t xml:space="preserve"> </w:t>
            </w:r>
            <w:r w:rsidR="00DD64FA" w:rsidRPr="00CB5596">
              <w:t xml:space="preserve">12.09% at </w:t>
            </w:r>
            <w:r w:rsidR="000A0955" w:rsidRPr="00CB5596">
              <w:t>1 year</w:t>
            </w:r>
          </w:p>
        </w:tc>
        <w:tc>
          <w:tcPr>
            <w:tcW w:w="733" w:type="pct"/>
            <w:shd w:val="clear" w:color="auto" w:fill="auto"/>
            <w:vAlign w:val="center"/>
          </w:tcPr>
          <w:p w14:paraId="6DE69F33" w14:textId="7085CC90" w:rsidR="00AB4DDA" w:rsidRPr="00CB5596" w:rsidRDefault="0009728D" w:rsidP="00777D20">
            <w:pPr>
              <w:pStyle w:val="TableText0"/>
              <w:jc w:val="center"/>
              <w:rPr>
                <w:b/>
              </w:rPr>
            </w:pPr>
            <w:r w:rsidRPr="00CB5596">
              <w:t>72 months</w:t>
            </w:r>
          </w:p>
        </w:tc>
        <w:tc>
          <w:tcPr>
            <w:tcW w:w="730" w:type="pct"/>
            <w:shd w:val="clear" w:color="auto" w:fill="auto"/>
            <w:vAlign w:val="center"/>
          </w:tcPr>
          <w:p w14:paraId="43766A6D" w14:textId="464E2C32" w:rsidR="00AB4DDA" w:rsidRPr="00807FD7" w:rsidRDefault="002958C1" w:rsidP="00777D20">
            <w:pPr>
              <w:pStyle w:val="TableText0"/>
              <w:jc w:val="center"/>
              <w:rPr>
                <w:b/>
                <w:lang w:val="it-IT"/>
              </w:rPr>
            </w:pPr>
            <w:r w:rsidRPr="00807FD7">
              <w:rPr>
                <w:lang w:val="it-IT"/>
              </w:rPr>
              <w:t>Discontinuation rate:</w:t>
            </w:r>
            <w:r w:rsidR="00AE188D" w:rsidRPr="00807FD7">
              <w:rPr>
                <w:lang w:val="it-IT"/>
              </w:rPr>
              <w:t xml:space="preserve"> </w:t>
            </w:r>
            <w:r w:rsidRPr="00807FD7">
              <w:rPr>
                <w:lang w:val="it-IT"/>
              </w:rPr>
              <w:t>OCA 5mg-10mg 9.9%</w:t>
            </w:r>
            <w:r w:rsidR="009C7DA3" w:rsidRPr="00807FD7">
              <w:rPr>
                <w:lang w:val="it-IT"/>
              </w:rPr>
              <w:t xml:space="preserve">; </w:t>
            </w:r>
            <w:r w:rsidRPr="00807FD7">
              <w:rPr>
                <w:lang w:val="it-IT"/>
              </w:rPr>
              <w:t>OCA 10mg</w:t>
            </w:r>
            <w:r w:rsidR="009C7DA3" w:rsidRPr="00807FD7">
              <w:rPr>
                <w:lang w:val="it-IT"/>
              </w:rPr>
              <w:t xml:space="preserve"> </w:t>
            </w:r>
            <w:r w:rsidR="00297001" w:rsidRPr="00807FD7">
              <w:rPr>
                <w:lang w:val="it-IT"/>
              </w:rPr>
              <w:t>12.3%</w:t>
            </w:r>
          </w:p>
        </w:tc>
        <w:tc>
          <w:tcPr>
            <w:tcW w:w="733" w:type="pct"/>
            <w:shd w:val="clear" w:color="auto" w:fill="auto"/>
            <w:vAlign w:val="center"/>
          </w:tcPr>
          <w:p w14:paraId="30DDBE07" w14:textId="24A11520" w:rsidR="00AB4DDA" w:rsidRPr="00CB5596" w:rsidRDefault="004B6C28" w:rsidP="00777D20">
            <w:pPr>
              <w:pStyle w:val="TableText0"/>
              <w:jc w:val="center"/>
              <w:rPr>
                <w:b/>
              </w:rPr>
            </w:pPr>
            <w:r w:rsidRPr="00CB5596">
              <w:t>Discontinuation rate:</w:t>
            </w:r>
            <w:r w:rsidR="003525E0" w:rsidRPr="00CB5596">
              <w:t xml:space="preserve"> </w:t>
            </w:r>
            <w:r w:rsidR="008E5D81" w:rsidRPr="00CB5596">
              <w:t>25.61</w:t>
            </w:r>
            <w:r w:rsidR="003525E0" w:rsidRPr="00CB5596">
              <w:t xml:space="preserve">% at 1 year. </w:t>
            </w:r>
          </w:p>
        </w:tc>
        <w:tc>
          <w:tcPr>
            <w:tcW w:w="810" w:type="pct"/>
            <w:vAlign w:val="center"/>
          </w:tcPr>
          <w:p w14:paraId="45CFD1A2" w14:textId="5F130EBE" w:rsidR="00AB4DDA" w:rsidRPr="00CB5596" w:rsidRDefault="0009728D" w:rsidP="00777D20">
            <w:pPr>
              <w:pStyle w:val="TableText0"/>
              <w:jc w:val="center"/>
              <w:rPr>
                <w:b/>
              </w:rPr>
            </w:pPr>
            <w:r w:rsidRPr="00CB5596">
              <w:t>72 months</w:t>
            </w:r>
          </w:p>
        </w:tc>
      </w:tr>
      <w:tr w:rsidR="00AE188D" w:rsidRPr="00CB5596" w14:paraId="0BBEC9C0" w14:textId="77777777" w:rsidTr="009C7DA3">
        <w:trPr>
          <w:cantSplit/>
          <w:jc w:val="center"/>
        </w:trPr>
        <w:tc>
          <w:tcPr>
            <w:tcW w:w="536" w:type="pct"/>
            <w:shd w:val="clear" w:color="auto" w:fill="auto"/>
            <w:vAlign w:val="center"/>
          </w:tcPr>
          <w:p w14:paraId="722B9158" w14:textId="77777777" w:rsidR="00AE188D" w:rsidRPr="00CB5596" w:rsidRDefault="00AB4DDA" w:rsidP="00777D20">
            <w:pPr>
              <w:pStyle w:val="TableText0"/>
            </w:pPr>
            <w:r w:rsidRPr="00CB5596">
              <w:t>Cost/patient/</w:t>
            </w:r>
          </w:p>
          <w:p w14:paraId="2685D4DB" w14:textId="1D4B709A" w:rsidR="00AB4DDA" w:rsidRPr="00CB5596" w:rsidRDefault="00AB4DDA" w:rsidP="00777D20">
            <w:pPr>
              <w:pStyle w:val="TableText0"/>
            </w:pPr>
            <w:r w:rsidRPr="00CB5596">
              <w:t>month</w:t>
            </w:r>
          </w:p>
        </w:tc>
        <w:tc>
          <w:tcPr>
            <w:tcW w:w="725" w:type="pct"/>
            <w:shd w:val="clear" w:color="auto" w:fill="auto"/>
            <w:vAlign w:val="center"/>
          </w:tcPr>
          <w:p w14:paraId="77439120" w14:textId="072473AB" w:rsidR="00AB4DDA" w:rsidRPr="00CB5596" w:rsidRDefault="00D70E4D" w:rsidP="00D70E4D">
            <w:pPr>
              <w:jc w:val="center"/>
              <w:rPr>
                <w:rFonts w:ascii="Arial Narrow" w:eastAsiaTheme="majorEastAsia" w:hAnsi="Arial Narrow" w:cstheme="majorBidi"/>
                <w:sz w:val="20"/>
                <w:szCs w:val="20"/>
              </w:rPr>
            </w:pPr>
            <w:r w:rsidRPr="00CB5596">
              <w:rPr>
                <w:rFonts w:ascii="Arial Narrow" w:hAnsi="Arial Narrow"/>
                <w:sz w:val="20"/>
                <w:szCs w:val="20"/>
              </w:rPr>
              <w:t>$</w:t>
            </w:r>
            <w:r w:rsidR="00B55D47" w:rsidRPr="00B55D47">
              <w:rPr>
                <w:rFonts w:ascii="Arial Narrow" w:hAnsi="Arial Narrow"/>
                <w:color w:val="000000"/>
                <w:sz w:val="20"/>
                <w:szCs w:val="20"/>
                <w:shd w:val="solid" w:color="000000" w:fill="000000"/>
                <w14:textFill>
                  <w14:solidFill>
                    <w14:srgbClr w14:val="000000">
                      <w14:alpha w14:val="100000"/>
                    </w14:srgbClr>
                  </w14:solidFill>
                </w14:textFill>
              </w:rPr>
              <w:t>|</w:t>
            </w:r>
            <w:r w:rsidRPr="00336406">
              <w:rPr>
                <w:rFonts w:ascii="Arial Narrow" w:hAnsi="Arial Narrow"/>
                <w:sz w:val="20"/>
                <w:szCs w:val="20"/>
                <w:vertAlign w:val="superscript"/>
              </w:rPr>
              <w:t>a</w:t>
            </w:r>
          </w:p>
        </w:tc>
        <w:tc>
          <w:tcPr>
            <w:tcW w:w="733" w:type="pct"/>
            <w:shd w:val="clear" w:color="auto" w:fill="auto"/>
            <w:vAlign w:val="center"/>
          </w:tcPr>
          <w:p w14:paraId="762361F9" w14:textId="116D5488" w:rsidR="00AB4DDA" w:rsidRPr="00CB5596" w:rsidRDefault="00D70E4D" w:rsidP="00777D20">
            <w:pPr>
              <w:pStyle w:val="TableText0"/>
              <w:jc w:val="center"/>
              <w:rPr>
                <w:szCs w:val="20"/>
                <w:highlight w:val="yellow"/>
              </w:rPr>
            </w:pPr>
            <w:r w:rsidRPr="00CB5596">
              <w:rPr>
                <w:szCs w:val="20"/>
              </w:rPr>
              <w:t>$</w:t>
            </w:r>
            <w:r w:rsidR="00B55D47" w:rsidRPr="00B55D47">
              <w:rPr>
                <w:color w:val="000000"/>
                <w:szCs w:val="20"/>
                <w:shd w:val="solid" w:color="000000" w:fill="000000"/>
                <w14:textFill>
                  <w14:solidFill>
                    <w14:srgbClr w14:val="000000">
                      <w14:alpha w14:val="100000"/>
                    </w14:srgbClr>
                  </w14:solidFill>
                </w14:textFill>
              </w:rPr>
              <w:t>|</w:t>
            </w:r>
            <w:r w:rsidRPr="00CB5596">
              <w:rPr>
                <w:szCs w:val="20"/>
                <w:vertAlign w:val="superscript"/>
              </w:rPr>
              <w:t>b</w:t>
            </w:r>
          </w:p>
        </w:tc>
        <w:tc>
          <w:tcPr>
            <w:tcW w:w="733" w:type="pct"/>
            <w:shd w:val="clear" w:color="auto" w:fill="auto"/>
            <w:vAlign w:val="center"/>
          </w:tcPr>
          <w:p w14:paraId="0467AC2B" w14:textId="77777777" w:rsidR="00D70E4D" w:rsidRPr="00CB5596" w:rsidRDefault="00FB5E7E" w:rsidP="00D70E4D">
            <w:pPr>
              <w:pStyle w:val="TableText0"/>
              <w:jc w:val="center"/>
            </w:pPr>
            <w:r w:rsidRPr="00CB5596">
              <w:t xml:space="preserve">Effective </w:t>
            </w:r>
            <w:r w:rsidR="00AB4DDA" w:rsidRPr="00CB5596">
              <w:t>DPMQ:</w:t>
            </w:r>
          </w:p>
          <w:p w14:paraId="46727648" w14:textId="2A4B87B0" w:rsidR="00AB4DDA" w:rsidRPr="00CB5596" w:rsidRDefault="00AB4DDA" w:rsidP="00777D20">
            <w:pPr>
              <w:pStyle w:val="TableText0"/>
              <w:jc w:val="center"/>
            </w:pPr>
            <w:r w:rsidRPr="00CB5596">
              <w:t>$</w:t>
            </w:r>
            <w:r w:rsidR="00B55D47" w:rsidRPr="00B55D47">
              <w:rPr>
                <w:color w:val="000000"/>
                <w:shd w:val="solid" w:color="000000" w:fill="000000"/>
                <w14:textFill>
                  <w14:solidFill>
                    <w14:srgbClr w14:val="000000">
                      <w14:alpha w14:val="100000"/>
                    </w14:srgbClr>
                  </w14:solidFill>
                </w14:textFill>
              </w:rPr>
              <w:t>|</w:t>
            </w:r>
          </w:p>
        </w:tc>
        <w:tc>
          <w:tcPr>
            <w:tcW w:w="730" w:type="pct"/>
            <w:shd w:val="clear" w:color="auto" w:fill="auto"/>
            <w:vAlign w:val="center"/>
          </w:tcPr>
          <w:p w14:paraId="3030867E" w14:textId="588988EE" w:rsidR="00AB4DDA" w:rsidRPr="00CB5596" w:rsidRDefault="00AB4DDA" w:rsidP="00777D20">
            <w:pPr>
              <w:pStyle w:val="TableText0"/>
              <w:jc w:val="center"/>
            </w:pPr>
            <w:r w:rsidRPr="00CB5596">
              <w:t>NR</w:t>
            </w:r>
          </w:p>
        </w:tc>
        <w:tc>
          <w:tcPr>
            <w:tcW w:w="733" w:type="pct"/>
            <w:shd w:val="clear" w:color="auto" w:fill="auto"/>
            <w:vAlign w:val="center"/>
          </w:tcPr>
          <w:p w14:paraId="50A45D8C" w14:textId="37437A29" w:rsidR="00AB4DDA" w:rsidRPr="00CB5596" w:rsidRDefault="00D70E4D" w:rsidP="00777D20">
            <w:pPr>
              <w:pStyle w:val="TableText0"/>
              <w:jc w:val="center"/>
            </w:pPr>
            <w:r w:rsidRPr="00CB5596">
              <w:t>$3,650</w:t>
            </w:r>
            <w:r w:rsidRPr="00CB5596">
              <w:rPr>
                <w:vertAlign w:val="superscript"/>
              </w:rPr>
              <w:t>c</w:t>
            </w:r>
          </w:p>
        </w:tc>
        <w:tc>
          <w:tcPr>
            <w:tcW w:w="810" w:type="pct"/>
            <w:vAlign w:val="center"/>
          </w:tcPr>
          <w:p w14:paraId="7AEA6F55" w14:textId="77777777" w:rsidR="00D70E4D" w:rsidRPr="00CB5596" w:rsidRDefault="005C5C8D" w:rsidP="00D70E4D">
            <w:pPr>
              <w:pStyle w:val="TableText0"/>
              <w:jc w:val="center"/>
            </w:pPr>
            <w:r w:rsidRPr="00CB5596">
              <w:t xml:space="preserve">Published </w:t>
            </w:r>
            <w:r w:rsidR="00AB4DDA" w:rsidRPr="00CB5596">
              <w:t>DPMQ:</w:t>
            </w:r>
          </w:p>
          <w:p w14:paraId="4CA5B287" w14:textId="12CB59BD" w:rsidR="00AB4DDA" w:rsidRPr="00CB5596" w:rsidRDefault="00AB4DDA" w:rsidP="00777D20">
            <w:pPr>
              <w:pStyle w:val="TableText0"/>
              <w:jc w:val="center"/>
            </w:pPr>
            <w:r w:rsidRPr="00CB5596">
              <w:t>$3,</w:t>
            </w:r>
            <w:r w:rsidR="00D70E4D" w:rsidRPr="00CB5596">
              <w:t>79</w:t>
            </w:r>
            <w:r w:rsidR="00EF6F93">
              <w:t>3.60</w:t>
            </w:r>
          </w:p>
        </w:tc>
      </w:tr>
      <w:tr w:rsidR="00AE188D" w:rsidRPr="00CB5596" w14:paraId="494568FC" w14:textId="77777777" w:rsidTr="009C7DA3">
        <w:trPr>
          <w:cantSplit/>
          <w:jc w:val="center"/>
        </w:trPr>
        <w:tc>
          <w:tcPr>
            <w:tcW w:w="536" w:type="pct"/>
            <w:shd w:val="clear" w:color="auto" w:fill="auto"/>
            <w:vAlign w:val="center"/>
          </w:tcPr>
          <w:p w14:paraId="314E8306" w14:textId="413B0079" w:rsidR="00AB4DDA" w:rsidRPr="00CB5596" w:rsidRDefault="00AB4DDA" w:rsidP="00777D20">
            <w:pPr>
              <w:pStyle w:val="TableText0"/>
            </w:pPr>
            <w:r w:rsidRPr="00CB5596">
              <w:t>Cost/patient/</w:t>
            </w:r>
            <w:r w:rsidR="00911A5A" w:rsidRPr="00CB5596">
              <w:t xml:space="preserve"> </w:t>
            </w:r>
            <w:r w:rsidRPr="00CB5596">
              <w:t>year</w:t>
            </w:r>
          </w:p>
        </w:tc>
        <w:tc>
          <w:tcPr>
            <w:tcW w:w="725" w:type="pct"/>
            <w:shd w:val="clear" w:color="auto" w:fill="auto"/>
            <w:vAlign w:val="center"/>
          </w:tcPr>
          <w:p w14:paraId="2C054078" w14:textId="29CDAEDB" w:rsidR="00AB4DDA" w:rsidRPr="00CB5596" w:rsidRDefault="00AB4DDA" w:rsidP="00777D20">
            <w:pPr>
              <w:pStyle w:val="TableText0"/>
              <w:jc w:val="center"/>
            </w:pPr>
            <w:r w:rsidRPr="00CB5596">
              <w:t>NR</w:t>
            </w:r>
          </w:p>
        </w:tc>
        <w:tc>
          <w:tcPr>
            <w:tcW w:w="733" w:type="pct"/>
            <w:shd w:val="clear" w:color="auto" w:fill="auto"/>
            <w:vAlign w:val="center"/>
          </w:tcPr>
          <w:p w14:paraId="6086F36A" w14:textId="5AFFB827" w:rsidR="00AB4DDA" w:rsidRPr="00CB5596" w:rsidRDefault="00D70E4D" w:rsidP="00777D20">
            <w:pPr>
              <w:pStyle w:val="TableText0"/>
              <w:jc w:val="center"/>
              <w:rPr>
                <w:highlight w:val="yellow"/>
              </w:rPr>
            </w:pPr>
            <w:r w:rsidRPr="00CB5596">
              <w:t>$</w:t>
            </w:r>
            <w:r w:rsidR="00B55D47" w:rsidRPr="00B55D47">
              <w:rPr>
                <w:color w:val="000000"/>
                <w:shd w:val="solid" w:color="000000" w:fill="000000"/>
                <w14:textFill>
                  <w14:solidFill>
                    <w14:srgbClr w14:val="000000">
                      <w14:alpha w14:val="100000"/>
                    </w14:srgbClr>
                  </w14:solidFill>
                </w14:textFill>
              </w:rPr>
              <w:t>|</w:t>
            </w:r>
            <w:r w:rsidRPr="00CB5596">
              <w:rPr>
                <w:vertAlign w:val="superscript"/>
              </w:rPr>
              <w:t>d</w:t>
            </w:r>
          </w:p>
        </w:tc>
        <w:tc>
          <w:tcPr>
            <w:tcW w:w="733" w:type="pct"/>
            <w:shd w:val="clear" w:color="auto" w:fill="auto"/>
            <w:vAlign w:val="center"/>
          </w:tcPr>
          <w:p w14:paraId="34350FB6" w14:textId="5C2CB66F" w:rsidR="00AB4DDA" w:rsidRPr="00CB5596" w:rsidRDefault="00AB4DDA" w:rsidP="00777D20">
            <w:pPr>
              <w:pStyle w:val="TableText0"/>
              <w:jc w:val="center"/>
            </w:pPr>
            <w:r w:rsidRPr="00CB5596">
              <w:t>$</w:t>
            </w:r>
            <w:r w:rsidR="00B55D47" w:rsidRPr="00B55D47">
              <w:rPr>
                <w:color w:val="000000"/>
                <w:shd w:val="solid" w:color="000000" w:fill="000000"/>
                <w14:textFill>
                  <w14:solidFill>
                    <w14:srgbClr w14:val="000000">
                      <w14:alpha w14:val="100000"/>
                    </w14:srgbClr>
                  </w14:solidFill>
                </w14:textFill>
              </w:rPr>
              <w:t>|</w:t>
            </w:r>
            <w:r w:rsidR="00D70E4D" w:rsidRPr="00CB5596">
              <w:rPr>
                <w:vertAlign w:val="superscript"/>
              </w:rPr>
              <w:t>e</w:t>
            </w:r>
          </w:p>
        </w:tc>
        <w:tc>
          <w:tcPr>
            <w:tcW w:w="730" w:type="pct"/>
            <w:shd w:val="clear" w:color="auto" w:fill="auto"/>
            <w:vAlign w:val="center"/>
          </w:tcPr>
          <w:p w14:paraId="72A889AA" w14:textId="0758D54A" w:rsidR="00AB4DDA" w:rsidRPr="00CB5596" w:rsidRDefault="00D70E4D" w:rsidP="00777D20">
            <w:pPr>
              <w:pStyle w:val="TableText0"/>
              <w:jc w:val="center"/>
            </w:pPr>
            <w:r w:rsidRPr="00CB5596">
              <w:t>NR</w:t>
            </w:r>
          </w:p>
        </w:tc>
        <w:tc>
          <w:tcPr>
            <w:tcW w:w="733" w:type="pct"/>
            <w:shd w:val="clear" w:color="auto" w:fill="auto"/>
            <w:vAlign w:val="center"/>
          </w:tcPr>
          <w:p w14:paraId="46B622B6" w14:textId="3EB2C5FE" w:rsidR="00AB4DDA" w:rsidRPr="00CB5596" w:rsidRDefault="00D70E4D" w:rsidP="00777D20">
            <w:pPr>
              <w:pStyle w:val="TableText0"/>
              <w:jc w:val="center"/>
            </w:pPr>
            <w:r w:rsidRPr="00CB5596">
              <w:t>$41,831</w:t>
            </w:r>
            <w:r w:rsidRPr="00CB5596">
              <w:rPr>
                <w:vertAlign w:val="superscript"/>
              </w:rPr>
              <w:t>d</w:t>
            </w:r>
          </w:p>
        </w:tc>
        <w:tc>
          <w:tcPr>
            <w:tcW w:w="810" w:type="pct"/>
            <w:vAlign w:val="center"/>
          </w:tcPr>
          <w:p w14:paraId="545E85F2" w14:textId="3B61E17C" w:rsidR="00AB4DDA" w:rsidRPr="00CB5596" w:rsidRDefault="000E68B8" w:rsidP="00777D20">
            <w:pPr>
              <w:pStyle w:val="TableText0"/>
              <w:jc w:val="center"/>
            </w:pPr>
            <w:r w:rsidRPr="00CB5596">
              <w:t>$46,</w:t>
            </w:r>
            <w:r w:rsidR="00D70E4D" w:rsidRPr="00CB5596">
              <w:t>187</w:t>
            </w:r>
            <w:r w:rsidR="00D70E4D" w:rsidRPr="00CB5596">
              <w:rPr>
                <w:vertAlign w:val="superscript"/>
              </w:rPr>
              <w:t>f</w:t>
            </w:r>
          </w:p>
        </w:tc>
      </w:tr>
    </w:tbl>
    <w:p w14:paraId="6A8609BC" w14:textId="31B1D8EC" w:rsidR="00557066" w:rsidRPr="00CB5596" w:rsidRDefault="00557066" w:rsidP="00557066">
      <w:pPr>
        <w:pStyle w:val="TableFigureFooter"/>
      </w:pPr>
      <w:r w:rsidRPr="00CB5596">
        <w:t xml:space="preserve">Source: Complied during the evaluation from </w:t>
      </w:r>
      <w:r w:rsidR="00F30B55" w:rsidRPr="00CB5596">
        <w:t xml:space="preserve">p69 </w:t>
      </w:r>
      <w:r w:rsidR="000A528A" w:rsidRPr="00CB5596">
        <w:t xml:space="preserve">and p153 </w:t>
      </w:r>
      <w:r w:rsidR="00F30B55" w:rsidRPr="00CB5596">
        <w:t xml:space="preserve">of the submission, </w:t>
      </w:r>
      <w:r w:rsidR="003D0A32" w:rsidRPr="00CB5596">
        <w:t xml:space="preserve">Table 11, p78 of ELATIVE CSR (gft505b3191 </w:t>
      </w:r>
      <w:proofErr w:type="spellStart"/>
      <w:r w:rsidR="003D0A32" w:rsidRPr="00CB5596">
        <w:t>csr</w:t>
      </w:r>
      <w:proofErr w:type="spellEnd"/>
      <w:r w:rsidR="003D0A32" w:rsidRPr="00CB5596">
        <w:t xml:space="preserve"> body</w:t>
      </w:r>
      <w:r w:rsidR="000F5E96" w:rsidRPr="00CB5596">
        <w:t xml:space="preserve">-final.pdf), </w:t>
      </w:r>
      <w:r w:rsidRPr="00CB5596">
        <w:t>Sheet,’ Data Store’, cells C232:M248</w:t>
      </w:r>
    </w:p>
    <w:p w14:paraId="33306B82" w14:textId="593C17CB" w:rsidR="00557066" w:rsidRPr="00CB5596" w:rsidRDefault="007D5E17" w:rsidP="00557066">
      <w:pPr>
        <w:pStyle w:val="TableFigureFooter"/>
      </w:pPr>
      <w:r w:rsidRPr="00CB5596">
        <w:t xml:space="preserve">DPMQ = </w:t>
      </w:r>
      <w:r w:rsidR="009378EA" w:rsidRPr="00CB5596">
        <w:t xml:space="preserve">Dispensed Price for Maximum Quantity; </w:t>
      </w:r>
      <w:r w:rsidR="00557066" w:rsidRPr="00CB5596">
        <w:t xml:space="preserve">ELA = </w:t>
      </w:r>
      <w:proofErr w:type="spellStart"/>
      <w:r w:rsidR="00557066" w:rsidRPr="00CB5596">
        <w:t>elafibranor</w:t>
      </w:r>
      <w:proofErr w:type="spellEnd"/>
      <w:r w:rsidR="00557066" w:rsidRPr="00CB5596">
        <w:t xml:space="preserve">; </w:t>
      </w:r>
      <w:r w:rsidRPr="00CB5596">
        <w:t xml:space="preserve">NR = Not reported; </w:t>
      </w:r>
      <w:r w:rsidR="00557066" w:rsidRPr="00CB5596">
        <w:t xml:space="preserve">OCA = </w:t>
      </w:r>
      <w:proofErr w:type="spellStart"/>
      <w:r w:rsidR="00557066" w:rsidRPr="00CB5596">
        <w:t>obeticholic</w:t>
      </w:r>
      <w:proofErr w:type="spellEnd"/>
      <w:r w:rsidR="00557066" w:rsidRPr="00CB5596">
        <w:t xml:space="preserve"> acid; UDCA = </w:t>
      </w:r>
      <w:r w:rsidR="003D7DB9" w:rsidRPr="00CB5596">
        <w:t>u</w:t>
      </w:r>
      <w:r w:rsidR="00557066" w:rsidRPr="00CB5596">
        <w:t xml:space="preserve">rsodeoxycholic </w:t>
      </w:r>
      <w:r w:rsidR="003D7DB9" w:rsidRPr="00CB5596">
        <w:t>a</w:t>
      </w:r>
      <w:r w:rsidR="00557066" w:rsidRPr="00CB5596">
        <w:t>cid.</w:t>
      </w:r>
    </w:p>
    <w:p w14:paraId="4186D74F" w14:textId="45DDE232" w:rsidR="002A755C" w:rsidRPr="00CB5596" w:rsidRDefault="002A755C" w:rsidP="002A755C">
      <w:pPr>
        <w:pStyle w:val="TableFigureFooter"/>
      </w:pPr>
      <w:r w:rsidRPr="00CB5596">
        <w:rPr>
          <w:vertAlign w:val="superscript"/>
        </w:rPr>
        <w:t>a</w:t>
      </w:r>
      <w:r w:rsidRPr="00CB5596">
        <w:t xml:space="preserve"> $</w:t>
      </w:r>
      <w:r w:rsidR="00B55D47" w:rsidRPr="00B55D47">
        <w:rPr>
          <w:color w:val="000000"/>
          <w:spacing w:val="213"/>
          <w:shd w:val="solid" w:color="000000" w:fill="000000"/>
          <w:fitText w:val="290" w:id="-694465017"/>
          <w14:textFill>
            <w14:solidFill>
              <w14:srgbClr w14:val="000000">
                <w14:alpha w14:val="100000"/>
              </w14:srgbClr>
            </w14:solidFill>
          </w14:textFill>
        </w:rPr>
        <w:t>|</w:t>
      </w:r>
      <w:r w:rsidR="00B55D47" w:rsidRPr="00B55D47">
        <w:rPr>
          <w:color w:val="000000"/>
          <w:spacing w:val="1"/>
          <w:shd w:val="solid" w:color="000000" w:fill="000000"/>
          <w:fitText w:val="290" w:id="-694465017"/>
          <w14:textFill>
            <w14:solidFill>
              <w14:srgbClr w14:val="000000">
                <w14:alpha w14:val="100000"/>
              </w14:srgbClr>
            </w14:solidFill>
          </w14:textFill>
        </w:rPr>
        <w:t>|</w:t>
      </w:r>
      <w:r w:rsidRPr="00CB5596">
        <w:t>/30*(365.25/12)*98.39%</w:t>
      </w:r>
    </w:p>
    <w:p w14:paraId="6CFED1FB" w14:textId="5B7E9F55" w:rsidR="002A755C" w:rsidRPr="00CB5596" w:rsidRDefault="002A755C" w:rsidP="002A755C">
      <w:pPr>
        <w:pStyle w:val="TableFigureFooter"/>
      </w:pPr>
      <w:r w:rsidRPr="00CB5596">
        <w:rPr>
          <w:vertAlign w:val="superscript"/>
        </w:rPr>
        <w:t>b</w:t>
      </w:r>
      <w:r w:rsidRPr="00CB5596">
        <w:t xml:space="preserve"> $</w:t>
      </w:r>
      <w:r w:rsidR="00B55D47" w:rsidRPr="00B55D47">
        <w:rPr>
          <w:color w:val="000000"/>
          <w:spacing w:val="213"/>
          <w:shd w:val="solid" w:color="000000" w:fill="000000"/>
          <w:fitText w:val="290" w:id="-694465016"/>
          <w14:textFill>
            <w14:solidFill>
              <w14:srgbClr w14:val="000000">
                <w14:alpha w14:val="100000"/>
              </w14:srgbClr>
            </w14:solidFill>
          </w14:textFill>
        </w:rPr>
        <w:t>|</w:t>
      </w:r>
      <w:r w:rsidR="00B55D47" w:rsidRPr="00B55D47">
        <w:rPr>
          <w:color w:val="000000"/>
          <w:spacing w:val="1"/>
          <w:shd w:val="solid" w:color="000000" w:fill="000000"/>
          <w:fitText w:val="290" w:id="-694465016"/>
          <w14:textFill>
            <w14:solidFill>
              <w14:srgbClr w14:val="000000">
                <w14:alpha w14:val="100000"/>
              </w14:srgbClr>
            </w14:solidFill>
          </w14:textFill>
        </w:rPr>
        <w:t>|</w:t>
      </w:r>
      <w:r w:rsidRPr="00CB5596">
        <w:t>/30*(365.25/12)*94.83%</w:t>
      </w:r>
    </w:p>
    <w:p w14:paraId="06CA73B0" w14:textId="6C7D08DB" w:rsidR="002A755C" w:rsidRPr="00CB5596" w:rsidRDefault="002A755C" w:rsidP="002A755C">
      <w:pPr>
        <w:pStyle w:val="TableFigureFooter"/>
      </w:pPr>
      <w:r w:rsidRPr="00CB5596">
        <w:rPr>
          <w:vertAlign w:val="superscript"/>
        </w:rPr>
        <w:t>c</w:t>
      </w:r>
      <w:r w:rsidRPr="00CB5596">
        <w:t xml:space="preserve"> $3,793.6</w:t>
      </w:r>
      <w:r w:rsidR="00786023">
        <w:t>0</w:t>
      </w:r>
      <w:r w:rsidRPr="00CB5596">
        <w:t>/30*(365.25/12)*94.83%</w:t>
      </w:r>
    </w:p>
    <w:p w14:paraId="1FC4D0D3" w14:textId="23273AAB" w:rsidR="002A755C" w:rsidRPr="00CB5596" w:rsidRDefault="002A755C" w:rsidP="002A755C">
      <w:pPr>
        <w:pStyle w:val="TableFigureFooter"/>
      </w:pPr>
      <w:r w:rsidRPr="00CB5596">
        <w:rPr>
          <w:vertAlign w:val="superscript"/>
        </w:rPr>
        <w:t>d</w:t>
      </w:r>
      <w:r w:rsidRPr="00CB5596">
        <w:t xml:space="preserve"> </w:t>
      </w:r>
      <w:r w:rsidR="00D91C86" w:rsidRPr="00CB5596">
        <w:t xml:space="preserve">Step 1 in the stepped economic evaluation: </w:t>
      </w:r>
      <w:r w:rsidRPr="00CB5596">
        <w:t>Set all costs but drug costs to $</w:t>
      </w:r>
      <w:r w:rsidR="00B55D47" w:rsidRPr="00B55D47">
        <w:rPr>
          <w:color w:val="000000"/>
          <w:spacing w:val="223"/>
          <w:shd w:val="solid" w:color="000000" w:fill="000000"/>
          <w:fitText w:val="300" w:id="-694465015"/>
          <w14:textFill>
            <w14:solidFill>
              <w14:srgbClr w14:val="000000">
                <w14:alpha w14:val="100000"/>
              </w14:srgbClr>
            </w14:solidFill>
          </w14:textFill>
        </w:rPr>
        <w:t>|</w:t>
      </w:r>
      <w:r w:rsidR="00B55D47" w:rsidRPr="00B55D47">
        <w:rPr>
          <w:color w:val="000000"/>
          <w:spacing w:val="1"/>
          <w:shd w:val="solid" w:color="000000" w:fill="000000"/>
          <w:fitText w:val="300" w:id="-694465015"/>
          <w14:textFill>
            <w14:solidFill>
              <w14:srgbClr w14:val="000000">
                <w14:alpha w14:val="100000"/>
              </w14:srgbClr>
            </w14:solidFill>
          </w14:textFill>
        </w:rPr>
        <w:t>|</w:t>
      </w:r>
      <w:r w:rsidRPr="00CB5596">
        <w:t xml:space="preserve"> and set time horizon to 1 year.</w:t>
      </w:r>
    </w:p>
    <w:p w14:paraId="5C8BF6BB" w14:textId="0F6DA555" w:rsidR="002A755C" w:rsidRPr="00CB5596" w:rsidRDefault="002A755C" w:rsidP="002A755C">
      <w:pPr>
        <w:pStyle w:val="TableFigureFooter"/>
      </w:pPr>
      <w:r w:rsidRPr="00CB5596">
        <w:rPr>
          <w:vertAlign w:val="superscript"/>
        </w:rPr>
        <w:t>e</w:t>
      </w:r>
      <w:r w:rsidRPr="00CB5596">
        <w:t xml:space="preserve"> $</w:t>
      </w:r>
      <w:r w:rsidR="00B55D47" w:rsidRPr="00B55D47">
        <w:rPr>
          <w:color w:val="000000"/>
          <w:spacing w:val="213"/>
          <w:shd w:val="solid" w:color="000000" w:fill="000000"/>
          <w:fitText w:val="290" w:id="-694465014"/>
          <w14:textFill>
            <w14:solidFill>
              <w14:srgbClr w14:val="000000">
                <w14:alpha w14:val="100000"/>
              </w14:srgbClr>
            </w14:solidFill>
          </w14:textFill>
        </w:rPr>
        <w:t>|</w:t>
      </w:r>
      <w:r w:rsidR="00B55D47" w:rsidRPr="00B55D47">
        <w:rPr>
          <w:color w:val="000000"/>
          <w:spacing w:val="1"/>
          <w:shd w:val="solid" w:color="000000" w:fill="000000"/>
          <w:fitText w:val="290" w:id="-694465014"/>
          <w14:textFill>
            <w14:solidFill>
              <w14:srgbClr w14:val="000000">
                <w14:alpha w14:val="100000"/>
              </w14:srgbClr>
            </w14:solidFill>
          </w14:textFill>
        </w:rPr>
        <w:t>|</w:t>
      </w:r>
      <w:r w:rsidRPr="00CB5596">
        <w:t>/30*365.25</w:t>
      </w:r>
    </w:p>
    <w:p w14:paraId="5FBEB589" w14:textId="38F877C0" w:rsidR="00DE04C0" w:rsidRPr="00CB5596" w:rsidRDefault="002A755C" w:rsidP="00DE04C0">
      <w:pPr>
        <w:pStyle w:val="TableFigureFooter"/>
      </w:pPr>
      <w:r w:rsidRPr="00CB5596">
        <w:rPr>
          <w:vertAlign w:val="superscript"/>
        </w:rPr>
        <w:t>f</w:t>
      </w:r>
      <w:r w:rsidRPr="00CB5596">
        <w:t xml:space="preserve"> $3,793</w:t>
      </w:r>
      <w:r w:rsidR="00DE04C0" w:rsidRPr="00CB5596">
        <w:t>.60/30*365.25</w:t>
      </w:r>
      <w:r w:rsidR="00B06F4C">
        <w:t>; price of OCA 5 mg and 10 mg is the same</w:t>
      </w:r>
    </w:p>
    <w:p w14:paraId="3DBFE151" w14:textId="7458E531" w:rsidR="00494207" w:rsidRPr="00CB5596" w:rsidRDefault="0072477A" w:rsidP="002B05A1">
      <w:pPr>
        <w:pStyle w:val="3-BodyText"/>
      </w:pPr>
      <w:r w:rsidRPr="00CB5596">
        <w:t xml:space="preserve">The total </w:t>
      </w:r>
      <w:r w:rsidR="004B646E" w:rsidRPr="00CB5596">
        <w:t xml:space="preserve">cost per patient per year </w:t>
      </w:r>
      <w:r w:rsidRPr="00CB5596">
        <w:t xml:space="preserve">with </w:t>
      </w:r>
      <w:proofErr w:type="spellStart"/>
      <w:r w:rsidRPr="00CB5596">
        <w:t>elafibranor</w:t>
      </w:r>
      <w:proofErr w:type="spellEnd"/>
      <w:r w:rsidRPr="00CB5596">
        <w:t xml:space="preserve"> was $</w:t>
      </w:r>
      <w:r w:rsidR="00B55D47" w:rsidRPr="00B55D47">
        <w:rPr>
          <w:color w:val="000000"/>
          <w:w w:val="60"/>
          <w:shd w:val="solid" w:color="000000" w:fill="000000"/>
          <w:fitText w:val="470" w:id="-694465013"/>
          <w14:textFill>
            <w14:solidFill>
              <w14:srgbClr w14:val="000000">
                <w14:alpha w14:val="100000"/>
              </w14:srgbClr>
            </w14:solidFill>
          </w14:textFill>
        </w:rPr>
        <w:t>|||  ||</w:t>
      </w:r>
      <w:r w:rsidR="00B55D47" w:rsidRPr="00B55D47">
        <w:rPr>
          <w:color w:val="000000"/>
          <w:spacing w:val="6"/>
          <w:w w:val="60"/>
          <w:shd w:val="solid" w:color="000000" w:fill="000000"/>
          <w:fitText w:val="470" w:id="-694465013"/>
          <w14:textFill>
            <w14:solidFill>
              <w14:srgbClr w14:val="000000">
                <w14:alpha w14:val="100000"/>
              </w14:srgbClr>
            </w14:solidFill>
          </w14:textFill>
        </w:rPr>
        <w:t>|</w:t>
      </w:r>
      <w:r w:rsidR="00B33109" w:rsidRPr="00CB5596">
        <w:t xml:space="preserve"> </w:t>
      </w:r>
      <w:r w:rsidRPr="00CB5596">
        <w:t xml:space="preserve">in the </w:t>
      </w:r>
      <w:r w:rsidR="004B646E" w:rsidRPr="00CB5596">
        <w:t xml:space="preserve">economic model and </w:t>
      </w:r>
      <w:r w:rsidRPr="00CB5596">
        <w:t>$</w:t>
      </w:r>
      <w:r w:rsidR="00B55D47" w:rsidRPr="00A922BC">
        <w:rPr>
          <w:color w:val="000000"/>
          <w:w w:val="15"/>
          <w:shd w:val="solid" w:color="000000" w:fill="000000"/>
          <w:fitText w:val="-20" w:id="-694465012"/>
          <w14:textFill>
            <w14:solidFill>
              <w14:srgbClr w14:val="000000">
                <w14:alpha w14:val="100000"/>
              </w14:srgbClr>
            </w14:solidFill>
          </w14:textFill>
        </w:rPr>
        <w:t xml:space="preserve">|  </w:t>
      </w:r>
      <w:r w:rsidR="00B55D47" w:rsidRPr="00A922BC">
        <w:rPr>
          <w:color w:val="000000"/>
          <w:spacing w:val="-69"/>
          <w:w w:val="15"/>
          <w:shd w:val="solid" w:color="000000" w:fill="000000"/>
          <w:fitText w:val="-20" w:id="-694465012"/>
          <w14:textFill>
            <w14:solidFill>
              <w14:srgbClr w14:val="000000">
                <w14:alpha w14:val="100000"/>
              </w14:srgbClr>
            </w14:solidFill>
          </w14:textFill>
        </w:rPr>
        <w:t>|</w:t>
      </w:r>
      <w:r w:rsidRPr="00CB5596">
        <w:t xml:space="preserve"> in the </w:t>
      </w:r>
      <w:r w:rsidR="004B646E" w:rsidRPr="00CB5596">
        <w:t>financial estimates</w:t>
      </w:r>
      <w:r w:rsidRPr="00CB5596">
        <w:t xml:space="preserve">. </w:t>
      </w:r>
      <w:r w:rsidR="004B646E" w:rsidRPr="00CB5596">
        <w:t xml:space="preserve">The difference was driven by </w:t>
      </w:r>
      <w:r w:rsidR="009527BD" w:rsidRPr="00CB5596">
        <w:t>the application of a compliance rate and discontinuation rate in the economic model.</w:t>
      </w:r>
      <w:bookmarkStart w:id="75" w:name="_Hlk107307804"/>
      <w:bookmarkEnd w:id="73"/>
    </w:p>
    <w:p w14:paraId="6C3B93A4" w14:textId="77777777" w:rsidR="00A55AF1" w:rsidRPr="00C9624D" w:rsidRDefault="00A55AF1" w:rsidP="00A55AF1">
      <w:pPr>
        <w:pStyle w:val="4-SubsectionHeading"/>
        <w:rPr>
          <w:lang w:eastAsia="en-AU"/>
        </w:rPr>
      </w:pPr>
      <w:bookmarkStart w:id="76" w:name="_Toc22897647"/>
      <w:bookmarkStart w:id="77" w:name="_Toc187914757"/>
      <w:bookmarkEnd w:id="75"/>
      <w:r w:rsidRPr="00C9624D">
        <w:rPr>
          <w:lang w:eastAsia="en-AU"/>
        </w:rPr>
        <w:t>Estimated PBS usage &amp; financial implications</w:t>
      </w:r>
      <w:bookmarkEnd w:id="76"/>
      <w:bookmarkEnd w:id="77"/>
    </w:p>
    <w:p w14:paraId="0C0E5528" w14:textId="0F9B7FC8" w:rsidR="00AD6B55" w:rsidRPr="0098262F" w:rsidRDefault="00AD6B55" w:rsidP="00AD6B55">
      <w:pPr>
        <w:pStyle w:val="3-BodyText"/>
        <w:rPr>
          <w:color w:val="0066FF"/>
        </w:rPr>
      </w:pPr>
      <w:r>
        <w:t>This submission was considered by DUSC</w:t>
      </w:r>
      <w:r w:rsidRPr="00B50DB8">
        <w:rPr>
          <w:color w:val="0070C0"/>
        </w:rPr>
        <w:t>.</w:t>
      </w:r>
    </w:p>
    <w:p w14:paraId="1CE58BAB" w14:textId="5AE88C82" w:rsidR="00AD6B55" w:rsidRPr="001A646F" w:rsidRDefault="00AD6B55" w:rsidP="00AD6B55">
      <w:pPr>
        <w:pStyle w:val="3-BodyText"/>
      </w:pPr>
      <w:r w:rsidRPr="00493970">
        <w:t xml:space="preserve">The submission used a mixed approach </w:t>
      </w:r>
      <w:r>
        <w:t xml:space="preserve">combining both a </w:t>
      </w:r>
      <w:r w:rsidRPr="00493970">
        <w:t>market share and epidemiological</w:t>
      </w:r>
      <w:r>
        <w:t xml:space="preserve"> approach. </w:t>
      </w:r>
      <w:r w:rsidRPr="001A646F">
        <w:t>Th</w:t>
      </w:r>
      <w:r w:rsidR="001A646F" w:rsidRPr="001A646F">
        <w:t>e evaluation considered that th</w:t>
      </w:r>
      <w:r w:rsidRPr="001A646F">
        <w:t xml:space="preserve">is was appropriate as some patients may be eligible for treatment with </w:t>
      </w:r>
      <w:proofErr w:type="spellStart"/>
      <w:r w:rsidRPr="001A646F">
        <w:t>elafibranor</w:t>
      </w:r>
      <w:proofErr w:type="spellEnd"/>
      <w:r w:rsidRPr="001A646F">
        <w:t>, but not currently prescribed OCA.</w:t>
      </w:r>
    </w:p>
    <w:p w14:paraId="0526EA2A" w14:textId="379AFDF1" w:rsidR="00AD6B55" w:rsidRPr="002905ED" w:rsidRDefault="00AD6B55" w:rsidP="00DF48CF">
      <w:pPr>
        <w:pStyle w:val="3-BodyText"/>
      </w:pPr>
      <w:r w:rsidRPr="002905ED">
        <w:t>Figure 4 presents the prevalent and incident cohorts in the epidemiological approach.</w:t>
      </w:r>
    </w:p>
    <w:p w14:paraId="40F1F6C5" w14:textId="77777777" w:rsidR="00AD6B55" w:rsidRPr="0098262F" w:rsidRDefault="00AD6B55" w:rsidP="00AD6B55">
      <w:pPr>
        <w:pStyle w:val="Caption"/>
        <w:rPr>
          <w:rStyle w:val="CommentReference"/>
          <w:b/>
          <w:szCs w:val="24"/>
        </w:rPr>
      </w:pPr>
      <w:r>
        <w:lastRenderedPageBreak/>
        <w:t xml:space="preserve">Figure </w:t>
      </w:r>
      <w:r>
        <w:fldChar w:fldCharType="begin" w:fldLock="1"/>
      </w:r>
      <w:r>
        <w:instrText xml:space="preserve"> SEQ Figure \* ARABIC </w:instrText>
      </w:r>
      <w:r>
        <w:fldChar w:fldCharType="separate"/>
      </w:r>
      <w:r>
        <w:rPr>
          <w:noProof/>
        </w:rPr>
        <w:t>4</w:t>
      </w:r>
      <w:r>
        <w:rPr>
          <w:noProof/>
        </w:rPr>
        <w:fldChar w:fldCharType="end"/>
      </w:r>
      <w:r w:rsidRPr="0098262F">
        <w:t>:</w:t>
      </w:r>
      <w:r w:rsidRPr="0098262F">
        <w:rPr>
          <w:rStyle w:val="CommentReference"/>
          <w:b/>
          <w:szCs w:val="24"/>
        </w:rPr>
        <w:t xml:space="preserve"> </w:t>
      </w:r>
      <w:r w:rsidRPr="001A0CEE">
        <w:rPr>
          <w:rStyle w:val="CommentReference"/>
          <w:b/>
          <w:szCs w:val="24"/>
        </w:rPr>
        <w:t xml:space="preserve">Epidemiological sources for </w:t>
      </w:r>
      <w:proofErr w:type="spellStart"/>
      <w:r w:rsidRPr="001A0CEE">
        <w:rPr>
          <w:rStyle w:val="CommentReference"/>
          <w:b/>
          <w:szCs w:val="24"/>
        </w:rPr>
        <w:t>elafibranor</w:t>
      </w:r>
      <w:proofErr w:type="spellEnd"/>
    </w:p>
    <w:p w14:paraId="1D94AF2C" w14:textId="77777777" w:rsidR="00AD6B55" w:rsidRDefault="00AD6B55" w:rsidP="00AD6B55">
      <w:pPr>
        <w:pStyle w:val="Bodytextitalics"/>
      </w:pPr>
      <w:r w:rsidRPr="00982335">
        <w:rPr>
          <w:noProof/>
          <w:lang w:val="en-US"/>
        </w:rPr>
        <w:drawing>
          <wp:inline distT="0" distB="0" distL="0" distR="0" wp14:anchorId="4896BB01" wp14:editId="5990F50C">
            <wp:extent cx="4583575" cy="3916346"/>
            <wp:effectExtent l="0" t="0" r="7620" b="8255"/>
            <wp:docPr id="1602363008" name="Picture 1602363008" descr="A diagram of a patient'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63008" name="Picture 1602363008" descr="A diagram of a patient's fl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2815" cy="3932785"/>
                    </a:xfrm>
                    <a:prstGeom prst="rect">
                      <a:avLst/>
                    </a:prstGeom>
                    <a:noFill/>
                    <a:ln>
                      <a:noFill/>
                    </a:ln>
                  </pic:spPr>
                </pic:pic>
              </a:graphicData>
            </a:graphic>
          </wp:inline>
        </w:drawing>
      </w:r>
    </w:p>
    <w:p w14:paraId="6C10E906" w14:textId="500CCBEF" w:rsidR="00AD6B55" w:rsidRDefault="00AD6B55" w:rsidP="00AD6B55">
      <w:pPr>
        <w:pStyle w:val="TableFigureFooter"/>
      </w:pPr>
      <w:r>
        <w:t xml:space="preserve">Source: Figure 1, p150 of the submission. </w:t>
      </w:r>
      <w:r w:rsidRPr="00A91EE8">
        <w:t>DTG = duration of treatment group</w:t>
      </w:r>
      <w:r>
        <w:t xml:space="preserve">, IQIRVO = </w:t>
      </w:r>
      <w:proofErr w:type="spellStart"/>
      <w:r>
        <w:t>elafibranor</w:t>
      </w:r>
      <w:proofErr w:type="spellEnd"/>
      <w:r>
        <w:t xml:space="preserve">, OCA = </w:t>
      </w:r>
      <w:proofErr w:type="spellStart"/>
      <w:r>
        <w:t>Obeticholic</w:t>
      </w:r>
      <w:proofErr w:type="spellEnd"/>
      <w:r>
        <w:t xml:space="preserve"> acid,</w:t>
      </w:r>
      <w:r w:rsidRPr="00A91EE8">
        <w:t xml:space="preserve"> UDCA = ursodeoxycholic acid</w:t>
      </w:r>
      <w:r w:rsidR="00DF48CF">
        <w:t>.</w:t>
      </w:r>
    </w:p>
    <w:p w14:paraId="2822A82F" w14:textId="361A10AE" w:rsidR="00AD6B55" w:rsidRDefault="00AD6B55" w:rsidP="00DF48CF">
      <w:pPr>
        <w:pStyle w:val="3-BodyText"/>
      </w:pPr>
      <w:r w:rsidRPr="002905ED">
        <w:fldChar w:fldCharType="begin" w:fldLock="1"/>
      </w:r>
      <w:r w:rsidRPr="002905ED">
        <w:instrText xml:space="preserve"> REF _Ref104805262 \h </w:instrText>
      </w:r>
      <w:r w:rsidRPr="002905ED">
        <w:fldChar w:fldCharType="separate"/>
      </w:r>
      <w:r w:rsidRPr="0098262F">
        <w:t xml:space="preserve">Table </w:t>
      </w:r>
      <w:r>
        <w:rPr>
          <w:noProof/>
        </w:rPr>
        <w:t>19</w:t>
      </w:r>
      <w:r w:rsidRPr="002905ED">
        <w:fldChar w:fldCharType="end"/>
      </w:r>
      <w:r w:rsidRPr="002905ED">
        <w:t xml:space="preserve"> presents the key inputs for the financial estimates.</w:t>
      </w:r>
    </w:p>
    <w:p w14:paraId="549AD05D" w14:textId="227F9A94" w:rsidR="00AD6B55" w:rsidRPr="0098262F" w:rsidRDefault="00AD6B55" w:rsidP="0078123D">
      <w:pPr>
        <w:pStyle w:val="Caption"/>
        <w:rPr>
          <w:rStyle w:val="CommentReference"/>
          <w:b/>
          <w:szCs w:val="24"/>
        </w:rPr>
      </w:pPr>
      <w:bookmarkStart w:id="78" w:name="_Ref104805262"/>
      <w:r w:rsidRPr="0098262F">
        <w:lastRenderedPageBreak/>
        <w:t xml:space="preserve">Table </w:t>
      </w:r>
      <w:r>
        <w:fldChar w:fldCharType="begin" w:fldLock="1"/>
      </w:r>
      <w:r>
        <w:instrText xml:space="preserve"> SEQ Table \* ARABIC </w:instrText>
      </w:r>
      <w:r>
        <w:fldChar w:fldCharType="separate"/>
      </w:r>
      <w:r>
        <w:rPr>
          <w:noProof/>
        </w:rPr>
        <w:t>19</w:t>
      </w:r>
      <w:r>
        <w:rPr>
          <w:noProof/>
        </w:rPr>
        <w:fldChar w:fldCharType="end"/>
      </w:r>
      <w:bookmarkEnd w:id="78"/>
      <w:r w:rsidRPr="0098262F">
        <w:t>:</w:t>
      </w:r>
      <w:r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943"/>
        <w:gridCol w:w="2279"/>
        <w:gridCol w:w="2303"/>
      </w:tblGrid>
      <w:tr w:rsidR="00AD6B55" w:rsidRPr="00DB3F2F" w14:paraId="279F8E49" w14:textId="77777777">
        <w:trPr>
          <w:cantSplit/>
          <w:tblHeader/>
        </w:trPr>
        <w:tc>
          <w:tcPr>
            <w:tcW w:w="827" w:type="pct"/>
            <w:tcMar>
              <w:left w:w="40" w:type="dxa"/>
              <w:right w:w="40" w:type="dxa"/>
            </w:tcMar>
            <w:vAlign w:val="center"/>
          </w:tcPr>
          <w:p w14:paraId="52386FF4" w14:textId="77777777" w:rsidR="00AD6B55" w:rsidRPr="00DB3F2F" w:rsidRDefault="00AD6B55" w:rsidP="0078123D">
            <w:pPr>
              <w:pStyle w:val="In-tableHeading"/>
              <w:rPr>
                <w:lang w:val="en-AU"/>
              </w:rPr>
            </w:pPr>
            <w:r w:rsidRPr="00DB3F2F">
              <w:rPr>
                <w:lang w:val="en-AU"/>
              </w:rPr>
              <w:t>Data</w:t>
            </w:r>
          </w:p>
        </w:tc>
        <w:tc>
          <w:tcPr>
            <w:tcW w:w="1632" w:type="pct"/>
            <w:tcMar>
              <w:left w:w="40" w:type="dxa"/>
              <w:right w:w="40" w:type="dxa"/>
            </w:tcMar>
            <w:vAlign w:val="center"/>
          </w:tcPr>
          <w:p w14:paraId="5A2BBA42" w14:textId="77777777" w:rsidR="00AD6B55" w:rsidRPr="00DB3F2F" w:rsidRDefault="00AD6B55" w:rsidP="0078123D">
            <w:pPr>
              <w:pStyle w:val="In-tableHeading"/>
              <w:jc w:val="center"/>
              <w:rPr>
                <w:lang w:val="en-AU"/>
              </w:rPr>
            </w:pPr>
            <w:r w:rsidRPr="00DB3F2F">
              <w:rPr>
                <w:lang w:val="en-AU"/>
              </w:rPr>
              <w:t>Value</w:t>
            </w:r>
          </w:p>
        </w:tc>
        <w:tc>
          <w:tcPr>
            <w:tcW w:w="1264" w:type="pct"/>
            <w:tcMar>
              <w:left w:w="40" w:type="dxa"/>
              <w:right w:w="40" w:type="dxa"/>
            </w:tcMar>
            <w:vAlign w:val="center"/>
          </w:tcPr>
          <w:p w14:paraId="5A954EEA" w14:textId="77777777" w:rsidR="00AD6B55" w:rsidRPr="00DB3F2F" w:rsidRDefault="00AD6B55" w:rsidP="0078123D">
            <w:pPr>
              <w:pStyle w:val="In-tableHeading"/>
              <w:jc w:val="center"/>
              <w:rPr>
                <w:lang w:val="en-AU"/>
              </w:rPr>
            </w:pPr>
            <w:r w:rsidRPr="00DB3F2F">
              <w:rPr>
                <w:lang w:val="en-AU"/>
              </w:rPr>
              <w:t>Source</w:t>
            </w:r>
          </w:p>
        </w:tc>
        <w:tc>
          <w:tcPr>
            <w:tcW w:w="1277" w:type="pct"/>
            <w:tcMar>
              <w:left w:w="40" w:type="dxa"/>
              <w:right w:w="40" w:type="dxa"/>
            </w:tcMar>
            <w:vAlign w:val="center"/>
          </w:tcPr>
          <w:p w14:paraId="2D015827" w14:textId="77777777" w:rsidR="00AD6B55" w:rsidRPr="00742A1E" w:rsidRDefault="00AD6B55" w:rsidP="0078123D">
            <w:pPr>
              <w:pStyle w:val="In-tableHeading"/>
              <w:jc w:val="center"/>
              <w:rPr>
                <w:lang w:val="en-AU"/>
              </w:rPr>
            </w:pPr>
            <w:r w:rsidRPr="00742A1E">
              <w:rPr>
                <w:lang w:val="en-AU"/>
              </w:rPr>
              <w:t>Comment</w:t>
            </w:r>
          </w:p>
        </w:tc>
      </w:tr>
      <w:tr w:rsidR="00AD6B55" w:rsidRPr="00DB3F2F" w14:paraId="526D76E6" w14:textId="77777777">
        <w:trPr>
          <w:cantSplit/>
        </w:trPr>
        <w:tc>
          <w:tcPr>
            <w:tcW w:w="5000" w:type="pct"/>
            <w:gridSpan w:val="4"/>
            <w:tcMar>
              <w:left w:w="40" w:type="dxa"/>
              <w:right w:w="40" w:type="dxa"/>
            </w:tcMar>
            <w:vAlign w:val="center"/>
          </w:tcPr>
          <w:p w14:paraId="2F225040" w14:textId="77777777" w:rsidR="00AD6B55" w:rsidRPr="00742A1E" w:rsidRDefault="00AD6B55" w:rsidP="0078123D">
            <w:pPr>
              <w:pStyle w:val="TableText0"/>
              <w:rPr>
                <w:b/>
                <w:bCs w:val="0"/>
              </w:rPr>
            </w:pPr>
            <w:r w:rsidRPr="00742A1E">
              <w:rPr>
                <w:b/>
                <w:bCs w:val="0"/>
              </w:rPr>
              <w:t>Epidemiological approach</w:t>
            </w:r>
          </w:p>
        </w:tc>
      </w:tr>
      <w:tr w:rsidR="00AD6B55" w:rsidRPr="00DB3F2F" w14:paraId="13DDA1CE" w14:textId="77777777">
        <w:trPr>
          <w:cantSplit/>
        </w:trPr>
        <w:tc>
          <w:tcPr>
            <w:tcW w:w="5000" w:type="pct"/>
            <w:gridSpan w:val="4"/>
            <w:tcMar>
              <w:left w:w="40" w:type="dxa"/>
              <w:right w:w="40" w:type="dxa"/>
            </w:tcMar>
          </w:tcPr>
          <w:p w14:paraId="4C77329D" w14:textId="77777777" w:rsidR="00AD6B55" w:rsidRPr="00742A1E" w:rsidRDefault="00AD6B55" w:rsidP="0078123D">
            <w:pPr>
              <w:pStyle w:val="In-tableHeading"/>
              <w:rPr>
                <w:lang w:val="en-AU"/>
              </w:rPr>
            </w:pPr>
            <w:r w:rsidRPr="00742A1E">
              <w:rPr>
                <w:lang w:val="en-AU"/>
              </w:rPr>
              <w:t>Eligible population</w:t>
            </w:r>
          </w:p>
        </w:tc>
      </w:tr>
      <w:tr w:rsidR="00052528" w:rsidRPr="00DB3F2F" w14:paraId="3F2FF5B3" w14:textId="77777777">
        <w:trPr>
          <w:cantSplit/>
        </w:trPr>
        <w:tc>
          <w:tcPr>
            <w:tcW w:w="827" w:type="pct"/>
            <w:tcMar>
              <w:left w:w="40" w:type="dxa"/>
              <w:right w:w="40" w:type="dxa"/>
            </w:tcMar>
            <w:vAlign w:val="center"/>
          </w:tcPr>
          <w:p w14:paraId="45F32F64" w14:textId="4E03EDCC" w:rsidR="00052528" w:rsidRPr="00DB3F2F" w:rsidRDefault="00052528" w:rsidP="0078123D">
            <w:pPr>
              <w:pStyle w:val="TableText0"/>
            </w:pPr>
            <w:r w:rsidRPr="00DB3F2F">
              <w:t>Incident patients intolerant / non-responsive to OCA (DTG 1)</w:t>
            </w:r>
          </w:p>
        </w:tc>
        <w:tc>
          <w:tcPr>
            <w:tcW w:w="1632" w:type="pct"/>
            <w:tcMar>
              <w:left w:w="40" w:type="dxa"/>
              <w:right w:w="40" w:type="dxa"/>
            </w:tcMar>
            <w:vAlign w:val="center"/>
          </w:tcPr>
          <w:p w14:paraId="07C682DB" w14:textId="2F086B5F" w:rsidR="00052528" w:rsidRDefault="00B55D47" w:rsidP="0078123D">
            <w:pPr>
              <w:pStyle w:val="TableText0"/>
              <w:spacing w:after="60"/>
            </w:pPr>
            <w:r w:rsidRPr="00B55D47">
              <w:rPr>
                <w:color w:val="000000"/>
                <w:spacing w:val="53"/>
                <w:shd w:val="solid" w:color="000000" w:fill="000000"/>
                <w:fitText w:val="330" w:id="-694465011"/>
                <w14:textFill>
                  <w14:solidFill>
                    <w14:srgbClr w14:val="000000">
                      <w14:alpha w14:val="100000"/>
                    </w14:srgbClr>
                  </w14:solidFill>
                </w14:textFill>
              </w:rPr>
              <w:t>|||</w:t>
            </w:r>
            <w:r w:rsidRPr="00B55D47">
              <w:rPr>
                <w:color w:val="000000"/>
                <w:spacing w:val="1"/>
                <w:shd w:val="solid" w:color="000000" w:fill="000000"/>
                <w:fitText w:val="330" w:id="-694465011"/>
                <w14:textFill>
                  <w14:solidFill>
                    <w14:srgbClr w14:val="000000">
                      <w14:alpha w14:val="100000"/>
                    </w14:srgbClr>
                  </w14:solidFill>
                </w14:textFill>
              </w:rPr>
              <w:t>|</w:t>
            </w:r>
            <w:r w:rsidR="00460574" w:rsidRPr="003C6E68">
              <w:rPr>
                <w:vertAlign w:val="superscript"/>
              </w:rPr>
              <w:t>1</w:t>
            </w:r>
            <w:r w:rsidR="00052528" w:rsidRPr="00DB3F2F">
              <w:t xml:space="preserve"> patients in </w:t>
            </w:r>
            <w:r w:rsidR="00052528">
              <w:t>Y</w:t>
            </w:r>
            <w:r w:rsidR="00052528" w:rsidRPr="00512E03">
              <w:t xml:space="preserve">ears </w:t>
            </w:r>
            <w:r w:rsidR="00052528" w:rsidRPr="00DB3F2F">
              <w:t xml:space="preserve">1 and 2, </w:t>
            </w:r>
            <w:r w:rsidRPr="00B55D47">
              <w:rPr>
                <w:color w:val="000000"/>
                <w:spacing w:val="53"/>
                <w:shd w:val="solid" w:color="000000" w:fill="000000"/>
                <w:fitText w:val="330" w:id="-694465010"/>
                <w14:textFill>
                  <w14:solidFill>
                    <w14:srgbClr w14:val="000000">
                      <w14:alpha w14:val="100000"/>
                    </w14:srgbClr>
                  </w14:solidFill>
                </w14:textFill>
              </w:rPr>
              <w:t>|||</w:t>
            </w:r>
            <w:r w:rsidRPr="00B55D47">
              <w:rPr>
                <w:color w:val="000000"/>
                <w:spacing w:val="1"/>
                <w:shd w:val="solid" w:color="000000" w:fill="000000"/>
                <w:fitText w:val="330" w:id="-694465010"/>
                <w14:textFill>
                  <w14:solidFill>
                    <w14:srgbClr w14:val="000000">
                      <w14:alpha w14:val="100000"/>
                    </w14:srgbClr>
                  </w14:solidFill>
                </w14:textFill>
              </w:rPr>
              <w:t>|</w:t>
            </w:r>
            <w:r w:rsidR="00460574" w:rsidRPr="003C6E68">
              <w:rPr>
                <w:vertAlign w:val="superscript"/>
              </w:rPr>
              <w:t>1</w:t>
            </w:r>
            <w:r w:rsidR="00052528" w:rsidRPr="00DB3F2F">
              <w:t xml:space="preserve"> patients in subsequent years.</w:t>
            </w:r>
            <w:r w:rsidR="00052528">
              <w:t xml:space="preserve"> Based on:</w:t>
            </w:r>
          </w:p>
          <w:p w14:paraId="6596B391" w14:textId="77777777" w:rsidR="00052528" w:rsidRPr="00DB3F2F" w:rsidRDefault="00052528" w:rsidP="0078123D">
            <w:pPr>
              <w:pStyle w:val="TableText0"/>
              <w:spacing w:after="60"/>
            </w:pPr>
            <w:r w:rsidRPr="00512E03">
              <w:t>567</w:t>
            </w:r>
            <w:r w:rsidRPr="004B477B">
              <w:t xml:space="preserve"> continuing scripts for OCA in</w:t>
            </w:r>
            <w:r>
              <w:t xml:space="preserve"> </w:t>
            </w:r>
            <w:r w:rsidRPr="00512E03">
              <w:t>Jun 2024 –</w:t>
            </w:r>
            <w:r>
              <w:t xml:space="preserve"> Aug 2024</w:t>
            </w:r>
            <w:r w:rsidRPr="004B477B" w:rsidDel="00A533C4">
              <w:t xml:space="preserve"> </w:t>
            </w:r>
            <w:r w:rsidRPr="004B477B">
              <w:t xml:space="preserve">= </w:t>
            </w:r>
            <w:r w:rsidRPr="00460574">
              <w:t>189</w:t>
            </w:r>
            <w:r w:rsidRPr="004B477B">
              <w:t xml:space="preserve"> patients on OCA (see DTG 3).</w:t>
            </w:r>
          </w:p>
          <w:p w14:paraId="6173C1BA" w14:textId="77777777" w:rsidR="00052528" w:rsidRPr="009B4DD8" w:rsidRDefault="00052528" w:rsidP="0078123D">
            <w:pPr>
              <w:pStyle w:val="TableText0"/>
              <w:spacing w:after="60"/>
            </w:pPr>
            <w:r w:rsidRPr="009B4DD8">
              <w:t>40.1% of patients will be intolerant / non-response to OCA.</w:t>
            </w:r>
          </w:p>
          <w:p w14:paraId="1D6DEABE" w14:textId="699768D6" w:rsidR="00052528" w:rsidRPr="00DB3F2F" w:rsidRDefault="00052528" w:rsidP="0078123D">
            <w:pPr>
              <w:pStyle w:val="TableText0"/>
              <w:spacing w:after="60"/>
            </w:pPr>
            <w:r w:rsidRPr="009B4DD8">
              <w:t xml:space="preserve">90% of patients elect any treatment, and of those </w:t>
            </w:r>
            <w:r w:rsidR="00B55D47" w:rsidRPr="00B55D47">
              <w:rPr>
                <w:color w:val="000000"/>
                <w:spacing w:val="53"/>
                <w:shd w:val="solid" w:color="000000" w:fill="000000"/>
                <w:fitText w:val="330" w:id="-694465009"/>
                <w14:textFill>
                  <w14:solidFill>
                    <w14:srgbClr w14:val="000000">
                      <w14:alpha w14:val="100000"/>
                    </w14:srgbClr>
                  </w14:solidFill>
                </w14:textFill>
              </w:rPr>
              <w:t>|||</w:t>
            </w:r>
            <w:r w:rsidR="00B55D47" w:rsidRPr="00B55D47">
              <w:rPr>
                <w:color w:val="000000"/>
                <w:spacing w:val="1"/>
                <w:shd w:val="solid" w:color="000000" w:fill="000000"/>
                <w:fitText w:val="330" w:id="-694465009"/>
                <w14:textFill>
                  <w14:solidFill>
                    <w14:srgbClr w14:val="000000">
                      <w14:alpha w14:val="100000"/>
                    </w14:srgbClr>
                  </w14:solidFill>
                </w14:textFill>
              </w:rPr>
              <w:t>|</w:t>
            </w:r>
            <w:r w:rsidRPr="009B4DD8">
              <w:t xml:space="preserve">% would take OCA once </w:t>
            </w:r>
            <w:proofErr w:type="spellStart"/>
            <w:r w:rsidRPr="009B4DD8">
              <w:t>elafibranor</w:t>
            </w:r>
            <w:proofErr w:type="spellEnd"/>
            <w:r w:rsidRPr="009B4DD8">
              <w:t xml:space="preserve"> is listed.</w:t>
            </w:r>
          </w:p>
        </w:tc>
        <w:tc>
          <w:tcPr>
            <w:tcW w:w="1264" w:type="pct"/>
            <w:tcMar>
              <w:left w:w="40" w:type="dxa"/>
              <w:right w:w="40" w:type="dxa"/>
            </w:tcMar>
            <w:vAlign w:val="center"/>
          </w:tcPr>
          <w:p w14:paraId="7F2D0FC0" w14:textId="77777777" w:rsidR="00052528" w:rsidRDefault="00052528" w:rsidP="0078123D">
            <w:pPr>
              <w:pStyle w:val="TableText0"/>
              <w:spacing w:after="60"/>
            </w:pPr>
            <w:r w:rsidRPr="00ED7CAB">
              <w:t>OCA PBS service data, Services Australia online.</w:t>
            </w:r>
          </w:p>
          <w:p w14:paraId="7EC22C96" w14:textId="77777777" w:rsidR="00052528" w:rsidRDefault="00052528" w:rsidP="0078123D">
            <w:pPr>
              <w:pStyle w:val="TableText0"/>
              <w:spacing w:after="60"/>
            </w:pPr>
            <w:r w:rsidRPr="00DB3F2F">
              <w:t>The percentage of patients who will be intolerant / non-response to OCA was taken from PBS Services data for OCA.</w:t>
            </w:r>
          </w:p>
          <w:p w14:paraId="7A356FCC" w14:textId="77777777" w:rsidR="00052528" w:rsidRPr="00DB3F2F" w:rsidRDefault="00052528" w:rsidP="0078123D">
            <w:pPr>
              <w:pStyle w:val="TableText0"/>
              <w:spacing w:after="60"/>
            </w:pPr>
            <w:r>
              <w:t>Uptake rate assumed.</w:t>
            </w:r>
          </w:p>
          <w:p w14:paraId="1CD34594" w14:textId="6F0EE84E" w:rsidR="00052528" w:rsidRPr="00ED7CAB" w:rsidRDefault="00052528" w:rsidP="0078123D">
            <w:pPr>
              <w:pStyle w:val="TableText0"/>
              <w:spacing w:after="60"/>
            </w:pPr>
            <w:r w:rsidRPr="00DB3F2F">
              <w:t xml:space="preserve">The market share for OCA once </w:t>
            </w:r>
            <w:proofErr w:type="spellStart"/>
            <w:r w:rsidRPr="00DB3F2F">
              <w:t>elafibranor</w:t>
            </w:r>
            <w:proofErr w:type="spellEnd"/>
            <w:r w:rsidRPr="00DB3F2F">
              <w:t xml:space="preserve"> is listed was </w:t>
            </w:r>
            <w:r>
              <w:t>assumed</w:t>
            </w:r>
            <w:r w:rsidRPr="00DB3F2F">
              <w:t>.</w:t>
            </w:r>
          </w:p>
        </w:tc>
        <w:tc>
          <w:tcPr>
            <w:tcW w:w="1277" w:type="pct"/>
            <w:tcMar>
              <w:left w:w="40" w:type="dxa"/>
              <w:right w:w="40" w:type="dxa"/>
            </w:tcMar>
            <w:vAlign w:val="center"/>
          </w:tcPr>
          <w:p w14:paraId="70210E56" w14:textId="29F2FAA3" w:rsidR="00052528" w:rsidRDefault="00052528" w:rsidP="0078123D">
            <w:pPr>
              <w:pStyle w:val="TableText0"/>
            </w:pPr>
            <w:r>
              <w:rPr>
                <w:rFonts w:eastAsia="MS Gothic" w:cs="Times New Roman"/>
              </w:rPr>
              <w:t xml:space="preserve">The </w:t>
            </w:r>
            <w:r w:rsidRPr="00742A1E">
              <w:rPr>
                <w:rFonts w:eastAsia="MS Gothic" w:cs="Times New Roman"/>
              </w:rPr>
              <w:t xml:space="preserve">DUSC considered it unclear how this group was derived. </w:t>
            </w:r>
            <w:r>
              <w:rPr>
                <w:rFonts w:eastAsia="MS Gothic" w:cs="Times New Roman"/>
              </w:rPr>
              <w:t xml:space="preserve">The </w:t>
            </w:r>
            <w:r w:rsidRPr="00742A1E">
              <w:rPr>
                <w:rFonts w:eastAsia="MS Gothic" w:cs="Times New Roman"/>
              </w:rPr>
              <w:t xml:space="preserve">DUSC </w:t>
            </w:r>
            <w:r>
              <w:rPr>
                <w:rFonts w:eastAsia="MS Gothic" w:cs="Times New Roman"/>
              </w:rPr>
              <w:t xml:space="preserve">noted </w:t>
            </w:r>
            <w:r w:rsidRPr="00742A1E">
              <w:rPr>
                <w:rFonts w:eastAsia="MS Gothic" w:cs="Times New Roman"/>
              </w:rPr>
              <w:t>that if patients were intolerant to OCA, they would not be considered an incident patient.</w:t>
            </w:r>
          </w:p>
        </w:tc>
      </w:tr>
      <w:tr w:rsidR="00052528" w:rsidRPr="00DB3F2F" w14:paraId="7EB2E8A8" w14:textId="77777777">
        <w:trPr>
          <w:cantSplit/>
        </w:trPr>
        <w:tc>
          <w:tcPr>
            <w:tcW w:w="827" w:type="pct"/>
            <w:tcMar>
              <w:left w:w="40" w:type="dxa"/>
              <w:right w:w="40" w:type="dxa"/>
            </w:tcMar>
            <w:vAlign w:val="center"/>
          </w:tcPr>
          <w:p w14:paraId="6B84B22D" w14:textId="69861442" w:rsidR="00052528" w:rsidRPr="00DB3F2F" w:rsidRDefault="00052528" w:rsidP="00052528">
            <w:pPr>
              <w:pStyle w:val="TableText0"/>
              <w:keepNext w:val="0"/>
              <w:keepLines w:val="0"/>
              <w:widowControl w:val="0"/>
            </w:pPr>
            <w:r w:rsidRPr="00DB3F2F">
              <w:t>Incident patients not suitable for OCA (DTG 2)</w:t>
            </w:r>
          </w:p>
        </w:tc>
        <w:tc>
          <w:tcPr>
            <w:tcW w:w="1632" w:type="pct"/>
            <w:tcMar>
              <w:left w:w="40" w:type="dxa"/>
              <w:right w:w="40" w:type="dxa"/>
            </w:tcMar>
            <w:vAlign w:val="center"/>
          </w:tcPr>
          <w:p w14:paraId="57C40809" w14:textId="569A02BA" w:rsidR="00052528" w:rsidRDefault="00B55D47" w:rsidP="00052528">
            <w:pPr>
              <w:pStyle w:val="TableText0"/>
              <w:keepNext w:val="0"/>
              <w:keepLines w:val="0"/>
              <w:widowControl w:val="0"/>
              <w:spacing w:after="60"/>
            </w:pPr>
            <w:r w:rsidRPr="00B55D47">
              <w:rPr>
                <w:color w:val="000000"/>
                <w:spacing w:val="53"/>
                <w:shd w:val="solid" w:color="000000" w:fill="000000"/>
                <w:fitText w:val="330" w:id="-694465008"/>
                <w14:textFill>
                  <w14:solidFill>
                    <w14:srgbClr w14:val="000000">
                      <w14:alpha w14:val="100000"/>
                    </w14:srgbClr>
                  </w14:solidFill>
                </w14:textFill>
              </w:rPr>
              <w:t>|||</w:t>
            </w:r>
            <w:r w:rsidRPr="00B55D47">
              <w:rPr>
                <w:color w:val="000000"/>
                <w:spacing w:val="1"/>
                <w:shd w:val="solid" w:color="000000" w:fill="000000"/>
                <w:fitText w:val="330" w:id="-694465008"/>
                <w14:textFill>
                  <w14:solidFill>
                    <w14:srgbClr w14:val="000000">
                      <w14:alpha w14:val="100000"/>
                    </w14:srgbClr>
                  </w14:solidFill>
                </w14:textFill>
              </w:rPr>
              <w:t>|</w:t>
            </w:r>
            <w:r w:rsidR="00FE04EE" w:rsidRPr="003C6E68">
              <w:rPr>
                <w:vertAlign w:val="superscript"/>
              </w:rPr>
              <w:t>1</w:t>
            </w:r>
            <w:r w:rsidR="00052528" w:rsidRPr="00DB3F2F">
              <w:t xml:space="preserve"> patients in </w:t>
            </w:r>
            <w:r w:rsidR="00052528">
              <w:t>Y</w:t>
            </w:r>
            <w:r w:rsidR="00052528" w:rsidRPr="00DB3F2F">
              <w:t xml:space="preserve">ear 1, </w:t>
            </w:r>
            <w:r w:rsidRPr="00B55D47">
              <w:rPr>
                <w:color w:val="000000"/>
                <w:spacing w:val="53"/>
                <w:shd w:val="solid" w:color="000000" w:fill="000000"/>
                <w:fitText w:val="330" w:id="-694465024"/>
                <w14:textFill>
                  <w14:solidFill>
                    <w14:srgbClr w14:val="000000">
                      <w14:alpha w14:val="100000"/>
                    </w14:srgbClr>
                  </w14:solidFill>
                </w14:textFill>
              </w:rPr>
              <w:t>|||</w:t>
            </w:r>
            <w:r w:rsidRPr="00B55D47">
              <w:rPr>
                <w:color w:val="000000"/>
                <w:spacing w:val="1"/>
                <w:shd w:val="solid" w:color="000000" w:fill="000000"/>
                <w:fitText w:val="330" w:id="-694465024"/>
                <w14:textFill>
                  <w14:solidFill>
                    <w14:srgbClr w14:val="000000">
                      <w14:alpha w14:val="100000"/>
                    </w14:srgbClr>
                  </w14:solidFill>
                </w14:textFill>
              </w:rPr>
              <w:t>|</w:t>
            </w:r>
            <w:r w:rsidR="00FE04EE" w:rsidRPr="003C6E68">
              <w:rPr>
                <w:vertAlign w:val="superscript"/>
              </w:rPr>
              <w:t>1</w:t>
            </w:r>
            <w:r w:rsidR="00052528" w:rsidRPr="00DB3F2F">
              <w:t xml:space="preserve"> </w:t>
            </w:r>
            <w:r w:rsidR="00052528">
              <w:t>Y</w:t>
            </w:r>
            <w:r w:rsidR="00052528" w:rsidRPr="00DB3F2F">
              <w:t xml:space="preserve">ear 2, </w:t>
            </w:r>
            <w:r w:rsidRPr="00B55D47">
              <w:rPr>
                <w:color w:val="000000"/>
                <w:spacing w:val="53"/>
                <w:shd w:val="solid" w:color="000000" w:fill="000000"/>
                <w:fitText w:val="330" w:id="-694465023"/>
                <w14:textFill>
                  <w14:solidFill>
                    <w14:srgbClr w14:val="000000">
                      <w14:alpha w14:val="100000"/>
                    </w14:srgbClr>
                  </w14:solidFill>
                </w14:textFill>
              </w:rPr>
              <w:t>|||</w:t>
            </w:r>
            <w:r w:rsidRPr="00B55D47">
              <w:rPr>
                <w:color w:val="000000"/>
                <w:spacing w:val="1"/>
                <w:shd w:val="solid" w:color="000000" w:fill="000000"/>
                <w:fitText w:val="330" w:id="-694465023"/>
                <w14:textFill>
                  <w14:solidFill>
                    <w14:srgbClr w14:val="000000">
                      <w14:alpha w14:val="100000"/>
                    </w14:srgbClr>
                  </w14:solidFill>
                </w14:textFill>
              </w:rPr>
              <w:t>|</w:t>
            </w:r>
            <w:r w:rsidR="00052528" w:rsidRPr="00DB3F2F">
              <w:t xml:space="preserve"> </w:t>
            </w:r>
            <w:r w:rsidR="00FE04EE" w:rsidRPr="003C6E68">
              <w:rPr>
                <w:vertAlign w:val="superscript"/>
              </w:rPr>
              <w:t>1</w:t>
            </w:r>
            <w:r w:rsidR="00C45B96">
              <w:rPr>
                <w:vertAlign w:val="superscript"/>
              </w:rPr>
              <w:t xml:space="preserve"> </w:t>
            </w:r>
            <w:r w:rsidR="00052528">
              <w:t>Y</w:t>
            </w:r>
            <w:r w:rsidR="00052528" w:rsidRPr="00DB3F2F">
              <w:t xml:space="preserve">ear 3, </w:t>
            </w:r>
            <w:r w:rsidRPr="00B55D47">
              <w:rPr>
                <w:color w:val="000000"/>
                <w:spacing w:val="53"/>
                <w:shd w:val="solid" w:color="000000" w:fill="000000"/>
                <w:fitText w:val="330" w:id="-694465022"/>
                <w14:textFill>
                  <w14:solidFill>
                    <w14:srgbClr w14:val="000000">
                      <w14:alpha w14:val="100000"/>
                    </w14:srgbClr>
                  </w14:solidFill>
                </w14:textFill>
              </w:rPr>
              <w:t>|||</w:t>
            </w:r>
            <w:r w:rsidRPr="00B55D47">
              <w:rPr>
                <w:color w:val="000000"/>
                <w:spacing w:val="1"/>
                <w:shd w:val="solid" w:color="000000" w:fill="000000"/>
                <w:fitText w:val="330" w:id="-694465022"/>
                <w14:textFill>
                  <w14:solidFill>
                    <w14:srgbClr w14:val="000000">
                      <w14:alpha w14:val="100000"/>
                    </w14:srgbClr>
                  </w14:solidFill>
                </w14:textFill>
              </w:rPr>
              <w:t>|</w:t>
            </w:r>
            <w:r w:rsidR="00FE04EE" w:rsidRPr="003C6E68">
              <w:rPr>
                <w:vertAlign w:val="superscript"/>
              </w:rPr>
              <w:t>1</w:t>
            </w:r>
            <w:r w:rsidR="00052528" w:rsidRPr="00DB3F2F">
              <w:t xml:space="preserve"> year 4, </w:t>
            </w:r>
            <w:r w:rsidRPr="00B55D47">
              <w:rPr>
                <w:color w:val="000000"/>
                <w:spacing w:val="53"/>
                <w:shd w:val="solid" w:color="000000" w:fill="000000"/>
                <w:fitText w:val="330" w:id="-694465021"/>
                <w14:textFill>
                  <w14:solidFill>
                    <w14:srgbClr w14:val="000000">
                      <w14:alpha w14:val="100000"/>
                    </w14:srgbClr>
                  </w14:solidFill>
                </w14:textFill>
              </w:rPr>
              <w:t>|||</w:t>
            </w:r>
            <w:r w:rsidRPr="00B55D47">
              <w:rPr>
                <w:color w:val="000000"/>
                <w:spacing w:val="1"/>
                <w:shd w:val="solid" w:color="000000" w:fill="000000"/>
                <w:fitText w:val="330" w:id="-694465021"/>
                <w14:textFill>
                  <w14:solidFill>
                    <w14:srgbClr w14:val="000000">
                      <w14:alpha w14:val="100000"/>
                    </w14:srgbClr>
                  </w14:solidFill>
                </w14:textFill>
              </w:rPr>
              <w:t>|</w:t>
            </w:r>
            <w:r w:rsidR="00FE04EE" w:rsidRPr="003C6E68">
              <w:rPr>
                <w:vertAlign w:val="superscript"/>
              </w:rPr>
              <w:t>1</w:t>
            </w:r>
            <w:r w:rsidR="00052528" w:rsidRPr="00DB3F2F">
              <w:t xml:space="preserve"> </w:t>
            </w:r>
            <w:r w:rsidR="00052528">
              <w:t>Y</w:t>
            </w:r>
            <w:r w:rsidR="00052528" w:rsidRPr="00DB3F2F">
              <w:t xml:space="preserve">ear 5, </w:t>
            </w:r>
            <w:r w:rsidRPr="00B55D47">
              <w:rPr>
                <w:color w:val="000000"/>
                <w:spacing w:val="53"/>
                <w:shd w:val="solid" w:color="000000" w:fill="000000"/>
                <w:fitText w:val="330" w:id="-694465020"/>
                <w14:textFill>
                  <w14:solidFill>
                    <w14:srgbClr w14:val="000000">
                      <w14:alpha w14:val="100000"/>
                    </w14:srgbClr>
                  </w14:solidFill>
                </w14:textFill>
              </w:rPr>
              <w:t>|||</w:t>
            </w:r>
            <w:r w:rsidRPr="00B55D47">
              <w:rPr>
                <w:color w:val="000000"/>
                <w:spacing w:val="1"/>
                <w:shd w:val="solid" w:color="000000" w:fill="000000"/>
                <w:fitText w:val="330" w:id="-694465020"/>
                <w14:textFill>
                  <w14:solidFill>
                    <w14:srgbClr w14:val="000000">
                      <w14:alpha w14:val="100000"/>
                    </w14:srgbClr>
                  </w14:solidFill>
                </w14:textFill>
              </w:rPr>
              <w:t>|</w:t>
            </w:r>
            <w:r w:rsidR="00FE04EE" w:rsidRPr="003C6E68">
              <w:rPr>
                <w:vertAlign w:val="superscript"/>
              </w:rPr>
              <w:t>1</w:t>
            </w:r>
            <w:r w:rsidR="00052528" w:rsidRPr="00DB3F2F">
              <w:t xml:space="preserve"> year 6.</w:t>
            </w:r>
            <w:r w:rsidR="00052528">
              <w:t xml:space="preserve"> Based on:</w:t>
            </w:r>
          </w:p>
          <w:p w14:paraId="167515DE" w14:textId="77777777" w:rsidR="00052528" w:rsidRPr="00DB3F2F" w:rsidRDefault="00052528" w:rsidP="00052528">
            <w:pPr>
              <w:pStyle w:val="TableText0"/>
              <w:keepNext w:val="0"/>
              <w:keepLines w:val="0"/>
              <w:widowControl w:val="0"/>
              <w:spacing w:after="60"/>
            </w:pPr>
            <w:r>
              <w:t>306,201</w:t>
            </w:r>
            <w:r w:rsidRPr="00615BED">
              <w:t xml:space="preserve"> scripts for UDCA in</w:t>
            </w:r>
            <w:r>
              <w:t xml:space="preserve"> Jan 2019-Aug 2024</w:t>
            </w:r>
            <w:r w:rsidRPr="00615BED" w:rsidDel="000976F2">
              <w:t xml:space="preserve"> </w:t>
            </w:r>
            <w:r w:rsidRPr="00615BED">
              <w:t>= 449 patients on UDCA</w:t>
            </w:r>
            <w:r>
              <w:t xml:space="preserve"> per annum</w:t>
            </w:r>
            <w:r w:rsidRPr="00615BED">
              <w:t>.</w:t>
            </w:r>
          </w:p>
          <w:p w14:paraId="24D49BE6" w14:textId="77777777" w:rsidR="00052528" w:rsidRPr="00DB3F2F" w:rsidRDefault="00052528" w:rsidP="00052528">
            <w:pPr>
              <w:pStyle w:val="TableText0"/>
              <w:keepNext w:val="0"/>
              <w:keepLines w:val="0"/>
              <w:widowControl w:val="0"/>
              <w:spacing w:after="60"/>
            </w:pPr>
            <w:r>
              <w:t>D</w:t>
            </w:r>
            <w:r w:rsidRPr="00DB3F2F">
              <w:t xml:space="preserve">iscontinuation from UDCA </w:t>
            </w:r>
            <w:r>
              <w:t>was</w:t>
            </w:r>
            <w:r w:rsidRPr="00DB3F2F">
              <w:t xml:space="preserve"> 5.73%</w:t>
            </w:r>
            <w:r>
              <w:t xml:space="preserve"> pa</w:t>
            </w:r>
            <w:r w:rsidRPr="00DB3F2F">
              <w:t>.</w:t>
            </w:r>
          </w:p>
          <w:p w14:paraId="5CB46088" w14:textId="5EB1BFB4" w:rsidR="00052528" w:rsidRPr="00DB3F2F" w:rsidRDefault="00B55D47" w:rsidP="00052528">
            <w:pPr>
              <w:pStyle w:val="TableText0"/>
              <w:keepNext w:val="0"/>
              <w:keepLines w:val="0"/>
              <w:widowControl w:val="0"/>
              <w:spacing w:after="60"/>
            </w:pPr>
            <w:r w:rsidRPr="00B55D47">
              <w:rPr>
                <w:color w:val="000000"/>
                <w:spacing w:val="53"/>
                <w:shd w:val="solid" w:color="000000" w:fill="000000"/>
                <w:fitText w:val="330" w:id="-694465019"/>
                <w14:textFill>
                  <w14:solidFill>
                    <w14:srgbClr w14:val="000000">
                      <w14:alpha w14:val="100000"/>
                    </w14:srgbClr>
                  </w14:solidFill>
                </w14:textFill>
              </w:rPr>
              <w:t>|||</w:t>
            </w:r>
            <w:r w:rsidRPr="00B55D47">
              <w:rPr>
                <w:color w:val="000000"/>
                <w:spacing w:val="1"/>
                <w:shd w:val="solid" w:color="000000" w:fill="000000"/>
                <w:fitText w:val="330" w:id="-694465019"/>
                <w14:textFill>
                  <w14:solidFill>
                    <w14:srgbClr w14:val="000000">
                      <w14:alpha w14:val="100000"/>
                    </w14:srgbClr>
                  </w14:solidFill>
                </w14:textFill>
              </w:rPr>
              <w:t>|</w:t>
            </w:r>
            <w:r w:rsidR="00052528" w:rsidRPr="00DB3F2F">
              <w:t xml:space="preserve">% of patients </w:t>
            </w:r>
            <w:r w:rsidR="00052528">
              <w:t xml:space="preserve">would </w:t>
            </w:r>
            <w:r w:rsidR="00052528" w:rsidRPr="00DB3F2F">
              <w:t xml:space="preserve">elect treatment with </w:t>
            </w:r>
            <w:proofErr w:type="spellStart"/>
            <w:r w:rsidR="00052528" w:rsidRPr="00DB3F2F">
              <w:t>elafibranor</w:t>
            </w:r>
            <w:proofErr w:type="spellEnd"/>
            <w:r w:rsidR="00052528" w:rsidRPr="00DB3F2F">
              <w:t>.</w:t>
            </w:r>
          </w:p>
        </w:tc>
        <w:tc>
          <w:tcPr>
            <w:tcW w:w="1264" w:type="pct"/>
            <w:tcMar>
              <w:left w:w="40" w:type="dxa"/>
              <w:right w:w="40" w:type="dxa"/>
            </w:tcMar>
            <w:vAlign w:val="center"/>
          </w:tcPr>
          <w:p w14:paraId="04DAB4F5" w14:textId="77777777" w:rsidR="00052528" w:rsidRDefault="00052528" w:rsidP="00052528">
            <w:pPr>
              <w:pStyle w:val="TableText0"/>
              <w:keepNext w:val="0"/>
              <w:keepLines w:val="0"/>
              <w:widowControl w:val="0"/>
              <w:spacing w:after="60"/>
            </w:pPr>
            <w:r>
              <w:t>UDCA</w:t>
            </w:r>
            <w:r w:rsidRPr="00ED7CAB">
              <w:t xml:space="preserve"> PBS service data, Services Australia online.</w:t>
            </w:r>
          </w:p>
          <w:p w14:paraId="555CD0BA" w14:textId="77777777" w:rsidR="00052528" w:rsidRPr="00DB3F2F" w:rsidRDefault="00052528" w:rsidP="00052528">
            <w:pPr>
              <w:pStyle w:val="TableText0"/>
              <w:keepNext w:val="0"/>
              <w:keepLines w:val="0"/>
              <w:widowControl w:val="0"/>
              <w:spacing w:after="60"/>
            </w:pPr>
            <w:r>
              <w:t>A</w:t>
            </w:r>
            <w:r w:rsidRPr="00DB3F2F">
              <w:t xml:space="preserve">nnual rate of discontinuation from UDCA of 5.73% </w:t>
            </w:r>
            <w:r>
              <w:t xml:space="preserve">was based on </w:t>
            </w:r>
            <w:r w:rsidRPr="00DB3F2F">
              <w:t>Lindor et al (1994).</w:t>
            </w:r>
          </w:p>
          <w:p w14:paraId="64C05279" w14:textId="77777777" w:rsidR="00052528" w:rsidRDefault="00052528" w:rsidP="00052528">
            <w:pPr>
              <w:pStyle w:val="TableText0"/>
              <w:keepNext w:val="0"/>
              <w:keepLines w:val="0"/>
              <w:widowControl w:val="0"/>
            </w:pPr>
          </w:p>
          <w:p w14:paraId="0EE828BC" w14:textId="4128E32B" w:rsidR="00052528" w:rsidRPr="00ED7CAB" w:rsidRDefault="00052528" w:rsidP="00052528">
            <w:pPr>
              <w:pStyle w:val="TableText0"/>
              <w:keepNext w:val="0"/>
              <w:keepLines w:val="0"/>
              <w:widowControl w:val="0"/>
              <w:spacing w:after="60"/>
            </w:pPr>
            <w:r>
              <w:t>Uptake rate assumed.</w:t>
            </w:r>
          </w:p>
        </w:tc>
        <w:tc>
          <w:tcPr>
            <w:tcW w:w="1277" w:type="pct"/>
            <w:tcMar>
              <w:left w:w="40" w:type="dxa"/>
              <w:right w:w="40" w:type="dxa"/>
            </w:tcMar>
            <w:vAlign w:val="center"/>
          </w:tcPr>
          <w:p w14:paraId="589FC216" w14:textId="0AAB6031" w:rsidR="00052528" w:rsidRPr="00D01E69" w:rsidRDefault="00052528" w:rsidP="00052528">
            <w:pPr>
              <w:widowControl w:val="0"/>
              <w:jc w:val="left"/>
              <w:rPr>
                <w:rFonts w:ascii="Arial Narrow" w:eastAsia="MS Gothic" w:hAnsi="Arial Narrow" w:cs="Times New Roman"/>
                <w:sz w:val="20"/>
              </w:rPr>
            </w:pPr>
            <w:r w:rsidRPr="00D01E69">
              <w:rPr>
                <w:rFonts w:ascii="Arial Narrow" w:eastAsia="MS Gothic" w:hAnsi="Arial Narrow" w:cs="Times New Roman"/>
                <w:sz w:val="20"/>
              </w:rPr>
              <w:t xml:space="preserve">The DUSC considered there was potential for overlap between the DTG 1 </w:t>
            </w:r>
            <w:r w:rsidR="0054146C">
              <w:rPr>
                <w:rFonts w:ascii="Arial Narrow" w:eastAsia="MS Gothic" w:hAnsi="Arial Narrow" w:cs="Times New Roman"/>
                <w:sz w:val="20"/>
              </w:rPr>
              <w:t>a</w:t>
            </w:r>
            <w:r w:rsidRPr="00D01E69">
              <w:rPr>
                <w:rFonts w:ascii="Arial Narrow" w:eastAsia="MS Gothic" w:hAnsi="Arial Narrow" w:cs="Times New Roman"/>
                <w:sz w:val="20"/>
              </w:rPr>
              <w:t xml:space="preserve">nd DTG 2 groups as it was unclear why these patients would be unsuitable for OCA. </w:t>
            </w:r>
          </w:p>
          <w:p w14:paraId="03E59B31" w14:textId="77777777" w:rsidR="00052528" w:rsidRPr="00D01E69" w:rsidRDefault="00052528" w:rsidP="00052528">
            <w:pPr>
              <w:widowControl w:val="0"/>
              <w:jc w:val="left"/>
              <w:rPr>
                <w:rFonts w:ascii="Arial Narrow" w:eastAsia="MS Gothic" w:hAnsi="Arial Narrow" w:cs="Times New Roman"/>
                <w:bCs/>
                <w:sz w:val="20"/>
              </w:rPr>
            </w:pPr>
            <w:r w:rsidRPr="00D01E69">
              <w:rPr>
                <w:rFonts w:ascii="Arial Narrow" w:eastAsia="MS Gothic" w:hAnsi="Arial Narrow" w:cs="Times New Roman"/>
                <w:bCs/>
                <w:sz w:val="20"/>
              </w:rPr>
              <w:t>The DUSC noted that the submission used UDCA PBS service data to inform the</w:t>
            </w:r>
            <w:r>
              <w:rPr>
                <w:rFonts w:ascii="Arial Narrow" w:eastAsia="MS Gothic" w:hAnsi="Arial Narrow" w:cs="Times New Roman"/>
                <w:bCs/>
                <w:sz w:val="20"/>
              </w:rPr>
              <w:t>se</w:t>
            </w:r>
            <w:r w:rsidRPr="00D01E69">
              <w:rPr>
                <w:rFonts w:ascii="Arial Narrow" w:eastAsia="MS Gothic" w:hAnsi="Arial Narrow" w:cs="Times New Roman"/>
                <w:bCs/>
                <w:sz w:val="20"/>
              </w:rPr>
              <w:t xml:space="preserve"> estimates. The DUSC noted that the data was taken from the intolerance rate for UDCA but considered that not all patients would require second line therapy. </w:t>
            </w:r>
          </w:p>
          <w:p w14:paraId="7B6F7A47" w14:textId="6823355C" w:rsidR="00052528" w:rsidRDefault="00052528" w:rsidP="00052528">
            <w:pPr>
              <w:pStyle w:val="TableText0"/>
              <w:keepNext w:val="0"/>
              <w:keepLines w:val="0"/>
              <w:widowControl w:val="0"/>
            </w:pPr>
            <w:r w:rsidRPr="00D01E69">
              <w:rPr>
                <w:rFonts w:eastAsia="MS Gothic" w:cs="Times New Roman"/>
              </w:rPr>
              <w:t>Further, the DUSC noted that UDCA may be used off-label for other cholestatic conditions and as such, may not reflect use for PBC.</w:t>
            </w:r>
            <w:r w:rsidR="00C269DA">
              <w:rPr>
                <w:rFonts w:eastAsia="MS Gothic" w:cs="Times New Roman"/>
                <w:i/>
                <w:iCs/>
              </w:rPr>
              <w:t xml:space="preserve"> </w:t>
            </w:r>
          </w:p>
        </w:tc>
      </w:tr>
      <w:tr w:rsidR="00AD6B55" w:rsidRPr="00DB3F2F" w14:paraId="481A8D87" w14:textId="77777777">
        <w:trPr>
          <w:cantSplit/>
        </w:trPr>
        <w:tc>
          <w:tcPr>
            <w:tcW w:w="827" w:type="pct"/>
            <w:tcMar>
              <w:left w:w="40" w:type="dxa"/>
              <w:right w:w="40" w:type="dxa"/>
            </w:tcMar>
            <w:vAlign w:val="center"/>
          </w:tcPr>
          <w:p w14:paraId="38951D79" w14:textId="77777777" w:rsidR="00AD6B55" w:rsidRPr="00DB3F2F" w:rsidRDefault="00AD6B55">
            <w:pPr>
              <w:pStyle w:val="TableText0"/>
              <w:keepNext w:val="0"/>
              <w:keepLines w:val="0"/>
              <w:widowControl w:val="0"/>
            </w:pPr>
            <w:r w:rsidRPr="00DB3F2F">
              <w:t>Prevalent patients who were intolerant / non-responsive and discontinued OCA (DTG 3)</w:t>
            </w:r>
          </w:p>
        </w:tc>
        <w:tc>
          <w:tcPr>
            <w:tcW w:w="1632" w:type="pct"/>
            <w:tcMar>
              <w:left w:w="40" w:type="dxa"/>
              <w:right w:w="40" w:type="dxa"/>
            </w:tcMar>
            <w:vAlign w:val="center"/>
          </w:tcPr>
          <w:p w14:paraId="4B98894B" w14:textId="214FCC1D" w:rsidR="00AD6B55" w:rsidRDefault="00B55D47">
            <w:pPr>
              <w:pStyle w:val="TableText0"/>
              <w:keepNext w:val="0"/>
              <w:keepLines w:val="0"/>
              <w:widowControl w:val="0"/>
              <w:spacing w:after="60"/>
            </w:pPr>
            <w:r w:rsidRPr="00B55D47">
              <w:rPr>
                <w:color w:val="000000"/>
                <w:spacing w:val="53"/>
                <w:shd w:val="solid" w:color="000000" w:fill="000000"/>
                <w:fitText w:val="330" w:id="-694465018"/>
                <w14:textFill>
                  <w14:solidFill>
                    <w14:srgbClr w14:val="000000">
                      <w14:alpha w14:val="100000"/>
                    </w14:srgbClr>
                  </w14:solidFill>
                </w14:textFill>
              </w:rPr>
              <w:t>|||</w:t>
            </w:r>
            <w:r w:rsidRPr="00B55D47">
              <w:rPr>
                <w:color w:val="000000"/>
                <w:spacing w:val="1"/>
                <w:shd w:val="solid" w:color="000000" w:fill="000000"/>
                <w:fitText w:val="330" w:id="-694465018"/>
                <w14:textFill>
                  <w14:solidFill>
                    <w14:srgbClr w14:val="000000">
                      <w14:alpha w14:val="100000"/>
                    </w14:srgbClr>
                  </w14:solidFill>
                </w14:textFill>
              </w:rPr>
              <w:t>|</w:t>
            </w:r>
            <w:r w:rsidR="00FE04EE" w:rsidRPr="003C6E68">
              <w:rPr>
                <w:vertAlign w:val="superscript"/>
              </w:rPr>
              <w:t>1</w:t>
            </w:r>
            <w:r w:rsidR="00AD6B55" w:rsidRPr="00DB3F2F">
              <w:t xml:space="preserve"> patients in </w:t>
            </w:r>
            <w:r w:rsidR="00AD6B55">
              <w:t>Y</w:t>
            </w:r>
            <w:r w:rsidR="00AD6B55" w:rsidRPr="00DB3F2F">
              <w:t xml:space="preserve">ear 1, </w:t>
            </w:r>
            <w:r w:rsidRPr="00B55D47">
              <w:rPr>
                <w:color w:val="000000"/>
                <w:spacing w:val="53"/>
                <w:shd w:val="solid" w:color="000000" w:fill="000000"/>
                <w:fitText w:val="330" w:id="-694465017"/>
                <w14:textFill>
                  <w14:solidFill>
                    <w14:srgbClr w14:val="000000">
                      <w14:alpha w14:val="100000"/>
                    </w14:srgbClr>
                  </w14:solidFill>
                </w14:textFill>
              </w:rPr>
              <w:t>|||</w:t>
            </w:r>
            <w:r w:rsidRPr="00B55D47">
              <w:rPr>
                <w:color w:val="000000"/>
                <w:spacing w:val="1"/>
                <w:shd w:val="solid" w:color="000000" w:fill="000000"/>
                <w:fitText w:val="330" w:id="-694465017"/>
                <w14:textFill>
                  <w14:solidFill>
                    <w14:srgbClr w14:val="000000">
                      <w14:alpha w14:val="100000"/>
                    </w14:srgbClr>
                  </w14:solidFill>
                </w14:textFill>
              </w:rPr>
              <w:t>|</w:t>
            </w:r>
            <w:r w:rsidR="00FE04EE" w:rsidRPr="003C6E68">
              <w:rPr>
                <w:vertAlign w:val="superscript"/>
              </w:rPr>
              <w:t>1</w:t>
            </w:r>
            <w:r w:rsidR="00AD6B55" w:rsidRPr="00DB3F2F">
              <w:t xml:space="preserve"> patients in subsequent years.</w:t>
            </w:r>
            <w:r w:rsidR="00AD6B55">
              <w:t xml:space="preserve"> Based on:</w:t>
            </w:r>
          </w:p>
          <w:p w14:paraId="35D7D006" w14:textId="77777777" w:rsidR="00AD6B55" w:rsidRDefault="00AD6B55">
            <w:pPr>
              <w:pStyle w:val="TableText0"/>
              <w:keepNext w:val="0"/>
              <w:keepLines w:val="0"/>
              <w:widowControl w:val="0"/>
              <w:spacing w:after="60"/>
            </w:pPr>
            <w:r>
              <w:t xml:space="preserve">1,894 initiation scripts for OCA in Sept 2021-Aug 2024 = 316 patients initiated on OCA. </w:t>
            </w:r>
          </w:p>
          <w:p w14:paraId="33543E7D" w14:textId="77777777" w:rsidR="00AD6B55" w:rsidRPr="00DB3F2F" w:rsidRDefault="00AD6B55">
            <w:pPr>
              <w:pStyle w:val="TableText0"/>
              <w:keepNext w:val="0"/>
              <w:keepLines w:val="0"/>
              <w:widowControl w:val="0"/>
              <w:spacing w:after="60"/>
            </w:pPr>
            <w:r>
              <w:t>567 continuing scripts for OCA in Jun 2024-Aug 2024 = 189 patients on OCA and 127 patients who discontinued.</w:t>
            </w:r>
          </w:p>
          <w:p w14:paraId="41EDFFC0" w14:textId="491D7E60" w:rsidR="00AD6B55" w:rsidRPr="00DB3F2F" w:rsidRDefault="00B55D47">
            <w:pPr>
              <w:pStyle w:val="TableText0"/>
              <w:keepNext w:val="0"/>
              <w:keepLines w:val="0"/>
              <w:widowControl w:val="0"/>
            </w:pPr>
            <w:r w:rsidRPr="00B55D47">
              <w:rPr>
                <w:color w:val="000000"/>
                <w:spacing w:val="53"/>
                <w:shd w:val="solid" w:color="000000" w:fill="000000"/>
                <w:fitText w:val="330" w:id="-694465016"/>
                <w14:textFill>
                  <w14:solidFill>
                    <w14:srgbClr w14:val="000000">
                      <w14:alpha w14:val="100000"/>
                    </w14:srgbClr>
                  </w14:solidFill>
                </w14:textFill>
              </w:rPr>
              <w:t>|||</w:t>
            </w:r>
            <w:r w:rsidRPr="00B55D47">
              <w:rPr>
                <w:color w:val="000000"/>
                <w:spacing w:val="1"/>
                <w:shd w:val="solid" w:color="000000" w:fill="000000"/>
                <w:fitText w:val="330" w:id="-694465016"/>
                <w14:textFill>
                  <w14:solidFill>
                    <w14:srgbClr w14:val="000000">
                      <w14:alpha w14:val="100000"/>
                    </w14:srgbClr>
                  </w14:solidFill>
                </w14:textFill>
              </w:rPr>
              <w:t>|</w:t>
            </w:r>
            <w:r w:rsidR="00AD6B55" w:rsidRPr="00DB3F2F">
              <w:t xml:space="preserve">% of </w:t>
            </w:r>
            <w:r w:rsidR="00AD6B55">
              <w:t xml:space="preserve">discontinued </w:t>
            </w:r>
            <w:r w:rsidR="00AD6B55" w:rsidRPr="00DB3F2F">
              <w:t xml:space="preserve">patients would elect treatment </w:t>
            </w:r>
            <w:r w:rsidR="00AD6B55">
              <w:t xml:space="preserve">with </w:t>
            </w:r>
            <w:proofErr w:type="spellStart"/>
            <w:r w:rsidR="00AD6B55" w:rsidRPr="00DB3F2F">
              <w:t>elafibranor</w:t>
            </w:r>
            <w:proofErr w:type="spellEnd"/>
            <w:r w:rsidR="00AD6B55" w:rsidRPr="00DB3F2F">
              <w:t>.</w:t>
            </w:r>
          </w:p>
        </w:tc>
        <w:tc>
          <w:tcPr>
            <w:tcW w:w="1264" w:type="pct"/>
            <w:tcMar>
              <w:left w:w="40" w:type="dxa"/>
              <w:right w:w="40" w:type="dxa"/>
            </w:tcMar>
            <w:vAlign w:val="center"/>
          </w:tcPr>
          <w:p w14:paraId="62794762" w14:textId="77777777" w:rsidR="00AD6B55" w:rsidRDefault="00AD6B55">
            <w:pPr>
              <w:pStyle w:val="TableText0"/>
              <w:keepNext w:val="0"/>
              <w:keepLines w:val="0"/>
              <w:widowControl w:val="0"/>
              <w:spacing w:after="60"/>
            </w:pPr>
            <w:r w:rsidRPr="00ED7CAB">
              <w:t>OCA PBS service data, Services Australia online.</w:t>
            </w:r>
          </w:p>
          <w:p w14:paraId="61B46440" w14:textId="77777777" w:rsidR="00AD6B55" w:rsidRPr="00ED7CAB" w:rsidRDefault="00AD6B55">
            <w:pPr>
              <w:pStyle w:val="TableText0"/>
            </w:pPr>
            <w:r>
              <w:t>Uptake rate assumed.</w:t>
            </w:r>
          </w:p>
        </w:tc>
        <w:tc>
          <w:tcPr>
            <w:tcW w:w="1277" w:type="pct"/>
            <w:tcMar>
              <w:left w:w="40" w:type="dxa"/>
              <w:right w:w="40" w:type="dxa"/>
            </w:tcMar>
            <w:vAlign w:val="center"/>
          </w:tcPr>
          <w:p w14:paraId="6076C96F" w14:textId="2C36C7BB" w:rsidR="00D01E69" w:rsidRPr="00D01E69" w:rsidRDefault="00D01E69" w:rsidP="000535F7">
            <w:pPr>
              <w:pStyle w:val="TableText0"/>
              <w:keepNext w:val="0"/>
              <w:keepLines w:val="0"/>
              <w:widowControl w:val="0"/>
            </w:pPr>
            <w:r>
              <w:t>The</w:t>
            </w:r>
            <w:r w:rsidR="000535F7">
              <w:t xml:space="preserve"> </w:t>
            </w:r>
            <w:r w:rsidRPr="00D01E69">
              <w:rPr>
                <w:rFonts w:eastAsia="MS Gothic" w:cs="Times New Roman"/>
              </w:rPr>
              <w:t xml:space="preserve">DUSC </w:t>
            </w:r>
            <w:r>
              <w:rPr>
                <w:rFonts w:eastAsia="MS Gothic" w:cs="Times New Roman"/>
              </w:rPr>
              <w:t>considered</w:t>
            </w:r>
            <w:r w:rsidRPr="00D01E69">
              <w:rPr>
                <w:rFonts w:eastAsia="MS Gothic" w:cs="Times New Roman"/>
              </w:rPr>
              <w:t xml:space="preserve"> that the treatment uptake rate was reasonable</w:t>
            </w:r>
            <w:r>
              <w:rPr>
                <w:rFonts w:eastAsia="MS Gothic" w:cs="Times New Roman"/>
              </w:rPr>
              <w:t xml:space="preserve">; </w:t>
            </w:r>
            <w:r w:rsidRPr="00D01E69">
              <w:rPr>
                <w:rFonts w:eastAsia="MS Gothic" w:cs="Times New Roman"/>
              </w:rPr>
              <w:t>however</w:t>
            </w:r>
            <w:r>
              <w:rPr>
                <w:rFonts w:eastAsia="MS Gothic" w:cs="Times New Roman"/>
              </w:rPr>
              <w:t xml:space="preserve">, noted that it </w:t>
            </w:r>
            <w:r w:rsidRPr="00D01E69">
              <w:rPr>
                <w:rFonts w:eastAsia="MS Gothic" w:cs="Times New Roman"/>
              </w:rPr>
              <w:t>may be overestimated if patients continue UDCA if their disease status or ALP levels improve.</w:t>
            </w:r>
          </w:p>
        </w:tc>
      </w:tr>
      <w:tr w:rsidR="00DA5791" w:rsidRPr="00DB3F2F" w14:paraId="0C96A455" w14:textId="77777777">
        <w:trPr>
          <w:cantSplit/>
        </w:trPr>
        <w:tc>
          <w:tcPr>
            <w:tcW w:w="827" w:type="pct"/>
            <w:tcMar>
              <w:left w:w="40" w:type="dxa"/>
              <w:right w:w="40" w:type="dxa"/>
            </w:tcMar>
            <w:vAlign w:val="center"/>
          </w:tcPr>
          <w:p w14:paraId="3DB44497" w14:textId="77777777" w:rsidR="00DA5791" w:rsidRPr="00DB3F2F" w:rsidRDefault="00DA5791" w:rsidP="00DA5791">
            <w:pPr>
              <w:pStyle w:val="TableText0"/>
              <w:keepNext w:val="0"/>
              <w:keepLines w:val="0"/>
              <w:widowControl w:val="0"/>
            </w:pPr>
            <w:r w:rsidRPr="00DB3F2F">
              <w:lastRenderedPageBreak/>
              <w:t>Prevalent patients that might seek additional treatment following UDCA that did not commence OCA (DTG 4)</w:t>
            </w:r>
          </w:p>
        </w:tc>
        <w:tc>
          <w:tcPr>
            <w:tcW w:w="1632" w:type="pct"/>
            <w:tcMar>
              <w:left w:w="40" w:type="dxa"/>
              <w:right w:w="40" w:type="dxa"/>
            </w:tcMar>
            <w:vAlign w:val="center"/>
          </w:tcPr>
          <w:p w14:paraId="47B838CF" w14:textId="517CCFCD" w:rsidR="00DA5791" w:rsidRDefault="00B55D47" w:rsidP="00DA5791">
            <w:pPr>
              <w:pStyle w:val="TableText0"/>
              <w:keepNext w:val="0"/>
              <w:keepLines w:val="0"/>
              <w:widowControl w:val="0"/>
              <w:spacing w:after="60"/>
            </w:pPr>
            <w:r w:rsidRPr="00B55D47">
              <w:rPr>
                <w:color w:val="000000"/>
                <w:spacing w:val="53"/>
                <w:shd w:val="solid" w:color="000000" w:fill="000000"/>
                <w:fitText w:val="330" w:id="-694465015"/>
                <w14:textFill>
                  <w14:solidFill>
                    <w14:srgbClr w14:val="000000">
                      <w14:alpha w14:val="100000"/>
                    </w14:srgbClr>
                  </w14:solidFill>
                </w14:textFill>
              </w:rPr>
              <w:t>|||</w:t>
            </w:r>
            <w:r w:rsidRPr="00B55D47">
              <w:rPr>
                <w:color w:val="000000"/>
                <w:spacing w:val="1"/>
                <w:shd w:val="solid" w:color="000000" w:fill="000000"/>
                <w:fitText w:val="330" w:id="-694465015"/>
                <w14:textFill>
                  <w14:solidFill>
                    <w14:srgbClr w14:val="000000">
                      <w14:alpha w14:val="100000"/>
                    </w14:srgbClr>
                  </w14:solidFill>
                </w14:textFill>
              </w:rPr>
              <w:t>|</w:t>
            </w:r>
            <w:r w:rsidR="005C5E5E" w:rsidRPr="003C6E68">
              <w:rPr>
                <w:vertAlign w:val="superscript"/>
              </w:rPr>
              <w:t>1</w:t>
            </w:r>
            <w:r w:rsidR="00DA5791" w:rsidRPr="00DB3F2F">
              <w:t xml:space="preserve"> patients in </w:t>
            </w:r>
            <w:r w:rsidR="00DA5791">
              <w:t>Y</w:t>
            </w:r>
            <w:r w:rsidR="00DA5791" w:rsidRPr="00512E03">
              <w:t xml:space="preserve">ear </w:t>
            </w:r>
            <w:r w:rsidR="00DA5791" w:rsidRPr="00DB3F2F">
              <w:t xml:space="preserve">1, </w:t>
            </w:r>
            <w:r w:rsidRPr="00B55D47">
              <w:rPr>
                <w:color w:val="000000"/>
                <w:spacing w:val="53"/>
                <w:shd w:val="solid" w:color="000000" w:fill="000000"/>
                <w:fitText w:val="330" w:id="-694465014"/>
                <w14:textFill>
                  <w14:solidFill>
                    <w14:srgbClr w14:val="000000">
                      <w14:alpha w14:val="100000"/>
                    </w14:srgbClr>
                  </w14:solidFill>
                </w14:textFill>
              </w:rPr>
              <w:t>|||</w:t>
            </w:r>
            <w:r w:rsidRPr="00B55D47">
              <w:rPr>
                <w:color w:val="000000"/>
                <w:spacing w:val="1"/>
                <w:shd w:val="solid" w:color="000000" w:fill="000000"/>
                <w:fitText w:val="330" w:id="-694465014"/>
                <w14:textFill>
                  <w14:solidFill>
                    <w14:srgbClr w14:val="000000">
                      <w14:alpha w14:val="100000"/>
                    </w14:srgbClr>
                  </w14:solidFill>
                </w14:textFill>
              </w:rPr>
              <w:t>|</w:t>
            </w:r>
            <w:r w:rsidR="00DA5791" w:rsidRPr="00DB3F2F">
              <w:t xml:space="preserve"> </w:t>
            </w:r>
            <w:r w:rsidR="005C5E5E" w:rsidRPr="003C6E68">
              <w:rPr>
                <w:vertAlign w:val="superscript"/>
              </w:rPr>
              <w:t>1</w:t>
            </w:r>
            <w:r w:rsidR="005C5E5E">
              <w:rPr>
                <w:vertAlign w:val="superscript"/>
              </w:rPr>
              <w:t xml:space="preserve"> </w:t>
            </w:r>
            <w:r w:rsidR="00DA5791" w:rsidRPr="00DB3F2F">
              <w:t>patients in subsequent years.</w:t>
            </w:r>
            <w:r w:rsidR="00DA5791">
              <w:t xml:space="preserve"> Based on:</w:t>
            </w:r>
          </w:p>
          <w:p w14:paraId="016842E2" w14:textId="77777777" w:rsidR="00DA5791" w:rsidRPr="00DB3F2F" w:rsidRDefault="00DA5791" w:rsidP="00DA5791">
            <w:pPr>
              <w:pStyle w:val="TableText0"/>
              <w:keepNext w:val="0"/>
              <w:keepLines w:val="0"/>
              <w:widowControl w:val="0"/>
              <w:spacing w:after="60"/>
            </w:pPr>
            <w:r w:rsidRPr="00512E03">
              <w:t>63,512</w:t>
            </w:r>
            <w:r>
              <w:t xml:space="preserve"> scripts for UDCA in </w:t>
            </w:r>
            <w:r w:rsidRPr="00512E03">
              <w:t>Sept 2023-</w:t>
            </w:r>
            <w:r>
              <w:t>Aug 2024 = 5,695 patients on UDCA.</w:t>
            </w:r>
          </w:p>
          <w:p w14:paraId="17DA77E0" w14:textId="77777777" w:rsidR="00DA5791" w:rsidRDefault="00DA5791" w:rsidP="00DA5791">
            <w:pPr>
              <w:pStyle w:val="TableText0"/>
              <w:keepNext w:val="0"/>
              <w:keepLines w:val="0"/>
              <w:widowControl w:val="0"/>
              <w:spacing w:after="60"/>
            </w:pPr>
            <w:r w:rsidRPr="004E54D5">
              <w:t>3</w:t>
            </w:r>
            <w:r w:rsidRPr="00DB3F2F">
              <w:t xml:space="preserve">% of </w:t>
            </w:r>
            <w:r>
              <w:t>patients would not be suitable for OCA treatment</w:t>
            </w:r>
            <w:r w:rsidRPr="00DB3F2F">
              <w:t>.</w:t>
            </w:r>
          </w:p>
          <w:p w14:paraId="33358074" w14:textId="1C420DE6" w:rsidR="00DA5791" w:rsidRPr="00DB3F2F" w:rsidRDefault="00B55D47" w:rsidP="00DA5791">
            <w:pPr>
              <w:pStyle w:val="TableText0"/>
              <w:keepNext w:val="0"/>
              <w:keepLines w:val="0"/>
              <w:widowControl w:val="0"/>
            </w:pPr>
            <w:r w:rsidRPr="00B55D47">
              <w:rPr>
                <w:color w:val="000000"/>
                <w:spacing w:val="53"/>
                <w:shd w:val="solid" w:color="000000" w:fill="000000"/>
                <w:fitText w:val="330" w:id="-694465013"/>
                <w14:textFill>
                  <w14:solidFill>
                    <w14:srgbClr w14:val="000000">
                      <w14:alpha w14:val="100000"/>
                    </w14:srgbClr>
                  </w14:solidFill>
                </w14:textFill>
              </w:rPr>
              <w:t>|||</w:t>
            </w:r>
            <w:r w:rsidRPr="00B55D47">
              <w:rPr>
                <w:color w:val="000000"/>
                <w:spacing w:val="1"/>
                <w:shd w:val="solid" w:color="000000" w:fill="000000"/>
                <w:fitText w:val="330" w:id="-694465013"/>
                <w14:textFill>
                  <w14:solidFill>
                    <w14:srgbClr w14:val="000000">
                      <w14:alpha w14:val="100000"/>
                    </w14:srgbClr>
                  </w14:solidFill>
                </w14:textFill>
              </w:rPr>
              <w:t>|</w:t>
            </w:r>
            <w:r w:rsidR="00DA5791" w:rsidRPr="00DB3F2F">
              <w:t xml:space="preserve">% of </w:t>
            </w:r>
            <w:r w:rsidR="00DA5791">
              <w:t xml:space="preserve">patients not commencing OCA </w:t>
            </w:r>
            <w:r w:rsidR="00DA5791" w:rsidRPr="00DB3F2F">
              <w:t xml:space="preserve">would elect treatment </w:t>
            </w:r>
            <w:r w:rsidR="00DA5791">
              <w:t xml:space="preserve">with </w:t>
            </w:r>
            <w:proofErr w:type="spellStart"/>
            <w:r w:rsidR="00DA5791" w:rsidRPr="00DB3F2F">
              <w:t>elafibranor</w:t>
            </w:r>
            <w:proofErr w:type="spellEnd"/>
            <w:r w:rsidR="00DA5791" w:rsidRPr="00DB3F2F">
              <w:t>.</w:t>
            </w:r>
          </w:p>
        </w:tc>
        <w:tc>
          <w:tcPr>
            <w:tcW w:w="1264" w:type="pct"/>
            <w:tcMar>
              <w:left w:w="40" w:type="dxa"/>
              <w:right w:w="40" w:type="dxa"/>
            </w:tcMar>
            <w:vAlign w:val="center"/>
          </w:tcPr>
          <w:p w14:paraId="268DAA56" w14:textId="77777777" w:rsidR="00DA5791" w:rsidRDefault="00DA5791" w:rsidP="00DA5791">
            <w:pPr>
              <w:pStyle w:val="TableText0"/>
              <w:keepNext w:val="0"/>
              <w:keepLines w:val="0"/>
              <w:widowControl w:val="0"/>
              <w:spacing w:after="60"/>
            </w:pPr>
            <w:r>
              <w:t>UDCA</w:t>
            </w:r>
            <w:r w:rsidRPr="00ED7CAB">
              <w:t xml:space="preserve"> PBS service data, Services Australia online.</w:t>
            </w:r>
          </w:p>
          <w:p w14:paraId="23CC6C50" w14:textId="77777777" w:rsidR="00DA5791" w:rsidRPr="00DB3F2F" w:rsidRDefault="00DA5791" w:rsidP="00DA5791">
            <w:pPr>
              <w:pStyle w:val="TableText0"/>
              <w:keepNext w:val="0"/>
              <w:keepLines w:val="0"/>
              <w:widowControl w:val="0"/>
              <w:spacing w:after="120"/>
            </w:pPr>
            <w:r w:rsidRPr="00DB3F2F">
              <w:t xml:space="preserve">The 3% </w:t>
            </w:r>
            <w:r>
              <w:t>was based on the proportion of participants</w:t>
            </w:r>
            <w:r w:rsidRPr="00DB3F2F">
              <w:t xml:space="preserve"> excluded from the </w:t>
            </w:r>
            <w:r>
              <w:t>POISE</w:t>
            </w:r>
            <w:r w:rsidRPr="00DB3F2F">
              <w:t xml:space="preserve"> trial due to severe prurit</w:t>
            </w:r>
            <w:r>
              <w:t>u</w:t>
            </w:r>
            <w:r w:rsidRPr="00DB3F2F">
              <w:t>s</w:t>
            </w:r>
            <w:r>
              <w:t xml:space="preserve"> reported by</w:t>
            </w:r>
            <w:r w:rsidRPr="00DB3F2F">
              <w:t xml:space="preserve"> Nevens et al (2016).</w:t>
            </w:r>
          </w:p>
          <w:p w14:paraId="74640AB2" w14:textId="77777777" w:rsidR="00DA5791" w:rsidRPr="00DB3F2F" w:rsidRDefault="00DA5791" w:rsidP="00DA5791">
            <w:pPr>
              <w:pStyle w:val="TableText0"/>
              <w:keepNext w:val="0"/>
              <w:keepLines w:val="0"/>
              <w:widowControl w:val="0"/>
            </w:pPr>
            <w:r>
              <w:t>Uptake rate assumed.</w:t>
            </w:r>
          </w:p>
        </w:tc>
        <w:tc>
          <w:tcPr>
            <w:tcW w:w="1277" w:type="pct"/>
            <w:tcMar>
              <w:left w:w="40" w:type="dxa"/>
              <w:right w:w="40" w:type="dxa"/>
            </w:tcMar>
            <w:vAlign w:val="center"/>
          </w:tcPr>
          <w:p w14:paraId="14A5422F" w14:textId="3062C3AE" w:rsidR="00DA5791" w:rsidRPr="00DA5791" w:rsidRDefault="00DA5791" w:rsidP="00DA5791">
            <w:pPr>
              <w:widowControl w:val="0"/>
              <w:jc w:val="left"/>
              <w:rPr>
                <w:rFonts w:ascii="Arial Narrow" w:eastAsia="MS Gothic" w:hAnsi="Arial Narrow" w:cs="Times New Roman"/>
                <w:bCs/>
                <w:sz w:val="20"/>
              </w:rPr>
            </w:pPr>
            <w:r>
              <w:rPr>
                <w:rFonts w:ascii="Arial Narrow" w:eastAsia="MS Gothic" w:hAnsi="Arial Narrow" w:cs="Times New Roman"/>
                <w:bCs/>
                <w:sz w:val="20"/>
              </w:rPr>
              <w:t xml:space="preserve">The </w:t>
            </w:r>
            <w:r w:rsidRPr="00DA5791">
              <w:rPr>
                <w:rFonts w:ascii="Arial Narrow" w:eastAsia="MS Gothic" w:hAnsi="Arial Narrow" w:cs="Times New Roman"/>
                <w:bCs/>
                <w:sz w:val="20"/>
              </w:rPr>
              <w:t xml:space="preserve">DUSC </w:t>
            </w:r>
            <w:r>
              <w:rPr>
                <w:rFonts w:ascii="Arial Narrow" w:eastAsia="MS Gothic" w:hAnsi="Arial Narrow" w:cs="Times New Roman"/>
                <w:bCs/>
                <w:sz w:val="20"/>
              </w:rPr>
              <w:t xml:space="preserve">noted </w:t>
            </w:r>
            <w:r w:rsidRPr="00DA5791">
              <w:rPr>
                <w:rFonts w:ascii="Arial Narrow" w:eastAsia="MS Gothic" w:hAnsi="Arial Narrow" w:cs="Times New Roman"/>
                <w:bCs/>
                <w:sz w:val="20"/>
              </w:rPr>
              <w:t xml:space="preserve">that it was unclear why participants with severe pruritus were excluded from the POISE trial </w:t>
            </w:r>
            <w:r w:rsidR="00FC7531">
              <w:rPr>
                <w:rFonts w:ascii="Arial Narrow" w:eastAsia="MS Gothic" w:hAnsi="Arial Narrow" w:cs="Times New Roman"/>
                <w:bCs/>
                <w:sz w:val="20"/>
              </w:rPr>
              <w:t xml:space="preserve">as, </w:t>
            </w:r>
            <w:r w:rsidRPr="00DA5791">
              <w:rPr>
                <w:rFonts w:ascii="Arial Narrow" w:eastAsia="MS Gothic" w:hAnsi="Arial Narrow" w:cs="Times New Roman"/>
                <w:bCs/>
                <w:sz w:val="20"/>
              </w:rPr>
              <w:t xml:space="preserve">in clinical practice, all patients who require second line therapy would be at least offered OCA. </w:t>
            </w:r>
          </w:p>
          <w:p w14:paraId="3CFB37C0" w14:textId="39FA139E" w:rsidR="00DA5791" w:rsidRPr="00742A1E" w:rsidRDefault="00DA5791" w:rsidP="00DA5791">
            <w:pPr>
              <w:pStyle w:val="TableText0"/>
              <w:keepNext w:val="0"/>
              <w:keepLines w:val="0"/>
              <w:widowControl w:val="0"/>
            </w:pPr>
            <w:r>
              <w:rPr>
                <w:rFonts w:eastAsia="MS Gothic" w:cs="Times New Roman"/>
              </w:rPr>
              <w:t xml:space="preserve">The </w:t>
            </w:r>
            <w:r w:rsidRPr="00DA5791">
              <w:rPr>
                <w:rFonts w:eastAsia="MS Gothic" w:cs="Times New Roman"/>
              </w:rPr>
              <w:t>DUSC noted the submission used UDCA PBS service data to inform the</w:t>
            </w:r>
            <w:r w:rsidR="00FC7531">
              <w:rPr>
                <w:rFonts w:eastAsia="MS Gothic" w:cs="Times New Roman"/>
              </w:rPr>
              <w:t>se</w:t>
            </w:r>
            <w:r w:rsidRPr="00DA5791">
              <w:rPr>
                <w:rFonts w:eastAsia="MS Gothic" w:cs="Times New Roman"/>
              </w:rPr>
              <w:t xml:space="preserve"> estimates. </w:t>
            </w:r>
            <w:r>
              <w:rPr>
                <w:rFonts w:eastAsia="MS Gothic" w:cs="Times New Roman"/>
              </w:rPr>
              <w:t xml:space="preserve">The </w:t>
            </w:r>
            <w:r w:rsidRPr="00DA5791">
              <w:rPr>
                <w:rFonts w:eastAsia="MS Gothic" w:cs="Times New Roman"/>
              </w:rPr>
              <w:t xml:space="preserve">DUSC </w:t>
            </w:r>
            <w:r w:rsidR="00FC7531">
              <w:rPr>
                <w:rFonts w:eastAsia="MS Gothic" w:cs="Times New Roman"/>
              </w:rPr>
              <w:t>noted</w:t>
            </w:r>
            <w:r>
              <w:rPr>
                <w:rFonts w:eastAsia="MS Gothic" w:cs="Times New Roman"/>
              </w:rPr>
              <w:t xml:space="preserve"> </w:t>
            </w:r>
            <w:r w:rsidRPr="00DA5791">
              <w:rPr>
                <w:rFonts w:eastAsia="MS Gothic" w:cs="Times New Roman"/>
              </w:rPr>
              <w:t>that UDCA may be used off-label for other cholestatic conditions and as such, may not reflect use for PBC.</w:t>
            </w:r>
            <w:r w:rsidR="00C269DA">
              <w:rPr>
                <w:rFonts w:eastAsia="MS Gothic" w:cs="Times New Roman"/>
              </w:rPr>
              <w:t xml:space="preserve"> </w:t>
            </w:r>
          </w:p>
        </w:tc>
      </w:tr>
      <w:tr w:rsidR="00DA5791" w:rsidRPr="00DB3F2F" w14:paraId="29CC4E49" w14:textId="77777777">
        <w:trPr>
          <w:cantSplit/>
        </w:trPr>
        <w:tc>
          <w:tcPr>
            <w:tcW w:w="827" w:type="pct"/>
            <w:tcMar>
              <w:left w:w="40" w:type="dxa"/>
              <w:right w:w="40" w:type="dxa"/>
            </w:tcMar>
            <w:vAlign w:val="center"/>
          </w:tcPr>
          <w:p w14:paraId="0A2B13B8" w14:textId="77777777" w:rsidR="00DA5791" w:rsidRPr="00DB3F2F" w:rsidRDefault="00DA5791" w:rsidP="00DA5791">
            <w:pPr>
              <w:pStyle w:val="TableText0"/>
              <w:keepNext w:val="0"/>
              <w:keepLines w:val="0"/>
              <w:widowControl w:val="0"/>
            </w:pPr>
            <w:r w:rsidRPr="00DB3F2F">
              <w:t xml:space="preserve">Prevalent patients currently on OCA treatment switching to </w:t>
            </w:r>
            <w:proofErr w:type="spellStart"/>
            <w:r w:rsidRPr="00DB3F2F">
              <w:t>elafibranor</w:t>
            </w:r>
            <w:proofErr w:type="spellEnd"/>
            <w:r w:rsidRPr="00DB3F2F">
              <w:t xml:space="preserve"> (DTG</w:t>
            </w:r>
            <w:r>
              <w:t> </w:t>
            </w:r>
            <w:r w:rsidRPr="00DB3F2F">
              <w:t>5)</w:t>
            </w:r>
          </w:p>
        </w:tc>
        <w:tc>
          <w:tcPr>
            <w:tcW w:w="1632" w:type="pct"/>
            <w:tcMar>
              <w:left w:w="40" w:type="dxa"/>
              <w:right w:w="40" w:type="dxa"/>
            </w:tcMar>
            <w:vAlign w:val="center"/>
          </w:tcPr>
          <w:p w14:paraId="31A02E38" w14:textId="304837BC" w:rsidR="00DA5791" w:rsidRDefault="00B55D47" w:rsidP="00DA5791">
            <w:pPr>
              <w:pStyle w:val="TableText0"/>
              <w:keepNext w:val="0"/>
              <w:keepLines w:val="0"/>
              <w:widowControl w:val="0"/>
              <w:spacing w:after="60"/>
            </w:pPr>
            <w:r w:rsidRPr="00B55D47">
              <w:rPr>
                <w:color w:val="000000"/>
                <w:spacing w:val="53"/>
                <w:shd w:val="solid" w:color="000000" w:fill="000000"/>
                <w:fitText w:val="330" w:id="-694465012"/>
                <w14:textFill>
                  <w14:solidFill>
                    <w14:srgbClr w14:val="000000">
                      <w14:alpha w14:val="100000"/>
                    </w14:srgbClr>
                  </w14:solidFill>
                </w14:textFill>
              </w:rPr>
              <w:t>|||</w:t>
            </w:r>
            <w:r w:rsidRPr="00B55D47">
              <w:rPr>
                <w:color w:val="000000"/>
                <w:spacing w:val="1"/>
                <w:shd w:val="solid" w:color="000000" w:fill="000000"/>
                <w:fitText w:val="330" w:id="-694465012"/>
                <w14:textFill>
                  <w14:solidFill>
                    <w14:srgbClr w14:val="000000">
                      <w14:alpha w14:val="100000"/>
                    </w14:srgbClr>
                  </w14:solidFill>
                </w14:textFill>
              </w:rPr>
              <w:t>|</w:t>
            </w:r>
            <w:r w:rsidR="00DA5791" w:rsidRPr="00DB3F2F">
              <w:t xml:space="preserve"> </w:t>
            </w:r>
            <w:r w:rsidR="003C6E68" w:rsidRPr="003C6E68">
              <w:rPr>
                <w:vertAlign w:val="superscript"/>
              </w:rPr>
              <w:t>1</w:t>
            </w:r>
            <w:r w:rsidR="003C6E68">
              <w:t xml:space="preserve"> </w:t>
            </w:r>
            <w:r w:rsidR="00DA5791" w:rsidRPr="00DB3F2F">
              <w:t xml:space="preserve">patients in </w:t>
            </w:r>
            <w:r w:rsidR="00DA5791">
              <w:t>Y</w:t>
            </w:r>
            <w:r w:rsidR="00DA5791" w:rsidRPr="00512E03">
              <w:t xml:space="preserve">ear </w:t>
            </w:r>
            <w:r w:rsidR="00DA5791" w:rsidRPr="00DB3F2F">
              <w:t xml:space="preserve">1, </w:t>
            </w:r>
            <w:r w:rsidRPr="00B55D47">
              <w:rPr>
                <w:color w:val="000000"/>
                <w:spacing w:val="53"/>
                <w:shd w:val="solid" w:color="000000" w:fill="000000"/>
                <w:fitText w:val="330" w:id="-694465011"/>
                <w14:textFill>
                  <w14:solidFill>
                    <w14:srgbClr w14:val="000000">
                      <w14:alpha w14:val="100000"/>
                    </w14:srgbClr>
                  </w14:solidFill>
                </w14:textFill>
              </w:rPr>
              <w:t>|||</w:t>
            </w:r>
            <w:r w:rsidRPr="00B55D47">
              <w:rPr>
                <w:color w:val="000000"/>
                <w:spacing w:val="1"/>
                <w:shd w:val="solid" w:color="000000" w:fill="000000"/>
                <w:fitText w:val="330" w:id="-694465011"/>
                <w14:textFill>
                  <w14:solidFill>
                    <w14:srgbClr w14:val="000000">
                      <w14:alpha w14:val="100000"/>
                    </w14:srgbClr>
                  </w14:solidFill>
                </w14:textFill>
              </w:rPr>
              <w:t>|</w:t>
            </w:r>
            <w:r w:rsidR="00D048C3" w:rsidRPr="003C6E68">
              <w:rPr>
                <w:vertAlign w:val="superscript"/>
              </w:rPr>
              <w:t>1</w:t>
            </w:r>
            <w:r w:rsidR="00DA5791" w:rsidRPr="00DB3F2F">
              <w:t xml:space="preserve"> patients in subsequent years</w:t>
            </w:r>
            <w:r w:rsidR="00DA5791">
              <w:t>. Based on:</w:t>
            </w:r>
          </w:p>
          <w:p w14:paraId="6919F2E8" w14:textId="77777777" w:rsidR="00DA5791" w:rsidRPr="00DB3F2F" w:rsidRDefault="00DA5791" w:rsidP="00DA5791">
            <w:pPr>
              <w:pStyle w:val="TableText0"/>
              <w:keepNext w:val="0"/>
              <w:keepLines w:val="0"/>
              <w:widowControl w:val="0"/>
              <w:spacing w:after="60"/>
            </w:pPr>
            <w:r w:rsidRPr="00512E03">
              <w:t xml:space="preserve">567 </w:t>
            </w:r>
            <w:r>
              <w:t xml:space="preserve">continuing scripts for OCA in </w:t>
            </w:r>
            <w:r w:rsidRPr="00512E03">
              <w:t>Jun 2024-</w:t>
            </w:r>
            <w:r>
              <w:t>Aug 2024 = 189 patients on OCA (see DTG 3).</w:t>
            </w:r>
          </w:p>
          <w:p w14:paraId="2388A2F2" w14:textId="42D8B0F2" w:rsidR="00DA5791" w:rsidRPr="00DB3F2F" w:rsidRDefault="00B55D47" w:rsidP="00DA5791">
            <w:pPr>
              <w:pStyle w:val="TableText0"/>
              <w:keepNext w:val="0"/>
              <w:keepLines w:val="0"/>
              <w:widowControl w:val="0"/>
            </w:pPr>
            <w:r w:rsidRPr="00B55D47">
              <w:rPr>
                <w:color w:val="000000"/>
                <w:spacing w:val="53"/>
                <w:shd w:val="solid" w:color="000000" w:fill="000000"/>
                <w:fitText w:val="330" w:id="-694465010"/>
                <w14:textFill>
                  <w14:solidFill>
                    <w14:srgbClr w14:val="000000">
                      <w14:alpha w14:val="100000"/>
                    </w14:srgbClr>
                  </w14:solidFill>
                </w14:textFill>
              </w:rPr>
              <w:t>|||</w:t>
            </w:r>
            <w:r w:rsidRPr="00B55D47">
              <w:rPr>
                <w:color w:val="000000"/>
                <w:spacing w:val="1"/>
                <w:shd w:val="solid" w:color="000000" w:fill="000000"/>
                <w:fitText w:val="330" w:id="-694465010"/>
                <w14:textFill>
                  <w14:solidFill>
                    <w14:srgbClr w14:val="000000">
                      <w14:alpha w14:val="100000"/>
                    </w14:srgbClr>
                  </w14:solidFill>
                </w14:textFill>
              </w:rPr>
              <w:t>|</w:t>
            </w:r>
            <w:r w:rsidR="00DA5791" w:rsidRPr="00DB3F2F">
              <w:t xml:space="preserve">% of patients would switch to </w:t>
            </w:r>
            <w:proofErr w:type="spellStart"/>
            <w:r w:rsidR="00DA5791" w:rsidRPr="00DB3F2F">
              <w:t>elafibranor</w:t>
            </w:r>
            <w:proofErr w:type="spellEnd"/>
            <w:r w:rsidR="00DA5791" w:rsidRPr="00DB3F2F">
              <w:t>.</w:t>
            </w:r>
          </w:p>
        </w:tc>
        <w:tc>
          <w:tcPr>
            <w:tcW w:w="1264" w:type="pct"/>
            <w:tcMar>
              <w:left w:w="40" w:type="dxa"/>
              <w:right w:w="40" w:type="dxa"/>
            </w:tcMar>
            <w:vAlign w:val="center"/>
          </w:tcPr>
          <w:p w14:paraId="4BDFF0A2" w14:textId="77777777" w:rsidR="00DA5791" w:rsidRDefault="00DA5791" w:rsidP="00DA5791">
            <w:pPr>
              <w:pStyle w:val="TableText0"/>
              <w:keepNext w:val="0"/>
              <w:keepLines w:val="0"/>
              <w:widowControl w:val="0"/>
              <w:spacing w:after="60"/>
            </w:pPr>
            <w:r w:rsidRPr="00ED7CAB">
              <w:t>OCA PBS service data, Services Australia online.</w:t>
            </w:r>
          </w:p>
          <w:p w14:paraId="691F6512" w14:textId="77777777" w:rsidR="00DA5791" w:rsidRPr="00DB3F2F" w:rsidRDefault="00DA5791" w:rsidP="00DA5791">
            <w:pPr>
              <w:pStyle w:val="TableText0"/>
              <w:keepNext w:val="0"/>
              <w:keepLines w:val="0"/>
              <w:widowControl w:val="0"/>
              <w:spacing w:after="60"/>
            </w:pPr>
            <w:r>
              <w:t>Switch rate assumed.</w:t>
            </w:r>
          </w:p>
        </w:tc>
        <w:tc>
          <w:tcPr>
            <w:tcW w:w="1277" w:type="pct"/>
            <w:tcMar>
              <w:left w:w="40" w:type="dxa"/>
              <w:right w:w="40" w:type="dxa"/>
            </w:tcMar>
            <w:vAlign w:val="center"/>
          </w:tcPr>
          <w:p w14:paraId="747544CB" w14:textId="67CF163E" w:rsidR="00DA5791" w:rsidRPr="000535F7" w:rsidRDefault="00DA5791" w:rsidP="00DA5791">
            <w:pPr>
              <w:pStyle w:val="TableText0"/>
              <w:keepNext w:val="0"/>
              <w:keepLines w:val="0"/>
              <w:widowControl w:val="0"/>
            </w:pPr>
            <w:r w:rsidRPr="000535F7">
              <w:t>The switch rate was not consistent with the market share approach of 70% uptake.</w:t>
            </w:r>
          </w:p>
          <w:p w14:paraId="6A6CC183" w14:textId="57C6786F" w:rsidR="00FC7531" w:rsidRDefault="00FC7531" w:rsidP="000535F7">
            <w:pPr>
              <w:widowControl w:val="0"/>
              <w:jc w:val="left"/>
              <w:rPr>
                <w:rFonts w:ascii="Arial Narrow" w:eastAsia="MS Gothic" w:hAnsi="Arial Narrow" w:cs="Times New Roman"/>
                <w:bCs/>
                <w:sz w:val="20"/>
              </w:rPr>
            </w:pPr>
          </w:p>
          <w:p w14:paraId="2B2D6FDB" w14:textId="27D67C56" w:rsidR="000535F7" w:rsidRPr="000535F7" w:rsidRDefault="000535F7" w:rsidP="000535F7">
            <w:pPr>
              <w:widowControl w:val="0"/>
              <w:jc w:val="left"/>
              <w:rPr>
                <w:rFonts w:ascii="Arial Narrow" w:eastAsia="MS Gothic" w:hAnsi="Arial Narrow" w:cs="Times New Roman"/>
                <w:bCs/>
                <w:sz w:val="20"/>
              </w:rPr>
            </w:pPr>
            <w:r>
              <w:rPr>
                <w:rFonts w:ascii="Arial Narrow" w:eastAsia="MS Gothic" w:hAnsi="Arial Narrow" w:cs="Times New Roman"/>
                <w:bCs/>
                <w:sz w:val="20"/>
              </w:rPr>
              <w:t xml:space="preserve">The </w:t>
            </w:r>
            <w:r w:rsidRPr="000535F7">
              <w:rPr>
                <w:rFonts w:ascii="Arial Narrow" w:eastAsia="MS Gothic" w:hAnsi="Arial Narrow" w:cs="Times New Roman"/>
                <w:bCs/>
                <w:sz w:val="20"/>
              </w:rPr>
              <w:t xml:space="preserve">DUSC </w:t>
            </w:r>
            <w:r w:rsidR="00637C4E">
              <w:rPr>
                <w:rFonts w:ascii="Arial Narrow" w:eastAsia="MS Gothic" w:hAnsi="Arial Narrow" w:cs="Times New Roman"/>
                <w:bCs/>
                <w:sz w:val="20"/>
              </w:rPr>
              <w:t>noted that</w:t>
            </w:r>
            <w:r w:rsidRPr="000535F7">
              <w:rPr>
                <w:rFonts w:ascii="Arial Narrow" w:eastAsia="MS Gothic" w:hAnsi="Arial Narrow" w:cs="Times New Roman"/>
                <w:bCs/>
                <w:sz w:val="20"/>
              </w:rPr>
              <w:t xml:space="preserve"> patients responding well to OCA would not switch to </w:t>
            </w:r>
            <w:proofErr w:type="spellStart"/>
            <w:r w:rsidRPr="000535F7">
              <w:rPr>
                <w:rFonts w:ascii="Arial Narrow" w:eastAsia="MS Gothic" w:hAnsi="Arial Narrow" w:cs="Times New Roman"/>
                <w:bCs/>
                <w:sz w:val="20"/>
              </w:rPr>
              <w:t>elafibranor</w:t>
            </w:r>
            <w:proofErr w:type="spellEnd"/>
            <w:r w:rsidRPr="000535F7">
              <w:rPr>
                <w:rFonts w:ascii="Arial Narrow" w:eastAsia="MS Gothic" w:hAnsi="Arial Narrow" w:cs="Times New Roman"/>
                <w:bCs/>
                <w:sz w:val="20"/>
              </w:rPr>
              <w:t xml:space="preserve"> </w:t>
            </w:r>
          </w:p>
          <w:p w14:paraId="51DD171B" w14:textId="3E02610A" w:rsidR="000535F7" w:rsidRPr="000535F7" w:rsidRDefault="00FC7531" w:rsidP="000535F7">
            <w:pPr>
              <w:pStyle w:val="TableText0"/>
              <w:keepNext w:val="0"/>
              <w:keepLines w:val="0"/>
              <w:widowControl w:val="0"/>
            </w:pPr>
            <w:r>
              <w:rPr>
                <w:rFonts w:eastAsia="MS Gothic" w:cs="Times New Roman"/>
              </w:rPr>
              <w:t xml:space="preserve">The </w:t>
            </w:r>
            <w:r w:rsidR="000535F7" w:rsidRPr="000535F7">
              <w:rPr>
                <w:rFonts w:eastAsia="MS Gothic" w:cs="Times New Roman"/>
              </w:rPr>
              <w:t xml:space="preserve">DUSC considered this parameter </w:t>
            </w:r>
            <w:r>
              <w:rPr>
                <w:rFonts w:eastAsia="MS Gothic" w:cs="Times New Roman"/>
              </w:rPr>
              <w:t>wa</w:t>
            </w:r>
            <w:r w:rsidR="000535F7" w:rsidRPr="000535F7">
              <w:rPr>
                <w:rFonts w:eastAsia="MS Gothic" w:cs="Times New Roman"/>
              </w:rPr>
              <w:t>s dependent upon the future availability of OCA</w:t>
            </w:r>
            <w:r>
              <w:rPr>
                <w:rFonts w:eastAsia="MS Gothic" w:cs="Times New Roman"/>
              </w:rPr>
              <w:t>.</w:t>
            </w:r>
          </w:p>
        </w:tc>
      </w:tr>
      <w:tr w:rsidR="00DA5791" w:rsidRPr="00DB3F2F" w14:paraId="0CBE28A9" w14:textId="77777777">
        <w:trPr>
          <w:cantSplit/>
        </w:trPr>
        <w:tc>
          <w:tcPr>
            <w:tcW w:w="827" w:type="pct"/>
            <w:tcMar>
              <w:left w:w="40" w:type="dxa"/>
              <w:right w:w="40" w:type="dxa"/>
            </w:tcMar>
            <w:vAlign w:val="center"/>
          </w:tcPr>
          <w:p w14:paraId="00D84983" w14:textId="77777777" w:rsidR="00DA5791" w:rsidRPr="00DB3F2F" w:rsidRDefault="00DA5791" w:rsidP="00DA5791">
            <w:pPr>
              <w:pStyle w:val="TableText0"/>
              <w:keepNext w:val="0"/>
              <w:keepLines w:val="0"/>
              <w:widowControl w:val="0"/>
            </w:pPr>
            <w:r>
              <w:t>Duration of treatment</w:t>
            </w:r>
          </w:p>
        </w:tc>
        <w:tc>
          <w:tcPr>
            <w:tcW w:w="1632" w:type="pct"/>
            <w:tcMar>
              <w:left w:w="40" w:type="dxa"/>
              <w:right w:w="40" w:type="dxa"/>
            </w:tcMar>
            <w:vAlign w:val="center"/>
          </w:tcPr>
          <w:p w14:paraId="0488E04A" w14:textId="77777777" w:rsidR="00DA5791" w:rsidRPr="00DB3F2F" w:rsidRDefault="00DA5791" w:rsidP="00DA5791">
            <w:pPr>
              <w:pStyle w:val="TableText0"/>
              <w:keepNext w:val="0"/>
              <w:keepLines w:val="0"/>
              <w:widowControl w:val="0"/>
              <w:spacing w:after="60"/>
            </w:pPr>
            <w:r w:rsidRPr="002474C1">
              <w:t xml:space="preserve">72 months for each treatment </w:t>
            </w:r>
            <w:r>
              <w:t>arm</w:t>
            </w:r>
            <w:r w:rsidRPr="002474C1">
              <w:t>.</w:t>
            </w:r>
          </w:p>
        </w:tc>
        <w:tc>
          <w:tcPr>
            <w:tcW w:w="1264" w:type="pct"/>
            <w:tcMar>
              <w:left w:w="40" w:type="dxa"/>
              <w:right w:w="40" w:type="dxa"/>
            </w:tcMar>
            <w:vAlign w:val="center"/>
          </w:tcPr>
          <w:p w14:paraId="1211309E" w14:textId="77777777" w:rsidR="00DA5791" w:rsidRPr="00DB3F2F" w:rsidRDefault="00DA5791" w:rsidP="00DA5791">
            <w:pPr>
              <w:pStyle w:val="TableText0"/>
              <w:keepNext w:val="0"/>
              <w:keepLines w:val="0"/>
              <w:widowControl w:val="0"/>
            </w:pPr>
            <w:r w:rsidRPr="008700B6">
              <w:t>Economic model.</w:t>
            </w:r>
          </w:p>
        </w:tc>
        <w:tc>
          <w:tcPr>
            <w:tcW w:w="1277" w:type="pct"/>
            <w:tcMar>
              <w:left w:w="40" w:type="dxa"/>
              <w:right w:w="40" w:type="dxa"/>
            </w:tcMar>
            <w:vAlign w:val="center"/>
          </w:tcPr>
          <w:p w14:paraId="3882CB4D" w14:textId="1FAC4952" w:rsidR="00DA5791" w:rsidRPr="00742A1E" w:rsidRDefault="000A59BD" w:rsidP="00DA5791">
            <w:pPr>
              <w:pStyle w:val="TableText0"/>
              <w:keepNext w:val="0"/>
              <w:keepLines w:val="0"/>
              <w:widowControl w:val="0"/>
            </w:pPr>
            <w:r>
              <w:t xml:space="preserve">Although consistent with the economic model, </w:t>
            </w:r>
            <w:r w:rsidR="003E3688">
              <w:t>t</w:t>
            </w:r>
            <w:r w:rsidR="00DA5791" w:rsidRPr="00742A1E">
              <w:t>his was uncertain, given the duration of the clinical trials was much shorter</w:t>
            </w:r>
            <w:r>
              <w:t xml:space="preserve"> (</w:t>
            </w:r>
            <w:r w:rsidR="00DA5791" w:rsidRPr="00742A1E">
              <w:t>12-24 months</w:t>
            </w:r>
            <w:r>
              <w:t>)</w:t>
            </w:r>
            <w:r w:rsidR="00DA5791" w:rsidRPr="00742A1E">
              <w:t xml:space="preserve">. The treatment duration of initiating patents was assumed to be 6 months This assumption was corrected during the evaluation to 5.91 months. </w:t>
            </w:r>
          </w:p>
        </w:tc>
      </w:tr>
      <w:tr w:rsidR="00DA5791" w:rsidRPr="00DB3F2F" w14:paraId="5975B5A8" w14:textId="77777777">
        <w:trPr>
          <w:cantSplit/>
        </w:trPr>
        <w:tc>
          <w:tcPr>
            <w:tcW w:w="5000" w:type="pct"/>
            <w:gridSpan w:val="4"/>
            <w:tcMar>
              <w:left w:w="40" w:type="dxa"/>
              <w:right w:w="40" w:type="dxa"/>
            </w:tcMar>
            <w:vAlign w:val="center"/>
          </w:tcPr>
          <w:p w14:paraId="762A8D25" w14:textId="77777777" w:rsidR="00DA5791" w:rsidRPr="00742A1E" w:rsidRDefault="00DA5791" w:rsidP="00DA5791">
            <w:pPr>
              <w:pStyle w:val="TableText0"/>
              <w:keepNext w:val="0"/>
              <w:keepLines w:val="0"/>
              <w:widowControl w:val="0"/>
            </w:pPr>
            <w:r w:rsidRPr="00742A1E">
              <w:rPr>
                <w:b/>
                <w:bCs w:val="0"/>
              </w:rPr>
              <w:t>Market share approach</w:t>
            </w:r>
          </w:p>
        </w:tc>
      </w:tr>
      <w:tr w:rsidR="00DA5791" w:rsidRPr="00DB3F2F" w14:paraId="2FAEBFD7" w14:textId="77777777">
        <w:trPr>
          <w:cantSplit/>
        </w:trPr>
        <w:tc>
          <w:tcPr>
            <w:tcW w:w="827" w:type="pct"/>
            <w:tcMar>
              <w:left w:w="40" w:type="dxa"/>
              <w:right w:w="40" w:type="dxa"/>
            </w:tcMar>
            <w:vAlign w:val="center"/>
          </w:tcPr>
          <w:p w14:paraId="13C6D98E" w14:textId="77777777" w:rsidR="00DA5791" w:rsidRPr="00DB3F2F" w:rsidRDefault="00DA5791" w:rsidP="00DA5791">
            <w:pPr>
              <w:pStyle w:val="TableText0"/>
              <w:keepNext w:val="0"/>
              <w:keepLines w:val="0"/>
              <w:widowControl w:val="0"/>
            </w:pPr>
            <w:r>
              <w:t>OCA scripts</w:t>
            </w:r>
          </w:p>
        </w:tc>
        <w:tc>
          <w:tcPr>
            <w:tcW w:w="1632" w:type="pct"/>
            <w:tcMar>
              <w:left w:w="40" w:type="dxa"/>
              <w:right w:w="40" w:type="dxa"/>
            </w:tcMar>
            <w:vAlign w:val="center"/>
          </w:tcPr>
          <w:p w14:paraId="4E94E929" w14:textId="77777777" w:rsidR="00DA5791" w:rsidRPr="00DB3F2F" w:rsidRDefault="00DA5791" w:rsidP="00DA5791">
            <w:pPr>
              <w:pStyle w:val="TableText0"/>
              <w:keepNext w:val="0"/>
              <w:keepLines w:val="0"/>
              <w:widowControl w:val="0"/>
              <w:spacing w:after="60"/>
            </w:pPr>
            <w:r>
              <w:t>1,894 initiation scripts for OCA since Sept 2021</w:t>
            </w:r>
          </w:p>
        </w:tc>
        <w:tc>
          <w:tcPr>
            <w:tcW w:w="1264" w:type="pct"/>
            <w:tcMar>
              <w:left w:w="40" w:type="dxa"/>
              <w:right w:w="40" w:type="dxa"/>
            </w:tcMar>
            <w:vAlign w:val="center"/>
          </w:tcPr>
          <w:p w14:paraId="41C1BC29" w14:textId="77777777" w:rsidR="00DA5791" w:rsidRDefault="00DA5791" w:rsidP="00DA5791">
            <w:pPr>
              <w:pStyle w:val="TableText0"/>
              <w:keepNext w:val="0"/>
              <w:keepLines w:val="0"/>
              <w:widowControl w:val="0"/>
              <w:spacing w:after="60"/>
            </w:pPr>
            <w:r w:rsidRPr="00ED7CAB">
              <w:t>OCA PBS service data, Services Australia online.</w:t>
            </w:r>
          </w:p>
        </w:tc>
        <w:tc>
          <w:tcPr>
            <w:tcW w:w="1277" w:type="pct"/>
            <w:tcMar>
              <w:left w:w="40" w:type="dxa"/>
              <w:right w:w="40" w:type="dxa"/>
            </w:tcMar>
            <w:vAlign w:val="center"/>
          </w:tcPr>
          <w:p w14:paraId="405C4ACF" w14:textId="51B296EF" w:rsidR="00DA5791" w:rsidRPr="00742A1E" w:rsidRDefault="003E3688" w:rsidP="00DA5791">
            <w:pPr>
              <w:pStyle w:val="TableText0"/>
              <w:keepNext w:val="0"/>
              <w:keepLines w:val="0"/>
              <w:widowControl w:val="0"/>
            </w:pPr>
            <w:r>
              <w:t>-</w:t>
            </w:r>
          </w:p>
        </w:tc>
      </w:tr>
      <w:tr w:rsidR="00DA5791" w:rsidRPr="00DB3F2F" w14:paraId="104FD4C3" w14:textId="77777777">
        <w:trPr>
          <w:cantSplit/>
        </w:trPr>
        <w:tc>
          <w:tcPr>
            <w:tcW w:w="827" w:type="pct"/>
            <w:tcMar>
              <w:left w:w="40" w:type="dxa"/>
              <w:right w:w="40" w:type="dxa"/>
            </w:tcMar>
            <w:vAlign w:val="center"/>
          </w:tcPr>
          <w:p w14:paraId="5E02705F" w14:textId="77777777" w:rsidR="00DA5791" w:rsidRPr="00DB3F2F" w:rsidRDefault="00DA5791" w:rsidP="00DA5791">
            <w:pPr>
              <w:pStyle w:val="TableText0"/>
              <w:keepNext w:val="0"/>
              <w:keepLines w:val="0"/>
              <w:widowControl w:val="0"/>
            </w:pPr>
            <w:r>
              <w:t>M</w:t>
            </w:r>
            <w:r w:rsidRPr="00DB3F2F">
              <w:t xml:space="preserve">arket share of </w:t>
            </w:r>
            <w:proofErr w:type="spellStart"/>
            <w:r w:rsidRPr="00DB3F2F">
              <w:t>elafibranor</w:t>
            </w:r>
            <w:proofErr w:type="spellEnd"/>
          </w:p>
        </w:tc>
        <w:tc>
          <w:tcPr>
            <w:tcW w:w="1632" w:type="pct"/>
            <w:tcMar>
              <w:left w:w="40" w:type="dxa"/>
              <w:right w:w="40" w:type="dxa"/>
            </w:tcMar>
            <w:vAlign w:val="center"/>
          </w:tcPr>
          <w:p w14:paraId="1E9DE17A" w14:textId="528555E5" w:rsidR="00DA5791" w:rsidRPr="00DB3F2F" w:rsidRDefault="00B55D47" w:rsidP="00DA5791">
            <w:pPr>
              <w:pStyle w:val="TableText0"/>
              <w:keepNext w:val="0"/>
              <w:keepLines w:val="0"/>
              <w:widowControl w:val="0"/>
            </w:pPr>
            <w:r w:rsidRPr="00B55D47">
              <w:rPr>
                <w:color w:val="000000"/>
                <w:spacing w:val="53"/>
                <w:shd w:val="solid" w:color="000000" w:fill="000000"/>
                <w:fitText w:val="330" w:id="-694465009"/>
                <w14:textFill>
                  <w14:solidFill>
                    <w14:srgbClr w14:val="000000">
                      <w14:alpha w14:val="100000"/>
                    </w14:srgbClr>
                  </w14:solidFill>
                </w14:textFill>
              </w:rPr>
              <w:t>|||</w:t>
            </w:r>
            <w:r w:rsidRPr="00B55D47">
              <w:rPr>
                <w:color w:val="000000"/>
                <w:spacing w:val="1"/>
                <w:shd w:val="solid" w:color="000000" w:fill="000000"/>
                <w:fitText w:val="330" w:id="-694465009"/>
                <w14:textFill>
                  <w14:solidFill>
                    <w14:srgbClr w14:val="000000">
                      <w14:alpha w14:val="100000"/>
                    </w14:srgbClr>
                  </w14:solidFill>
                </w14:textFill>
              </w:rPr>
              <w:t>|</w:t>
            </w:r>
            <w:r w:rsidR="00DA5791" w:rsidRPr="00DB3F2F">
              <w:t xml:space="preserve">% of current OCA usage </w:t>
            </w:r>
            <w:r w:rsidR="00DA5791">
              <w:t>will switch to</w:t>
            </w:r>
            <w:r w:rsidR="00DA5791" w:rsidRPr="00DB3F2F">
              <w:t xml:space="preserve"> </w:t>
            </w:r>
            <w:proofErr w:type="spellStart"/>
            <w:r w:rsidR="00DA5791" w:rsidRPr="00DB3F2F">
              <w:t>elafibranor</w:t>
            </w:r>
            <w:proofErr w:type="spellEnd"/>
          </w:p>
        </w:tc>
        <w:tc>
          <w:tcPr>
            <w:tcW w:w="1264" w:type="pct"/>
            <w:tcMar>
              <w:left w:w="40" w:type="dxa"/>
              <w:right w:w="40" w:type="dxa"/>
            </w:tcMar>
            <w:vAlign w:val="center"/>
          </w:tcPr>
          <w:p w14:paraId="29DFCD8E" w14:textId="77777777" w:rsidR="00DA5791" w:rsidRPr="00DB3F2F" w:rsidRDefault="00DA5791" w:rsidP="00DA5791">
            <w:pPr>
              <w:pStyle w:val="TableText0"/>
              <w:keepNext w:val="0"/>
              <w:keepLines w:val="0"/>
              <w:widowControl w:val="0"/>
            </w:pPr>
            <w:r>
              <w:t>Market share assumed.</w:t>
            </w:r>
          </w:p>
        </w:tc>
        <w:tc>
          <w:tcPr>
            <w:tcW w:w="1277" w:type="pct"/>
            <w:tcMar>
              <w:left w:w="40" w:type="dxa"/>
              <w:right w:w="40" w:type="dxa"/>
            </w:tcMar>
            <w:vAlign w:val="center"/>
          </w:tcPr>
          <w:p w14:paraId="09DD77F6" w14:textId="77777777" w:rsidR="00DA5791" w:rsidRPr="00742A1E" w:rsidRDefault="00DA5791" w:rsidP="00DA5791">
            <w:pPr>
              <w:pStyle w:val="TableText0"/>
              <w:keepNext w:val="0"/>
              <w:keepLines w:val="0"/>
              <w:widowControl w:val="0"/>
            </w:pPr>
            <w:r w:rsidRPr="00742A1E">
              <w:t>This was uncertain.</w:t>
            </w:r>
          </w:p>
        </w:tc>
      </w:tr>
      <w:tr w:rsidR="00DA5791" w:rsidRPr="003E3688" w14:paraId="74FA4E29" w14:textId="77777777">
        <w:trPr>
          <w:cantSplit/>
        </w:trPr>
        <w:tc>
          <w:tcPr>
            <w:tcW w:w="827" w:type="pct"/>
            <w:tcMar>
              <w:left w:w="40" w:type="dxa"/>
              <w:right w:w="40" w:type="dxa"/>
            </w:tcMar>
            <w:vAlign w:val="center"/>
          </w:tcPr>
          <w:p w14:paraId="61A1FFC0" w14:textId="77777777" w:rsidR="00DA5791" w:rsidRPr="003450EE" w:rsidRDefault="00DA5791" w:rsidP="00DA5791">
            <w:pPr>
              <w:pStyle w:val="TableText0"/>
              <w:keepNext w:val="0"/>
              <w:keepLines w:val="0"/>
              <w:widowControl w:val="0"/>
            </w:pPr>
            <w:r w:rsidRPr="003450EE">
              <w:lastRenderedPageBreak/>
              <w:t>Future growth in OCA scripts</w:t>
            </w:r>
          </w:p>
        </w:tc>
        <w:tc>
          <w:tcPr>
            <w:tcW w:w="1632" w:type="pct"/>
            <w:tcMar>
              <w:left w:w="40" w:type="dxa"/>
              <w:right w:w="40" w:type="dxa"/>
            </w:tcMar>
            <w:vAlign w:val="center"/>
          </w:tcPr>
          <w:p w14:paraId="1EDD4A75" w14:textId="77777777" w:rsidR="00DA5791" w:rsidRPr="00F31486" w:rsidRDefault="00DA5791" w:rsidP="00DA5791">
            <w:pPr>
              <w:pStyle w:val="TableText0"/>
              <w:keepNext w:val="0"/>
              <w:keepLines w:val="0"/>
              <w:widowControl w:val="0"/>
            </w:pPr>
            <w:r w:rsidRPr="00F31486">
              <w:t>Yr 1: 42.4%</w:t>
            </w:r>
          </w:p>
          <w:p w14:paraId="2A7E3EF3" w14:textId="77777777" w:rsidR="00DA5791" w:rsidRPr="00F31486" w:rsidRDefault="00DA5791" w:rsidP="00DA5791">
            <w:pPr>
              <w:pStyle w:val="TableText0"/>
              <w:keepNext w:val="0"/>
              <w:keepLines w:val="0"/>
              <w:widowControl w:val="0"/>
            </w:pPr>
            <w:r w:rsidRPr="00F31486">
              <w:t>Yr 2</w:t>
            </w:r>
            <w:r>
              <w:t>:</w:t>
            </w:r>
            <w:r w:rsidRPr="00F31486">
              <w:t xml:space="preserve"> 14.2%</w:t>
            </w:r>
          </w:p>
          <w:p w14:paraId="4841BEF4" w14:textId="77777777" w:rsidR="00DA5791" w:rsidRPr="00F31486" w:rsidRDefault="00DA5791" w:rsidP="00DA5791">
            <w:pPr>
              <w:pStyle w:val="TableText0"/>
              <w:keepNext w:val="0"/>
              <w:keepLines w:val="0"/>
              <w:widowControl w:val="0"/>
            </w:pPr>
            <w:r w:rsidRPr="00F31486">
              <w:t>Yr 3</w:t>
            </w:r>
            <w:r>
              <w:t>:</w:t>
            </w:r>
            <w:r w:rsidRPr="00F31486">
              <w:t xml:space="preserve"> 4.4%</w:t>
            </w:r>
          </w:p>
          <w:p w14:paraId="1D4765D8" w14:textId="77777777" w:rsidR="00DA5791" w:rsidRPr="00F31486" w:rsidRDefault="00DA5791" w:rsidP="00DA5791">
            <w:pPr>
              <w:pStyle w:val="TableText0"/>
              <w:keepNext w:val="0"/>
              <w:keepLines w:val="0"/>
              <w:widowControl w:val="0"/>
            </w:pPr>
            <w:r w:rsidRPr="00F31486">
              <w:t>Yr 4</w:t>
            </w:r>
            <w:r>
              <w:t>:</w:t>
            </w:r>
            <w:r w:rsidRPr="00F31486">
              <w:t xml:space="preserve"> 1.4%</w:t>
            </w:r>
          </w:p>
          <w:p w14:paraId="571AC2B8" w14:textId="77777777" w:rsidR="00DA5791" w:rsidRPr="00F31486" w:rsidRDefault="00DA5791" w:rsidP="00DA5791">
            <w:pPr>
              <w:pStyle w:val="TableText0"/>
              <w:keepNext w:val="0"/>
              <w:keepLines w:val="0"/>
              <w:widowControl w:val="0"/>
            </w:pPr>
            <w:r w:rsidRPr="00F31486">
              <w:t>Yr 5</w:t>
            </w:r>
            <w:r>
              <w:t>:</w:t>
            </w:r>
            <w:r w:rsidRPr="00F31486">
              <w:t xml:space="preserve"> 0.4%</w:t>
            </w:r>
          </w:p>
          <w:p w14:paraId="38ACEFFA" w14:textId="77777777" w:rsidR="00DA5791" w:rsidRPr="00DB3F2F" w:rsidRDefault="00DA5791" w:rsidP="00DA5791">
            <w:pPr>
              <w:pStyle w:val="TableText0"/>
              <w:keepNext w:val="0"/>
              <w:keepLines w:val="0"/>
              <w:widowControl w:val="0"/>
              <w:spacing w:after="60"/>
            </w:pPr>
            <w:r w:rsidRPr="00F31486">
              <w:t>Yr 6</w:t>
            </w:r>
            <w:r>
              <w:t>:</w:t>
            </w:r>
            <w:r w:rsidRPr="00F31486">
              <w:t xml:space="preserve"> 0.1%</w:t>
            </w:r>
          </w:p>
        </w:tc>
        <w:tc>
          <w:tcPr>
            <w:tcW w:w="1264" w:type="pct"/>
            <w:tcMar>
              <w:left w:w="40" w:type="dxa"/>
              <w:right w:w="40" w:type="dxa"/>
            </w:tcMar>
            <w:vAlign w:val="center"/>
          </w:tcPr>
          <w:p w14:paraId="5D7F0935" w14:textId="34BF579A" w:rsidR="00DA5791" w:rsidRPr="00DB3F2F" w:rsidRDefault="00DA5791" w:rsidP="00DA5791">
            <w:pPr>
              <w:pStyle w:val="TableText0"/>
              <w:keepNext w:val="0"/>
              <w:keepLines w:val="0"/>
              <w:widowControl w:val="0"/>
            </w:pPr>
            <w:r w:rsidRPr="00F31486">
              <w:t>Submission projection of monthly OCA scripts from PBS Services data.</w:t>
            </w:r>
            <w:r w:rsidR="00C269DA">
              <w:t xml:space="preserve"> </w:t>
            </w:r>
            <w:r w:rsidRPr="00D76BB1">
              <w:t>Assume</w:t>
            </w:r>
            <w:r>
              <w:t>d</w:t>
            </w:r>
            <w:r w:rsidRPr="00D76BB1">
              <w:t xml:space="preserve"> a reduction in growth of 9.3% every year in future.</w:t>
            </w:r>
          </w:p>
        </w:tc>
        <w:tc>
          <w:tcPr>
            <w:tcW w:w="1277" w:type="pct"/>
            <w:tcMar>
              <w:left w:w="40" w:type="dxa"/>
              <w:right w:w="40" w:type="dxa"/>
            </w:tcMar>
            <w:vAlign w:val="center"/>
          </w:tcPr>
          <w:p w14:paraId="45487C94" w14:textId="77777777" w:rsidR="00DA5791" w:rsidRPr="003E3688" w:rsidRDefault="00DA5791" w:rsidP="00DA5791">
            <w:pPr>
              <w:pStyle w:val="TableText0"/>
              <w:keepNext w:val="0"/>
              <w:keepLines w:val="0"/>
              <w:widowControl w:val="0"/>
            </w:pPr>
            <w:r w:rsidRPr="003E3688">
              <w:t>This was uncertain.</w:t>
            </w:r>
          </w:p>
          <w:p w14:paraId="0FD025C3" w14:textId="77777777" w:rsidR="003E3688" w:rsidRPr="003E3688" w:rsidRDefault="003E3688" w:rsidP="00DA5791">
            <w:pPr>
              <w:pStyle w:val="TableText0"/>
              <w:keepNext w:val="0"/>
              <w:keepLines w:val="0"/>
              <w:widowControl w:val="0"/>
            </w:pPr>
          </w:p>
          <w:p w14:paraId="6D9129B7" w14:textId="460EA47A" w:rsidR="003E3688" w:rsidRPr="00052528" w:rsidRDefault="003E3688" w:rsidP="00DA5791">
            <w:pPr>
              <w:pStyle w:val="TableText0"/>
              <w:keepNext w:val="0"/>
              <w:keepLines w:val="0"/>
              <w:widowControl w:val="0"/>
            </w:pPr>
            <w:r w:rsidRPr="00052528">
              <w:rPr>
                <w:szCs w:val="20"/>
              </w:rPr>
              <w:t>The DUSC noted recent regulatory actions undertaken by the European Medicines Association (EMA) and the United States Food and Drug Administration (FDA) regarding revoking market authorisation following the release of the COBALT trial (study 747-302) results.</w:t>
            </w:r>
          </w:p>
        </w:tc>
      </w:tr>
      <w:tr w:rsidR="00DA5791" w:rsidRPr="00DB3F2F" w14:paraId="1A50717E" w14:textId="77777777">
        <w:trPr>
          <w:cantSplit/>
        </w:trPr>
        <w:tc>
          <w:tcPr>
            <w:tcW w:w="5000" w:type="pct"/>
            <w:gridSpan w:val="4"/>
            <w:tcMar>
              <w:left w:w="40" w:type="dxa"/>
              <w:right w:w="40" w:type="dxa"/>
            </w:tcMar>
            <w:vAlign w:val="center"/>
          </w:tcPr>
          <w:p w14:paraId="41955E53" w14:textId="77777777" w:rsidR="00DA5791" w:rsidRPr="00742A1E" w:rsidRDefault="00DA5791" w:rsidP="00DA5791">
            <w:pPr>
              <w:pStyle w:val="TableText0"/>
              <w:keepNext w:val="0"/>
              <w:keepLines w:val="0"/>
              <w:widowControl w:val="0"/>
              <w:rPr>
                <w:b/>
                <w:bCs w:val="0"/>
              </w:rPr>
            </w:pPr>
            <w:r w:rsidRPr="00742A1E">
              <w:rPr>
                <w:b/>
                <w:bCs w:val="0"/>
              </w:rPr>
              <w:t>Grandfathered patients</w:t>
            </w:r>
          </w:p>
        </w:tc>
      </w:tr>
      <w:tr w:rsidR="00DA5791" w:rsidRPr="00DB3F2F" w14:paraId="10B36549" w14:textId="77777777" w:rsidTr="003E3688">
        <w:trPr>
          <w:cantSplit/>
          <w:trHeight w:val="542"/>
        </w:trPr>
        <w:tc>
          <w:tcPr>
            <w:tcW w:w="827" w:type="pct"/>
            <w:tcMar>
              <w:left w:w="40" w:type="dxa"/>
              <w:right w:w="40" w:type="dxa"/>
            </w:tcMar>
            <w:vAlign w:val="center"/>
          </w:tcPr>
          <w:p w14:paraId="1B1EB25D" w14:textId="77777777" w:rsidR="00DA5791" w:rsidRPr="00DB3F2F" w:rsidRDefault="00DA5791" w:rsidP="00DA5791">
            <w:pPr>
              <w:pStyle w:val="TableText0"/>
              <w:keepNext w:val="0"/>
              <w:keepLines w:val="0"/>
              <w:widowControl w:val="0"/>
            </w:pPr>
            <w:r w:rsidRPr="00DB3F2F">
              <w:t>Grandfathered patients</w:t>
            </w:r>
          </w:p>
        </w:tc>
        <w:tc>
          <w:tcPr>
            <w:tcW w:w="1632" w:type="pct"/>
            <w:tcMar>
              <w:left w:w="40" w:type="dxa"/>
              <w:right w:w="40" w:type="dxa"/>
            </w:tcMar>
            <w:vAlign w:val="center"/>
          </w:tcPr>
          <w:p w14:paraId="03AD471F" w14:textId="58E4A0DE" w:rsidR="00DA5791" w:rsidRPr="00ED7CAB" w:rsidRDefault="00DA5791" w:rsidP="00DA5791">
            <w:pPr>
              <w:pStyle w:val="TableText0"/>
              <w:keepNext w:val="0"/>
              <w:keepLines w:val="0"/>
              <w:widowControl w:val="0"/>
              <w:spacing w:after="60"/>
            </w:pPr>
            <w:r w:rsidRPr="00DB3F2F">
              <w:t xml:space="preserve">Based on an estimated late 2025 listing, </w:t>
            </w:r>
            <w:r>
              <w:t>the submission</w:t>
            </w:r>
            <w:r w:rsidRPr="00DB3F2F">
              <w:t xml:space="preserve"> project</w:t>
            </w:r>
            <w:r>
              <w:t>ed</w:t>
            </w:r>
            <w:r w:rsidRPr="00DB3F2F">
              <w:t xml:space="preserve"> </w:t>
            </w:r>
            <w:r w:rsidR="00B55D47" w:rsidRPr="00B55D47">
              <w:rPr>
                <w:color w:val="000000"/>
                <w:spacing w:val="53"/>
                <w:shd w:val="solid" w:color="000000" w:fill="000000"/>
                <w:fitText w:val="330" w:id="-694465008"/>
                <w14:textFill>
                  <w14:solidFill>
                    <w14:srgbClr w14:val="000000">
                      <w14:alpha w14:val="100000"/>
                    </w14:srgbClr>
                  </w14:solidFill>
                </w14:textFill>
              </w:rPr>
              <w:t>|||</w:t>
            </w:r>
            <w:r w:rsidR="00B55D47" w:rsidRPr="00B55D47">
              <w:rPr>
                <w:color w:val="000000"/>
                <w:spacing w:val="1"/>
                <w:shd w:val="solid" w:color="000000" w:fill="000000"/>
                <w:fitText w:val="330" w:id="-694465008"/>
                <w14:textFill>
                  <w14:solidFill>
                    <w14:srgbClr w14:val="000000">
                      <w14:alpha w14:val="100000"/>
                    </w14:srgbClr>
                  </w14:solidFill>
                </w14:textFill>
              </w:rPr>
              <w:t>|</w:t>
            </w:r>
            <w:r w:rsidRPr="00DB3F2F">
              <w:t xml:space="preserve"> </w:t>
            </w:r>
            <w:r w:rsidR="00DA5E87" w:rsidRPr="00DA5E87">
              <w:rPr>
                <w:vertAlign w:val="superscript"/>
              </w:rPr>
              <w:t>1</w:t>
            </w:r>
            <w:r w:rsidR="00DA5E87">
              <w:t xml:space="preserve"> </w:t>
            </w:r>
            <w:r w:rsidRPr="00DB3F2F">
              <w:t>patients will be treated on the patient familiarisation program.</w:t>
            </w:r>
          </w:p>
        </w:tc>
        <w:tc>
          <w:tcPr>
            <w:tcW w:w="1264" w:type="pct"/>
            <w:tcMar>
              <w:left w:w="40" w:type="dxa"/>
              <w:right w:w="40" w:type="dxa"/>
            </w:tcMar>
            <w:vAlign w:val="center"/>
          </w:tcPr>
          <w:p w14:paraId="298E1F9E" w14:textId="77777777" w:rsidR="00DA5791" w:rsidRDefault="00DA5791" w:rsidP="00DA5791">
            <w:pPr>
              <w:pStyle w:val="TableText0"/>
              <w:keepNext w:val="0"/>
              <w:keepLines w:val="0"/>
              <w:widowControl w:val="0"/>
            </w:pPr>
            <w:r>
              <w:t>P</w:t>
            </w:r>
            <w:r w:rsidRPr="00DB3F2F">
              <w:t>atient familiarisation program</w:t>
            </w:r>
          </w:p>
        </w:tc>
        <w:tc>
          <w:tcPr>
            <w:tcW w:w="1277" w:type="pct"/>
            <w:tcMar>
              <w:left w:w="40" w:type="dxa"/>
              <w:right w:w="40" w:type="dxa"/>
            </w:tcMar>
            <w:vAlign w:val="center"/>
          </w:tcPr>
          <w:p w14:paraId="4C5FC272" w14:textId="5517AAE2" w:rsidR="00DA5791" w:rsidRPr="00742A1E" w:rsidRDefault="003E3688" w:rsidP="00DA5791">
            <w:pPr>
              <w:pStyle w:val="TableText0"/>
              <w:keepNext w:val="0"/>
              <w:keepLines w:val="0"/>
              <w:widowControl w:val="0"/>
            </w:pPr>
            <w:r>
              <w:t>-</w:t>
            </w:r>
          </w:p>
        </w:tc>
      </w:tr>
      <w:tr w:rsidR="00DA5791" w:rsidRPr="00DB3F2F" w14:paraId="5F5241B4" w14:textId="77777777">
        <w:trPr>
          <w:cantSplit/>
        </w:trPr>
        <w:tc>
          <w:tcPr>
            <w:tcW w:w="5000" w:type="pct"/>
            <w:gridSpan w:val="4"/>
            <w:tcMar>
              <w:left w:w="40" w:type="dxa"/>
              <w:right w:w="40" w:type="dxa"/>
            </w:tcMar>
            <w:vAlign w:val="center"/>
          </w:tcPr>
          <w:p w14:paraId="4D415B24" w14:textId="77777777" w:rsidR="00DA5791" w:rsidRPr="00742A1E" w:rsidRDefault="00DA5791" w:rsidP="00DA5791">
            <w:pPr>
              <w:pStyle w:val="TableText0"/>
              <w:keepNext w:val="0"/>
              <w:keepLines w:val="0"/>
              <w:widowControl w:val="0"/>
              <w:rPr>
                <w:b/>
              </w:rPr>
            </w:pPr>
            <w:r w:rsidRPr="00742A1E">
              <w:rPr>
                <w:b/>
              </w:rPr>
              <w:t>Costs</w:t>
            </w:r>
          </w:p>
        </w:tc>
      </w:tr>
      <w:tr w:rsidR="00DA5791" w:rsidRPr="00DB3F2F" w14:paraId="2FEB4551" w14:textId="77777777">
        <w:trPr>
          <w:cantSplit/>
        </w:trPr>
        <w:tc>
          <w:tcPr>
            <w:tcW w:w="827" w:type="pct"/>
            <w:tcMar>
              <w:left w:w="40" w:type="dxa"/>
              <w:right w:w="40" w:type="dxa"/>
            </w:tcMar>
            <w:vAlign w:val="center"/>
          </w:tcPr>
          <w:p w14:paraId="71AF771F" w14:textId="77777777" w:rsidR="00DA5791" w:rsidRPr="00DB3F2F" w:rsidRDefault="00DA5791" w:rsidP="00DA5791">
            <w:pPr>
              <w:pStyle w:val="TableText0"/>
              <w:keepNext w:val="0"/>
              <w:keepLines w:val="0"/>
              <w:widowControl w:val="0"/>
            </w:pPr>
            <w:proofErr w:type="spellStart"/>
            <w:r w:rsidRPr="00DB3F2F">
              <w:t>Elafibranor</w:t>
            </w:r>
            <w:proofErr w:type="spellEnd"/>
          </w:p>
        </w:tc>
        <w:tc>
          <w:tcPr>
            <w:tcW w:w="1632" w:type="pct"/>
            <w:tcMar>
              <w:left w:w="40" w:type="dxa"/>
              <w:right w:w="40" w:type="dxa"/>
            </w:tcMar>
            <w:vAlign w:val="center"/>
          </w:tcPr>
          <w:p w14:paraId="7379CD34" w14:textId="7A4D995A" w:rsidR="00DA5791" w:rsidRPr="00DB3F2F" w:rsidRDefault="003E3688" w:rsidP="00DA5791">
            <w:pPr>
              <w:pStyle w:val="TableText0"/>
              <w:keepNext w:val="0"/>
              <w:keepLines w:val="0"/>
              <w:widowControl w:val="0"/>
            </w:pPr>
            <w:r>
              <w:t>-</w:t>
            </w:r>
          </w:p>
          <w:p w14:paraId="22C2484B" w14:textId="2D498EDF" w:rsidR="00DA5791" w:rsidRPr="00DB3F2F" w:rsidRDefault="00DA5791" w:rsidP="00DA5791">
            <w:pPr>
              <w:pStyle w:val="TableText0"/>
              <w:keepNext w:val="0"/>
              <w:keepLines w:val="0"/>
              <w:widowControl w:val="0"/>
            </w:pPr>
            <w:r>
              <w:t>E</w:t>
            </w:r>
            <w:r w:rsidRPr="00DB3F2F">
              <w:t>ffective DPMQ</w:t>
            </w:r>
            <w:r>
              <w:t xml:space="preserve">: </w:t>
            </w:r>
            <w:r w:rsidRPr="00DB3F2F">
              <w:t>$</w:t>
            </w:r>
            <w:r w:rsidR="00B55D47" w:rsidRPr="00B55D47">
              <w:rPr>
                <w:color w:val="000000"/>
                <w:spacing w:val="53"/>
                <w:shd w:val="solid" w:color="000000" w:fill="000000"/>
                <w:fitText w:val="330" w:id="-694465024"/>
                <w14:textFill>
                  <w14:solidFill>
                    <w14:srgbClr w14:val="000000">
                      <w14:alpha w14:val="100000"/>
                    </w14:srgbClr>
                  </w14:solidFill>
                </w14:textFill>
              </w:rPr>
              <w:t>|||</w:t>
            </w:r>
            <w:r w:rsidR="00B55D47" w:rsidRPr="00B55D47">
              <w:rPr>
                <w:color w:val="000000"/>
                <w:spacing w:val="1"/>
                <w:shd w:val="solid" w:color="000000" w:fill="000000"/>
                <w:fitText w:val="330" w:id="-694465024"/>
                <w14:textFill>
                  <w14:solidFill>
                    <w14:srgbClr w14:val="000000">
                      <w14:alpha w14:val="100000"/>
                    </w14:srgbClr>
                  </w14:solidFill>
                </w14:textFill>
              </w:rPr>
              <w:t>|</w:t>
            </w:r>
            <w:r w:rsidRPr="00DB3F2F">
              <w:t xml:space="preserve"> </w:t>
            </w:r>
          </w:p>
        </w:tc>
        <w:tc>
          <w:tcPr>
            <w:tcW w:w="1264" w:type="pct"/>
            <w:tcMar>
              <w:left w:w="40" w:type="dxa"/>
              <w:right w:w="40" w:type="dxa"/>
            </w:tcMar>
            <w:vAlign w:val="center"/>
          </w:tcPr>
          <w:p w14:paraId="125C173A" w14:textId="77777777" w:rsidR="00DA5791" w:rsidRPr="00DB3F2F" w:rsidRDefault="00DA5791" w:rsidP="00DA5791">
            <w:pPr>
              <w:pStyle w:val="TableText0"/>
              <w:keepNext w:val="0"/>
              <w:keepLines w:val="0"/>
              <w:widowControl w:val="0"/>
            </w:pPr>
            <w:r w:rsidRPr="00DB3F2F">
              <w:t>Requested price</w:t>
            </w:r>
          </w:p>
        </w:tc>
        <w:tc>
          <w:tcPr>
            <w:tcW w:w="1277" w:type="pct"/>
            <w:tcMar>
              <w:left w:w="40" w:type="dxa"/>
              <w:right w:w="40" w:type="dxa"/>
            </w:tcMar>
            <w:vAlign w:val="center"/>
          </w:tcPr>
          <w:p w14:paraId="71F3C576" w14:textId="77777777" w:rsidR="00DA5791" w:rsidRPr="00742A1E" w:rsidRDefault="00DA5791" w:rsidP="00DA5791">
            <w:pPr>
              <w:pStyle w:val="TableText0"/>
              <w:keepNext w:val="0"/>
              <w:keepLines w:val="0"/>
              <w:widowControl w:val="0"/>
            </w:pPr>
            <w:r w:rsidRPr="00742A1E">
              <w:t>-</w:t>
            </w:r>
          </w:p>
        </w:tc>
      </w:tr>
      <w:tr w:rsidR="00DA5791" w:rsidRPr="00DB3F2F" w14:paraId="6E09805B" w14:textId="77777777">
        <w:trPr>
          <w:cantSplit/>
        </w:trPr>
        <w:tc>
          <w:tcPr>
            <w:tcW w:w="827" w:type="pct"/>
            <w:tcMar>
              <w:left w:w="40" w:type="dxa"/>
              <w:right w:w="40" w:type="dxa"/>
            </w:tcMar>
            <w:vAlign w:val="center"/>
          </w:tcPr>
          <w:p w14:paraId="6FCEFB3B" w14:textId="77777777" w:rsidR="00DA5791" w:rsidRPr="00DB3F2F" w:rsidRDefault="00DA5791" w:rsidP="00DA5791">
            <w:pPr>
              <w:pStyle w:val="TableText0"/>
              <w:keepNext w:val="0"/>
              <w:keepLines w:val="0"/>
              <w:widowControl w:val="0"/>
            </w:pPr>
            <w:r w:rsidRPr="00DB3F2F">
              <w:t>OCA</w:t>
            </w:r>
          </w:p>
        </w:tc>
        <w:tc>
          <w:tcPr>
            <w:tcW w:w="1632" w:type="pct"/>
            <w:tcMar>
              <w:left w:w="40" w:type="dxa"/>
              <w:right w:w="40" w:type="dxa"/>
            </w:tcMar>
            <w:vAlign w:val="center"/>
          </w:tcPr>
          <w:p w14:paraId="7288F939" w14:textId="77777777" w:rsidR="00DA5791" w:rsidRPr="00DB3F2F" w:rsidRDefault="00DA5791" w:rsidP="00DA5791">
            <w:pPr>
              <w:pStyle w:val="TableText0"/>
              <w:keepNext w:val="0"/>
              <w:keepLines w:val="0"/>
              <w:widowControl w:val="0"/>
            </w:pPr>
            <w:r>
              <w:t>Published</w:t>
            </w:r>
            <w:r w:rsidRPr="00DB3F2F">
              <w:t xml:space="preserve"> DPMQ $3,793.60</w:t>
            </w:r>
            <w:r>
              <w:t>.</w:t>
            </w:r>
          </w:p>
        </w:tc>
        <w:tc>
          <w:tcPr>
            <w:tcW w:w="1264" w:type="pct"/>
            <w:tcMar>
              <w:left w:w="40" w:type="dxa"/>
              <w:right w:w="40" w:type="dxa"/>
            </w:tcMar>
            <w:vAlign w:val="center"/>
          </w:tcPr>
          <w:p w14:paraId="0BCDE40A" w14:textId="77777777" w:rsidR="00DA5791" w:rsidRPr="00DB3F2F" w:rsidRDefault="00DA5791" w:rsidP="00DA5791">
            <w:pPr>
              <w:pStyle w:val="TableText0"/>
              <w:keepNext w:val="0"/>
              <w:keepLines w:val="0"/>
              <w:widowControl w:val="0"/>
            </w:pPr>
            <w:r w:rsidRPr="00DB3F2F">
              <w:t>PBS item numbers 12623J, 12630R, 12631T, 12640G, 12645M</w:t>
            </w:r>
          </w:p>
        </w:tc>
        <w:tc>
          <w:tcPr>
            <w:tcW w:w="1277" w:type="pct"/>
            <w:tcMar>
              <w:left w:w="40" w:type="dxa"/>
              <w:right w:w="40" w:type="dxa"/>
            </w:tcMar>
            <w:vAlign w:val="center"/>
          </w:tcPr>
          <w:p w14:paraId="74B20F7F" w14:textId="0E00FFEB" w:rsidR="00DA5791" w:rsidRPr="00742A1E" w:rsidRDefault="003E3688" w:rsidP="00DA5791">
            <w:pPr>
              <w:pStyle w:val="TableText0"/>
              <w:keepNext w:val="0"/>
              <w:keepLines w:val="0"/>
              <w:widowControl w:val="0"/>
            </w:pPr>
            <w:r>
              <w:t>-</w:t>
            </w:r>
          </w:p>
        </w:tc>
      </w:tr>
      <w:tr w:rsidR="00DA5791" w:rsidRPr="00DB3F2F" w14:paraId="1070F41D" w14:textId="77777777">
        <w:trPr>
          <w:cantSplit/>
        </w:trPr>
        <w:tc>
          <w:tcPr>
            <w:tcW w:w="827" w:type="pct"/>
            <w:tcMar>
              <w:left w:w="40" w:type="dxa"/>
              <w:right w:w="40" w:type="dxa"/>
            </w:tcMar>
            <w:vAlign w:val="center"/>
          </w:tcPr>
          <w:p w14:paraId="7D8E21C2" w14:textId="77777777" w:rsidR="00DA5791" w:rsidRPr="00DB3F2F" w:rsidRDefault="00DA5791" w:rsidP="00DA5791">
            <w:pPr>
              <w:pStyle w:val="TableText0"/>
              <w:keepNext w:val="0"/>
              <w:keepLines w:val="0"/>
              <w:widowControl w:val="0"/>
            </w:pPr>
            <w:r>
              <w:t>Patient copayments</w:t>
            </w:r>
          </w:p>
        </w:tc>
        <w:tc>
          <w:tcPr>
            <w:tcW w:w="1632" w:type="pct"/>
            <w:tcMar>
              <w:left w:w="40" w:type="dxa"/>
              <w:right w:w="40" w:type="dxa"/>
            </w:tcMar>
            <w:vAlign w:val="center"/>
          </w:tcPr>
          <w:p w14:paraId="50B215AC" w14:textId="77777777" w:rsidR="00DA5791" w:rsidRPr="00DB3F2F" w:rsidRDefault="00DA5791" w:rsidP="00DA5791">
            <w:pPr>
              <w:pStyle w:val="TableText0"/>
              <w:keepNext w:val="0"/>
              <w:keepLines w:val="0"/>
              <w:widowControl w:val="0"/>
            </w:pPr>
            <w:r>
              <w:t>Various</w:t>
            </w:r>
          </w:p>
        </w:tc>
        <w:tc>
          <w:tcPr>
            <w:tcW w:w="1264" w:type="pct"/>
            <w:tcMar>
              <w:left w:w="40" w:type="dxa"/>
              <w:right w:w="40" w:type="dxa"/>
            </w:tcMar>
            <w:vAlign w:val="center"/>
          </w:tcPr>
          <w:p w14:paraId="5AF64D9C" w14:textId="77777777" w:rsidR="00DA5791" w:rsidRPr="00184FAC" w:rsidRDefault="00DA5791" w:rsidP="00DA5791">
            <w:pPr>
              <w:pStyle w:val="TableText0"/>
              <w:keepNext w:val="0"/>
              <w:keepLines w:val="0"/>
              <w:widowControl w:val="0"/>
            </w:pPr>
            <w:r w:rsidRPr="00184FAC">
              <w:t>Co-payments applicable in 2020-1.</w:t>
            </w:r>
            <w:r w:rsidRPr="00184FAC">
              <w:rPr>
                <w:vertAlign w:val="superscript"/>
              </w:rPr>
              <w:t>a</w:t>
            </w:r>
          </w:p>
        </w:tc>
        <w:tc>
          <w:tcPr>
            <w:tcW w:w="1277" w:type="pct"/>
            <w:tcMar>
              <w:left w:w="40" w:type="dxa"/>
              <w:right w:w="40" w:type="dxa"/>
            </w:tcMar>
            <w:vAlign w:val="center"/>
          </w:tcPr>
          <w:p w14:paraId="360C499E" w14:textId="77777777" w:rsidR="00DA5791" w:rsidRPr="00742A1E" w:rsidDel="002A4F50" w:rsidRDefault="00DA5791" w:rsidP="00DA5791">
            <w:pPr>
              <w:pStyle w:val="TableText0"/>
              <w:keepNext w:val="0"/>
              <w:keepLines w:val="0"/>
              <w:widowControl w:val="0"/>
            </w:pPr>
            <w:r w:rsidRPr="00742A1E">
              <w:t xml:space="preserve">Updated to 1 January 2024 co-payments during the </w:t>
            </w:r>
            <w:proofErr w:type="spellStart"/>
            <w:r w:rsidRPr="00742A1E">
              <w:t>evaluation.</w:t>
            </w:r>
            <w:r w:rsidRPr="00742A1E">
              <w:rPr>
                <w:vertAlign w:val="superscript"/>
              </w:rPr>
              <w:t>b</w:t>
            </w:r>
            <w:proofErr w:type="spellEnd"/>
          </w:p>
        </w:tc>
      </w:tr>
      <w:tr w:rsidR="00DA5791" w:rsidRPr="00DB3F2F" w14:paraId="58D6ED9A" w14:textId="77777777">
        <w:trPr>
          <w:cantSplit/>
        </w:trPr>
        <w:tc>
          <w:tcPr>
            <w:tcW w:w="827" w:type="pct"/>
            <w:tcMar>
              <w:left w:w="40" w:type="dxa"/>
              <w:right w:w="40" w:type="dxa"/>
            </w:tcMar>
            <w:vAlign w:val="center"/>
          </w:tcPr>
          <w:p w14:paraId="5851BB79" w14:textId="77777777" w:rsidR="00DA5791" w:rsidRPr="00DB3F2F" w:rsidRDefault="00DA5791" w:rsidP="00DA5791">
            <w:pPr>
              <w:pStyle w:val="TableText0"/>
              <w:keepNext w:val="0"/>
              <w:keepLines w:val="0"/>
              <w:widowControl w:val="0"/>
            </w:pPr>
            <w:r w:rsidRPr="00DB3F2F">
              <w:t>MBS costs</w:t>
            </w:r>
          </w:p>
        </w:tc>
        <w:tc>
          <w:tcPr>
            <w:tcW w:w="1632" w:type="pct"/>
            <w:tcMar>
              <w:left w:w="40" w:type="dxa"/>
              <w:right w:w="40" w:type="dxa"/>
            </w:tcMar>
            <w:vAlign w:val="center"/>
          </w:tcPr>
          <w:p w14:paraId="529200F9" w14:textId="77777777" w:rsidR="00DA5791" w:rsidRPr="00DB3F2F" w:rsidRDefault="00DA5791" w:rsidP="00DA5791">
            <w:pPr>
              <w:pStyle w:val="TableText0"/>
              <w:keepNext w:val="0"/>
              <w:keepLines w:val="0"/>
              <w:widowControl w:val="0"/>
            </w:pPr>
            <w:r w:rsidRPr="00DB3F2F">
              <w:t>$0</w:t>
            </w:r>
          </w:p>
        </w:tc>
        <w:tc>
          <w:tcPr>
            <w:tcW w:w="1264" w:type="pct"/>
            <w:tcMar>
              <w:left w:w="40" w:type="dxa"/>
              <w:right w:w="40" w:type="dxa"/>
            </w:tcMar>
            <w:vAlign w:val="center"/>
          </w:tcPr>
          <w:p w14:paraId="463C3F80" w14:textId="77777777" w:rsidR="00DA5791" w:rsidRPr="00DB3F2F" w:rsidRDefault="00DA5791" w:rsidP="00DA5791">
            <w:pPr>
              <w:pStyle w:val="TableText0"/>
              <w:keepNext w:val="0"/>
              <w:keepLines w:val="0"/>
              <w:widowControl w:val="0"/>
            </w:pPr>
            <w:r w:rsidRPr="00DB3F2F">
              <w:t>Submission assumption</w:t>
            </w:r>
          </w:p>
        </w:tc>
        <w:tc>
          <w:tcPr>
            <w:tcW w:w="1277" w:type="pct"/>
            <w:tcMar>
              <w:left w:w="40" w:type="dxa"/>
              <w:right w:w="40" w:type="dxa"/>
            </w:tcMar>
            <w:vAlign w:val="center"/>
          </w:tcPr>
          <w:p w14:paraId="105CF2AF" w14:textId="57669557" w:rsidR="00DA5791" w:rsidRPr="00742A1E" w:rsidRDefault="003E3688" w:rsidP="00DA5791">
            <w:pPr>
              <w:pStyle w:val="TableText0"/>
              <w:keepNext w:val="0"/>
              <w:keepLines w:val="0"/>
              <w:widowControl w:val="0"/>
            </w:pPr>
            <w:r>
              <w:t>-</w:t>
            </w:r>
          </w:p>
        </w:tc>
      </w:tr>
      <w:tr w:rsidR="00DA5791" w:rsidRPr="00DB3F2F" w14:paraId="7A4142E0" w14:textId="77777777">
        <w:trPr>
          <w:cantSplit/>
        </w:trPr>
        <w:tc>
          <w:tcPr>
            <w:tcW w:w="827" w:type="pct"/>
            <w:tcMar>
              <w:left w:w="40" w:type="dxa"/>
              <w:right w:w="40" w:type="dxa"/>
            </w:tcMar>
            <w:vAlign w:val="center"/>
          </w:tcPr>
          <w:p w14:paraId="48661878" w14:textId="77777777" w:rsidR="00DA5791" w:rsidRPr="00DB3F2F" w:rsidRDefault="00DA5791" w:rsidP="00DA5791">
            <w:pPr>
              <w:pStyle w:val="TableText0"/>
              <w:keepNext w:val="0"/>
              <w:keepLines w:val="0"/>
              <w:widowControl w:val="0"/>
            </w:pPr>
            <w:r>
              <w:t>Pruritus treatment</w:t>
            </w:r>
          </w:p>
        </w:tc>
        <w:tc>
          <w:tcPr>
            <w:tcW w:w="1632" w:type="pct"/>
            <w:tcMar>
              <w:left w:w="40" w:type="dxa"/>
              <w:right w:w="40" w:type="dxa"/>
            </w:tcMar>
            <w:vAlign w:val="center"/>
          </w:tcPr>
          <w:p w14:paraId="0FC5802C" w14:textId="77777777" w:rsidR="00DA5791" w:rsidRPr="00DB3F2F" w:rsidRDefault="00DA5791" w:rsidP="00DA5791">
            <w:pPr>
              <w:pStyle w:val="TableText0"/>
              <w:keepNext w:val="0"/>
              <w:keepLines w:val="0"/>
              <w:widowControl w:val="0"/>
            </w:pPr>
            <w:r>
              <w:t>$0</w:t>
            </w:r>
          </w:p>
        </w:tc>
        <w:tc>
          <w:tcPr>
            <w:tcW w:w="1264" w:type="pct"/>
            <w:tcMar>
              <w:left w:w="40" w:type="dxa"/>
              <w:right w:w="40" w:type="dxa"/>
            </w:tcMar>
            <w:vAlign w:val="center"/>
          </w:tcPr>
          <w:p w14:paraId="26D2E3E3" w14:textId="77777777" w:rsidR="00DA5791" w:rsidRPr="00DB3F2F" w:rsidRDefault="00DA5791" w:rsidP="00DA5791">
            <w:pPr>
              <w:pStyle w:val="TableText0"/>
              <w:keepNext w:val="0"/>
              <w:keepLines w:val="0"/>
              <w:widowControl w:val="0"/>
            </w:pPr>
            <w:r w:rsidRPr="00DB3F2F">
              <w:t>Submission assumption</w:t>
            </w:r>
          </w:p>
        </w:tc>
        <w:tc>
          <w:tcPr>
            <w:tcW w:w="1277" w:type="pct"/>
            <w:tcMar>
              <w:left w:w="40" w:type="dxa"/>
              <w:right w:w="40" w:type="dxa"/>
            </w:tcMar>
            <w:vAlign w:val="center"/>
          </w:tcPr>
          <w:p w14:paraId="037D5562" w14:textId="157C0293" w:rsidR="00DA5791" w:rsidRPr="00742A1E" w:rsidRDefault="003E3688" w:rsidP="00DA5791">
            <w:pPr>
              <w:pStyle w:val="TableText0"/>
              <w:keepNext w:val="0"/>
              <w:keepLines w:val="0"/>
              <w:widowControl w:val="0"/>
            </w:pPr>
            <w:r>
              <w:t>-</w:t>
            </w:r>
          </w:p>
        </w:tc>
      </w:tr>
    </w:tbl>
    <w:p w14:paraId="34AF8702" w14:textId="20FEA7FF" w:rsidR="00AD6B55" w:rsidRPr="00DB3F2F" w:rsidRDefault="00AD6B55" w:rsidP="00AD6B55">
      <w:pPr>
        <w:pStyle w:val="FooterTableFigure"/>
      </w:pPr>
      <w:r w:rsidRPr="00DB3F2F">
        <w:t>Source: Table 4.1 of the submission.</w:t>
      </w:r>
    </w:p>
    <w:p w14:paraId="4CDB267A" w14:textId="77777777" w:rsidR="00AD6B55" w:rsidRPr="00DB3F2F" w:rsidRDefault="00AD6B55" w:rsidP="00AD6B55">
      <w:pPr>
        <w:pStyle w:val="FooterTableFigure"/>
      </w:pPr>
      <w:r w:rsidRPr="00DB3F2F">
        <w:t>DPMQ = dispensed price for maximum quantity, DTG = duration of treatment group</w:t>
      </w:r>
      <w:r>
        <w:t>;</w:t>
      </w:r>
      <w:r w:rsidRPr="00DB3F2F">
        <w:t xml:space="preserve"> OCA = </w:t>
      </w:r>
      <w:proofErr w:type="spellStart"/>
      <w:r w:rsidRPr="00DB3F2F">
        <w:t>Obeticholic</w:t>
      </w:r>
      <w:proofErr w:type="spellEnd"/>
      <w:r w:rsidRPr="00DB3F2F">
        <w:t xml:space="preserve"> acid, UDCA = Ursodeoxycholic acid, PBS = Pharmaceutical Benefits Scheme, RPBS = Repatriation Pharmaceutical Benefits Scheme, MBS = Medicare Benefits Schedule.</w:t>
      </w:r>
    </w:p>
    <w:p w14:paraId="0E5FEC7E" w14:textId="77777777" w:rsidR="00AD6B55" w:rsidRDefault="00AD6B55" w:rsidP="00AD6B55">
      <w:pPr>
        <w:pStyle w:val="FooterTableFigure"/>
        <w:keepNext/>
        <w:jc w:val="left"/>
        <w:rPr>
          <w:vertAlign w:val="superscript"/>
        </w:rPr>
      </w:pPr>
      <w:r w:rsidRPr="00DB3F2F">
        <w:rPr>
          <w:vertAlign w:val="superscript"/>
        </w:rPr>
        <w:t xml:space="preserve">a </w:t>
      </w:r>
      <w:r w:rsidRPr="004635A3">
        <w:t>National Health Amendment (General Co-payment) Bill 2022, https://www.aph.gov.au/Parliamentary_Business/Bills_Legislation/bd/bd2223a/23bd013</w:t>
      </w:r>
    </w:p>
    <w:p w14:paraId="1F75DE4B" w14:textId="77777777" w:rsidR="00DA5E87" w:rsidRDefault="00AD6B55" w:rsidP="00DA5E87">
      <w:pPr>
        <w:pStyle w:val="FooterTableFigure"/>
        <w:jc w:val="left"/>
      </w:pPr>
      <w:r>
        <w:rPr>
          <w:vertAlign w:val="superscript"/>
        </w:rPr>
        <w:t>b</w:t>
      </w:r>
      <w:r w:rsidRPr="00DB3F2F">
        <w:rPr>
          <w:vertAlign w:val="superscript"/>
        </w:rPr>
        <w:t xml:space="preserve"> </w:t>
      </w:r>
      <w:hyperlink r:id="rId9" w:history="1">
        <w:r w:rsidRPr="00DB3F2F">
          <w:rPr>
            <w:rStyle w:val="Hyperlink"/>
            <w:color w:val="auto"/>
          </w:rPr>
          <w:t>https://www.pbs.gov.au/info/healthpro/explanatory-notes/front/fee</w:t>
        </w:r>
      </w:hyperlink>
      <w:r w:rsidR="00DA5E87">
        <w:t xml:space="preserve"> </w:t>
      </w:r>
    </w:p>
    <w:p w14:paraId="178365C4" w14:textId="28354A73" w:rsidR="00DA5E87" w:rsidRPr="001E429D" w:rsidRDefault="00DA5E87" w:rsidP="00DA5E87">
      <w:pPr>
        <w:pStyle w:val="FooterTableFigure"/>
        <w:jc w:val="left"/>
        <w:rPr>
          <w:i/>
          <w:iCs/>
        </w:rPr>
      </w:pPr>
      <w:r w:rsidRPr="001E429D">
        <w:rPr>
          <w:i/>
          <w:iCs/>
        </w:rPr>
        <w:t xml:space="preserve">The redacted values correspond to the following ranges: </w:t>
      </w:r>
    </w:p>
    <w:p w14:paraId="53931D6C" w14:textId="4DCC0BE0" w:rsidR="00AD6B55" w:rsidRDefault="00DA5E87" w:rsidP="001E429D">
      <w:pPr>
        <w:pStyle w:val="FooterTableFigure"/>
        <w:jc w:val="left"/>
      </w:pPr>
      <w:r w:rsidRPr="001E429D">
        <w:rPr>
          <w:i/>
          <w:iCs/>
          <w:vertAlign w:val="superscript"/>
        </w:rPr>
        <w:t>1</w:t>
      </w:r>
      <w:r w:rsidRPr="001E429D">
        <w:rPr>
          <w:i/>
          <w:iCs/>
        </w:rPr>
        <w:t xml:space="preserve"> &lt; 500</w:t>
      </w:r>
    </w:p>
    <w:p w14:paraId="4DDC9A77" w14:textId="54948CC2" w:rsidR="00AD6B55" w:rsidRPr="008D78D1" w:rsidRDefault="00AD6B55" w:rsidP="00AD6B55">
      <w:pPr>
        <w:pStyle w:val="3-BodyText"/>
      </w:pPr>
      <w:r w:rsidRPr="0059445D">
        <w:fldChar w:fldCharType="begin" w:fldLock="1"/>
      </w:r>
      <w:r w:rsidRPr="008D78D1">
        <w:instrText xml:space="preserve"> REF _Ref104805295 \h  \* MERGEFORMAT </w:instrText>
      </w:r>
      <w:r w:rsidRPr="0059445D">
        <w:fldChar w:fldCharType="separate"/>
      </w:r>
      <w:r>
        <w:t>Table 20</w:t>
      </w:r>
      <w:r w:rsidRPr="0059445D">
        <w:fldChar w:fldCharType="end"/>
      </w:r>
      <w:r w:rsidRPr="0059445D">
        <w:t xml:space="preserve"> presents the estimated use and financial implications (effective price of </w:t>
      </w:r>
      <w:proofErr w:type="spellStart"/>
      <w:r w:rsidRPr="0059445D">
        <w:t>elafibranor</w:t>
      </w:r>
      <w:proofErr w:type="spellEnd"/>
      <w:r w:rsidRPr="0059445D">
        <w:t xml:space="preserve">, </w:t>
      </w:r>
      <w:r w:rsidRPr="008D78D1">
        <w:t>publi</w:t>
      </w:r>
      <w:r>
        <w:t>shed</w:t>
      </w:r>
      <w:r w:rsidRPr="008D78D1">
        <w:t xml:space="preserve"> </w:t>
      </w:r>
      <w:r w:rsidRPr="00AB78E1">
        <w:t>price of OCA)</w:t>
      </w:r>
      <w:r>
        <w:t xml:space="preserve">. </w:t>
      </w:r>
    </w:p>
    <w:p w14:paraId="5DFFCD66" w14:textId="31646E00" w:rsidR="00AD6B55" w:rsidRPr="00606FBA" w:rsidRDefault="00AD6B55" w:rsidP="00AD6B55">
      <w:pPr>
        <w:pStyle w:val="Caption"/>
        <w:jc w:val="left"/>
      </w:pPr>
      <w:r>
        <w:lastRenderedPageBreak/>
        <w:t xml:space="preserve">Table </w:t>
      </w:r>
      <w:r>
        <w:fldChar w:fldCharType="begin" w:fldLock="1"/>
      </w:r>
      <w:r>
        <w:instrText xml:space="preserve"> SEQ Table \* ARABIC </w:instrText>
      </w:r>
      <w:r>
        <w:fldChar w:fldCharType="separate"/>
      </w:r>
      <w:r>
        <w:rPr>
          <w:noProof/>
        </w:rPr>
        <w:t>20</w:t>
      </w:r>
      <w:r>
        <w:rPr>
          <w:noProof/>
        </w:rPr>
        <w:fldChar w:fldCharType="end"/>
      </w:r>
      <w:r>
        <w:t>:</w:t>
      </w:r>
      <w:r w:rsidRPr="00A55AF1">
        <w:t xml:space="preserve"> Estimated use and financial implications</w:t>
      </w:r>
      <w:r w:rsidRPr="00946060">
        <w:t xml:space="preserve"> (effective price of </w:t>
      </w:r>
      <w:proofErr w:type="spellStart"/>
      <w:r w:rsidRPr="00946060">
        <w:t>elafibranor</w:t>
      </w:r>
      <w:proofErr w:type="spellEnd"/>
      <w:r w:rsidRPr="00946060">
        <w:t>, publi</w:t>
      </w:r>
      <w:r>
        <w:t>shed</w:t>
      </w:r>
      <w:r w:rsidRPr="00946060">
        <w:t xml:space="preserve"> price of OCA)</w:t>
      </w:r>
      <w:r w:rsidR="009E6202" w:rsidRPr="009E6202">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2"/>
        <w:gridCol w:w="1102"/>
        <w:gridCol w:w="1102"/>
        <w:gridCol w:w="1102"/>
        <w:gridCol w:w="1102"/>
        <w:gridCol w:w="1102"/>
        <w:gridCol w:w="1105"/>
      </w:tblGrid>
      <w:tr w:rsidR="00AD6B55" w:rsidRPr="00B871FC" w14:paraId="6AA00546" w14:textId="77777777">
        <w:trPr>
          <w:tblHeader/>
        </w:trPr>
        <w:tc>
          <w:tcPr>
            <w:tcW w:w="1332" w:type="pct"/>
            <w:shd w:val="clear" w:color="auto" w:fill="auto"/>
            <w:vAlign w:val="center"/>
          </w:tcPr>
          <w:p w14:paraId="3977AD5A" w14:textId="77777777" w:rsidR="00AD6B55" w:rsidRPr="00B871FC" w:rsidRDefault="00AD6B55">
            <w:pPr>
              <w:pStyle w:val="In-tableHeading"/>
              <w:jc w:val="center"/>
              <w:rPr>
                <w:lang w:val="en-AU"/>
              </w:rPr>
            </w:pPr>
          </w:p>
        </w:tc>
        <w:tc>
          <w:tcPr>
            <w:tcW w:w="611" w:type="pct"/>
            <w:shd w:val="clear" w:color="auto" w:fill="auto"/>
            <w:vAlign w:val="center"/>
          </w:tcPr>
          <w:p w14:paraId="3F4233BB" w14:textId="77777777" w:rsidR="00AD6B55" w:rsidRPr="00B871FC" w:rsidRDefault="00AD6B55">
            <w:pPr>
              <w:pStyle w:val="In-tableHeading"/>
              <w:jc w:val="center"/>
              <w:rPr>
                <w:lang w:val="en-AU"/>
              </w:rPr>
            </w:pPr>
            <w:r w:rsidRPr="00B871FC">
              <w:rPr>
                <w:lang w:val="en-AU"/>
              </w:rPr>
              <w:t>Year 1</w:t>
            </w:r>
          </w:p>
        </w:tc>
        <w:tc>
          <w:tcPr>
            <w:tcW w:w="611" w:type="pct"/>
            <w:shd w:val="clear" w:color="auto" w:fill="auto"/>
            <w:vAlign w:val="center"/>
          </w:tcPr>
          <w:p w14:paraId="69C76532" w14:textId="77777777" w:rsidR="00AD6B55" w:rsidRPr="00B871FC" w:rsidRDefault="00AD6B55">
            <w:pPr>
              <w:pStyle w:val="In-tableHeading"/>
              <w:jc w:val="center"/>
              <w:rPr>
                <w:lang w:val="en-AU"/>
              </w:rPr>
            </w:pPr>
            <w:r w:rsidRPr="00B871FC">
              <w:rPr>
                <w:lang w:val="en-AU"/>
              </w:rPr>
              <w:t>Year 2</w:t>
            </w:r>
          </w:p>
        </w:tc>
        <w:tc>
          <w:tcPr>
            <w:tcW w:w="611" w:type="pct"/>
            <w:shd w:val="clear" w:color="auto" w:fill="auto"/>
            <w:vAlign w:val="center"/>
          </w:tcPr>
          <w:p w14:paraId="21822E52" w14:textId="77777777" w:rsidR="00AD6B55" w:rsidRPr="00B871FC" w:rsidRDefault="00AD6B55">
            <w:pPr>
              <w:pStyle w:val="In-tableHeading"/>
              <w:jc w:val="center"/>
              <w:rPr>
                <w:lang w:val="en-AU"/>
              </w:rPr>
            </w:pPr>
            <w:r w:rsidRPr="00B871FC">
              <w:rPr>
                <w:lang w:val="en-AU"/>
              </w:rPr>
              <w:t>Year 3</w:t>
            </w:r>
          </w:p>
        </w:tc>
        <w:tc>
          <w:tcPr>
            <w:tcW w:w="611" w:type="pct"/>
            <w:shd w:val="clear" w:color="auto" w:fill="auto"/>
            <w:vAlign w:val="center"/>
          </w:tcPr>
          <w:p w14:paraId="1A37BCA2" w14:textId="77777777" w:rsidR="00AD6B55" w:rsidRPr="00B871FC" w:rsidRDefault="00AD6B55">
            <w:pPr>
              <w:pStyle w:val="In-tableHeading"/>
              <w:jc w:val="center"/>
              <w:rPr>
                <w:lang w:val="en-AU"/>
              </w:rPr>
            </w:pPr>
            <w:r w:rsidRPr="00B871FC">
              <w:rPr>
                <w:lang w:val="en-AU"/>
              </w:rPr>
              <w:t>Year 4</w:t>
            </w:r>
          </w:p>
        </w:tc>
        <w:tc>
          <w:tcPr>
            <w:tcW w:w="611" w:type="pct"/>
            <w:shd w:val="clear" w:color="auto" w:fill="auto"/>
            <w:vAlign w:val="center"/>
          </w:tcPr>
          <w:p w14:paraId="674C5935" w14:textId="77777777" w:rsidR="00AD6B55" w:rsidRPr="00B871FC" w:rsidRDefault="00AD6B55">
            <w:pPr>
              <w:pStyle w:val="In-tableHeading"/>
              <w:jc w:val="center"/>
              <w:rPr>
                <w:lang w:val="en-AU"/>
              </w:rPr>
            </w:pPr>
            <w:r w:rsidRPr="00B871FC">
              <w:rPr>
                <w:lang w:val="en-AU"/>
              </w:rPr>
              <w:t>Year 5</w:t>
            </w:r>
          </w:p>
        </w:tc>
        <w:tc>
          <w:tcPr>
            <w:tcW w:w="613" w:type="pct"/>
          </w:tcPr>
          <w:p w14:paraId="77073598" w14:textId="77777777" w:rsidR="00AD6B55" w:rsidRPr="00B871FC" w:rsidRDefault="00AD6B55">
            <w:pPr>
              <w:pStyle w:val="In-tableHeading"/>
              <w:jc w:val="center"/>
              <w:rPr>
                <w:lang w:val="en-AU"/>
              </w:rPr>
            </w:pPr>
            <w:r w:rsidRPr="00B871FC">
              <w:rPr>
                <w:lang w:val="en-AU"/>
              </w:rPr>
              <w:t>Year 6</w:t>
            </w:r>
          </w:p>
        </w:tc>
      </w:tr>
      <w:tr w:rsidR="00AD6B55" w:rsidRPr="00B871FC" w14:paraId="00BC6623" w14:textId="77777777">
        <w:tc>
          <w:tcPr>
            <w:tcW w:w="5000" w:type="pct"/>
            <w:gridSpan w:val="7"/>
            <w:shd w:val="clear" w:color="auto" w:fill="auto"/>
            <w:vAlign w:val="center"/>
          </w:tcPr>
          <w:p w14:paraId="17F72E6A" w14:textId="77777777" w:rsidR="00AD6B55" w:rsidRPr="00B871FC" w:rsidRDefault="00AD6B55">
            <w:pPr>
              <w:pStyle w:val="In-tableHeading"/>
              <w:rPr>
                <w:bCs/>
                <w:lang w:val="en-AU"/>
              </w:rPr>
            </w:pPr>
            <w:r w:rsidRPr="00B871FC">
              <w:rPr>
                <w:bCs/>
                <w:lang w:val="en-AU"/>
              </w:rPr>
              <w:t>Estimated extent of use</w:t>
            </w:r>
          </w:p>
        </w:tc>
      </w:tr>
      <w:tr w:rsidR="00AD6B55" w:rsidRPr="00B871FC" w14:paraId="7C70BCEA" w14:textId="77777777">
        <w:tc>
          <w:tcPr>
            <w:tcW w:w="1332" w:type="pct"/>
            <w:shd w:val="clear" w:color="auto" w:fill="auto"/>
            <w:vAlign w:val="center"/>
          </w:tcPr>
          <w:p w14:paraId="56A70715" w14:textId="77777777" w:rsidR="00AD6B55" w:rsidRPr="00B871FC" w:rsidRDefault="00AD6B55">
            <w:pPr>
              <w:pStyle w:val="TableText0"/>
              <w:rPr>
                <w:rFonts w:ascii="Times" w:hAnsi="Times"/>
              </w:rPr>
            </w:pPr>
            <w:r w:rsidRPr="00B871FC">
              <w:t>Number of patients treated</w:t>
            </w:r>
          </w:p>
        </w:tc>
        <w:tc>
          <w:tcPr>
            <w:tcW w:w="611" w:type="pct"/>
            <w:shd w:val="clear" w:color="auto" w:fill="auto"/>
            <w:vAlign w:val="center"/>
          </w:tcPr>
          <w:p w14:paraId="64F4F9C0" w14:textId="4BA42D6F" w:rsidR="00AD6B55" w:rsidRPr="000563AF" w:rsidRDefault="00B55D47">
            <w:pPr>
              <w:pStyle w:val="TableText0"/>
              <w:jc w:val="center"/>
              <w:rPr>
                <w:highlight w:val="darkGray"/>
              </w:rPr>
            </w:pPr>
            <w:r w:rsidRPr="00B55D47">
              <w:rPr>
                <w:rFonts w:hint="eastAsia"/>
                <w:color w:val="000000"/>
                <w:w w:val="15"/>
                <w:shd w:val="solid" w:color="000000" w:fill="000000"/>
                <w:fitText w:val="60" w:id="-694465023"/>
                <w14:textFill>
                  <w14:solidFill>
                    <w14:srgbClr w14:val="000000">
                      <w14:alpha w14:val="100000"/>
                    </w14:srgbClr>
                  </w14:solidFill>
                </w14:textFill>
              </w:rPr>
              <w:t xml:space="preserve">　</w:t>
            </w:r>
            <w:r w:rsidRPr="00B55D47">
              <w:rPr>
                <w:color w:val="000000"/>
                <w:w w:val="15"/>
                <w:shd w:val="solid" w:color="000000" w:fill="000000"/>
                <w:fitText w:val="60" w:id="-694465023"/>
                <w14:textFill>
                  <w14:solidFill>
                    <w14:srgbClr w14:val="000000">
                      <w14:alpha w14:val="100000"/>
                    </w14:srgbClr>
                  </w14:solidFill>
                </w14:textFill>
              </w:rPr>
              <w:t>|</w:t>
            </w:r>
            <w:r w:rsidRPr="00B55D47">
              <w:rPr>
                <w:rFonts w:hint="eastAsia"/>
                <w:color w:val="000000"/>
                <w:spacing w:val="-5"/>
                <w:w w:val="15"/>
                <w:shd w:val="solid" w:color="000000" w:fill="000000"/>
                <w:fitText w:val="60" w:id="-694465023"/>
                <w14:textFill>
                  <w14:solidFill>
                    <w14:srgbClr w14:val="000000">
                      <w14:alpha w14:val="100000"/>
                    </w14:srgbClr>
                  </w14:solidFill>
                </w14:textFill>
              </w:rPr>
              <w:t xml:space="preserve">　</w:t>
            </w:r>
            <w:r w:rsidR="00525A26" w:rsidRPr="00525A26">
              <w:rPr>
                <w:vertAlign w:val="superscript"/>
              </w:rPr>
              <w:t>1</w:t>
            </w:r>
          </w:p>
        </w:tc>
        <w:tc>
          <w:tcPr>
            <w:tcW w:w="611" w:type="pct"/>
            <w:shd w:val="clear" w:color="auto" w:fill="auto"/>
            <w:vAlign w:val="center"/>
          </w:tcPr>
          <w:p w14:paraId="1041DCED" w14:textId="49E1E0B3" w:rsidR="00AD6B55" w:rsidRPr="000563AF" w:rsidRDefault="00B55D47">
            <w:pPr>
              <w:pStyle w:val="TableText0"/>
              <w:jc w:val="center"/>
              <w:rPr>
                <w:highlight w:val="darkGray"/>
              </w:rPr>
            </w:pPr>
            <w:r w:rsidRPr="00B55D47">
              <w:rPr>
                <w:rFonts w:hint="eastAsia"/>
                <w:color w:val="000000"/>
                <w:w w:val="15"/>
                <w:shd w:val="solid" w:color="000000" w:fill="000000"/>
                <w:fitText w:val="60" w:id="-694465022"/>
                <w14:textFill>
                  <w14:solidFill>
                    <w14:srgbClr w14:val="000000">
                      <w14:alpha w14:val="100000"/>
                    </w14:srgbClr>
                  </w14:solidFill>
                </w14:textFill>
              </w:rPr>
              <w:t xml:space="preserve">　</w:t>
            </w:r>
            <w:r w:rsidRPr="00B55D47">
              <w:rPr>
                <w:color w:val="000000"/>
                <w:w w:val="15"/>
                <w:shd w:val="solid" w:color="000000" w:fill="000000"/>
                <w:fitText w:val="60" w:id="-694465022"/>
                <w14:textFill>
                  <w14:solidFill>
                    <w14:srgbClr w14:val="000000">
                      <w14:alpha w14:val="100000"/>
                    </w14:srgbClr>
                  </w14:solidFill>
                </w14:textFill>
              </w:rPr>
              <w:t>|</w:t>
            </w:r>
            <w:r w:rsidRPr="00B55D47">
              <w:rPr>
                <w:rFonts w:hint="eastAsia"/>
                <w:color w:val="000000"/>
                <w:spacing w:val="-5"/>
                <w:w w:val="15"/>
                <w:shd w:val="solid" w:color="000000" w:fill="000000"/>
                <w:fitText w:val="60" w:id="-694465022"/>
                <w14:textFill>
                  <w14:solidFill>
                    <w14:srgbClr w14:val="000000">
                      <w14:alpha w14:val="100000"/>
                    </w14:srgbClr>
                  </w14:solidFill>
                </w14:textFill>
              </w:rPr>
              <w:t xml:space="preserve">　</w:t>
            </w:r>
            <w:r w:rsidR="00525A26" w:rsidRPr="00525A26">
              <w:rPr>
                <w:vertAlign w:val="superscript"/>
              </w:rPr>
              <w:t>1</w:t>
            </w:r>
          </w:p>
        </w:tc>
        <w:tc>
          <w:tcPr>
            <w:tcW w:w="611" w:type="pct"/>
            <w:shd w:val="clear" w:color="auto" w:fill="auto"/>
          </w:tcPr>
          <w:p w14:paraId="2954A2B3" w14:textId="04B004D7" w:rsidR="00AD6B55" w:rsidRPr="000563AF" w:rsidRDefault="00B55D47">
            <w:pPr>
              <w:pStyle w:val="TableText0"/>
              <w:jc w:val="center"/>
              <w:rPr>
                <w:highlight w:val="darkGray"/>
              </w:rPr>
            </w:pPr>
            <w:r w:rsidRPr="00B55D47">
              <w:rPr>
                <w:rFonts w:hint="eastAsia"/>
                <w:color w:val="000000"/>
                <w:w w:val="15"/>
                <w:shd w:val="solid" w:color="000000" w:fill="000000"/>
                <w:fitText w:val="60" w:id="-694465021"/>
                <w14:textFill>
                  <w14:solidFill>
                    <w14:srgbClr w14:val="000000">
                      <w14:alpha w14:val="100000"/>
                    </w14:srgbClr>
                  </w14:solidFill>
                </w14:textFill>
              </w:rPr>
              <w:t xml:space="preserve">　</w:t>
            </w:r>
            <w:r w:rsidRPr="00B55D47">
              <w:rPr>
                <w:color w:val="000000"/>
                <w:w w:val="15"/>
                <w:shd w:val="solid" w:color="000000" w:fill="000000"/>
                <w:fitText w:val="60" w:id="-694465021"/>
                <w14:textFill>
                  <w14:solidFill>
                    <w14:srgbClr w14:val="000000">
                      <w14:alpha w14:val="100000"/>
                    </w14:srgbClr>
                  </w14:solidFill>
                </w14:textFill>
              </w:rPr>
              <w:t>|</w:t>
            </w:r>
            <w:r w:rsidRPr="00B55D47">
              <w:rPr>
                <w:rFonts w:hint="eastAsia"/>
                <w:color w:val="000000"/>
                <w:spacing w:val="-5"/>
                <w:w w:val="15"/>
                <w:shd w:val="solid" w:color="000000" w:fill="000000"/>
                <w:fitText w:val="60" w:id="-694465021"/>
                <w14:textFill>
                  <w14:solidFill>
                    <w14:srgbClr w14:val="000000">
                      <w14:alpha w14:val="100000"/>
                    </w14:srgbClr>
                  </w14:solidFill>
                </w14:textFill>
              </w:rPr>
              <w:t xml:space="preserve">　</w:t>
            </w:r>
            <w:r w:rsidR="00525A26" w:rsidRPr="00525A26">
              <w:rPr>
                <w:vertAlign w:val="superscript"/>
              </w:rPr>
              <w:t>1</w:t>
            </w:r>
          </w:p>
        </w:tc>
        <w:tc>
          <w:tcPr>
            <w:tcW w:w="611" w:type="pct"/>
            <w:shd w:val="clear" w:color="auto" w:fill="auto"/>
          </w:tcPr>
          <w:p w14:paraId="260DA846" w14:textId="03B18572" w:rsidR="00AD6B55" w:rsidRPr="000563AF" w:rsidRDefault="00B55D47">
            <w:pPr>
              <w:pStyle w:val="TableText0"/>
              <w:jc w:val="center"/>
              <w:rPr>
                <w:highlight w:val="darkGray"/>
              </w:rPr>
            </w:pPr>
            <w:r w:rsidRPr="00B55D47">
              <w:rPr>
                <w:rFonts w:hint="eastAsia"/>
                <w:color w:val="000000"/>
                <w:w w:val="15"/>
                <w:shd w:val="solid" w:color="000000" w:fill="000000"/>
                <w:fitText w:val="60" w:id="-694465020"/>
                <w14:textFill>
                  <w14:solidFill>
                    <w14:srgbClr w14:val="000000">
                      <w14:alpha w14:val="100000"/>
                    </w14:srgbClr>
                  </w14:solidFill>
                </w14:textFill>
              </w:rPr>
              <w:t xml:space="preserve">　</w:t>
            </w:r>
            <w:r w:rsidRPr="00B55D47">
              <w:rPr>
                <w:color w:val="000000"/>
                <w:w w:val="15"/>
                <w:shd w:val="solid" w:color="000000" w:fill="000000"/>
                <w:fitText w:val="60" w:id="-694465020"/>
                <w14:textFill>
                  <w14:solidFill>
                    <w14:srgbClr w14:val="000000">
                      <w14:alpha w14:val="100000"/>
                    </w14:srgbClr>
                  </w14:solidFill>
                </w14:textFill>
              </w:rPr>
              <w:t>|</w:t>
            </w:r>
            <w:r w:rsidRPr="00B55D47">
              <w:rPr>
                <w:rFonts w:hint="eastAsia"/>
                <w:color w:val="000000"/>
                <w:spacing w:val="-5"/>
                <w:w w:val="15"/>
                <w:shd w:val="solid" w:color="000000" w:fill="000000"/>
                <w:fitText w:val="60" w:id="-694465020"/>
                <w14:textFill>
                  <w14:solidFill>
                    <w14:srgbClr w14:val="000000">
                      <w14:alpha w14:val="100000"/>
                    </w14:srgbClr>
                  </w14:solidFill>
                </w14:textFill>
              </w:rPr>
              <w:t xml:space="preserve">　</w:t>
            </w:r>
            <w:r w:rsidR="00525A26" w:rsidRPr="00525A26">
              <w:rPr>
                <w:vertAlign w:val="superscript"/>
              </w:rPr>
              <w:t>1</w:t>
            </w:r>
          </w:p>
        </w:tc>
        <w:tc>
          <w:tcPr>
            <w:tcW w:w="611" w:type="pct"/>
            <w:shd w:val="clear" w:color="auto" w:fill="auto"/>
          </w:tcPr>
          <w:p w14:paraId="36623591" w14:textId="4FDE9B92" w:rsidR="00AD6B55" w:rsidRPr="000563AF" w:rsidRDefault="00B55D47">
            <w:pPr>
              <w:pStyle w:val="TableText0"/>
              <w:jc w:val="center"/>
              <w:rPr>
                <w:highlight w:val="darkGray"/>
              </w:rPr>
            </w:pPr>
            <w:r w:rsidRPr="00B55D47">
              <w:rPr>
                <w:rFonts w:hint="eastAsia"/>
                <w:color w:val="000000"/>
                <w:w w:val="15"/>
                <w:shd w:val="solid" w:color="000000" w:fill="000000"/>
                <w:fitText w:val="60" w:id="-694465019"/>
                <w14:textFill>
                  <w14:solidFill>
                    <w14:srgbClr w14:val="000000">
                      <w14:alpha w14:val="100000"/>
                    </w14:srgbClr>
                  </w14:solidFill>
                </w14:textFill>
              </w:rPr>
              <w:t xml:space="preserve">　</w:t>
            </w:r>
            <w:r w:rsidRPr="00B55D47">
              <w:rPr>
                <w:color w:val="000000"/>
                <w:w w:val="15"/>
                <w:shd w:val="solid" w:color="000000" w:fill="000000"/>
                <w:fitText w:val="60" w:id="-694465019"/>
                <w14:textFill>
                  <w14:solidFill>
                    <w14:srgbClr w14:val="000000">
                      <w14:alpha w14:val="100000"/>
                    </w14:srgbClr>
                  </w14:solidFill>
                </w14:textFill>
              </w:rPr>
              <w:t>|</w:t>
            </w:r>
            <w:r w:rsidRPr="00B55D47">
              <w:rPr>
                <w:rFonts w:hint="eastAsia"/>
                <w:color w:val="000000"/>
                <w:spacing w:val="-5"/>
                <w:w w:val="15"/>
                <w:shd w:val="solid" w:color="000000" w:fill="000000"/>
                <w:fitText w:val="60" w:id="-694465019"/>
                <w14:textFill>
                  <w14:solidFill>
                    <w14:srgbClr w14:val="000000">
                      <w14:alpha w14:val="100000"/>
                    </w14:srgbClr>
                  </w14:solidFill>
                </w14:textFill>
              </w:rPr>
              <w:t xml:space="preserve">　</w:t>
            </w:r>
            <w:r w:rsidR="00525A26" w:rsidRPr="00525A26">
              <w:rPr>
                <w:vertAlign w:val="superscript"/>
              </w:rPr>
              <w:t>1</w:t>
            </w:r>
          </w:p>
        </w:tc>
        <w:tc>
          <w:tcPr>
            <w:tcW w:w="613" w:type="pct"/>
          </w:tcPr>
          <w:p w14:paraId="58CAF047" w14:textId="4BDBC5B5" w:rsidR="00AD6B55" w:rsidRPr="000563AF" w:rsidRDefault="00B55D47">
            <w:pPr>
              <w:pStyle w:val="TableText0"/>
              <w:jc w:val="center"/>
              <w:rPr>
                <w:highlight w:val="darkGray"/>
              </w:rPr>
            </w:pPr>
            <w:r w:rsidRPr="00B55D47">
              <w:rPr>
                <w:rFonts w:hint="eastAsia"/>
                <w:color w:val="000000"/>
                <w:w w:val="15"/>
                <w:shd w:val="solid" w:color="000000" w:fill="000000"/>
                <w:fitText w:val="40" w:id="-694465018"/>
                <w14:textFill>
                  <w14:solidFill>
                    <w14:srgbClr w14:val="000000">
                      <w14:alpha w14:val="100000"/>
                    </w14:srgbClr>
                  </w14:solidFill>
                </w14:textFill>
              </w:rPr>
              <w:t xml:space="preserve">　</w:t>
            </w:r>
            <w:r w:rsidRPr="00B55D47">
              <w:rPr>
                <w:color w:val="000000"/>
                <w:w w:val="15"/>
                <w:shd w:val="solid" w:color="000000" w:fill="000000"/>
                <w:fitText w:val="40" w:id="-694465018"/>
                <w14:textFill>
                  <w14:solidFill>
                    <w14:srgbClr w14:val="000000">
                      <w14:alpha w14:val="100000"/>
                    </w14:srgbClr>
                  </w14:solidFill>
                </w14:textFill>
              </w:rPr>
              <w:t>|</w:t>
            </w:r>
            <w:r w:rsidRPr="00B55D47">
              <w:rPr>
                <w:rFonts w:hint="eastAsia"/>
                <w:color w:val="000000"/>
                <w:spacing w:val="-25"/>
                <w:w w:val="15"/>
                <w:shd w:val="solid" w:color="000000" w:fill="000000"/>
                <w:fitText w:val="40" w:id="-694465018"/>
                <w14:textFill>
                  <w14:solidFill>
                    <w14:srgbClr w14:val="000000">
                      <w14:alpha w14:val="100000"/>
                    </w14:srgbClr>
                  </w14:solidFill>
                </w14:textFill>
              </w:rPr>
              <w:t xml:space="preserve">　</w:t>
            </w:r>
            <w:r w:rsidR="00525A26" w:rsidRPr="00525A26">
              <w:rPr>
                <w:vertAlign w:val="superscript"/>
              </w:rPr>
              <w:t>1</w:t>
            </w:r>
          </w:p>
        </w:tc>
      </w:tr>
      <w:tr w:rsidR="00AD6B55" w:rsidRPr="00B871FC" w14:paraId="67EF022F" w14:textId="77777777">
        <w:tc>
          <w:tcPr>
            <w:tcW w:w="1332" w:type="pct"/>
            <w:shd w:val="clear" w:color="auto" w:fill="auto"/>
            <w:vAlign w:val="center"/>
          </w:tcPr>
          <w:p w14:paraId="0C0C5725" w14:textId="77777777" w:rsidR="00AD6B55" w:rsidRPr="00B871FC" w:rsidRDefault="00AD6B55">
            <w:pPr>
              <w:pStyle w:val="TableText0"/>
              <w:rPr>
                <w:rFonts w:ascii="Times" w:hAnsi="Times"/>
              </w:rPr>
            </w:pPr>
            <w:r w:rsidRPr="00B871FC">
              <w:t>Number of scripts dispensed</w:t>
            </w:r>
          </w:p>
        </w:tc>
        <w:tc>
          <w:tcPr>
            <w:tcW w:w="611" w:type="pct"/>
            <w:shd w:val="clear" w:color="auto" w:fill="auto"/>
            <w:vAlign w:val="center"/>
          </w:tcPr>
          <w:p w14:paraId="2162D8DF" w14:textId="338EC1D4" w:rsidR="00AD6B55" w:rsidRPr="000563AF" w:rsidRDefault="00B55D47">
            <w:pPr>
              <w:pStyle w:val="TableText0"/>
              <w:jc w:val="center"/>
              <w:rPr>
                <w:highlight w:val="darkGray"/>
              </w:rPr>
            </w:pPr>
            <w:r w:rsidRPr="00B55D47">
              <w:rPr>
                <w:rFonts w:hint="eastAsia"/>
                <w:color w:val="000000"/>
                <w:w w:val="15"/>
                <w:shd w:val="solid" w:color="000000" w:fill="000000"/>
                <w:fitText w:val="60" w:id="-694465017"/>
                <w14:textFill>
                  <w14:solidFill>
                    <w14:srgbClr w14:val="000000">
                      <w14:alpha w14:val="100000"/>
                    </w14:srgbClr>
                  </w14:solidFill>
                </w14:textFill>
              </w:rPr>
              <w:t xml:space="preserve">　</w:t>
            </w:r>
            <w:r w:rsidRPr="00B55D47">
              <w:rPr>
                <w:color w:val="000000"/>
                <w:w w:val="15"/>
                <w:shd w:val="solid" w:color="000000" w:fill="000000"/>
                <w:fitText w:val="60" w:id="-694465017"/>
                <w14:textFill>
                  <w14:solidFill>
                    <w14:srgbClr w14:val="000000">
                      <w14:alpha w14:val="100000"/>
                    </w14:srgbClr>
                  </w14:solidFill>
                </w14:textFill>
              </w:rPr>
              <w:t>|</w:t>
            </w:r>
            <w:r w:rsidRPr="00B55D47">
              <w:rPr>
                <w:rFonts w:hint="eastAsia"/>
                <w:color w:val="000000"/>
                <w:spacing w:val="-5"/>
                <w:w w:val="15"/>
                <w:shd w:val="solid" w:color="000000" w:fill="000000"/>
                <w:fitText w:val="60" w:id="-694465017"/>
                <w14:textFill>
                  <w14:solidFill>
                    <w14:srgbClr w14:val="000000">
                      <w14:alpha w14:val="100000"/>
                    </w14:srgbClr>
                  </w14:solidFill>
                </w14:textFill>
              </w:rPr>
              <w:t xml:space="preserve">　</w:t>
            </w:r>
            <w:r w:rsidR="00525A26" w:rsidRPr="00525A26">
              <w:rPr>
                <w:vertAlign w:val="superscript"/>
              </w:rPr>
              <w:t>2</w:t>
            </w:r>
          </w:p>
        </w:tc>
        <w:tc>
          <w:tcPr>
            <w:tcW w:w="611" w:type="pct"/>
            <w:shd w:val="clear" w:color="auto" w:fill="auto"/>
            <w:vAlign w:val="center"/>
          </w:tcPr>
          <w:p w14:paraId="2F619D4D" w14:textId="3F7BBCB4" w:rsidR="00AD6B55" w:rsidRPr="000563AF" w:rsidRDefault="00B55D47">
            <w:pPr>
              <w:pStyle w:val="TableText0"/>
              <w:jc w:val="center"/>
              <w:rPr>
                <w:highlight w:val="darkGray"/>
              </w:rPr>
            </w:pPr>
            <w:r w:rsidRPr="00B55D47">
              <w:rPr>
                <w:rFonts w:hint="eastAsia"/>
                <w:color w:val="000000"/>
                <w:w w:val="15"/>
                <w:shd w:val="solid" w:color="000000" w:fill="000000"/>
                <w:fitText w:val="60" w:id="-694465016"/>
                <w14:textFill>
                  <w14:solidFill>
                    <w14:srgbClr w14:val="000000">
                      <w14:alpha w14:val="100000"/>
                    </w14:srgbClr>
                  </w14:solidFill>
                </w14:textFill>
              </w:rPr>
              <w:t xml:space="preserve">　</w:t>
            </w:r>
            <w:r w:rsidRPr="00B55D47">
              <w:rPr>
                <w:color w:val="000000"/>
                <w:w w:val="15"/>
                <w:shd w:val="solid" w:color="000000" w:fill="000000"/>
                <w:fitText w:val="60" w:id="-694465016"/>
                <w14:textFill>
                  <w14:solidFill>
                    <w14:srgbClr w14:val="000000">
                      <w14:alpha w14:val="100000"/>
                    </w14:srgbClr>
                  </w14:solidFill>
                </w14:textFill>
              </w:rPr>
              <w:t>|</w:t>
            </w:r>
            <w:r w:rsidRPr="00B55D47">
              <w:rPr>
                <w:rFonts w:hint="eastAsia"/>
                <w:color w:val="000000"/>
                <w:spacing w:val="-5"/>
                <w:w w:val="15"/>
                <w:shd w:val="solid" w:color="000000" w:fill="000000"/>
                <w:fitText w:val="60" w:id="-694465016"/>
                <w14:textFill>
                  <w14:solidFill>
                    <w14:srgbClr w14:val="000000">
                      <w14:alpha w14:val="100000"/>
                    </w14:srgbClr>
                  </w14:solidFill>
                </w14:textFill>
              </w:rPr>
              <w:t xml:space="preserve">　</w:t>
            </w:r>
            <w:r w:rsidR="009C282E" w:rsidRPr="009C282E">
              <w:rPr>
                <w:vertAlign w:val="superscript"/>
              </w:rPr>
              <w:t>3</w:t>
            </w:r>
          </w:p>
        </w:tc>
        <w:tc>
          <w:tcPr>
            <w:tcW w:w="611" w:type="pct"/>
            <w:shd w:val="clear" w:color="auto" w:fill="auto"/>
            <w:vAlign w:val="center"/>
          </w:tcPr>
          <w:p w14:paraId="790DBBD1" w14:textId="14DCBC2B" w:rsidR="00AD6B55" w:rsidRPr="000563AF" w:rsidRDefault="00B55D47">
            <w:pPr>
              <w:pStyle w:val="TableText0"/>
              <w:jc w:val="center"/>
              <w:rPr>
                <w:highlight w:val="darkGray"/>
              </w:rPr>
            </w:pPr>
            <w:r w:rsidRPr="00B55D47">
              <w:rPr>
                <w:rFonts w:hint="eastAsia"/>
                <w:color w:val="000000"/>
                <w:w w:val="15"/>
                <w:shd w:val="solid" w:color="000000" w:fill="000000"/>
                <w:fitText w:val="60" w:id="-694465015"/>
                <w14:textFill>
                  <w14:solidFill>
                    <w14:srgbClr w14:val="000000">
                      <w14:alpha w14:val="100000"/>
                    </w14:srgbClr>
                  </w14:solidFill>
                </w14:textFill>
              </w:rPr>
              <w:t xml:space="preserve">　</w:t>
            </w:r>
            <w:r w:rsidRPr="00B55D47">
              <w:rPr>
                <w:color w:val="000000"/>
                <w:w w:val="15"/>
                <w:shd w:val="solid" w:color="000000" w:fill="000000"/>
                <w:fitText w:val="60" w:id="-694465015"/>
                <w14:textFill>
                  <w14:solidFill>
                    <w14:srgbClr w14:val="000000">
                      <w14:alpha w14:val="100000"/>
                    </w14:srgbClr>
                  </w14:solidFill>
                </w14:textFill>
              </w:rPr>
              <w:t>|</w:t>
            </w:r>
            <w:r w:rsidRPr="00B55D47">
              <w:rPr>
                <w:rFonts w:hint="eastAsia"/>
                <w:color w:val="000000"/>
                <w:spacing w:val="-5"/>
                <w:w w:val="15"/>
                <w:shd w:val="solid" w:color="000000" w:fill="000000"/>
                <w:fitText w:val="60" w:id="-694465015"/>
                <w14:textFill>
                  <w14:solidFill>
                    <w14:srgbClr w14:val="000000">
                      <w14:alpha w14:val="100000"/>
                    </w14:srgbClr>
                  </w14:solidFill>
                </w14:textFill>
              </w:rPr>
              <w:t xml:space="preserve">　</w:t>
            </w:r>
            <w:r w:rsidR="009C282E" w:rsidRPr="009C282E">
              <w:rPr>
                <w:vertAlign w:val="superscript"/>
              </w:rPr>
              <w:t>3</w:t>
            </w:r>
          </w:p>
        </w:tc>
        <w:tc>
          <w:tcPr>
            <w:tcW w:w="611" w:type="pct"/>
            <w:shd w:val="clear" w:color="auto" w:fill="auto"/>
            <w:vAlign w:val="center"/>
          </w:tcPr>
          <w:p w14:paraId="42F797AF" w14:textId="69C622AD" w:rsidR="00AD6B55" w:rsidRPr="000563AF" w:rsidRDefault="00B55D47">
            <w:pPr>
              <w:pStyle w:val="TableText0"/>
              <w:jc w:val="center"/>
              <w:rPr>
                <w:highlight w:val="darkGray"/>
              </w:rPr>
            </w:pPr>
            <w:r w:rsidRPr="00B55D47">
              <w:rPr>
                <w:rFonts w:hint="eastAsia"/>
                <w:color w:val="000000"/>
                <w:w w:val="15"/>
                <w:shd w:val="solid" w:color="000000" w:fill="000000"/>
                <w:fitText w:val="60" w:id="-694465014"/>
                <w14:textFill>
                  <w14:solidFill>
                    <w14:srgbClr w14:val="000000">
                      <w14:alpha w14:val="100000"/>
                    </w14:srgbClr>
                  </w14:solidFill>
                </w14:textFill>
              </w:rPr>
              <w:t xml:space="preserve">　</w:t>
            </w:r>
            <w:r w:rsidRPr="00B55D47">
              <w:rPr>
                <w:color w:val="000000"/>
                <w:w w:val="15"/>
                <w:shd w:val="solid" w:color="000000" w:fill="000000"/>
                <w:fitText w:val="60" w:id="-694465014"/>
                <w14:textFill>
                  <w14:solidFill>
                    <w14:srgbClr w14:val="000000">
                      <w14:alpha w14:val="100000"/>
                    </w14:srgbClr>
                  </w14:solidFill>
                </w14:textFill>
              </w:rPr>
              <w:t>|</w:t>
            </w:r>
            <w:r w:rsidRPr="00B55D47">
              <w:rPr>
                <w:rFonts w:hint="eastAsia"/>
                <w:color w:val="000000"/>
                <w:spacing w:val="-5"/>
                <w:w w:val="15"/>
                <w:shd w:val="solid" w:color="000000" w:fill="000000"/>
                <w:fitText w:val="60" w:id="-694465014"/>
                <w14:textFill>
                  <w14:solidFill>
                    <w14:srgbClr w14:val="000000">
                      <w14:alpha w14:val="100000"/>
                    </w14:srgbClr>
                  </w14:solidFill>
                </w14:textFill>
              </w:rPr>
              <w:t xml:space="preserve">　</w:t>
            </w:r>
            <w:r w:rsidR="009C282E" w:rsidRPr="009C282E">
              <w:rPr>
                <w:vertAlign w:val="superscript"/>
              </w:rPr>
              <w:t>3</w:t>
            </w:r>
          </w:p>
        </w:tc>
        <w:tc>
          <w:tcPr>
            <w:tcW w:w="611" w:type="pct"/>
            <w:shd w:val="clear" w:color="auto" w:fill="auto"/>
            <w:vAlign w:val="center"/>
          </w:tcPr>
          <w:p w14:paraId="4AFEA154" w14:textId="25703862" w:rsidR="00AD6B55" w:rsidRPr="000563AF" w:rsidRDefault="00B55D47">
            <w:pPr>
              <w:pStyle w:val="TableText0"/>
              <w:jc w:val="center"/>
              <w:rPr>
                <w:highlight w:val="darkGray"/>
              </w:rPr>
            </w:pPr>
            <w:r w:rsidRPr="00B55D47">
              <w:rPr>
                <w:rFonts w:hint="eastAsia"/>
                <w:color w:val="000000"/>
                <w:w w:val="15"/>
                <w:shd w:val="solid" w:color="000000" w:fill="000000"/>
                <w:fitText w:val="60" w:id="-694465013"/>
                <w14:textFill>
                  <w14:solidFill>
                    <w14:srgbClr w14:val="000000">
                      <w14:alpha w14:val="100000"/>
                    </w14:srgbClr>
                  </w14:solidFill>
                </w14:textFill>
              </w:rPr>
              <w:t xml:space="preserve">　</w:t>
            </w:r>
            <w:r w:rsidRPr="00B55D47">
              <w:rPr>
                <w:color w:val="000000"/>
                <w:w w:val="15"/>
                <w:shd w:val="solid" w:color="000000" w:fill="000000"/>
                <w:fitText w:val="60" w:id="-694465013"/>
                <w14:textFill>
                  <w14:solidFill>
                    <w14:srgbClr w14:val="000000">
                      <w14:alpha w14:val="100000"/>
                    </w14:srgbClr>
                  </w14:solidFill>
                </w14:textFill>
              </w:rPr>
              <w:t>|</w:t>
            </w:r>
            <w:r w:rsidRPr="00B55D47">
              <w:rPr>
                <w:rFonts w:hint="eastAsia"/>
                <w:color w:val="000000"/>
                <w:spacing w:val="-5"/>
                <w:w w:val="15"/>
                <w:shd w:val="solid" w:color="000000" w:fill="000000"/>
                <w:fitText w:val="60" w:id="-694465013"/>
                <w14:textFill>
                  <w14:solidFill>
                    <w14:srgbClr w14:val="000000">
                      <w14:alpha w14:val="100000"/>
                    </w14:srgbClr>
                  </w14:solidFill>
                </w14:textFill>
              </w:rPr>
              <w:t xml:space="preserve">　</w:t>
            </w:r>
            <w:r w:rsidR="009C282E" w:rsidRPr="009C282E">
              <w:rPr>
                <w:vertAlign w:val="superscript"/>
              </w:rPr>
              <w:t>3</w:t>
            </w:r>
          </w:p>
        </w:tc>
        <w:tc>
          <w:tcPr>
            <w:tcW w:w="613" w:type="pct"/>
          </w:tcPr>
          <w:p w14:paraId="39009F60" w14:textId="23AB40D4" w:rsidR="00AD6B55" w:rsidRPr="000563AF" w:rsidRDefault="00B55D47">
            <w:pPr>
              <w:pStyle w:val="TableText0"/>
              <w:jc w:val="center"/>
              <w:rPr>
                <w:highlight w:val="darkGray"/>
              </w:rPr>
            </w:pPr>
            <w:r w:rsidRPr="00B55D47">
              <w:rPr>
                <w:rFonts w:hint="eastAsia"/>
                <w:color w:val="000000"/>
                <w:w w:val="15"/>
                <w:shd w:val="solid" w:color="000000" w:fill="000000"/>
                <w:fitText w:val="40" w:id="-694465012"/>
                <w14:textFill>
                  <w14:solidFill>
                    <w14:srgbClr w14:val="000000">
                      <w14:alpha w14:val="100000"/>
                    </w14:srgbClr>
                  </w14:solidFill>
                </w14:textFill>
              </w:rPr>
              <w:t xml:space="preserve">　</w:t>
            </w:r>
            <w:r w:rsidRPr="00B55D47">
              <w:rPr>
                <w:color w:val="000000"/>
                <w:w w:val="15"/>
                <w:shd w:val="solid" w:color="000000" w:fill="000000"/>
                <w:fitText w:val="40" w:id="-694465012"/>
                <w14:textFill>
                  <w14:solidFill>
                    <w14:srgbClr w14:val="000000">
                      <w14:alpha w14:val="100000"/>
                    </w14:srgbClr>
                  </w14:solidFill>
                </w14:textFill>
              </w:rPr>
              <w:t>|</w:t>
            </w:r>
            <w:r w:rsidRPr="00B55D47">
              <w:rPr>
                <w:rFonts w:hint="eastAsia"/>
                <w:color w:val="000000"/>
                <w:spacing w:val="-25"/>
                <w:w w:val="15"/>
                <w:shd w:val="solid" w:color="000000" w:fill="000000"/>
                <w:fitText w:val="40" w:id="-694465012"/>
                <w14:textFill>
                  <w14:solidFill>
                    <w14:srgbClr w14:val="000000">
                      <w14:alpha w14:val="100000"/>
                    </w14:srgbClr>
                  </w14:solidFill>
                </w14:textFill>
              </w:rPr>
              <w:t xml:space="preserve">　</w:t>
            </w:r>
            <w:r w:rsidR="009C282E" w:rsidRPr="009C282E">
              <w:rPr>
                <w:vertAlign w:val="superscript"/>
              </w:rPr>
              <w:t>3</w:t>
            </w:r>
          </w:p>
        </w:tc>
      </w:tr>
      <w:tr w:rsidR="00AD6B55" w:rsidRPr="00B871FC" w14:paraId="76E214F2" w14:textId="77777777">
        <w:tc>
          <w:tcPr>
            <w:tcW w:w="5000" w:type="pct"/>
            <w:gridSpan w:val="7"/>
            <w:shd w:val="clear" w:color="auto" w:fill="auto"/>
            <w:vAlign w:val="center"/>
          </w:tcPr>
          <w:p w14:paraId="5733BCE2" w14:textId="77777777" w:rsidR="00AD6B55" w:rsidRPr="00B871FC" w:rsidRDefault="00AD6B55">
            <w:pPr>
              <w:pStyle w:val="In-tableHeading"/>
              <w:rPr>
                <w:lang w:val="en-AU"/>
              </w:rPr>
            </w:pPr>
            <w:r w:rsidRPr="00B871FC">
              <w:t xml:space="preserve">Estimated financial implications of </w:t>
            </w:r>
            <w:proofErr w:type="spellStart"/>
            <w:r w:rsidRPr="00B871FC">
              <w:t>elafibranor</w:t>
            </w:r>
            <w:proofErr w:type="spellEnd"/>
          </w:p>
        </w:tc>
      </w:tr>
      <w:tr w:rsidR="00AD6B55" w:rsidRPr="00B871FC" w14:paraId="0224C038" w14:textId="77777777" w:rsidTr="00130586">
        <w:tc>
          <w:tcPr>
            <w:tcW w:w="1332" w:type="pct"/>
            <w:shd w:val="clear" w:color="auto" w:fill="auto"/>
            <w:vAlign w:val="center"/>
          </w:tcPr>
          <w:p w14:paraId="5A4A88DD" w14:textId="77777777" w:rsidR="00AD6B55" w:rsidRPr="00B871FC" w:rsidRDefault="00AD6B55">
            <w:pPr>
              <w:pStyle w:val="TableText0"/>
              <w:rPr>
                <w:szCs w:val="20"/>
              </w:rPr>
            </w:pPr>
            <w:r w:rsidRPr="00B871FC">
              <w:rPr>
                <w:szCs w:val="20"/>
              </w:rPr>
              <w:t>Cost to PBS/RPBS less copayments</w:t>
            </w:r>
          </w:p>
        </w:tc>
        <w:tc>
          <w:tcPr>
            <w:tcW w:w="611" w:type="pct"/>
            <w:shd w:val="clear" w:color="auto" w:fill="auto"/>
            <w:vAlign w:val="center"/>
          </w:tcPr>
          <w:p w14:paraId="33FC9535" w14:textId="2FD826CE"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11"/>
                <w14:textFill>
                  <w14:solidFill>
                    <w14:srgbClr w14:val="000000">
                      <w14:alpha w14:val="100000"/>
                    </w14:srgbClr>
                  </w14:solidFill>
                </w14:textFill>
              </w:rPr>
              <w:t xml:space="preserve">　</w:t>
            </w:r>
            <w:r w:rsidRPr="00B55D47">
              <w:rPr>
                <w:color w:val="000000"/>
                <w:w w:val="15"/>
                <w:shd w:val="solid" w:color="000000" w:fill="000000"/>
                <w:fitText w:val="60" w:id="-694465011"/>
                <w14:textFill>
                  <w14:solidFill>
                    <w14:srgbClr w14:val="000000">
                      <w14:alpha w14:val="100000"/>
                    </w14:srgbClr>
                  </w14:solidFill>
                </w14:textFill>
              </w:rPr>
              <w:t>|</w:t>
            </w:r>
            <w:r w:rsidRPr="00B55D47">
              <w:rPr>
                <w:rFonts w:hint="eastAsia"/>
                <w:color w:val="000000"/>
                <w:spacing w:val="-5"/>
                <w:w w:val="15"/>
                <w:shd w:val="solid" w:color="000000" w:fill="000000"/>
                <w:fitText w:val="60" w:id="-694465011"/>
                <w14:textFill>
                  <w14:solidFill>
                    <w14:srgbClr w14:val="000000">
                      <w14:alpha w14:val="100000"/>
                    </w14:srgbClr>
                  </w14:solidFill>
                </w14:textFill>
              </w:rPr>
              <w:t xml:space="preserve">　</w:t>
            </w:r>
            <w:r w:rsidR="001B0C26" w:rsidRPr="001B0C26">
              <w:rPr>
                <w:vertAlign w:val="superscript"/>
              </w:rPr>
              <w:t>4</w:t>
            </w:r>
          </w:p>
        </w:tc>
        <w:tc>
          <w:tcPr>
            <w:tcW w:w="611" w:type="pct"/>
            <w:shd w:val="clear" w:color="auto" w:fill="auto"/>
            <w:vAlign w:val="center"/>
          </w:tcPr>
          <w:p w14:paraId="7C463B14" w14:textId="7BD25FA4"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10"/>
                <w14:textFill>
                  <w14:solidFill>
                    <w14:srgbClr w14:val="000000">
                      <w14:alpha w14:val="100000"/>
                    </w14:srgbClr>
                  </w14:solidFill>
                </w14:textFill>
              </w:rPr>
              <w:t xml:space="preserve">　</w:t>
            </w:r>
            <w:r w:rsidRPr="00B55D47">
              <w:rPr>
                <w:color w:val="000000"/>
                <w:w w:val="15"/>
                <w:shd w:val="solid" w:color="000000" w:fill="000000"/>
                <w:fitText w:val="60" w:id="-694465010"/>
                <w14:textFill>
                  <w14:solidFill>
                    <w14:srgbClr w14:val="000000">
                      <w14:alpha w14:val="100000"/>
                    </w14:srgbClr>
                  </w14:solidFill>
                </w14:textFill>
              </w:rPr>
              <w:t>|</w:t>
            </w:r>
            <w:r w:rsidRPr="00B55D47">
              <w:rPr>
                <w:rFonts w:hint="eastAsia"/>
                <w:color w:val="000000"/>
                <w:spacing w:val="-5"/>
                <w:w w:val="15"/>
                <w:shd w:val="solid" w:color="000000" w:fill="000000"/>
                <w:fitText w:val="60" w:id="-694465010"/>
                <w14:textFill>
                  <w14:solidFill>
                    <w14:srgbClr w14:val="000000">
                      <w14:alpha w14:val="100000"/>
                    </w14:srgbClr>
                  </w14:solidFill>
                </w14:textFill>
              </w:rPr>
              <w:t xml:space="preserve">　</w:t>
            </w:r>
            <w:r w:rsidR="001C0319" w:rsidRPr="001C0319">
              <w:rPr>
                <w:vertAlign w:val="superscript"/>
              </w:rPr>
              <w:t>5</w:t>
            </w:r>
          </w:p>
        </w:tc>
        <w:tc>
          <w:tcPr>
            <w:tcW w:w="611" w:type="pct"/>
            <w:shd w:val="clear" w:color="auto" w:fill="auto"/>
            <w:vAlign w:val="center"/>
          </w:tcPr>
          <w:p w14:paraId="42843771" w14:textId="706BAFC6"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09"/>
                <w14:textFill>
                  <w14:solidFill>
                    <w14:srgbClr w14:val="000000">
                      <w14:alpha w14:val="100000"/>
                    </w14:srgbClr>
                  </w14:solidFill>
                </w14:textFill>
              </w:rPr>
              <w:t xml:space="preserve">　</w:t>
            </w:r>
            <w:r w:rsidRPr="00B55D47">
              <w:rPr>
                <w:color w:val="000000"/>
                <w:w w:val="15"/>
                <w:shd w:val="solid" w:color="000000" w:fill="000000"/>
                <w:fitText w:val="60" w:id="-694465009"/>
                <w14:textFill>
                  <w14:solidFill>
                    <w14:srgbClr w14:val="000000">
                      <w14:alpha w14:val="100000"/>
                    </w14:srgbClr>
                  </w14:solidFill>
                </w14:textFill>
              </w:rPr>
              <w:t>|</w:t>
            </w:r>
            <w:r w:rsidRPr="00B55D47">
              <w:rPr>
                <w:rFonts w:hint="eastAsia"/>
                <w:color w:val="000000"/>
                <w:spacing w:val="-5"/>
                <w:w w:val="15"/>
                <w:shd w:val="solid" w:color="000000" w:fill="000000"/>
                <w:fitText w:val="60" w:id="-694465009"/>
                <w14:textFill>
                  <w14:solidFill>
                    <w14:srgbClr w14:val="000000">
                      <w14:alpha w14:val="100000"/>
                    </w14:srgbClr>
                  </w14:solidFill>
                </w14:textFill>
              </w:rPr>
              <w:t xml:space="preserve">　</w:t>
            </w:r>
            <w:r w:rsidR="001C0319" w:rsidRPr="001C0319">
              <w:rPr>
                <w:vertAlign w:val="superscript"/>
              </w:rPr>
              <w:t>5</w:t>
            </w:r>
          </w:p>
        </w:tc>
        <w:tc>
          <w:tcPr>
            <w:tcW w:w="611" w:type="pct"/>
            <w:shd w:val="clear" w:color="auto" w:fill="auto"/>
            <w:vAlign w:val="center"/>
          </w:tcPr>
          <w:p w14:paraId="41C1607D" w14:textId="4A8B2882"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08"/>
                <w14:textFill>
                  <w14:solidFill>
                    <w14:srgbClr w14:val="000000">
                      <w14:alpha w14:val="100000"/>
                    </w14:srgbClr>
                  </w14:solidFill>
                </w14:textFill>
              </w:rPr>
              <w:t xml:space="preserve">　</w:t>
            </w:r>
            <w:r w:rsidRPr="00B55D47">
              <w:rPr>
                <w:color w:val="000000"/>
                <w:w w:val="15"/>
                <w:shd w:val="solid" w:color="000000" w:fill="000000"/>
                <w:fitText w:val="60" w:id="-694465008"/>
                <w14:textFill>
                  <w14:solidFill>
                    <w14:srgbClr w14:val="000000">
                      <w14:alpha w14:val="100000"/>
                    </w14:srgbClr>
                  </w14:solidFill>
                </w14:textFill>
              </w:rPr>
              <w:t>|</w:t>
            </w:r>
            <w:r w:rsidRPr="00B55D47">
              <w:rPr>
                <w:rFonts w:hint="eastAsia"/>
                <w:color w:val="000000"/>
                <w:spacing w:val="-5"/>
                <w:w w:val="15"/>
                <w:shd w:val="solid" w:color="000000" w:fill="000000"/>
                <w:fitText w:val="60" w:id="-694465008"/>
                <w14:textFill>
                  <w14:solidFill>
                    <w14:srgbClr w14:val="000000">
                      <w14:alpha w14:val="100000"/>
                    </w14:srgbClr>
                  </w14:solidFill>
                </w14:textFill>
              </w:rPr>
              <w:t xml:space="preserve">　</w:t>
            </w:r>
            <w:r w:rsidR="001C0319" w:rsidRPr="001C0319">
              <w:rPr>
                <w:vertAlign w:val="superscript"/>
              </w:rPr>
              <w:t>5</w:t>
            </w:r>
          </w:p>
        </w:tc>
        <w:tc>
          <w:tcPr>
            <w:tcW w:w="611" w:type="pct"/>
            <w:shd w:val="clear" w:color="auto" w:fill="auto"/>
            <w:vAlign w:val="center"/>
          </w:tcPr>
          <w:p w14:paraId="2B843CDD" w14:textId="1D20AC63"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24"/>
                <w14:textFill>
                  <w14:solidFill>
                    <w14:srgbClr w14:val="000000">
                      <w14:alpha w14:val="100000"/>
                    </w14:srgbClr>
                  </w14:solidFill>
                </w14:textFill>
              </w:rPr>
              <w:t xml:space="preserve">　</w:t>
            </w:r>
            <w:r w:rsidRPr="00B55D47">
              <w:rPr>
                <w:color w:val="000000"/>
                <w:w w:val="15"/>
                <w:shd w:val="solid" w:color="000000" w:fill="000000"/>
                <w:fitText w:val="60" w:id="-694465024"/>
                <w14:textFill>
                  <w14:solidFill>
                    <w14:srgbClr w14:val="000000">
                      <w14:alpha w14:val="100000"/>
                    </w14:srgbClr>
                  </w14:solidFill>
                </w14:textFill>
              </w:rPr>
              <w:t>|</w:t>
            </w:r>
            <w:r w:rsidRPr="00B55D47">
              <w:rPr>
                <w:rFonts w:hint="eastAsia"/>
                <w:color w:val="000000"/>
                <w:spacing w:val="-5"/>
                <w:w w:val="15"/>
                <w:shd w:val="solid" w:color="000000" w:fill="000000"/>
                <w:fitText w:val="60" w:id="-694465024"/>
                <w14:textFill>
                  <w14:solidFill>
                    <w14:srgbClr w14:val="000000">
                      <w14:alpha w14:val="100000"/>
                    </w14:srgbClr>
                  </w14:solidFill>
                </w14:textFill>
              </w:rPr>
              <w:t xml:space="preserve">　</w:t>
            </w:r>
            <w:r w:rsidR="001C0319" w:rsidRPr="001C0319">
              <w:rPr>
                <w:vertAlign w:val="superscript"/>
              </w:rPr>
              <w:t>6</w:t>
            </w:r>
          </w:p>
        </w:tc>
        <w:tc>
          <w:tcPr>
            <w:tcW w:w="613" w:type="pct"/>
            <w:vAlign w:val="center"/>
          </w:tcPr>
          <w:p w14:paraId="57C02A54" w14:textId="4450EF8A"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40" w:id="-694465023"/>
                <w14:textFill>
                  <w14:solidFill>
                    <w14:srgbClr w14:val="000000">
                      <w14:alpha w14:val="100000"/>
                    </w14:srgbClr>
                  </w14:solidFill>
                </w14:textFill>
              </w:rPr>
              <w:t xml:space="preserve">　</w:t>
            </w:r>
            <w:r w:rsidRPr="00B55D47">
              <w:rPr>
                <w:color w:val="000000"/>
                <w:w w:val="15"/>
                <w:shd w:val="solid" w:color="000000" w:fill="000000"/>
                <w:fitText w:val="40" w:id="-694465023"/>
                <w14:textFill>
                  <w14:solidFill>
                    <w14:srgbClr w14:val="000000">
                      <w14:alpha w14:val="100000"/>
                    </w14:srgbClr>
                  </w14:solidFill>
                </w14:textFill>
              </w:rPr>
              <w:t>|</w:t>
            </w:r>
            <w:r w:rsidRPr="00B55D47">
              <w:rPr>
                <w:rFonts w:hint="eastAsia"/>
                <w:color w:val="000000"/>
                <w:spacing w:val="-25"/>
                <w:w w:val="15"/>
                <w:shd w:val="solid" w:color="000000" w:fill="000000"/>
                <w:fitText w:val="40" w:id="-694465023"/>
                <w14:textFill>
                  <w14:solidFill>
                    <w14:srgbClr w14:val="000000">
                      <w14:alpha w14:val="100000"/>
                    </w14:srgbClr>
                  </w14:solidFill>
                </w14:textFill>
              </w:rPr>
              <w:t xml:space="preserve">　</w:t>
            </w:r>
            <w:r w:rsidR="001C0319" w:rsidRPr="001C0319">
              <w:rPr>
                <w:vertAlign w:val="superscript"/>
              </w:rPr>
              <w:t>6</w:t>
            </w:r>
          </w:p>
        </w:tc>
      </w:tr>
      <w:tr w:rsidR="00AD6B55" w:rsidRPr="00B871FC" w14:paraId="26194B1A" w14:textId="77777777">
        <w:tc>
          <w:tcPr>
            <w:tcW w:w="5000" w:type="pct"/>
            <w:gridSpan w:val="7"/>
            <w:shd w:val="clear" w:color="auto" w:fill="auto"/>
            <w:vAlign w:val="center"/>
          </w:tcPr>
          <w:p w14:paraId="56EEE6CE" w14:textId="77777777" w:rsidR="00AD6B55" w:rsidRPr="00B871FC" w:rsidRDefault="00AD6B55">
            <w:pPr>
              <w:pStyle w:val="TableText0"/>
              <w:rPr>
                <w:b/>
                <w:bCs w:val="0"/>
              </w:rPr>
            </w:pPr>
            <w:r w:rsidRPr="00B871FC">
              <w:rPr>
                <w:b/>
                <w:bCs w:val="0"/>
              </w:rPr>
              <w:t>Estimated financial implications for OCA</w:t>
            </w:r>
          </w:p>
        </w:tc>
      </w:tr>
      <w:tr w:rsidR="00AD6B55" w:rsidRPr="00B871FC" w14:paraId="7C365751" w14:textId="77777777" w:rsidTr="00130586">
        <w:tc>
          <w:tcPr>
            <w:tcW w:w="1332" w:type="pct"/>
            <w:shd w:val="clear" w:color="auto" w:fill="auto"/>
            <w:vAlign w:val="center"/>
          </w:tcPr>
          <w:p w14:paraId="3362DBE5" w14:textId="77777777" w:rsidR="00AD6B55" w:rsidRPr="00B871FC" w:rsidRDefault="00AD6B55">
            <w:pPr>
              <w:pStyle w:val="TableText0"/>
              <w:rPr>
                <w:szCs w:val="20"/>
              </w:rPr>
            </w:pPr>
            <w:r w:rsidRPr="00B871FC">
              <w:rPr>
                <w:szCs w:val="20"/>
              </w:rPr>
              <w:t>Cost to PBS/RPBS less copayments</w:t>
            </w:r>
          </w:p>
        </w:tc>
        <w:tc>
          <w:tcPr>
            <w:tcW w:w="611" w:type="pct"/>
            <w:shd w:val="clear" w:color="auto" w:fill="auto"/>
            <w:vAlign w:val="center"/>
          </w:tcPr>
          <w:p w14:paraId="31813D61" w14:textId="6B524592"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22"/>
                <w14:textFill>
                  <w14:solidFill>
                    <w14:srgbClr w14:val="000000">
                      <w14:alpha w14:val="100000"/>
                    </w14:srgbClr>
                  </w14:solidFill>
                </w14:textFill>
              </w:rPr>
              <w:t xml:space="preserve">　</w:t>
            </w:r>
            <w:r w:rsidRPr="00B55D47">
              <w:rPr>
                <w:color w:val="000000"/>
                <w:w w:val="15"/>
                <w:shd w:val="solid" w:color="000000" w:fill="000000"/>
                <w:fitText w:val="60" w:id="-694465022"/>
                <w14:textFill>
                  <w14:solidFill>
                    <w14:srgbClr w14:val="000000">
                      <w14:alpha w14:val="100000"/>
                    </w14:srgbClr>
                  </w14:solidFill>
                </w14:textFill>
              </w:rPr>
              <w:t>|</w:t>
            </w:r>
            <w:r w:rsidRPr="00B55D47">
              <w:rPr>
                <w:rFonts w:hint="eastAsia"/>
                <w:color w:val="000000"/>
                <w:spacing w:val="-5"/>
                <w:w w:val="15"/>
                <w:shd w:val="solid" w:color="000000" w:fill="000000"/>
                <w:fitText w:val="60" w:id="-694465022"/>
                <w14:textFill>
                  <w14:solidFill>
                    <w14:srgbClr w14:val="000000">
                      <w14:alpha w14:val="100000"/>
                    </w14:srgbClr>
                  </w14:solidFill>
                </w14:textFill>
              </w:rPr>
              <w:t xml:space="preserve">　</w:t>
            </w:r>
            <w:r w:rsidR="001C0319" w:rsidRPr="001C0319">
              <w:rPr>
                <w:vertAlign w:val="superscript"/>
              </w:rPr>
              <w:t>7</w:t>
            </w:r>
          </w:p>
        </w:tc>
        <w:tc>
          <w:tcPr>
            <w:tcW w:w="611" w:type="pct"/>
            <w:shd w:val="clear" w:color="auto" w:fill="auto"/>
            <w:vAlign w:val="center"/>
          </w:tcPr>
          <w:p w14:paraId="4BB8E0AB" w14:textId="32948733"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21"/>
                <w14:textFill>
                  <w14:solidFill>
                    <w14:srgbClr w14:val="000000">
                      <w14:alpha w14:val="100000"/>
                    </w14:srgbClr>
                  </w14:solidFill>
                </w14:textFill>
              </w:rPr>
              <w:t xml:space="preserve">　</w:t>
            </w:r>
            <w:r w:rsidRPr="00B55D47">
              <w:rPr>
                <w:color w:val="000000"/>
                <w:w w:val="15"/>
                <w:shd w:val="solid" w:color="000000" w:fill="000000"/>
                <w:fitText w:val="60" w:id="-694465021"/>
                <w14:textFill>
                  <w14:solidFill>
                    <w14:srgbClr w14:val="000000">
                      <w14:alpha w14:val="100000"/>
                    </w14:srgbClr>
                  </w14:solidFill>
                </w14:textFill>
              </w:rPr>
              <w:t>|</w:t>
            </w:r>
            <w:r w:rsidRPr="00B55D47">
              <w:rPr>
                <w:rFonts w:hint="eastAsia"/>
                <w:color w:val="000000"/>
                <w:spacing w:val="-5"/>
                <w:w w:val="15"/>
                <w:shd w:val="solid" w:color="000000" w:fill="000000"/>
                <w:fitText w:val="60" w:id="-694465021"/>
                <w14:textFill>
                  <w14:solidFill>
                    <w14:srgbClr w14:val="000000">
                      <w14:alpha w14:val="100000"/>
                    </w14:srgbClr>
                  </w14:solidFill>
                </w14:textFill>
              </w:rPr>
              <w:t xml:space="preserve">　</w:t>
            </w:r>
            <w:r w:rsidR="001C0319" w:rsidRPr="001C0319">
              <w:rPr>
                <w:vertAlign w:val="superscript"/>
              </w:rPr>
              <w:t>7</w:t>
            </w:r>
          </w:p>
        </w:tc>
        <w:tc>
          <w:tcPr>
            <w:tcW w:w="611" w:type="pct"/>
            <w:shd w:val="clear" w:color="auto" w:fill="auto"/>
            <w:vAlign w:val="center"/>
          </w:tcPr>
          <w:p w14:paraId="3F6A46E2" w14:textId="092CA9A7"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20"/>
                <w14:textFill>
                  <w14:solidFill>
                    <w14:srgbClr w14:val="000000">
                      <w14:alpha w14:val="100000"/>
                    </w14:srgbClr>
                  </w14:solidFill>
                </w14:textFill>
              </w:rPr>
              <w:t xml:space="preserve">　</w:t>
            </w:r>
            <w:r w:rsidRPr="00B55D47">
              <w:rPr>
                <w:color w:val="000000"/>
                <w:w w:val="15"/>
                <w:shd w:val="solid" w:color="000000" w:fill="000000"/>
                <w:fitText w:val="60" w:id="-694465020"/>
                <w14:textFill>
                  <w14:solidFill>
                    <w14:srgbClr w14:val="000000">
                      <w14:alpha w14:val="100000"/>
                    </w14:srgbClr>
                  </w14:solidFill>
                </w14:textFill>
              </w:rPr>
              <w:t>|</w:t>
            </w:r>
            <w:r w:rsidRPr="00B55D47">
              <w:rPr>
                <w:rFonts w:hint="eastAsia"/>
                <w:color w:val="000000"/>
                <w:spacing w:val="-5"/>
                <w:w w:val="15"/>
                <w:shd w:val="solid" w:color="000000" w:fill="000000"/>
                <w:fitText w:val="60" w:id="-694465020"/>
                <w14:textFill>
                  <w14:solidFill>
                    <w14:srgbClr w14:val="000000">
                      <w14:alpha w14:val="100000"/>
                    </w14:srgbClr>
                  </w14:solidFill>
                </w14:textFill>
              </w:rPr>
              <w:t xml:space="preserve">　</w:t>
            </w:r>
            <w:r w:rsidR="001C0319" w:rsidRPr="001C0319">
              <w:rPr>
                <w:vertAlign w:val="superscript"/>
              </w:rPr>
              <w:t>7</w:t>
            </w:r>
          </w:p>
        </w:tc>
        <w:tc>
          <w:tcPr>
            <w:tcW w:w="611" w:type="pct"/>
            <w:shd w:val="clear" w:color="auto" w:fill="auto"/>
            <w:vAlign w:val="center"/>
          </w:tcPr>
          <w:p w14:paraId="6677C8F1" w14:textId="0D064D37"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19"/>
                <w14:textFill>
                  <w14:solidFill>
                    <w14:srgbClr w14:val="000000">
                      <w14:alpha w14:val="100000"/>
                    </w14:srgbClr>
                  </w14:solidFill>
                </w14:textFill>
              </w:rPr>
              <w:t xml:space="preserve">　</w:t>
            </w:r>
            <w:r w:rsidRPr="00B55D47">
              <w:rPr>
                <w:color w:val="000000"/>
                <w:w w:val="15"/>
                <w:shd w:val="solid" w:color="000000" w:fill="000000"/>
                <w:fitText w:val="60" w:id="-694465019"/>
                <w14:textFill>
                  <w14:solidFill>
                    <w14:srgbClr w14:val="000000">
                      <w14:alpha w14:val="100000"/>
                    </w14:srgbClr>
                  </w14:solidFill>
                </w14:textFill>
              </w:rPr>
              <w:t>|</w:t>
            </w:r>
            <w:r w:rsidRPr="00B55D47">
              <w:rPr>
                <w:rFonts w:hint="eastAsia"/>
                <w:color w:val="000000"/>
                <w:spacing w:val="-5"/>
                <w:w w:val="15"/>
                <w:shd w:val="solid" w:color="000000" w:fill="000000"/>
                <w:fitText w:val="60" w:id="-694465019"/>
                <w14:textFill>
                  <w14:solidFill>
                    <w14:srgbClr w14:val="000000">
                      <w14:alpha w14:val="100000"/>
                    </w14:srgbClr>
                  </w14:solidFill>
                </w14:textFill>
              </w:rPr>
              <w:t xml:space="preserve">　</w:t>
            </w:r>
            <w:r w:rsidR="001C0319" w:rsidRPr="001C0319">
              <w:rPr>
                <w:vertAlign w:val="superscript"/>
              </w:rPr>
              <w:t>7</w:t>
            </w:r>
          </w:p>
        </w:tc>
        <w:tc>
          <w:tcPr>
            <w:tcW w:w="611" w:type="pct"/>
            <w:shd w:val="clear" w:color="auto" w:fill="auto"/>
            <w:vAlign w:val="center"/>
          </w:tcPr>
          <w:p w14:paraId="5F09658B" w14:textId="226AAFB3"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60" w:id="-694465018"/>
                <w14:textFill>
                  <w14:solidFill>
                    <w14:srgbClr w14:val="000000">
                      <w14:alpha w14:val="100000"/>
                    </w14:srgbClr>
                  </w14:solidFill>
                </w14:textFill>
              </w:rPr>
              <w:t xml:space="preserve">　</w:t>
            </w:r>
            <w:r w:rsidRPr="00B55D47">
              <w:rPr>
                <w:color w:val="000000"/>
                <w:w w:val="15"/>
                <w:shd w:val="solid" w:color="000000" w:fill="000000"/>
                <w:fitText w:val="60" w:id="-694465018"/>
                <w14:textFill>
                  <w14:solidFill>
                    <w14:srgbClr w14:val="000000">
                      <w14:alpha w14:val="100000"/>
                    </w14:srgbClr>
                  </w14:solidFill>
                </w14:textFill>
              </w:rPr>
              <w:t>|</w:t>
            </w:r>
            <w:r w:rsidRPr="00B55D47">
              <w:rPr>
                <w:rFonts w:hint="eastAsia"/>
                <w:color w:val="000000"/>
                <w:spacing w:val="-5"/>
                <w:w w:val="15"/>
                <w:shd w:val="solid" w:color="000000" w:fill="000000"/>
                <w:fitText w:val="60" w:id="-694465018"/>
                <w14:textFill>
                  <w14:solidFill>
                    <w14:srgbClr w14:val="000000">
                      <w14:alpha w14:val="100000"/>
                    </w14:srgbClr>
                  </w14:solidFill>
                </w14:textFill>
              </w:rPr>
              <w:t xml:space="preserve">　</w:t>
            </w:r>
            <w:r w:rsidR="001C0319" w:rsidRPr="001C0319">
              <w:rPr>
                <w:vertAlign w:val="superscript"/>
              </w:rPr>
              <w:t>7</w:t>
            </w:r>
          </w:p>
        </w:tc>
        <w:tc>
          <w:tcPr>
            <w:tcW w:w="613" w:type="pct"/>
            <w:vAlign w:val="center"/>
          </w:tcPr>
          <w:p w14:paraId="643FBCAE" w14:textId="1D4773D5" w:rsidR="00AD6B55" w:rsidRPr="000563AF" w:rsidRDefault="00B55D47" w:rsidP="00130586">
            <w:pPr>
              <w:pStyle w:val="TableText0"/>
              <w:jc w:val="center"/>
              <w:rPr>
                <w:highlight w:val="darkGray"/>
              </w:rPr>
            </w:pPr>
            <w:r w:rsidRPr="00B55D47">
              <w:rPr>
                <w:rFonts w:hint="eastAsia"/>
                <w:color w:val="000000"/>
                <w:w w:val="15"/>
                <w:shd w:val="solid" w:color="000000" w:fill="000000"/>
                <w:fitText w:val="40" w:id="-694465017"/>
                <w14:textFill>
                  <w14:solidFill>
                    <w14:srgbClr w14:val="000000">
                      <w14:alpha w14:val="100000"/>
                    </w14:srgbClr>
                  </w14:solidFill>
                </w14:textFill>
              </w:rPr>
              <w:t xml:space="preserve">　</w:t>
            </w:r>
            <w:r w:rsidRPr="00B55D47">
              <w:rPr>
                <w:color w:val="000000"/>
                <w:w w:val="15"/>
                <w:shd w:val="solid" w:color="000000" w:fill="000000"/>
                <w:fitText w:val="40" w:id="-694465017"/>
                <w14:textFill>
                  <w14:solidFill>
                    <w14:srgbClr w14:val="000000">
                      <w14:alpha w14:val="100000"/>
                    </w14:srgbClr>
                  </w14:solidFill>
                </w14:textFill>
              </w:rPr>
              <w:t>|</w:t>
            </w:r>
            <w:r w:rsidRPr="00B55D47">
              <w:rPr>
                <w:rFonts w:hint="eastAsia"/>
                <w:color w:val="000000"/>
                <w:spacing w:val="-25"/>
                <w:w w:val="15"/>
                <w:shd w:val="solid" w:color="000000" w:fill="000000"/>
                <w:fitText w:val="40" w:id="-694465017"/>
                <w14:textFill>
                  <w14:solidFill>
                    <w14:srgbClr w14:val="000000">
                      <w14:alpha w14:val="100000"/>
                    </w14:srgbClr>
                  </w14:solidFill>
                </w14:textFill>
              </w:rPr>
              <w:t xml:space="preserve">　</w:t>
            </w:r>
            <w:r w:rsidR="001C0319" w:rsidRPr="001C0319">
              <w:rPr>
                <w:vertAlign w:val="superscript"/>
              </w:rPr>
              <w:t>7</w:t>
            </w:r>
          </w:p>
        </w:tc>
      </w:tr>
      <w:tr w:rsidR="00AD6B55" w:rsidRPr="00B871FC" w14:paraId="3D580D0F" w14:textId="77777777">
        <w:tc>
          <w:tcPr>
            <w:tcW w:w="5000" w:type="pct"/>
            <w:gridSpan w:val="7"/>
            <w:shd w:val="clear" w:color="auto" w:fill="auto"/>
            <w:vAlign w:val="center"/>
          </w:tcPr>
          <w:p w14:paraId="4BC0C525" w14:textId="77777777" w:rsidR="00AD6B55" w:rsidRPr="00B871FC" w:rsidRDefault="00AD6B55">
            <w:pPr>
              <w:pStyle w:val="In-tableHeading"/>
              <w:rPr>
                <w:lang w:val="en-AU"/>
              </w:rPr>
            </w:pPr>
            <w:r w:rsidRPr="00B871FC">
              <w:t xml:space="preserve">Net financial </w:t>
            </w:r>
            <w:r w:rsidRPr="00B871FC">
              <w:rPr>
                <w:lang w:val="en-AU"/>
              </w:rPr>
              <w:t>implications</w:t>
            </w:r>
          </w:p>
        </w:tc>
      </w:tr>
      <w:tr w:rsidR="00AD6B55" w:rsidRPr="00B871FC" w14:paraId="690E4F78" w14:textId="77777777">
        <w:tc>
          <w:tcPr>
            <w:tcW w:w="1332" w:type="pct"/>
            <w:shd w:val="clear" w:color="auto" w:fill="auto"/>
            <w:vAlign w:val="center"/>
          </w:tcPr>
          <w:p w14:paraId="75F9D283" w14:textId="77777777" w:rsidR="00AD6B55" w:rsidRPr="00B871FC" w:rsidRDefault="00AD6B55">
            <w:pPr>
              <w:pStyle w:val="TableText0"/>
              <w:rPr>
                <w:szCs w:val="20"/>
              </w:rPr>
            </w:pPr>
            <w:r w:rsidRPr="00B871FC">
              <w:rPr>
                <w:szCs w:val="20"/>
              </w:rPr>
              <w:t>Net cost to PBS/RPBS</w:t>
            </w:r>
          </w:p>
        </w:tc>
        <w:tc>
          <w:tcPr>
            <w:tcW w:w="611" w:type="pct"/>
            <w:shd w:val="clear" w:color="auto" w:fill="auto"/>
            <w:vAlign w:val="center"/>
          </w:tcPr>
          <w:p w14:paraId="094488BA" w14:textId="1CA849AE" w:rsidR="00AD6B55" w:rsidRPr="000563AF" w:rsidRDefault="00B55D47">
            <w:pPr>
              <w:pStyle w:val="TableText0"/>
              <w:jc w:val="center"/>
              <w:rPr>
                <w:highlight w:val="darkGray"/>
              </w:rPr>
            </w:pPr>
            <w:r w:rsidRPr="00B55D47">
              <w:rPr>
                <w:rFonts w:hint="eastAsia"/>
                <w:color w:val="000000"/>
                <w:w w:val="15"/>
                <w:shd w:val="solid" w:color="000000" w:fill="000000"/>
                <w:fitText w:val="60" w:id="-694465016"/>
                <w14:textFill>
                  <w14:solidFill>
                    <w14:srgbClr w14:val="000000">
                      <w14:alpha w14:val="100000"/>
                    </w14:srgbClr>
                  </w14:solidFill>
                </w14:textFill>
              </w:rPr>
              <w:t xml:space="preserve">　</w:t>
            </w:r>
            <w:r w:rsidRPr="00B55D47">
              <w:rPr>
                <w:color w:val="000000"/>
                <w:w w:val="15"/>
                <w:shd w:val="solid" w:color="000000" w:fill="000000"/>
                <w:fitText w:val="60" w:id="-694465016"/>
                <w14:textFill>
                  <w14:solidFill>
                    <w14:srgbClr w14:val="000000">
                      <w14:alpha w14:val="100000"/>
                    </w14:srgbClr>
                  </w14:solidFill>
                </w14:textFill>
              </w:rPr>
              <w:t>|</w:t>
            </w:r>
            <w:r w:rsidRPr="00B55D47">
              <w:rPr>
                <w:rFonts w:hint="eastAsia"/>
                <w:color w:val="000000"/>
                <w:spacing w:val="-5"/>
                <w:w w:val="15"/>
                <w:shd w:val="solid" w:color="000000" w:fill="000000"/>
                <w:fitText w:val="60" w:id="-694465016"/>
                <w14:textFill>
                  <w14:solidFill>
                    <w14:srgbClr w14:val="000000">
                      <w14:alpha w14:val="100000"/>
                    </w14:srgbClr>
                  </w14:solidFill>
                </w14:textFill>
              </w:rPr>
              <w:t xml:space="preserve">　</w:t>
            </w:r>
            <w:r w:rsidR="00670EB9" w:rsidRPr="00670EB9">
              <w:rPr>
                <w:vertAlign w:val="superscript"/>
              </w:rPr>
              <w:t>8</w:t>
            </w:r>
          </w:p>
        </w:tc>
        <w:tc>
          <w:tcPr>
            <w:tcW w:w="611" w:type="pct"/>
            <w:shd w:val="clear" w:color="auto" w:fill="auto"/>
            <w:vAlign w:val="center"/>
          </w:tcPr>
          <w:p w14:paraId="554DB31C" w14:textId="481B54F4" w:rsidR="00AD6B55" w:rsidRPr="000563AF" w:rsidRDefault="00B55D47">
            <w:pPr>
              <w:pStyle w:val="TableText0"/>
              <w:jc w:val="center"/>
              <w:rPr>
                <w:highlight w:val="darkGray"/>
              </w:rPr>
            </w:pPr>
            <w:r w:rsidRPr="00B55D47">
              <w:rPr>
                <w:rFonts w:hint="eastAsia"/>
                <w:color w:val="000000"/>
                <w:w w:val="15"/>
                <w:shd w:val="solid" w:color="000000" w:fill="000000"/>
                <w:fitText w:val="60" w:id="-694465015"/>
                <w14:textFill>
                  <w14:solidFill>
                    <w14:srgbClr w14:val="000000">
                      <w14:alpha w14:val="100000"/>
                    </w14:srgbClr>
                  </w14:solidFill>
                </w14:textFill>
              </w:rPr>
              <w:t xml:space="preserve">　</w:t>
            </w:r>
            <w:r w:rsidRPr="00B55D47">
              <w:rPr>
                <w:color w:val="000000"/>
                <w:w w:val="15"/>
                <w:shd w:val="solid" w:color="000000" w:fill="000000"/>
                <w:fitText w:val="60" w:id="-694465015"/>
                <w14:textFill>
                  <w14:solidFill>
                    <w14:srgbClr w14:val="000000">
                      <w14:alpha w14:val="100000"/>
                    </w14:srgbClr>
                  </w14:solidFill>
                </w14:textFill>
              </w:rPr>
              <w:t>|</w:t>
            </w:r>
            <w:r w:rsidRPr="00B55D47">
              <w:rPr>
                <w:rFonts w:hint="eastAsia"/>
                <w:color w:val="000000"/>
                <w:spacing w:val="-5"/>
                <w:w w:val="15"/>
                <w:shd w:val="solid" w:color="000000" w:fill="000000"/>
                <w:fitText w:val="60" w:id="-694465015"/>
                <w14:textFill>
                  <w14:solidFill>
                    <w14:srgbClr w14:val="000000">
                      <w14:alpha w14:val="100000"/>
                    </w14:srgbClr>
                  </w14:solidFill>
                </w14:textFill>
              </w:rPr>
              <w:t xml:space="preserve">　</w:t>
            </w:r>
            <w:r w:rsidR="00A224DC" w:rsidRPr="001B0C26">
              <w:rPr>
                <w:vertAlign w:val="superscript"/>
              </w:rPr>
              <w:t>4</w:t>
            </w:r>
          </w:p>
        </w:tc>
        <w:tc>
          <w:tcPr>
            <w:tcW w:w="611" w:type="pct"/>
            <w:shd w:val="clear" w:color="auto" w:fill="auto"/>
            <w:vAlign w:val="center"/>
          </w:tcPr>
          <w:p w14:paraId="5C65C94E" w14:textId="3952783C" w:rsidR="00AD6B55" w:rsidRPr="000563AF" w:rsidRDefault="00B55D47">
            <w:pPr>
              <w:pStyle w:val="TableText0"/>
              <w:jc w:val="center"/>
              <w:rPr>
                <w:highlight w:val="darkGray"/>
              </w:rPr>
            </w:pPr>
            <w:r w:rsidRPr="00B55D47">
              <w:rPr>
                <w:rFonts w:hint="eastAsia"/>
                <w:color w:val="000000"/>
                <w:w w:val="15"/>
                <w:shd w:val="solid" w:color="000000" w:fill="000000"/>
                <w:fitText w:val="60" w:id="-694465014"/>
                <w14:textFill>
                  <w14:solidFill>
                    <w14:srgbClr w14:val="000000">
                      <w14:alpha w14:val="100000"/>
                    </w14:srgbClr>
                  </w14:solidFill>
                </w14:textFill>
              </w:rPr>
              <w:t xml:space="preserve">　</w:t>
            </w:r>
            <w:r w:rsidRPr="00B55D47">
              <w:rPr>
                <w:color w:val="000000"/>
                <w:w w:val="15"/>
                <w:shd w:val="solid" w:color="000000" w:fill="000000"/>
                <w:fitText w:val="60" w:id="-694465014"/>
                <w14:textFill>
                  <w14:solidFill>
                    <w14:srgbClr w14:val="000000">
                      <w14:alpha w14:val="100000"/>
                    </w14:srgbClr>
                  </w14:solidFill>
                </w14:textFill>
              </w:rPr>
              <w:t>|</w:t>
            </w:r>
            <w:r w:rsidRPr="00B55D47">
              <w:rPr>
                <w:rFonts w:hint="eastAsia"/>
                <w:color w:val="000000"/>
                <w:spacing w:val="-5"/>
                <w:w w:val="15"/>
                <w:shd w:val="solid" w:color="000000" w:fill="000000"/>
                <w:fitText w:val="60" w:id="-694465014"/>
                <w14:textFill>
                  <w14:solidFill>
                    <w14:srgbClr w14:val="000000">
                      <w14:alpha w14:val="100000"/>
                    </w14:srgbClr>
                  </w14:solidFill>
                </w14:textFill>
              </w:rPr>
              <w:t xml:space="preserve">　</w:t>
            </w:r>
            <w:r w:rsidR="00A224DC" w:rsidRPr="001B0C26">
              <w:rPr>
                <w:vertAlign w:val="superscript"/>
              </w:rPr>
              <w:t>4</w:t>
            </w:r>
          </w:p>
        </w:tc>
        <w:tc>
          <w:tcPr>
            <w:tcW w:w="611" w:type="pct"/>
            <w:shd w:val="clear" w:color="auto" w:fill="auto"/>
            <w:vAlign w:val="center"/>
          </w:tcPr>
          <w:p w14:paraId="3F7BE683" w14:textId="4C58C7BE" w:rsidR="00AD6B55" w:rsidRPr="000563AF" w:rsidRDefault="00B55D47">
            <w:pPr>
              <w:pStyle w:val="TableText0"/>
              <w:jc w:val="center"/>
              <w:rPr>
                <w:highlight w:val="darkGray"/>
              </w:rPr>
            </w:pPr>
            <w:r w:rsidRPr="00B55D47">
              <w:rPr>
                <w:rFonts w:hint="eastAsia"/>
                <w:color w:val="000000"/>
                <w:w w:val="15"/>
                <w:shd w:val="solid" w:color="000000" w:fill="000000"/>
                <w:fitText w:val="60" w:id="-694465013"/>
                <w14:textFill>
                  <w14:solidFill>
                    <w14:srgbClr w14:val="000000">
                      <w14:alpha w14:val="100000"/>
                    </w14:srgbClr>
                  </w14:solidFill>
                </w14:textFill>
              </w:rPr>
              <w:t xml:space="preserve">　</w:t>
            </w:r>
            <w:r w:rsidRPr="00B55D47">
              <w:rPr>
                <w:color w:val="000000"/>
                <w:w w:val="15"/>
                <w:shd w:val="solid" w:color="000000" w:fill="000000"/>
                <w:fitText w:val="60" w:id="-694465013"/>
                <w14:textFill>
                  <w14:solidFill>
                    <w14:srgbClr w14:val="000000">
                      <w14:alpha w14:val="100000"/>
                    </w14:srgbClr>
                  </w14:solidFill>
                </w14:textFill>
              </w:rPr>
              <w:t>|</w:t>
            </w:r>
            <w:r w:rsidRPr="00B55D47">
              <w:rPr>
                <w:rFonts w:hint="eastAsia"/>
                <w:color w:val="000000"/>
                <w:spacing w:val="-5"/>
                <w:w w:val="15"/>
                <w:shd w:val="solid" w:color="000000" w:fill="000000"/>
                <w:fitText w:val="60" w:id="-694465013"/>
                <w14:textFill>
                  <w14:solidFill>
                    <w14:srgbClr w14:val="000000">
                      <w14:alpha w14:val="100000"/>
                    </w14:srgbClr>
                  </w14:solidFill>
                </w14:textFill>
              </w:rPr>
              <w:t xml:space="preserve">　</w:t>
            </w:r>
            <w:r w:rsidR="00A224DC" w:rsidRPr="001B0C26">
              <w:rPr>
                <w:vertAlign w:val="superscript"/>
              </w:rPr>
              <w:t>4</w:t>
            </w:r>
          </w:p>
        </w:tc>
        <w:tc>
          <w:tcPr>
            <w:tcW w:w="611" w:type="pct"/>
            <w:shd w:val="clear" w:color="auto" w:fill="auto"/>
            <w:vAlign w:val="center"/>
          </w:tcPr>
          <w:p w14:paraId="329DBA01" w14:textId="16329B88" w:rsidR="00AD6B55" w:rsidRPr="000563AF" w:rsidRDefault="00B55D47">
            <w:pPr>
              <w:pStyle w:val="TableText0"/>
              <w:jc w:val="center"/>
              <w:rPr>
                <w:highlight w:val="darkGray"/>
              </w:rPr>
            </w:pPr>
            <w:r w:rsidRPr="00B55D47">
              <w:rPr>
                <w:rFonts w:hint="eastAsia"/>
                <w:color w:val="000000"/>
                <w:w w:val="15"/>
                <w:shd w:val="solid" w:color="000000" w:fill="000000"/>
                <w:fitText w:val="60" w:id="-694465012"/>
                <w14:textFill>
                  <w14:solidFill>
                    <w14:srgbClr w14:val="000000">
                      <w14:alpha w14:val="100000"/>
                    </w14:srgbClr>
                  </w14:solidFill>
                </w14:textFill>
              </w:rPr>
              <w:t xml:space="preserve">　</w:t>
            </w:r>
            <w:r w:rsidRPr="00B55D47">
              <w:rPr>
                <w:color w:val="000000"/>
                <w:w w:val="15"/>
                <w:shd w:val="solid" w:color="000000" w:fill="000000"/>
                <w:fitText w:val="60" w:id="-694465012"/>
                <w14:textFill>
                  <w14:solidFill>
                    <w14:srgbClr w14:val="000000">
                      <w14:alpha w14:val="100000"/>
                    </w14:srgbClr>
                  </w14:solidFill>
                </w14:textFill>
              </w:rPr>
              <w:t>|</w:t>
            </w:r>
            <w:r w:rsidRPr="00B55D47">
              <w:rPr>
                <w:rFonts w:hint="eastAsia"/>
                <w:color w:val="000000"/>
                <w:spacing w:val="-5"/>
                <w:w w:val="15"/>
                <w:shd w:val="solid" w:color="000000" w:fill="000000"/>
                <w:fitText w:val="60" w:id="-694465012"/>
                <w14:textFill>
                  <w14:solidFill>
                    <w14:srgbClr w14:val="000000">
                      <w14:alpha w14:val="100000"/>
                    </w14:srgbClr>
                  </w14:solidFill>
                </w14:textFill>
              </w:rPr>
              <w:t xml:space="preserve">　</w:t>
            </w:r>
            <w:r w:rsidR="001C0319" w:rsidRPr="001C0319">
              <w:rPr>
                <w:vertAlign w:val="superscript"/>
              </w:rPr>
              <w:t>5</w:t>
            </w:r>
          </w:p>
        </w:tc>
        <w:tc>
          <w:tcPr>
            <w:tcW w:w="613" w:type="pct"/>
            <w:vAlign w:val="center"/>
          </w:tcPr>
          <w:p w14:paraId="539A7F31" w14:textId="324D6321" w:rsidR="00AD6B55" w:rsidRPr="000563AF" w:rsidRDefault="00B55D47">
            <w:pPr>
              <w:pStyle w:val="TableText0"/>
              <w:jc w:val="center"/>
              <w:rPr>
                <w:highlight w:val="darkGray"/>
              </w:rPr>
            </w:pPr>
            <w:r w:rsidRPr="00B55D47">
              <w:rPr>
                <w:rFonts w:hint="eastAsia"/>
                <w:color w:val="000000"/>
                <w:w w:val="15"/>
                <w:shd w:val="solid" w:color="000000" w:fill="000000"/>
                <w:fitText w:val="40" w:id="-694465011"/>
                <w14:textFill>
                  <w14:solidFill>
                    <w14:srgbClr w14:val="000000">
                      <w14:alpha w14:val="100000"/>
                    </w14:srgbClr>
                  </w14:solidFill>
                </w14:textFill>
              </w:rPr>
              <w:t xml:space="preserve">　</w:t>
            </w:r>
            <w:r w:rsidRPr="00B55D47">
              <w:rPr>
                <w:color w:val="000000"/>
                <w:w w:val="15"/>
                <w:shd w:val="solid" w:color="000000" w:fill="000000"/>
                <w:fitText w:val="40" w:id="-694465011"/>
                <w14:textFill>
                  <w14:solidFill>
                    <w14:srgbClr w14:val="000000">
                      <w14:alpha w14:val="100000"/>
                    </w14:srgbClr>
                  </w14:solidFill>
                </w14:textFill>
              </w:rPr>
              <w:t>|</w:t>
            </w:r>
            <w:r w:rsidRPr="00B55D47">
              <w:rPr>
                <w:rFonts w:hint="eastAsia"/>
                <w:color w:val="000000"/>
                <w:spacing w:val="-25"/>
                <w:w w:val="15"/>
                <w:shd w:val="solid" w:color="000000" w:fill="000000"/>
                <w:fitText w:val="40" w:id="-694465011"/>
                <w14:textFill>
                  <w14:solidFill>
                    <w14:srgbClr w14:val="000000">
                      <w14:alpha w14:val="100000"/>
                    </w14:srgbClr>
                  </w14:solidFill>
                </w14:textFill>
              </w:rPr>
              <w:t xml:space="preserve">　</w:t>
            </w:r>
            <w:r w:rsidR="001C0319" w:rsidRPr="001C0319">
              <w:rPr>
                <w:vertAlign w:val="superscript"/>
              </w:rPr>
              <w:t>5</w:t>
            </w:r>
          </w:p>
        </w:tc>
      </w:tr>
      <w:tr w:rsidR="00AD6B55" w:rsidRPr="00B871FC" w14:paraId="4F726F84" w14:textId="77777777">
        <w:tc>
          <w:tcPr>
            <w:tcW w:w="1332" w:type="pct"/>
            <w:shd w:val="clear" w:color="auto" w:fill="auto"/>
            <w:vAlign w:val="center"/>
          </w:tcPr>
          <w:p w14:paraId="650B922C" w14:textId="77777777" w:rsidR="00AD6B55" w:rsidRPr="00B871FC" w:rsidRDefault="00AD6B55">
            <w:pPr>
              <w:pStyle w:val="TableText0"/>
              <w:rPr>
                <w:rFonts w:ascii="Times" w:hAnsi="Times"/>
                <w:szCs w:val="20"/>
              </w:rPr>
            </w:pPr>
            <w:r w:rsidRPr="00B871FC">
              <w:rPr>
                <w:szCs w:val="20"/>
              </w:rPr>
              <w:t>Net cost to MBS/Services Australia</w:t>
            </w:r>
          </w:p>
        </w:tc>
        <w:tc>
          <w:tcPr>
            <w:tcW w:w="611" w:type="pct"/>
            <w:shd w:val="clear" w:color="auto" w:fill="auto"/>
            <w:vAlign w:val="center"/>
          </w:tcPr>
          <w:p w14:paraId="07F38B30" w14:textId="66C0CD74" w:rsidR="00AD6B55" w:rsidRPr="000563AF" w:rsidRDefault="00B55D47">
            <w:pPr>
              <w:pStyle w:val="TableText0"/>
              <w:jc w:val="center"/>
              <w:rPr>
                <w:highlight w:val="darkGray"/>
              </w:rPr>
            </w:pPr>
            <w:r w:rsidRPr="00B55D47">
              <w:rPr>
                <w:rFonts w:hint="eastAsia"/>
                <w:color w:val="000000"/>
                <w:w w:val="15"/>
                <w:shd w:val="solid" w:color="000000" w:fill="000000"/>
                <w:fitText w:val="60" w:id="-694465010"/>
                <w14:textFill>
                  <w14:solidFill>
                    <w14:srgbClr w14:val="000000">
                      <w14:alpha w14:val="100000"/>
                    </w14:srgbClr>
                  </w14:solidFill>
                </w14:textFill>
              </w:rPr>
              <w:t xml:space="preserve">　</w:t>
            </w:r>
            <w:r w:rsidRPr="00B55D47">
              <w:rPr>
                <w:color w:val="000000"/>
                <w:w w:val="15"/>
                <w:shd w:val="solid" w:color="000000" w:fill="000000"/>
                <w:fitText w:val="60" w:id="-694465010"/>
                <w14:textFill>
                  <w14:solidFill>
                    <w14:srgbClr w14:val="000000">
                      <w14:alpha w14:val="100000"/>
                    </w14:srgbClr>
                  </w14:solidFill>
                </w14:textFill>
              </w:rPr>
              <w:t>|</w:t>
            </w:r>
            <w:r w:rsidRPr="00B55D47">
              <w:rPr>
                <w:rFonts w:hint="eastAsia"/>
                <w:color w:val="000000"/>
                <w:spacing w:val="-5"/>
                <w:w w:val="15"/>
                <w:shd w:val="solid" w:color="000000" w:fill="000000"/>
                <w:fitText w:val="60" w:id="-694465010"/>
                <w14:textFill>
                  <w14:solidFill>
                    <w14:srgbClr w14:val="000000">
                      <w14:alpha w14:val="100000"/>
                    </w14:srgbClr>
                  </w14:solidFill>
                </w14:textFill>
              </w:rPr>
              <w:t xml:space="preserve">　</w:t>
            </w:r>
            <w:r w:rsidR="00670EB9" w:rsidRPr="00670EB9">
              <w:rPr>
                <w:vertAlign w:val="superscript"/>
              </w:rPr>
              <w:t>8</w:t>
            </w:r>
          </w:p>
        </w:tc>
        <w:tc>
          <w:tcPr>
            <w:tcW w:w="611" w:type="pct"/>
            <w:shd w:val="clear" w:color="auto" w:fill="auto"/>
            <w:vAlign w:val="center"/>
          </w:tcPr>
          <w:p w14:paraId="252F64D0" w14:textId="6FAA31D5" w:rsidR="00AD6B55" w:rsidRPr="000563AF" w:rsidRDefault="00B55D47">
            <w:pPr>
              <w:pStyle w:val="TableText0"/>
              <w:jc w:val="center"/>
              <w:rPr>
                <w:highlight w:val="darkGray"/>
              </w:rPr>
            </w:pPr>
            <w:r w:rsidRPr="00B55D47">
              <w:rPr>
                <w:rFonts w:hint="eastAsia"/>
                <w:color w:val="000000"/>
                <w:w w:val="15"/>
                <w:shd w:val="solid" w:color="000000" w:fill="000000"/>
                <w:fitText w:val="60" w:id="-694465009"/>
                <w14:textFill>
                  <w14:solidFill>
                    <w14:srgbClr w14:val="000000">
                      <w14:alpha w14:val="100000"/>
                    </w14:srgbClr>
                  </w14:solidFill>
                </w14:textFill>
              </w:rPr>
              <w:t xml:space="preserve">　</w:t>
            </w:r>
            <w:r w:rsidRPr="00B55D47">
              <w:rPr>
                <w:color w:val="000000"/>
                <w:w w:val="15"/>
                <w:shd w:val="solid" w:color="000000" w:fill="000000"/>
                <w:fitText w:val="60" w:id="-694465009"/>
                <w14:textFill>
                  <w14:solidFill>
                    <w14:srgbClr w14:val="000000">
                      <w14:alpha w14:val="100000"/>
                    </w14:srgbClr>
                  </w14:solidFill>
                </w14:textFill>
              </w:rPr>
              <w:t>|</w:t>
            </w:r>
            <w:r w:rsidRPr="00B55D47">
              <w:rPr>
                <w:rFonts w:hint="eastAsia"/>
                <w:color w:val="000000"/>
                <w:spacing w:val="-5"/>
                <w:w w:val="15"/>
                <w:shd w:val="solid" w:color="000000" w:fill="000000"/>
                <w:fitText w:val="60" w:id="-694465009"/>
                <w14:textFill>
                  <w14:solidFill>
                    <w14:srgbClr w14:val="000000">
                      <w14:alpha w14:val="100000"/>
                    </w14:srgbClr>
                  </w14:solidFill>
                </w14:textFill>
              </w:rPr>
              <w:t xml:space="preserve">　</w:t>
            </w:r>
            <w:r w:rsidR="00670EB9" w:rsidRPr="00670EB9">
              <w:rPr>
                <w:vertAlign w:val="superscript"/>
              </w:rPr>
              <w:t>8</w:t>
            </w:r>
          </w:p>
        </w:tc>
        <w:tc>
          <w:tcPr>
            <w:tcW w:w="611" w:type="pct"/>
            <w:shd w:val="clear" w:color="auto" w:fill="auto"/>
            <w:vAlign w:val="center"/>
          </w:tcPr>
          <w:p w14:paraId="263B5821" w14:textId="3B45CB3A" w:rsidR="00AD6B55" w:rsidRPr="000563AF" w:rsidRDefault="00B55D47">
            <w:pPr>
              <w:pStyle w:val="TableText0"/>
              <w:jc w:val="center"/>
              <w:rPr>
                <w:highlight w:val="darkGray"/>
              </w:rPr>
            </w:pPr>
            <w:r w:rsidRPr="00B55D47">
              <w:rPr>
                <w:rFonts w:hint="eastAsia"/>
                <w:color w:val="000000"/>
                <w:w w:val="15"/>
                <w:shd w:val="solid" w:color="000000" w:fill="000000"/>
                <w:fitText w:val="60" w:id="-694465008"/>
                <w14:textFill>
                  <w14:solidFill>
                    <w14:srgbClr w14:val="000000">
                      <w14:alpha w14:val="100000"/>
                    </w14:srgbClr>
                  </w14:solidFill>
                </w14:textFill>
              </w:rPr>
              <w:t xml:space="preserve">　</w:t>
            </w:r>
            <w:r w:rsidRPr="00B55D47">
              <w:rPr>
                <w:color w:val="000000"/>
                <w:w w:val="15"/>
                <w:shd w:val="solid" w:color="000000" w:fill="000000"/>
                <w:fitText w:val="60" w:id="-694465008"/>
                <w14:textFill>
                  <w14:solidFill>
                    <w14:srgbClr w14:val="000000">
                      <w14:alpha w14:val="100000"/>
                    </w14:srgbClr>
                  </w14:solidFill>
                </w14:textFill>
              </w:rPr>
              <w:t>|</w:t>
            </w:r>
            <w:r w:rsidRPr="00B55D47">
              <w:rPr>
                <w:rFonts w:hint="eastAsia"/>
                <w:color w:val="000000"/>
                <w:spacing w:val="-5"/>
                <w:w w:val="15"/>
                <w:shd w:val="solid" w:color="000000" w:fill="000000"/>
                <w:fitText w:val="60" w:id="-694465008"/>
                <w14:textFill>
                  <w14:solidFill>
                    <w14:srgbClr w14:val="000000">
                      <w14:alpha w14:val="100000"/>
                    </w14:srgbClr>
                  </w14:solidFill>
                </w14:textFill>
              </w:rPr>
              <w:t xml:space="preserve">　</w:t>
            </w:r>
            <w:r w:rsidR="00670EB9" w:rsidRPr="00670EB9">
              <w:rPr>
                <w:vertAlign w:val="superscript"/>
              </w:rPr>
              <w:t>8</w:t>
            </w:r>
          </w:p>
        </w:tc>
        <w:tc>
          <w:tcPr>
            <w:tcW w:w="611" w:type="pct"/>
            <w:shd w:val="clear" w:color="auto" w:fill="auto"/>
            <w:vAlign w:val="center"/>
          </w:tcPr>
          <w:p w14:paraId="4DB0B84A" w14:textId="3A959369" w:rsidR="00AD6B55" w:rsidRPr="000563AF" w:rsidRDefault="00B55D47">
            <w:pPr>
              <w:pStyle w:val="TableText0"/>
              <w:jc w:val="center"/>
              <w:rPr>
                <w:highlight w:val="darkGray"/>
              </w:rPr>
            </w:pPr>
            <w:r w:rsidRPr="00B55D47">
              <w:rPr>
                <w:rFonts w:hint="eastAsia"/>
                <w:color w:val="000000"/>
                <w:w w:val="15"/>
                <w:shd w:val="solid" w:color="000000" w:fill="000000"/>
                <w:fitText w:val="60" w:id="-694465024"/>
                <w14:textFill>
                  <w14:solidFill>
                    <w14:srgbClr w14:val="000000">
                      <w14:alpha w14:val="100000"/>
                    </w14:srgbClr>
                  </w14:solidFill>
                </w14:textFill>
              </w:rPr>
              <w:t xml:space="preserve">　</w:t>
            </w:r>
            <w:r w:rsidRPr="00B55D47">
              <w:rPr>
                <w:color w:val="000000"/>
                <w:w w:val="15"/>
                <w:shd w:val="solid" w:color="000000" w:fill="000000"/>
                <w:fitText w:val="60" w:id="-694465024"/>
                <w14:textFill>
                  <w14:solidFill>
                    <w14:srgbClr w14:val="000000">
                      <w14:alpha w14:val="100000"/>
                    </w14:srgbClr>
                  </w14:solidFill>
                </w14:textFill>
              </w:rPr>
              <w:t>|</w:t>
            </w:r>
            <w:r w:rsidRPr="00B55D47">
              <w:rPr>
                <w:rFonts w:hint="eastAsia"/>
                <w:color w:val="000000"/>
                <w:spacing w:val="-5"/>
                <w:w w:val="15"/>
                <w:shd w:val="solid" w:color="000000" w:fill="000000"/>
                <w:fitText w:val="60" w:id="-694465024"/>
                <w14:textFill>
                  <w14:solidFill>
                    <w14:srgbClr w14:val="000000">
                      <w14:alpha w14:val="100000"/>
                    </w14:srgbClr>
                  </w14:solidFill>
                </w14:textFill>
              </w:rPr>
              <w:t xml:space="preserve">　</w:t>
            </w:r>
            <w:r w:rsidR="00670EB9" w:rsidRPr="00670EB9">
              <w:rPr>
                <w:vertAlign w:val="superscript"/>
              </w:rPr>
              <w:t>8</w:t>
            </w:r>
          </w:p>
        </w:tc>
        <w:tc>
          <w:tcPr>
            <w:tcW w:w="611" w:type="pct"/>
            <w:shd w:val="clear" w:color="auto" w:fill="auto"/>
            <w:vAlign w:val="center"/>
          </w:tcPr>
          <w:p w14:paraId="0F9AC19B" w14:textId="34FDDF25" w:rsidR="00AD6B55" w:rsidRPr="000563AF" w:rsidRDefault="00B55D47">
            <w:pPr>
              <w:pStyle w:val="TableText0"/>
              <w:jc w:val="center"/>
              <w:rPr>
                <w:highlight w:val="darkGray"/>
              </w:rPr>
            </w:pPr>
            <w:r w:rsidRPr="00B55D47">
              <w:rPr>
                <w:rFonts w:hint="eastAsia"/>
                <w:color w:val="000000"/>
                <w:w w:val="15"/>
                <w:shd w:val="solid" w:color="000000" w:fill="000000"/>
                <w:fitText w:val="60" w:id="-694465023"/>
                <w14:textFill>
                  <w14:solidFill>
                    <w14:srgbClr w14:val="000000">
                      <w14:alpha w14:val="100000"/>
                    </w14:srgbClr>
                  </w14:solidFill>
                </w14:textFill>
              </w:rPr>
              <w:t xml:space="preserve">　</w:t>
            </w:r>
            <w:r w:rsidRPr="00B55D47">
              <w:rPr>
                <w:color w:val="000000"/>
                <w:w w:val="15"/>
                <w:shd w:val="solid" w:color="000000" w:fill="000000"/>
                <w:fitText w:val="60" w:id="-694465023"/>
                <w14:textFill>
                  <w14:solidFill>
                    <w14:srgbClr w14:val="000000">
                      <w14:alpha w14:val="100000"/>
                    </w14:srgbClr>
                  </w14:solidFill>
                </w14:textFill>
              </w:rPr>
              <w:t>|</w:t>
            </w:r>
            <w:r w:rsidRPr="00B55D47">
              <w:rPr>
                <w:rFonts w:hint="eastAsia"/>
                <w:color w:val="000000"/>
                <w:spacing w:val="-5"/>
                <w:w w:val="15"/>
                <w:shd w:val="solid" w:color="000000" w:fill="000000"/>
                <w:fitText w:val="60" w:id="-694465023"/>
                <w14:textFill>
                  <w14:solidFill>
                    <w14:srgbClr w14:val="000000">
                      <w14:alpha w14:val="100000"/>
                    </w14:srgbClr>
                  </w14:solidFill>
                </w14:textFill>
              </w:rPr>
              <w:t xml:space="preserve">　</w:t>
            </w:r>
            <w:r w:rsidR="00670EB9" w:rsidRPr="00670EB9">
              <w:rPr>
                <w:vertAlign w:val="superscript"/>
              </w:rPr>
              <w:t>8</w:t>
            </w:r>
          </w:p>
        </w:tc>
        <w:tc>
          <w:tcPr>
            <w:tcW w:w="613" w:type="pct"/>
            <w:vAlign w:val="center"/>
          </w:tcPr>
          <w:p w14:paraId="3F021F2A" w14:textId="2D26D7B6" w:rsidR="00AD6B55" w:rsidRPr="000563AF" w:rsidRDefault="00B55D47">
            <w:pPr>
              <w:pStyle w:val="TableText0"/>
              <w:jc w:val="center"/>
              <w:rPr>
                <w:highlight w:val="darkGray"/>
              </w:rPr>
            </w:pPr>
            <w:r w:rsidRPr="00B55D47">
              <w:rPr>
                <w:rFonts w:hint="eastAsia"/>
                <w:color w:val="000000"/>
                <w:w w:val="15"/>
                <w:shd w:val="solid" w:color="000000" w:fill="000000"/>
                <w:fitText w:val="40" w:id="-694465022"/>
                <w14:textFill>
                  <w14:solidFill>
                    <w14:srgbClr w14:val="000000">
                      <w14:alpha w14:val="100000"/>
                    </w14:srgbClr>
                  </w14:solidFill>
                </w14:textFill>
              </w:rPr>
              <w:t xml:space="preserve">　</w:t>
            </w:r>
            <w:r w:rsidRPr="00B55D47">
              <w:rPr>
                <w:color w:val="000000"/>
                <w:w w:val="15"/>
                <w:shd w:val="solid" w:color="000000" w:fill="000000"/>
                <w:fitText w:val="40" w:id="-694465022"/>
                <w14:textFill>
                  <w14:solidFill>
                    <w14:srgbClr w14:val="000000">
                      <w14:alpha w14:val="100000"/>
                    </w14:srgbClr>
                  </w14:solidFill>
                </w14:textFill>
              </w:rPr>
              <w:t>|</w:t>
            </w:r>
            <w:r w:rsidRPr="00B55D47">
              <w:rPr>
                <w:rFonts w:hint="eastAsia"/>
                <w:color w:val="000000"/>
                <w:spacing w:val="-25"/>
                <w:w w:val="15"/>
                <w:shd w:val="solid" w:color="000000" w:fill="000000"/>
                <w:fitText w:val="40" w:id="-694465022"/>
                <w14:textFill>
                  <w14:solidFill>
                    <w14:srgbClr w14:val="000000">
                      <w14:alpha w14:val="100000"/>
                    </w14:srgbClr>
                  </w14:solidFill>
                </w14:textFill>
              </w:rPr>
              <w:t xml:space="preserve">　</w:t>
            </w:r>
            <w:r w:rsidR="00670EB9" w:rsidRPr="00670EB9">
              <w:rPr>
                <w:vertAlign w:val="superscript"/>
              </w:rPr>
              <w:t>8</w:t>
            </w:r>
          </w:p>
        </w:tc>
      </w:tr>
      <w:tr w:rsidR="00AD6B55" w:rsidRPr="006E55BD" w14:paraId="763B7E2D" w14:textId="77777777">
        <w:tc>
          <w:tcPr>
            <w:tcW w:w="1332" w:type="pct"/>
            <w:shd w:val="clear" w:color="auto" w:fill="auto"/>
            <w:vAlign w:val="center"/>
          </w:tcPr>
          <w:p w14:paraId="742CEBF3" w14:textId="77777777" w:rsidR="00AD6B55" w:rsidRPr="006E55BD" w:rsidRDefault="00AD6B55">
            <w:pPr>
              <w:pStyle w:val="TableText0"/>
              <w:rPr>
                <w:b/>
                <w:bCs w:val="0"/>
                <w:szCs w:val="20"/>
              </w:rPr>
            </w:pPr>
            <w:r w:rsidRPr="006E55BD">
              <w:rPr>
                <w:b/>
                <w:bCs w:val="0"/>
                <w:szCs w:val="20"/>
              </w:rPr>
              <w:t>Net cost to PBS/RPBS/MBS/ Services Australia</w:t>
            </w:r>
          </w:p>
        </w:tc>
        <w:tc>
          <w:tcPr>
            <w:tcW w:w="611" w:type="pct"/>
            <w:shd w:val="clear" w:color="auto" w:fill="auto"/>
            <w:vAlign w:val="center"/>
          </w:tcPr>
          <w:p w14:paraId="03DAD02B" w14:textId="0D9247D3" w:rsidR="00AD6B55" w:rsidRPr="000563AF" w:rsidRDefault="00B55D47">
            <w:pPr>
              <w:pStyle w:val="TableText0"/>
              <w:jc w:val="center"/>
              <w:rPr>
                <w:b/>
                <w:bCs w:val="0"/>
                <w:highlight w:val="darkGray"/>
              </w:rPr>
            </w:pPr>
            <w:r w:rsidRPr="00B55D47">
              <w:rPr>
                <w:rFonts w:hint="eastAsia"/>
                <w:b/>
                <w:bCs w:val="0"/>
                <w:color w:val="000000"/>
                <w:w w:val="22"/>
                <w:shd w:val="solid" w:color="000000" w:fill="000000"/>
                <w:fitText w:val="100" w:id="-694465021"/>
                <w14:textFill>
                  <w14:solidFill>
                    <w14:srgbClr w14:val="000000">
                      <w14:alpha w14:val="100000"/>
                    </w14:srgbClr>
                  </w14:solidFill>
                </w14:textFill>
              </w:rPr>
              <w:t xml:space="preserve">　</w:t>
            </w:r>
            <w:r w:rsidRPr="00B55D47">
              <w:rPr>
                <w:b/>
                <w:bCs w:val="0"/>
                <w:color w:val="000000"/>
                <w:w w:val="22"/>
                <w:shd w:val="solid" w:color="000000" w:fill="000000"/>
                <w:fitText w:val="100" w:id="-694465021"/>
                <w14:textFill>
                  <w14:solidFill>
                    <w14:srgbClr w14:val="000000">
                      <w14:alpha w14:val="100000"/>
                    </w14:srgbClr>
                  </w14:solidFill>
                </w14:textFill>
              </w:rPr>
              <w:t>|</w:t>
            </w:r>
            <w:r w:rsidRPr="00B55D47">
              <w:rPr>
                <w:rFonts w:hint="eastAsia"/>
                <w:b/>
                <w:bCs w:val="0"/>
                <w:color w:val="000000"/>
                <w:spacing w:val="2"/>
                <w:w w:val="22"/>
                <w:shd w:val="solid" w:color="000000" w:fill="000000"/>
                <w:fitText w:val="100" w:id="-694465021"/>
                <w14:textFill>
                  <w14:solidFill>
                    <w14:srgbClr w14:val="000000">
                      <w14:alpha w14:val="100000"/>
                    </w14:srgbClr>
                  </w14:solidFill>
                </w14:textFill>
              </w:rPr>
              <w:t xml:space="preserve">　</w:t>
            </w:r>
            <w:r w:rsidR="00670EB9" w:rsidRPr="00670EB9">
              <w:rPr>
                <w:vertAlign w:val="superscript"/>
              </w:rPr>
              <w:t>8</w:t>
            </w:r>
          </w:p>
        </w:tc>
        <w:tc>
          <w:tcPr>
            <w:tcW w:w="611" w:type="pct"/>
            <w:shd w:val="clear" w:color="auto" w:fill="auto"/>
            <w:vAlign w:val="center"/>
          </w:tcPr>
          <w:p w14:paraId="08456FC3" w14:textId="2790A645" w:rsidR="00AD6B55" w:rsidRPr="000563AF" w:rsidRDefault="00B55D47">
            <w:pPr>
              <w:pStyle w:val="TableText0"/>
              <w:jc w:val="center"/>
              <w:rPr>
                <w:b/>
                <w:bCs w:val="0"/>
                <w:highlight w:val="darkGray"/>
              </w:rPr>
            </w:pPr>
            <w:r w:rsidRPr="00B55D47">
              <w:rPr>
                <w:rFonts w:hint="eastAsia"/>
                <w:b/>
                <w:bCs w:val="0"/>
                <w:color w:val="000000"/>
                <w:w w:val="22"/>
                <w:shd w:val="solid" w:color="000000" w:fill="000000"/>
                <w:fitText w:val="100" w:id="-694465020"/>
                <w14:textFill>
                  <w14:solidFill>
                    <w14:srgbClr w14:val="000000">
                      <w14:alpha w14:val="100000"/>
                    </w14:srgbClr>
                  </w14:solidFill>
                </w14:textFill>
              </w:rPr>
              <w:t xml:space="preserve">　</w:t>
            </w:r>
            <w:r w:rsidRPr="00B55D47">
              <w:rPr>
                <w:b/>
                <w:bCs w:val="0"/>
                <w:color w:val="000000"/>
                <w:w w:val="22"/>
                <w:shd w:val="solid" w:color="000000" w:fill="000000"/>
                <w:fitText w:val="100" w:id="-694465020"/>
                <w14:textFill>
                  <w14:solidFill>
                    <w14:srgbClr w14:val="000000">
                      <w14:alpha w14:val="100000"/>
                    </w14:srgbClr>
                  </w14:solidFill>
                </w14:textFill>
              </w:rPr>
              <w:t>|</w:t>
            </w:r>
            <w:r w:rsidRPr="00B55D47">
              <w:rPr>
                <w:rFonts w:hint="eastAsia"/>
                <w:b/>
                <w:bCs w:val="0"/>
                <w:color w:val="000000"/>
                <w:spacing w:val="2"/>
                <w:w w:val="22"/>
                <w:shd w:val="solid" w:color="000000" w:fill="000000"/>
                <w:fitText w:val="100" w:id="-694465020"/>
                <w14:textFill>
                  <w14:solidFill>
                    <w14:srgbClr w14:val="000000">
                      <w14:alpha w14:val="100000"/>
                    </w14:srgbClr>
                  </w14:solidFill>
                </w14:textFill>
              </w:rPr>
              <w:t xml:space="preserve">　</w:t>
            </w:r>
            <w:r w:rsidR="001C0319" w:rsidRPr="001B0C26">
              <w:rPr>
                <w:vertAlign w:val="superscript"/>
              </w:rPr>
              <w:t>4</w:t>
            </w:r>
          </w:p>
        </w:tc>
        <w:tc>
          <w:tcPr>
            <w:tcW w:w="611" w:type="pct"/>
            <w:shd w:val="clear" w:color="auto" w:fill="auto"/>
            <w:vAlign w:val="center"/>
          </w:tcPr>
          <w:p w14:paraId="44545DCA" w14:textId="33DD05D3" w:rsidR="00AD6B55" w:rsidRPr="000563AF" w:rsidRDefault="00B55D47">
            <w:pPr>
              <w:pStyle w:val="TableText0"/>
              <w:jc w:val="center"/>
              <w:rPr>
                <w:b/>
                <w:bCs w:val="0"/>
                <w:highlight w:val="darkGray"/>
              </w:rPr>
            </w:pPr>
            <w:r w:rsidRPr="00B55D47">
              <w:rPr>
                <w:rFonts w:hint="eastAsia"/>
                <w:b/>
                <w:bCs w:val="0"/>
                <w:color w:val="000000"/>
                <w:w w:val="22"/>
                <w:shd w:val="solid" w:color="000000" w:fill="000000"/>
                <w:fitText w:val="100" w:id="-694465019"/>
                <w14:textFill>
                  <w14:solidFill>
                    <w14:srgbClr w14:val="000000">
                      <w14:alpha w14:val="100000"/>
                    </w14:srgbClr>
                  </w14:solidFill>
                </w14:textFill>
              </w:rPr>
              <w:t xml:space="preserve">　</w:t>
            </w:r>
            <w:r w:rsidRPr="00B55D47">
              <w:rPr>
                <w:b/>
                <w:bCs w:val="0"/>
                <w:color w:val="000000"/>
                <w:w w:val="22"/>
                <w:shd w:val="solid" w:color="000000" w:fill="000000"/>
                <w:fitText w:val="100" w:id="-694465019"/>
                <w14:textFill>
                  <w14:solidFill>
                    <w14:srgbClr w14:val="000000">
                      <w14:alpha w14:val="100000"/>
                    </w14:srgbClr>
                  </w14:solidFill>
                </w14:textFill>
              </w:rPr>
              <w:t>|</w:t>
            </w:r>
            <w:r w:rsidRPr="00B55D47">
              <w:rPr>
                <w:rFonts w:hint="eastAsia"/>
                <w:b/>
                <w:bCs w:val="0"/>
                <w:color w:val="000000"/>
                <w:spacing w:val="2"/>
                <w:w w:val="22"/>
                <w:shd w:val="solid" w:color="000000" w:fill="000000"/>
                <w:fitText w:val="100" w:id="-694465019"/>
                <w14:textFill>
                  <w14:solidFill>
                    <w14:srgbClr w14:val="000000">
                      <w14:alpha w14:val="100000"/>
                    </w14:srgbClr>
                  </w14:solidFill>
                </w14:textFill>
              </w:rPr>
              <w:t xml:space="preserve">　</w:t>
            </w:r>
            <w:r w:rsidR="001C0319" w:rsidRPr="001B0C26">
              <w:rPr>
                <w:vertAlign w:val="superscript"/>
              </w:rPr>
              <w:t>4</w:t>
            </w:r>
          </w:p>
        </w:tc>
        <w:tc>
          <w:tcPr>
            <w:tcW w:w="611" w:type="pct"/>
            <w:shd w:val="clear" w:color="auto" w:fill="auto"/>
            <w:vAlign w:val="center"/>
          </w:tcPr>
          <w:p w14:paraId="30A1B701" w14:textId="12759373" w:rsidR="00AD6B55" w:rsidRPr="000563AF" w:rsidRDefault="00B55D47">
            <w:pPr>
              <w:pStyle w:val="TableText0"/>
              <w:jc w:val="center"/>
              <w:rPr>
                <w:b/>
                <w:bCs w:val="0"/>
                <w:highlight w:val="darkGray"/>
              </w:rPr>
            </w:pPr>
            <w:r w:rsidRPr="00B55D47">
              <w:rPr>
                <w:rFonts w:hint="eastAsia"/>
                <w:b/>
                <w:bCs w:val="0"/>
                <w:color w:val="000000"/>
                <w:w w:val="22"/>
                <w:shd w:val="solid" w:color="000000" w:fill="000000"/>
                <w:fitText w:val="100" w:id="-694465018"/>
                <w14:textFill>
                  <w14:solidFill>
                    <w14:srgbClr w14:val="000000">
                      <w14:alpha w14:val="100000"/>
                    </w14:srgbClr>
                  </w14:solidFill>
                </w14:textFill>
              </w:rPr>
              <w:t xml:space="preserve">　</w:t>
            </w:r>
            <w:r w:rsidRPr="00B55D47">
              <w:rPr>
                <w:b/>
                <w:bCs w:val="0"/>
                <w:color w:val="000000"/>
                <w:w w:val="22"/>
                <w:shd w:val="solid" w:color="000000" w:fill="000000"/>
                <w:fitText w:val="100" w:id="-694465018"/>
                <w14:textFill>
                  <w14:solidFill>
                    <w14:srgbClr w14:val="000000">
                      <w14:alpha w14:val="100000"/>
                    </w14:srgbClr>
                  </w14:solidFill>
                </w14:textFill>
              </w:rPr>
              <w:t>|</w:t>
            </w:r>
            <w:r w:rsidRPr="00B55D47">
              <w:rPr>
                <w:rFonts w:hint="eastAsia"/>
                <w:b/>
                <w:bCs w:val="0"/>
                <w:color w:val="000000"/>
                <w:spacing w:val="2"/>
                <w:w w:val="22"/>
                <w:shd w:val="solid" w:color="000000" w:fill="000000"/>
                <w:fitText w:val="100" w:id="-694465018"/>
                <w14:textFill>
                  <w14:solidFill>
                    <w14:srgbClr w14:val="000000">
                      <w14:alpha w14:val="100000"/>
                    </w14:srgbClr>
                  </w14:solidFill>
                </w14:textFill>
              </w:rPr>
              <w:t xml:space="preserve">　</w:t>
            </w:r>
            <w:r w:rsidR="001C0319" w:rsidRPr="001B0C26">
              <w:rPr>
                <w:vertAlign w:val="superscript"/>
              </w:rPr>
              <w:t>4</w:t>
            </w:r>
          </w:p>
        </w:tc>
        <w:tc>
          <w:tcPr>
            <w:tcW w:w="611" w:type="pct"/>
            <w:shd w:val="clear" w:color="auto" w:fill="auto"/>
            <w:vAlign w:val="center"/>
          </w:tcPr>
          <w:p w14:paraId="75C7EF41" w14:textId="2244EF6B" w:rsidR="00AD6B55" w:rsidRPr="000563AF" w:rsidRDefault="00B55D47">
            <w:pPr>
              <w:pStyle w:val="TableText0"/>
              <w:jc w:val="center"/>
              <w:rPr>
                <w:b/>
                <w:bCs w:val="0"/>
                <w:highlight w:val="darkGray"/>
              </w:rPr>
            </w:pPr>
            <w:r w:rsidRPr="00B55D47">
              <w:rPr>
                <w:rFonts w:hint="eastAsia"/>
                <w:b/>
                <w:bCs w:val="0"/>
                <w:color w:val="000000"/>
                <w:w w:val="22"/>
                <w:shd w:val="solid" w:color="000000" w:fill="000000"/>
                <w:fitText w:val="100" w:id="-694465017"/>
                <w14:textFill>
                  <w14:solidFill>
                    <w14:srgbClr w14:val="000000">
                      <w14:alpha w14:val="100000"/>
                    </w14:srgbClr>
                  </w14:solidFill>
                </w14:textFill>
              </w:rPr>
              <w:t xml:space="preserve">　</w:t>
            </w:r>
            <w:r w:rsidRPr="00B55D47">
              <w:rPr>
                <w:b/>
                <w:bCs w:val="0"/>
                <w:color w:val="000000"/>
                <w:w w:val="22"/>
                <w:shd w:val="solid" w:color="000000" w:fill="000000"/>
                <w:fitText w:val="100" w:id="-694465017"/>
                <w14:textFill>
                  <w14:solidFill>
                    <w14:srgbClr w14:val="000000">
                      <w14:alpha w14:val="100000"/>
                    </w14:srgbClr>
                  </w14:solidFill>
                </w14:textFill>
              </w:rPr>
              <w:t>|</w:t>
            </w:r>
            <w:r w:rsidRPr="00B55D47">
              <w:rPr>
                <w:rFonts w:hint="eastAsia"/>
                <w:b/>
                <w:bCs w:val="0"/>
                <w:color w:val="000000"/>
                <w:spacing w:val="2"/>
                <w:w w:val="22"/>
                <w:shd w:val="solid" w:color="000000" w:fill="000000"/>
                <w:fitText w:val="100" w:id="-694465017"/>
                <w14:textFill>
                  <w14:solidFill>
                    <w14:srgbClr w14:val="000000">
                      <w14:alpha w14:val="100000"/>
                    </w14:srgbClr>
                  </w14:solidFill>
                </w14:textFill>
              </w:rPr>
              <w:t xml:space="preserve">　</w:t>
            </w:r>
            <w:r w:rsidR="001C0319" w:rsidRPr="001C0319">
              <w:rPr>
                <w:vertAlign w:val="superscript"/>
              </w:rPr>
              <w:t>5</w:t>
            </w:r>
          </w:p>
        </w:tc>
        <w:tc>
          <w:tcPr>
            <w:tcW w:w="613" w:type="pct"/>
            <w:vAlign w:val="center"/>
          </w:tcPr>
          <w:p w14:paraId="36D3CBBA" w14:textId="77F15161" w:rsidR="00AD6B55" w:rsidRPr="000563AF" w:rsidRDefault="00B55D47">
            <w:pPr>
              <w:pStyle w:val="TableText0"/>
              <w:jc w:val="center"/>
              <w:rPr>
                <w:b/>
                <w:bCs w:val="0"/>
                <w:highlight w:val="darkGray"/>
              </w:rPr>
            </w:pPr>
            <w:r>
              <w:rPr>
                <w:rFonts w:hint="eastAsia"/>
                <w:b/>
                <w:bCs w:val="0"/>
                <w:color w:val="000000"/>
                <w:w w:val="20"/>
                <w:shd w:val="solid" w:color="000000" w:fill="000000"/>
                <w:fitText w:val="90" w:id="-694465016"/>
                <w14:textFill>
                  <w14:solidFill>
                    <w14:srgbClr w14:val="000000">
                      <w14:alpha w14:val="100000"/>
                    </w14:srgbClr>
                  </w14:solidFill>
                </w14:textFill>
              </w:rPr>
              <w:t xml:space="preserve">　</w:t>
            </w:r>
            <w:r>
              <w:rPr>
                <w:b/>
                <w:bCs w:val="0"/>
                <w:color w:val="000000"/>
                <w:w w:val="20"/>
                <w:shd w:val="solid" w:color="000000" w:fill="000000"/>
                <w:fitText w:val="90" w:id="-694465016"/>
                <w14:textFill>
                  <w14:solidFill>
                    <w14:srgbClr w14:val="000000">
                      <w14:alpha w14:val="100000"/>
                    </w14:srgbClr>
                  </w14:solidFill>
                </w14:textFill>
              </w:rPr>
              <w:t>|</w:t>
            </w:r>
            <w:r>
              <w:rPr>
                <w:rFonts w:hint="eastAsia"/>
                <w:b/>
                <w:bCs w:val="0"/>
                <w:color w:val="000000"/>
                <w:spacing w:val="1"/>
                <w:w w:val="20"/>
                <w:shd w:val="solid" w:color="000000" w:fill="000000"/>
                <w:fitText w:val="90" w:id="-694465016"/>
                <w14:textFill>
                  <w14:solidFill>
                    <w14:srgbClr w14:val="000000">
                      <w14:alpha w14:val="100000"/>
                    </w14:srgbClr>
                  </w14:solidFill>
                </w14:textFill>
              </w:rPr>
              <w:t xml:space="preserve">　</w:t>
            </w:r>
            <w:r w:rsidR="001C0319" w:rsidRPr="001C0319">
              <w:rPr>
                <w:vertAlign w:val="superscript"/>
              </w:rPr>
              <w:t>5</w:t>
            </w:r>
          </w:p>
        </w:tc>
      </w:tr>
    </w:tbl>
    <w:p w14:paraId="63647BDB" w14:textId="6277E314" w:rsidR="00AD6B55" w:rsidRDefault="00AD6B55" w:rsidP="00AD6B55">
      <w:pPr>
        <w:pStyle w:val="FooterTableFigure"/>
      </w:pPr>
      <w:r w:rsidRPr="0098262F">
        <w:t xml:space="preserve">Source: </w:t>
      </w:r>
      <w:r>
        <w:t>Table 4.1</w:t>
      </w:r>
      <w:r w:rsidRPr="0098262F">
        <w:t>of the submission</w:t>
      </w:r>
      <w:r>
        <w:t>.</w:t>
      </w:r>
    </w:p>
    <w:p w14:paraId="20F075F9" w14:textId="77777777" w:rsidR="00AD6B55" w:rsidRPr="006E55BD" w:rsidRDefault="00AD6B55" w:rsidP="00AD6B55">
      <w:pPr>
        <w:pStyle w:val="FooterTableFigure"/>
      </w:pPr>
      <w:r w:rsidRPr="00580C6B">
        <w:t xml:space="preserve">OCA = </w:t>
      </w:r>
      <w:proofErr w:type="spellStart"/>
      <w:r w:rsidRPr="00580C6B">
        <w:t>Obeticholic</w:t>
      </w:r>
      <w:proofErr w:type="spellEnd"/>
      <w:r w:rsidRPr="00580C6B">
        <w:t xml:space="preserve"> acid. PBS = Pharmaceutical Benefits Scheme, RPBS = Repatriation Pharmaceutical Benefits Scheme</w:t>
      </w:r>
      <w:r>
        <w:t xml:space="preserve">, </w:t>
      </w:r>
      <w:r w:rsidRPr="00F31486">
        <w:t xml:space="preserve">MBS = Medicare </w:t>
      </w:r>
      <w:r w:rsidRPr="006E55BD">
        <w:t>Benefits Schedule.</w:t>
      </w:r>
    </w:p>
    <w:p w14:paraId="09178D0F" w14:textId="77777777" w:rsidR="00525A26" w:rsidRDefault="009E6202" w:rsidP="00525A26">
      <w:pPr>
        <w:pStyle w:val="FooterTableFigure"/>
      </w:pPr>
      <w:r w:rsidRPr="006E55BD">
        <w:t xml:space="preserve">a </w:t>
      </w:r>
      <w:r w:rsidR="006E55BD" w:rsidRPr="006E55BD">
        <w:t>C</w:t>
      </w:r>
      <w:r w:rsidR="00AD6B55" w:rsidRPr="006E55BD">
        <w:t>orrected values calculated during th</w:t>
      </w:r>
      <w:r w:rsidRPr="006E55BD">
        <w:t>e</w:t>
      </w:r>
      <w:r w:rsidR="00AD6B55" w:rsidRPr="006E55BD">
        <w:t xml:space="preserve"> evaluation.</w:t>
      </w:r>
      <w:r w:rsidR="00C269DA">
        <w:t xml:space="preserve"> </w:t>
      </w:r>
      <w:r w:rsidR="00AD6B55" w:rsidRPr="006E55BD">
        <w:t>These values include correction of script volume, duration of treatment, removal of DTG 5 cohort and updated co-payments.</w:t>
      </w:r>
      <w:r w:rsidR="00525A26" w:rsidRPr="00525A26">
        <w:t xml:space="preserve"> </w:t>
      </w:r>
    </w:p>
    <w:p w14:paraId="29287FC8" w14:textId="2B58CF5B" w:rsidR="00525A26" w:rsidRPr="0010048F" w:rsidRDefault="00525A26" w:rsidP="00525A26">
      <w:pPr>
        <w:pStyle w:val="FooterTableFigure"/>
      </w:pPr>
      <w:r w:rsidRPr="0010048F">
        <w:t xml:space="preserve">The redacted values correspond to the following ranges: </w:t>
      </w:r>
    </w:p>
    <w:p w14:paraId="7D391EA5" w14:textId="77777777" w:rsidR="009C282E" w:rsidRPr="0010048F" w:rsidRDefault="00525A26" w:rsidP="009C282E">
      <w:pPr>
        <w:pStyle w:val="FooterTableFigure"/>
      </w:pPr>
      <w:r w:rsidRPr="0010048F">
        <w:rPr>
          <w:vertAlign w:val="superscript"/>
        </w:rPr>
        <w:t>1</w:t>
      </w:r>
      <w:r w:rsidRPr="0010048F">
        <w:t xml:space="preserve"> &lt; 500</w:t>
      </w:r>
      <w:r w:rsidR="009C282E" w:rsidRPr="0010048F">
        <w:t xml:space="preserve"> </w:t>
      </w:r>
    </w:p>
    <w:p w14:paraId="41E3B2B9" w14:textId="22284057" w:rsidR="009C282E" w:rsidRPr="0010048F" w:rsidRDefault="009C282E" w:rsidP="009C282E">
      <w:pPr>
        <w:pStyle w:val="FooterTableFigure"/>
      </w:pPr>
      <w:r w:rsidRPr="0010048F">
        <w:rPr>
          <w:vertAlign w:val="superscript"/>
        </w:rPr>
        <w:t>2</w:t>
      </w:r>
      <w:r w:rsidRPr="0010048F">
        <w:t xml:space="preserve"> 500 to &lt; 5,000</w:t>
      </w:r>
    </w:p>
    <w:p w14:paraId="75C96CF5" w14:textId="77777777" w:rsidR="001C0319" w:rsidRPr="0010048F" w:rsidRDefault="009C282E" w:rsidP="001C0319">
      <w:pPr>
        <w:pStyle w:val="FooterTableFigure"/>
      </w:pPr>
      <w:r w:rsidRPr="0010048F">
        <w:rPr>
          <w:vertAlign w:val="superscript"/>
        </w:rPr>
        <w:t>3</w:t>
      </w:r>
      <w:r w:rsidRPr="0010048F">
        <w:t xml:space="preserve"> 5,000 to &lt; 10,000</w:t>
      </w:r>
      <w:r w:rsidR="001C0319" w:rsidRPr="0010048F">
        <w:t xml:space="preserve"> </w:t>
      </w:r>
    </w:p>
    <w:p w14:paraId="2E277E06" w14:textId="144EDA69" w:rsidR="001C0319" w:rsidRPr="0010048F" w:rsidRDefault="001C0319" w:rsidP="001C0319">
      <w:pPr>
        <w:pStyle w:val="FooterTableFigure"/>
      </w:pPr>
      <w:r w:rsidRPr="0010048F">
        <w:rPr>
          <w:vertAlign w:val="superscript"/>
        </w:rPr>
        <w:t>4</w:t>
      </w:r>
      <w:r w:rsidRPr="0010048F">
        <w:t xml:space="preserve"> $10 million to &lt; $20 million</w:t>
      </w:r>
    </w:p>
    <w:p w14:paraId="151EC96F" w14:textId="77777777" w:rsidR="001C0319" w:rsidRPr="0010048F" w:rsidRDefault="001C0319" w:rsidP="001C0319">
      <w:pPr>
        <w:pStyle w:val="FooterTableFigure"/>
      </w:pPr>
      <w:r w:rsidRPr="0010048F">
        <w:rPr>
          <w:vertAlign w:val="superscript"/>
        </w:rPr>
        <w:t>5</w:t>
      </w:r>
      <w:r w:rsidRPr="0010048F">
        <w:t xml:space="preserve"> $20 million to &lt; $30 million </w:t>
      </w:r>
    </w:p>
    <w:p w14:paraId="01690A2A" w14:textId="77777777" w:rsidR="00670EB9" w:rsidRPr="0010048F" w:rsidRDefault="001C0319" w:rsidP="001C0319">
      <w:pPr>
        <w:pStyle w:val="FooterTableFigure"/>
      </w:pPr>
      <w:r w:rsidRPr="0010048F">
        <w:rPr>
          <w:vertAlign w:val="superscript"/>
        </w:rPr>
        <w:t>6</w:t>
      </w:r>
      <w:r w:rsidRPr="0010048F">
        <w:t xml:space="preserve"> $30 million to &lt; $40 million</w:t>
      </w:r>
      <w:r w:rsidR="00670EB9" w:rsidRPr="0010048F">
        <w:t xml:space="preserve"> </w:t>
      </w:r>
    </w:p>
    <w:p w14:paraId="419B273A" w14:textId="77777777" w:rsidR="00EF4016" w:rsidRPr="0010048F" w:rsidRDefault="00670EB9" w:rsidP="001C0319">
      <w:pPr>
        <w:pStyle w:val="FooterTableFigure"/>
      </w:pPr>
      <w:r w:rsidRPr="0010048F">
        <w:rPr>
          <w:vertAlign w:val="superscript"/>
        </w:rPr>
        <w:t>7</w:t>
      </w:r>
      <w:r w:rsidRPr="0010048F">
        <w:t xml:space="preserve"> net cost saving</w:t>
      </w:r>
      <w:r w:rsidR="00EF4016" w:rsidRPr="0010048F">
        <w:t xml:space="preserve"> </w:t>
      </w:r>
    </w:p>
    <w:p w14:paraId="43EA9D22" w14:textId="38A8DFB6" w:rsidR="00AD6B55" w:rsidRPr="0010048F" w:rsidRDefault="00EF4016" w:rsidP="001C0319">
      <w:pPr>
        <w:pStyle w:val="FooterTableFigure"/>
      </w:pPr>
      <w:r w:rsidRPr="0010048F">
        <w:rPr>
          <w:vertAlign w:val="superscript"/>
        </w:rPr>
        <w:t>8</w:t>
      </w:r>
      <w:r w:rsidRPr="0010048F">
        <w:t xml:space="preserve"> $0 to &lt; $10 million</w:t>
      </w:r>
    </w:p>
    <w:p w14:paraId="1A9B0CBA" w14:textId="7258CB13" w:rsidR="00AD6B55" w:rsidRPr="006E55BD" w:rsidRDefault="00AD6B55" w:rsidP="00AD6B55">
      <w:pPr>
        <w:pStyle w:val="3-BodyText"/>
      </w:pPr>
      <w:r w:rsidRPr="006E55BD">
        <w:t xml:space="preserve">The net cost to the PBS/RPBS using the effective price of </w:t>
      </w:r>
      <w:proofErr w:type="spellStart"/>
      <w:r w:rsidRPr="006E55BD">
        <w:t>elafibranor</w:t>
      </w:r>
      <w:proofErr w:type="spellEnd"/>
      <w:r w:rsidRPr="006E55BD">
        <w:t xml:space="preserve"> and public price of OCA was </w:t>
      </w:r>
      <w:r w:rsidR="00902E1E" w:rsidRPr="00902E1E">
        <w:t>$0 to &lt; $10 million</w:t>
      </w:r>
      <w:r w:rsidR="00902E1E" w:rsidRPr="00902E1E" w:rsidDel="00902E1E">
        <w:t xml:space="preserve"> </w:t>
      </w:r>
      <w:r w:rsidR="00651092">
        <w:t xml:space="preserve">in Year 1, increasing to </w:t>
      </w:r>
      <w:r w:rsidR="00902E1E" w:rsidRPr="00902E1E">
        <w:t xml:space="preserve">$20 million to &lt; $30 million </w:t>
      </w:r>
      <w:r w:rsidR="00651092">
        <w:t xml:space="preserve">in Year 6 and totalling </w:t>
      </w:r>
      <w:r w:rsidR="00A228FF" w:rsidRPr="00A228FF">
        <w:t>$100 million to &lt; $200 million</w:t>
      </w:r>
      <w:r w:rsidR="00F34621">
        <w:t xml:space="preserve"> </w:t>
      </w:r>
      <w:r w:rsidR="00651092">
        <w:t>over the first 6 years</w:t>
      </w:r>
      <w:r w:rsidRPr="006E55BD">
        <w:t>.</w:t>
      </w:r>
    </w:p>
    <w:p w14:paraId="6BBC2D7D" w14:textId="77777777" w:rsidR="00B52EF9" w:rsidRPr="00130586" w:rsidRDefault="00AD6B55" w:rsidP="00B52EF9">
      <w:pPr>
        <w:pStyle w:val="3-BodyText"/>
        <w:rPr>
          <w:i/>
          <w:iCs/>
        </w:rPr>
      </w:pPr>
      <w:r w:rsidRPr="006E55BD">
        <w:t xml:space="preserve">Many parameter inputs were not justified and uncertain, for example, the proportion </w:t>
      </w:r>
      <w:r w:rsidRPr="00651092">
        <w:t xml:space="preserve">of patients electing treatment with </w:t>
      </w:r>
      <w:proofErr w:type="spellStart"/>
      <w:r w:rsidRPr="00651092">
        <w:t>elafibranor</w:t>
      </w:r>
      <w:proofErr w:type="spellEnd"/>
      <w:r w:rsidRPr="00651092">
        <w:t xml:space="preserve"> and the assumed market share for OCA if </w:t>
      </w:r>
      <w:proofErr w:type="spellStart"/>
      <w:r w:rsidRPr="00651092">
        <w:t>elafibranor</w:t>
      </w:r>
      <w:proofErr w:type="spellEnd"/>
      <w:r w:rsidRPr="00651092">
        <w:t xml:space="preserve"> is listed</w:t>
      </w:r>
      <w:r w:rsidR="00B52EF9" w:rsidRPr="00651092">
        <w:t>.</w:t>
      </w:r>
      <w:r w:rsidR="00B52EF9" w:rsidRPr="00130586">
        <w:rPr>
          <w:i/>
          <w:iCs/>
        </w:rPr>
        <w:t xml:space="preserve"> </w:t>
      </w:r>
    </w:p>
    <w:p w14:paraId="38320BDF" w14:textId="357606FE" w:rsidR="00B52EF9" w:rsidRPr="002E7844" w:rsidRDefault="00B52EF9" w:rsidP="00B52EF9">
      <w:pPr>
        <w:pStyle w:val="3-BodyText"/>
      </w:pPr>
      <w:r w:rsidRPr="002E7844">
        <w:t xml:space="preserve">The DUSC considered </w:t>
      </w:r>
      <w:r w:rsidR="002801FB" w:rsidRPr="002E7844">
        <w:t xml:space="preserve">that the estimates were </w:t>
      </w:r>
      <w:r w:rsidR="00F445CC" w:rsidRPr="002E7844">
        <w:t xml:space="preserve">highly </w:t>
      </w:r>
      <w:r w:rsidR="002801FB" w:rsidRPr="002E7844">
        <w:t>uncertain</w:t>
      </w:r>
      <w:r w:rsidR="00F445CC" w:rsidRPr="002E7844">
        <w:t xml:space="preserve">. The DUSC </w:t>
      </w:r>
      <w:r w:rsidR="002801FB" w:rsidRPr="002E7844">
        <w:t xml:space="preserve">noted that </w:t>
      </w:r>
      <w:r w:rsidRPr="002E7844">
        <w:t xml:space="preserve">in clinical practice, there would likely be three populations who would be treated with </w:t>
      </w:r>
      <w:proofErr w:type="spellStart"/>
      <w:r w:rsidRPr="002E7844">
        <w:t>elafibranor</w:t>
      </w:r>
      <w:proofErr w:type="spellEnd"/>
      <w:r w:rsidRPr="002E7844">
        <w:t>:</w:t>
      </w:r>
      <w:r w:rsidR="00C269DA">
        <w:t xml:space="preserve"> </w:t>
      </w:r>
    </w:p>
    <w:p w14:paraId="1DE5A63C" w14:textId="29F678CE" w:rsidR="00B52EF9" w:rsidRPr="00861458" w:rsidRDefault="00B52EF9" w:rsidP="00B52EF9">
      <w:pPr>
        <w:pStyle w:val="ListParagraph"/>
        <w:numPr>
          <w:ilvl w:val="0"/>
          <w:numId w:val="21"/>
        </w:numPr>
        <w:spacing w:after="0"/>
        <w:contextualSpacing/>
        <w:jc w:val="both"/>
      </w:pPr>
      <w:r w:rsidRPr="00861458">
        <w:rPr>
          <w:lang w:val="en-US"/>
        </w:rPr>
        <w:t xml:space="preserve">Prevalent patients who </w:t>
      </w:r>
      <w:r w:rsidR="002801FB" w:rsidRPr="00861458">
        <w:rPr>
          <w:lang w:val="en-US"/>
        </w:rPr>
        <w:t>we</w:t>
      </w:r>
      <w:r w:rsidRPr="00861458">
        <w:rPr>
          <w:lang w:val="en-US"/>
        </w:rPr>
        <w:t xml:space="preserve">re intolerant of OCA. </w:t>
      </w:r>
    </w:p>
    <w:p w14:paraId="0E270891" w14:textId="53738EBD" w:rsidR="00B52EF9" w:rsidRPr="002E7844" w:rsidRDefault="00882015" w:rsidP="00CA1A89">
      <w:pPr>
        <w:pStyle w:val="ListParagraph"/>
        <w:numPr>
          <w:ilvl w:val="1"/>
          <w:numId w:val="22"/>
        </w:numPr>
        <w:jc w:val="both"/>
      </w:pPr>
      <w:r w:rsidRPr="002E7844">
        <w:rPr>
          <w:lang w:val="en-US"/>
        </w:rPr>
        <w:t>T</w:t>
      </w:r>
      <w:r w:rsidR="00B52EF9" w:rsidRPr="002E7844">
        <w:rPr>
          <w:lang w:val="en-US"/>
        </w:rPr>
        <w:t>his population is represented by DTG 3 in the submission (</w:t>
      </w:r>
      <w:r w:rsidR="00ED720D">
        <w:rPr>
          <w:lang w:val="en-US"/>
        </w:rPr>
        <w:t>&lt;500</w:t>
      </w:r>
      <w:r w:rsidR="00B52EF9" w:rsidRPr="002E7844">
        <w:rPr>
          <w:lang w:val="en-US"/>
        </w:rPr>
        <w:t>patients).</w:t>
      </w:r>
    </w:p>
    <w:p w14:paraId="7A3EF346" w14:textId="77777777" w:rsidR="00B52EF9" w:rsidRPr="00861458" w:rsidRDefault="00B52EF9" w:rsidP="00B52EF9">
      <w:pPr>
        <w:pStyle w:val="ListParagraph"/>
        <w:numPr>
          <w:ilvl w:val="0"/>
          <w:numId w:val="21"/>
        </w:numPr>
        <w:spacing w:after="0"/>
        <w:contextualSpacing/>
        <w:jc w:val="both"/>
      </w:pPr>
      <w:r w:rsidRPr="00861458">
        <w:rPr>
          <w:lang w:val="en-US"/>
        </w:rPr>
        <w:t xml:space="preserve">Prevalent patients currently on OCA who may switch to </w:t>
      </w:r>
      <w:proofErr w:type="spellStart"/>
      <w:r w:rsidRPr="00861458">
        <w:rPr>
          <w:lang w:val="en-US"/>
        </w:rPr>
        <w:t>elafibranor</w:t>
      </w:r>
      <w:proofErr w:type="spellEnd"/>
      <w:r w:rsidRPr="00861458">
        <w:rPr>
          <w:lang w:val="en-US"/>
        </w:rPr>
        <w:t xml:space="preserve">. </w:t>
      </w:r>
    </w:p>
    <w:p w14:paraId="5C07C11C" w14:textId="6AF9EBCC" w:rsidR="00B52EF9" w:rsidRPr="002E7844" w:rsidRDefault="00882015" w:rsidP="00B52EF9">
      <w:pPr>
        <w:pStyle w:val="ListParagraph"/>
        <w:numPr>
          <w:ilvl w:val="0"/>
          <w:numId w:val="23"/>
        </w:numPr>
        <w:spacing w:after="0"/>
        <w:contextualSpacing/>
        <w:jc w:val="both"/>
      </w:pPr>
      <w:r w:rsidRPr="002E7844">
        <w:rPr>
          <w:lang w:val="en-US"/>
        </w:rPr>
        <w:t>T</w:t>
      </w:r>
      <w:r w:rsidR="00B52EF9" w:rsidRPr="002E7844">
        <w:rPr>
          <w:lang w:val="en-US"/>
        </w:rPr>
        <w:t xml:space="preserve">his population is represented by DTG 5 in submission. </w:t>
      </w:r>
    </w:p>
    <w:p w14:paraId="4275E93C" w14:textId="54259D59" w:rsidR="00B52EF9" w:rsidRPr="002E7844" w:rsidRDefault="00E32B6F" w:rsidP="00882015">
      <w:pPr>
        <w:pStyle w:val="ListParagraph"/>
        <w:numPr>
          <w:ilvl w:val="0"/>
          <w:numId w:val="23"/>
        </w:numPr>
        <w:jc w:val="both"/>
      </w:pPr>
      <w:r w:rsidRPr="002E7844">
        <w:t xml:space="preserve">The </w:t>
      </w:r>
      <w:r w:rsidR="00B52EF9" w:rsidRPr="002E7844">
        <w:t>DUSC</w:t>
      </w:r>
      <w:r w:rsidRPr="002E7844">
        <w:t>,</w:t>
      </w:r>
      <w:r w:rsidR="00B52EF9" w:rsidRPr="002E7844">
        <w:t xml:space="preserve"> not</w:t>
      </w:r>
      <w:r w:rsidRPr="002E7844">
        <w:t>ing</w:t>
      </w:r>
      <w:r w:rsidR="00B52EF9" w:rsidRPr="002E7844">
        <w:t xml:space="preserve"> the recent regulatory actions undertaken by the European Medicines Association (EMA) and the United States Food and Drug Administration (FDA) regarding revoking market authorisation following the release of the COBALT trial (study 747-302) results</w:t>
      </w:r>
      <w:r w:rsidRPr="002E7844">
        <w:t xml:space="preserve">, </w:t>
      </w:r>
      <w:r w:rsidR="00B52EF9" w:rsidRPr="002E7844">
        <w:t xml:space="preserve">considered that </w:t>
      </w:r>
      <w:r w:rsidRPr="002E7844">
        <w:t xml:space="preserve">if </w:t>
      </w:r>
      <w:r w:rsidR="00B52EF9" w:rsidRPr="002E7844">
        <w:t xml:space="preserve">OCA </w:t>
      </w:r>
      <w:r w:rsidRPr="002E7844">
        <w:t>was</w:t>
      </w:r>
      <w:r w:rsidR="00B52EF9" w:rsidRPr="002E7844">
        <w:t xml:space="preserve"> </w:t>
      </w:r>
      <w:r w:rsidR="00B52EF9" w:rsidRPr="002E7844">
        <w:lastRenderedPageBreak/>
        <w:t xml:space="preserve">withdrawn in </w:t>
      </w:r>
      <w:r w:rsidRPr="002E7844">
        <w:t>Australia</w:t>
      </w:r>
      <w:r w:rsidR="00B52EF9" w:rsidRPr="002E7844">
        <w:t xml:space="preserve">, all patients would switch to treatment with </w:t>
      </w:r>
      <w:proofErr w:type="spellStart"/>
      <w:r w:rsidR="00B52EF9" w:rsidRPr="002E7844">
        <w:t>elafibranor</w:t>
      </w:r>
      <w:proofErr w:type="spellEnd"/>
      <w:r w:rsidR="00B52EF9" w:rsidRPr="002E7844">
        <w:t xml:space="preserve">. </w:t>
      </w:r>
    </w:p>
    <w:p w14:paraId="40817AB0" w14:textId="7291EF0B" w:rsidR="00B52EF9" w:rsidRPr="00861458" w:rsidRDefault="00B52EF9" w:rsidP="00B52EF9">
      <w:pPr>
        <w:pStyle w:val="ListParagraph"/>
        <w:numPr>
          <w:ilvl w:val="0"/>
          <w:numId w:val="21"/>
        </w:numPr>
        <w:spacing w:after="0"/>
        <w:contextualSpacing/>
        <w:jc w:val="both"/>
      </w:pPr>
      <w:r w:rsidRPr="00861458">
        <w:rPr>
          <w:lang w:val="en-US"/>
        </w:rPr>
        <w:t xml:space="preserve">Incident patients (who </w:t>
      </w:r>
      <w:r w:rsidR="002051FA" w:rsidRPr="00861458">
        <w:rPr>
          <w:lang w:val="en-US"/>
        </w:rPr>
        <w:t xml:space="preserve">require treatment in addition to UDCA or who are </w:t>
      </w:r>
      <w:r w:rsidRPr="00861458">
        <w:rPr>
          <w:lang w:val="en-US"/>
        </w:rPr>
        <w:t xml:space="preserve">intolerant of UDCA) who need second line therapy. </w:t>
      </w:r>
    </w:p>
    <w:p w14:paraId="6ADC7AB5" w14:textId="653D26B0" w:rsidR="00B52EF9" w:rsidRPr="002E7844" w:rsidRDefault="00E32B6F" w:rsidP="00E32B6F">
      <w:pPr>
        <w:pStyle w:val="3-BodyText"/>
      </w:pPr>
      <w:r w:rsidRPr="002E7844">
        <w:rPr>
          <w:lang w:val="en-US"/>
        </w:rPr>
        <w:t xml:space="preserve">The </w:t>
      </w:r>
      <w:r w:rsidR="00B52EF9" w:rsidRPr="002E7844">
        <w:rPr>
          <w:lang w:val="en-US"/>
        </w:rPr>
        <w:t xml:space="preserve">DUSC considered most incident patients (approximately 90%) would be treated with </w:t>
      </w:r>
      <w:proofErr w:type="spellStart"/>
      <w:r w:rsidR="00B52EF9" w:rsidRPr="002E7844">
        <w:rPr>
          <w:lang w:val="en-US"/>
        </w:rPr>
        <w:t>elafibranor</w:t>
      </w:r>
      <w:proofErr w:type="spellEnd"/>
      <w:r w:rsidR="00B52EF9" w:rsidRPr="002E7844">
        <w:rPr>
          <w:lang w:val="en-US"/>
        </w:rPr>
        <w:t xml:space="preserve"> instead of OCA given the marketing concerns from the EMA and FDA and the risk of severe </w:t>
      </w:r>
      <w:r w:rsidR="00B52EF9" w:rsidRPr="002E7844">
        <w:rPr>
          <w:rFonts w:eastAsia="MS Gothic" w:cstheme="minorHAnsi"/>
          <w:bCs/>
          <w:szCs w:val="32"/>
        </w:rPr>
        <w:t>pruritus with OCA</w:t>
      </w:r>
      <w:r w:rsidR="00B52EF9" w:rsidRPr="002E7844">
        <w:rPr>
          <w:lang w:val="en-US"/>
        </w:rPr>
        <w:t>.</w:t>
      </w:r>
    </w:p>
    <w:p w14:paraId="2591F2F3" w14:textId="4DA0DBCA" w:rsidR="00A55AF1" w:rsidRPr="00C9624D" w:rsidRDefault="00A55AF1" w:rsidP="00A55AF1">
      <w:pPr>
        <w:pStyle w:val="4-SubsectionHeading"/>
      </w:pPr>
      <w:bookmarkStart w:id="79" w:name="_Toc22897648"/>
      <w:bookmarkStart w:id="80" w:name="_Toc187914758"/>
      <w:r w:rsidRPr="00C9624D">
        <w:t>Quality Use of Medicines</w:t>
      </w:r>
      <w:bookmarkEnd w:id="79"/>
      <w:bookmarkEnd w:id="80"/>
    </w:p>
    <w:p w14:paraId="758D025F" w14:textId="1FE69369" w:rsidR="00FC6172" w:rsidRPr="00130586" w:rsidRDefault="00FC6172" w:rsidP="00606FBA">
      <w:pPr>
        <w:pStyle w:val="3-BodyText"/>
      </w:pPr>
      <w:r w:rsidRPr="00130586">
        <w:t>The submission raised no quality use of medicines issues.</w:t>
      </w:r>
      <w:r w:rsidR="0082686C" w:rsidRPr="00130586">
        <w:t xml:space="preserve"> </w:t>
      </w:r>
      <w:r w:rsidR="00E32B6F" w:rsidRPr="00130586">
        <w:t xml:space="preserve">The </w:t>
      </w:r>
      <w:r w:rsidR="0082686C" w:rsidRPr="00130586">
        <w:t xml:space="preserve">DUSC </w:t>
      </w:r>
      <w:r w:rsidR="00130586" w:rsidRPr="00130586">
        <w:t xml:space="preserve">noted </w:t>
      </w:r>
      <w:r w:rsidR="0082686C" w:rsidRPr="00130586">
        <w:t xml:space="preserve">the ease of dosing and administration of </w:t>
      </w:r>
      <w:proofErr w:type="spellStart"/>
      <w:r w:rsidR="0082686C" w:rsidRPr="00130586">
        <w:t>elafibranor</w:t>
      </w:r>
      <w:proofErr w:type="spellEnd"/>
      <w:r w:rsidR="0082686C" w:rsidRPr="00130586">
        <w:t xml:space="preserve"> (daily oral administration).</w:t>
      </w:r>
      <w:r w:rsidR="00C269DA">
        <w:t xml:space="preserve"> </w:t>
      </w:r>
    </w:p>
    <w:p w14:paraId="2F9F1049" w14:textId="462D0BF4" w:rsidR="00FC6172" w:rsidRPr="00CB5596" w:rsidRDefault="00E21039" w:rsidP="00606FBA">
      <w:pPr>
        <w:pStyle w:val="3-BodyText"/>
      </w:pPr>
      <w:r w:rsidRPr="00130586">
        <w:t>Primary biliary cholangitis is a relatively rare condition with prescribing initiated by specialist gastroenterologist</w:t>
      </w:r>
      <w:r w:rsidRPr="00CB5596">
        <w:t>/hepatologist.</w:t>
      </w:r>
      <w:r w:rsidR="004075C8" w:rsidRPr="00CB5596">
        <w:t xml:space="preserve"> General practitioner (</w:t>
      </w:r>
      <w:r w:rsidRPr="00CB5596">
        <w:t>GP</w:t>
      </w:r>
      <w:r w:rsidR="004075C8" w:rsidRPr="00CB5596">
        <w:t>)</w:t>
      </w:r>
      <w:r w:rsidRPr="00CB5596">
        <w:t xml:space="preserve"> and practice nurse education will be needed to ensure they are equipped to manage ongoing supply, especially given the adverse effect profile.</w:t>
      </w:r>
    </w:p>
    <w:p w14:paraId="6015A395" w14:textId="2EDB6A4E" w:rsidR="00576972" w:rsidRPr="0098262F" w:rsidRDefault="00576972" w:rsidP="00606FBA">
      <w:pPr>
        <w:pStyle w:val="4-SubsectionHeading"/>
      </w:pPr>
      <w:bookmarkStart w:id="81" w:name="_Toc22897649"/>
      <w:bookmarkStart w:id="82" w:name="_Toc187914759"/>
      <w:r w:rsidRPr="0098262F">
        <w:t>Financial Management – Risk Sharing Arrangements</w:t>
      </w:r>
      <w:bookmarkEnd w:id="81"/>
      <w:bookmarkEnd w:id="82"/>
    </w:p>
    <w:p w14:paraId="566874CB" w14:textId="5A4BD64C" w:rsidR="00412E14" w:rsidRDefault="00BC2FE1" w:rsidP="00412E14">
      <w:pPr>
        <w:pStyle w:val="3-BodyText"/>
      </w:pPr>
      <w:r w:rsidRPr="002E57D9">
        <w:t>The submission</w:t>
      </w:r>
      <w:r>
        <w:t xml:space="preserve"> did not</w:t>
      </w:r>
      <w:r w:rsidRPr="002E57D9">
        <w:t xml:space="preserve"> </w:t>
      </w:r>
      <w:r w:rsidR="00A730F1">
        <w:t xml:space="preserve">propose </w:t>
      </w:r>
      <w:r w:rsidRPr="002E57D9">
        <w:t>a risk</w:t>
      </w:r>
      <w:r>
        <w:t>-</w:t>
      </w:r>
      <w:r w:rsidRPr="002E57D9">
        <w:t>sharing arrangement</w:t>
      </w:r>
      <w:r>
        <w:t>.</w:t>
      </w:r>
      <w:r w:rsidR="00412E14">
        <w:t xml:space="preserve"> </w:t>
      </w:r>
      <w:r w:rsidR="001D02E5" w:rsidRPr="00CB5596">
        <w:t xml:space="preserve">There is a current risk-sharing arrangement for OCA. </w:t>
      </w:r>
    </w:p>
    <w:p w14:paraId="303FEFAE" w14:textId="681DB2FD" w:rsidR="00CA0F06" w:rsidRPr="00130586" w:rsidRDefault="00CA0F06">
      <w:pPr>
        <w:pStyle w:val="3-BodyText"/>
        <w:numPr>
          <w:ilvl w:val="0"/>
          <w:numId w:val="0"/>
        </w:numPr>
        <w:ind w:left="720"/>
        <w:rPr>
          <w:i/>
          <w:iCs/>
        </w:rPr>
      </w:pPr>
      <w:r w:rsidRPr="00130586">
        <w:rPr>
          <w:i/>
          <w:iCs/>
        </w:rPr>
        <w:t>For more detail on PBAC’s view, see section 7 PBAC outcome.</w:t>
      </w:r>
    </w:p>
    <w:p w14:paraId="03CA4B9D" w14:textId="77777777" w:rsidR="004A6A25" w:rsidRPr="0090150D" w:rsidRDefault="004A6A25" w:rsidP="004A6A25">
      <w:pPr>
        <w:pStyle w:val="2-SectionHeading"/>
        <w:numPr>
          <w:ilvl w:val="0"/>
          <w:numId w:val="1"/>
        </w:numPr>
      </w:pPr>
      <w:bookmarkStart w:id="83" w:name="_Hlk76381249"/>
      <w:bookmarkStart w:id="84" w:name="_Hlk76377955"/>
      <w:r w:rsidRPr="0090150D">
        <w:t>PBAC Outcome</w:t>
      </w:r>
    </w:p>
    <w:p w14:paraId="11C33676" w14:textId="43D2B4BE" w:rsidR="00E81733" w:rsidRDefault="00447AC8" w:rsidP="004A6A25">
      <w:pPr>
        <w:widowControl w:val="0"/>
        <w:numPr>
          <w:ilvl w:val="1"/>
          <w:numId w:val="1"/>
        </w:numPr>
        <w:spacing w:after="120"/>
        <w:ind w:left="720"/>
        <w:rPr>
          <w:rFonts w:asciiTheme="minorHAnsi" w:hAnsiTheme="minorHAnsi"/>
          <w:snapToGrid w:val="0"/>
          <w:lang w:val="en-GB"/>
        </w:rPr>
      </w:pPr>
      <w:bookmarkStart w:id="85" w:name="_Hlk111543188"/>
      <w:r>
        <w:rPr>
          <w:rFonts w:asciiTheme="minorHAnsi" w:hAnsiTheme="minorHAnsi"/>
          <w:snapToGrid w:val="0"/>
          <w:lang w:val="en-GB"/>
        </w:rPr>
        <w:t xml:space="preserve">The PBAC recommended </w:t>
      </w:r>
      <w:proofErr w:type="spellStart"/>
      <w:r>
        <w:rPr>
          <w:rFonts w:asciiTheme="minorHAnsi" w:hAnsiTheme="minorHAnsi"/>
          <w:snapToGrid w:val="0"/>
          <w:lang w:val="en-GB"/>
        </w:rPr>
        <w:t>elafibranor</w:t>
      </w:r>
      <w:proofErr w:type="spellEnd"/>
      <w:r>
        <w:rPr>
          <w:rFonts w:asciiTheme="minorHAnsi" w:hAnsiTheme="minorHAnsi"/>
          <w:snapToGrid w:val="0"/>
          <w:lang w:val="en-GB"/>
        </w:rPr>
        <w:t xml:space="preserve"> for the treatment of primary bili</w:t>
      </w:r>
      <w:r w:rsidR="003B6FA9">
        <w:rPr>
          <w:rFonts w:asciiTheme="minorHAnsi" w:hAnsiTheme="minorHAnsi"/>
          <w:snapToGrid w:val="0"/>
          <w:lang w:val="en-GB"/>
        </w:rPr>
        <w:t xml:space="preserve">ary cholangitis (PBC). The PBAC considered that </w:t>
      </w:r>
      <w:proofErr w:type="spellStart"/>
      <w:r w:rsidR="003B6FA9">
        <w:rPr>
          <w:rFonts w:asciiTheme="minorHAnsi" w:hAnsiTheme="minorHAnsi"/>
          <w:snapToGrid w:val="0"/>
          <w:lang w:val="en-GB"/>
        </w:rPr>
        <w:t>elafibranor</w:t>
      </w:r>
      <w:proofErr w:type="spellEnd"/>
      <w:r w:rsidR="003B6FA9">
        <w:rPr>
          <w:rFonts w:asciiTheme="minorHAnsi" w:hAnsiTheme="minorHAnsi"/>
          <w:snapToGrid w:val="0"/>
          <w:lang w:val="en-GB"/>
        </w:rPr>
        <w:t xml:space="preserve"> was non-inferior in terms of effectiveness and safety </w:t>
      </w:r>
      <w:r w:rsidR="00E81733">
        <w:rPr>
          <w:rFonts w:asciiTheme="minorHAnsi" w:hAnsiTheme="minorHAnsi"/>
          <w:snapToGrid w:val="0"/>
          <w:lang w:val="en-GB"/>
        </w:rPr>
        <w:t xml:space="preserve">compared to </w:t>
      </w:r>
      <w:proofErr w:type="spellStart"/>
      <w:r w:rsidR="00E81733">
        <w:rPr>
          <w:rFonts w:asciiTheme="minorHAnsi" w:hAnsiTheme="minorHAnsi"/>
          <w:snapToGrid w:val="0"/>
          <w:lang w:val="en-GB"/>
        </w:rPr>
        <w:t>obeticholic</w:t>
      </w:r>
      <w:proofErr w:type="spellEnd"/>
      <w:r w:rsidR="00E81733">
        <w:rPr>
          <w:rFonts w:asciiTheme="minorHAnsi" w:hAnsiTheme="minorHAnsi"/>
          <w:snapToGrid w:val="0"/>
          <w:lang w:val="en-GB"/>
        </w:rPr>
        <w:t xml:space="preserve"> acid (OCA) and therefore considered that a cost</w:t>
      </w:r>
      <w:r w:rsidR="004A6D98">
        <w:rPr>
          <w:rFonts w:asciiTheme="minorHAnsi" w:hAnsiTheme="minorHAnsi"/>
          <w:snapToGrid w:val="0"/>
          <w:lang w:val="en-GB"/>
        </w:rPr>
        <w:t>-</w:t>
      </w:r>
      <w:r w:rsidR="00E81733">
        <w:rPr>
          <w:rFonts w:asciiTheme="minorHAnsi" w:hAnsiTheme="minorHAnsi"/>
          <w:snapToGrid w:val="0"/>
          <w:lang w:val="en-GB"/>
        </w:rPr>
        <w:t xml:space="preserve"> minimisation approach versus OCA </w:t>
      </w:r>
      <w:r w:rsidR="00B2345E">
        <w:rPr>
          <w:rFonts w:asciiTheme="minorHAnsi" w:hAnsiTheme="minorHAnsi"/>
          <w:snapToGrid w:val="0"/>
          <w:lang w:val="en-GB"/>
        </w:rPr>
        <w:t>to be appropriate</w:t>
      </w:r>
      <w:r w:rsidR="00E81733">
        <w:rPr>
          <w:rFonts w:asciiTheme="minorHAnsi" w:hAnsiTheme="minorHAnsi"/>
          <w:snapToGrid w:val="0"/>
          <w:lang w:val="en-GB"/>
        </w:rPr>
        <w:t xml:space="preserve">. </w:t>
      </w:r>
      <w:r w:rsidR="00942F0F">
        <w:rPr>
          <w:rFonts w:asciiTheme="minorHAnsi" w:hAnsiTheme="minorHAnsi"/>
          <w:snapToGrid w:val="0"/>
          <w:lang w:val="en-GB"/>
        </w:rPr>
        <w:t xml:space="preserve">The PBAC considered </w:t>
      </w:r>
      <w:r w:rsidR="00921712">
        <w:rPr>
          <w:rFonts w:asciiTheme="minorHAnsi" w:hAnsiTheme="minorHAnsi"/>
          <w:snapToGrid w:val="0"/>
          <w:lang w:val="en-GB"/>
        </w:rPr>
        <w:t xml:space="preserve">that </w:t>
      </w:r>
      <w:r w:rsidR="00942F0F">
        <w:rPr>
          <w:rFonts w:asciiTheme="minorHAnsi" w:hAnsiTheme="minorHAnsi"/>
          <w:snapToGrid w:val="0"/>
          <w:lang w:val="en-GB"/>
        </w:rPr>
        <w:t xml:space="preserve">a </w:t>
      </w:r>
      <w:r w:rsidR="00525955">
        <w:rPr>
          <w:rFonts w:asciiTheme="minorHAnsi" w:hAnsiTheme="minorHAnsi"/>
          <w:snapToGrid w:val="0"/>
          <w:lang w:val="en-GB"/>
        </w:rPr>
        <w:t xml:space="preserve">price </w:t>
      </w:r>
      <w:r w:rsidR="00942F0F">
        <w:rPr>
          <w:rFonts w:asciiTheme="minorHAnsi" w:hAnsiTheme="minorHAnsi"/>
          <w:snapToGrid w:val="0"/>
          <w:lang w:val="en-GB"/>
        </w:rPr>
        <w:t xml:space="preserve">premium </w:t>
      </w:r>
      <w:r w:rsidR="00525955">
        <w:rPr>
          <w:rFonts w:asciiTheme="minorHAnsi" w:hAnsiTheme="minorHAnsi"/>
          <w:snapToGrid w:val="0"/>
          <w:lang w:val="en-GB"/>
        </w:rPr>
        <w:t xml:space="preserve">for </w:t>
      </w:r>
      <w:proofErr w:type="spellStart"/>
      <w:r w:rsidR="00525955">
        <w:rPr>
          <w:rFonts w:asciiTheme="minorHAnsi" w:hAnsiTheme="minorHAnsi"/>
          <w:snapToGrid w:val="0"/>
          <w:lang w:val="en-GB"/>
        </w:rPr>
        <w:t>elafibranor</w:t>
      </w:r>
      <w:proofErr w:type="spellEnd"/>
      <w:r w:rsidR="00525955">
        <w:rPr>
          <w:rFonts w:asciiTheme="minorHAnsi" w:hAnsiTheme="minorHAnsi"/>
          <w:snapToGrid w:val="0"/>
          <w:lang w:val="en-GB"/>
        </w:rPr>
        <w:t xml:space="preserve"> </w:t>
      </w:r>
      <w:r w:rsidR="00921712">
        <w:rPr>
          <w:rFonts w:asciiTheme="minorHAnsi" w:hAnsiTheme="minorHAnsi"/>
          <w:snapToGrid w:val="0"/>
          <w:lang w:val="en-GB"/>
        </w:rPr>
        <w:t xml:space="preserve">would </w:t>
      </w:r>
      <w:r w:rsidR="00525955">
        <w:rPr>
          <w:rFonts w:asciiTheme="minorHAnsi" w:hAnsiTheme="minorHAnsi"/>
          <w:snapToGrid w:val="0"/>
          <w:lang w:val="en-GB"/>
        </w:rPr>
        <w:t xml:space="preserve">be reasonable given </w:t>
      </w:r>
      <w:r w:rsidR="00CC24A0">
        <w:rPr>
          <w:rFonts w:asciiTheme="minorHAnsi" w:hAnsiTheme="minorHAnsi"/>
          <w:snapToGrid w:val="0"/>
          <w:lang w:val="en-GB"/>
        </w:rPr>
        <w:t xml:space="preserve">the </w:t>
      </w:r>
      <w:r w:rsidR="00CB3B98">
        <w:rPr>
          <w:rFonts w:asciiTheme="minorHAnsi" w:hAnsiTheme="minorHAnsi"/>
          <w:snapToGrid w:val="0"/>
          <w:lang w:val="en-GB"/>
        </w:rPr>
        <w:t>potential reduction in PBC-related pruritus</w:t>
      </w:r>
      <w:r w:rsidR="006E0E5E">
        <w:t xml:space="preserve"> compared to OCA.</w:t>
      </w:r>
      <w:r w:rsidR="00525955">
        <w:rPr>
          <w:rFonts w:asciiTheme="minorHAnsi" w:hAnsiTheme="minorHAnsi"/>
          <w:snapToGrid w:val="0"/>
          <w:lang w:val="en-GB"/>
        </w:rPr>
        <w:t xml:space="preserve"> </w:t>
      </w:r>
      <w:r w:rsidR="00E81733">
        <w:rPr>
          <w:rFonts w:asciiTheme="minorHAnsi" w:hAnsiTheme="minorHAnsi"/>
          <w:snapToGrid w:val="0"/>
          <w:lang w:val="en-GB"/>
        </w:rPr>
        <w:t xml:space="preserve">The PBAC considered that </w:t>
      </w:r>
      <w:proofErr w:type="spellStart"/>
      <w:r w:rsidR="00E81733">
        <w:rPr>
          <w:rFonts w:asciiTheme="minorHAnsi" w:hAnsiTheme="minorHAnsi"/>
          <w:snapToGrid w:val="0"/>
          <w:lang w:val="en-GB"/>
        </w:rPr>
        <w:t>elafibranor</w:t>
      </w:r>
      <w:proofErr w:type="spellEnd"/>
      <w:r w:rsidR="00E81733">
        <w:rPr>
          <w:rFonts w:asciiTheme="minorHAnsi" w:hAnsiTheme="minorHAnsi"/>
          <w:snapToGrid w:val="0"/>
          <w:lang w:val="en-GB"/>
        </w:rPr>
        <w:t xml:space="preserve"> should join the risk sharing arrangement (RSA) for </w:t>
      </w:r>
      <w:r w:rsidR="00B2345E">
        <w:rPr>
          <w:rFonts w:asciiTheme="minorHAnsi" w:hAnsiTheme="minorHAnsi"/>
          <w:snapToGrid w:val="0"/>
          <w:lang w:val="en-GB"/>
        </w:rPr>
        <w:t>OCA.</w:t>
      </w:r>
    </w:p>
    <w:p w14:paraId="13D04A0F" w14:textId="1870D650" w:rsidR="00EA24E5" w:rsidRDefault="008221FD"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acknowledged th</w:t>
      </w:r>
      <w:r w:rsidR="00EA24E5">
        <w:rPr>
          <w:rFonts w:asciiTheme="minorHAnsi" w:hAnsiTheme="minorHAnsi"/>
          <w:snapToGrid w:val="0"/>
          <w:lang w:val="en-GB"/>
        </w:rPr>
        <w:t xml:space="preserve">e consumer input </w:t>
      </w:r>
      <w:r w:rsidR="003D138A">
        <w:rPr>
          <w:rFonts w:asciiTheme="minorHAnsi" w:hAnsiTheme="minorHAnsi"/>
          <w:snapToGrid w:val="0"/>
          <w:lang w:val="en-GB"/>
        </w:rPr>
        <w:t>supporting the submission</w:t>
      </w:r>
      <w:r w:rsidR="00EA24E5">
        <w:rPr>
          <w:rFonts w:asciiTheme="minorHAnsi" w:hAnsiTheme="minorHAnsi"/>
          <w:snapToGrid w:val="0"/>
          <w:lang w:val="en-GB"/>
        </w:rPr>
        <w:t xml:space="preserve">. </w:t>
      </w:r>
      <w:r w:rsidR="008B0BA4">
        <w:rPr>
          <w:rFonts w:asciiTheme="minorHAnsi" w:hAnsiTheme="minorHAnsi"/>
          <w:snapToGrid w:val="0"/>
          <w:lang w:val="en-GB"/>
        </w:rPr>
        <w:t>The PBAC also noted the input provided during the Sponsor hearing</w:t>
      </w:r>
      <w:r w:rsidR="00AD632F">
        <w:rPr>
          <w:rFonts w:asciiTheme="minorHAnsi" w:hAnsiTheme="minorHAnsi"/>
          <w:snapToGrid w:val="0"/>
          <w:lang w:val="en-GB"/>
        </w:rPr>
        <w:t xml:space="preserve">, which highlighted the need for alternative treatments for patients who do not respond to </w:t>
      </w:r>
      <w:r w:rsidR="00DA35EC">
        <w:rPr>
          <w:rFonts w:asciiTheme="minorHAnsi" w:hAnsiTheme="minorHAnsi"/>
          <w:snapToGrid w:val="0"/>
          <w:lang w:val="en-GB"/>
        </w:rPr>
        <w:t>first-line treatment with ursodeoxycholic acid (UCDA)</w:t>
      </w:r>
      <w:r w:rsidR="005D27E4">
        <w:rPr>
          <w:rFonts w:asciiTheme="minorHAnsi" w:hAnsiTheme="minorHAnsi"/>
          <w:snapToGrid w:val="0"/>
          <w:lang w:val="en-GB"/>
        </w:rPr>
        <w:t>. The clinician noted that uptake of OCA in these patients has been low</w:t>
      </w:r>
      <w:r w:rsidR="004F4344">
        <w:rPr>
          <w:rFonts w:asciiTheme="minorHAnsi" w:hAnsiTheme="minorHAnsi"/>
          <w:snapToGrid w:val="0"/>
          <w:lang w:val="en-GB"/>
        </w:rPr>
        <w:t>er than expected as it is associated with increased pruritus and other adverse events</w:t>
      </w:r>
      <w:r w:rsidR="000E32A1">
        <w:rPr>
          <w:rFonts w:asciiTheme="minorHAnsi" w:hAnsiTheme="minorHAnsi"/>
          <w:snapToGrid w:val="0"/>
          <w:lang w:val="en-GB"/>
        </w:rPr>
        <w:t>.</w:t>
      </w:r>
    </w:p>
    <w:p w14:paraId="0293726B" w14:textId="2CA7A350" w:rsidR="003157FA" w:rsidRDefault="00F423E6"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w:t>
      </w:r>
      <w:proofErr w:type="spellStart"/>
      <w:r w:rsidR="00A6601E">
        <w:rPr>
          <w:rFonts w:asciiTheme="minorHAnsi" w:hAnsiTheme="minorHAnsi"/>
          <w:snapToGrid w:val="0"/>
          <w:lang w:val="en-GB"/>
        </w:rPr>
        <w:t>elafibranor</w:t>
      </w:r>
      <w:proofErr w:type="spellEnd"/>
      <w:r w:rsidR="00A6601E">
        <w:rPr>
          <w:rFonts w:asciiTheme="minorHAnsi" w:hAnsiTheme="minorHAnsi"/>
          <w:snapToGrid w:val="0"/>
          <w:lang w:val="en-GB"/>
        </w:rPr>
        <w:t xml:space="preserve"> </w:t>
      </w:r>
      <w:r w:rsidR="002B5253">
        <w:rPr>
          <w:rFonts w:asciiTheme="minorHAnsi" w:hAnsiTheme="minorHAnsi"/>
          <w:snapToGrid w:val="0"/>
          <w:lang w:val="en-GB"/>
        </w:rPr>
        <w:t>would be used as an alternative to OCA</w:t>
      </w:r>
      <w:r w:rsidR="006D2C72">
        <w:rPr>
          <w:rFonts w:asciiTheme="minorHAnsi" w:hAnsiTheme="minorHAnsi"/>
          <w:snapToGrid w:val="0"/>
          <w:lang w:val="en-GB"/>
        </w:rPr>
        <w:t xml:space="preserve"> in the </w:t>
      </w:r>
      <w:r w:rsidR="000E32A1">
        <w:rPr>
          <w:rFonts w:asciiTheme="minorHAnsi" w:hAnsiTheme="minorHAnsi"/>
          <w:snapToGrid w:val="0"/>
          <w:lang w:val="en-GB"/>
        </w:rPr>
        <w:t>second line</w:t>
      </w:r>
      <w:r w:rsidR="006D2C72">
        <w:rPr>
          <w:rFonts w:asciiTheme="minorHAnsi" w:hAnsiTheme="minorHAnsi"/>
          <w:snapToGrid w:val="0"/>
          <w:lang w:val="en-GB"/>
        </w:rPr>
        <w:t xml:space="preserve"> setting. </w:t>
      </w:r>
      <w:r w:rsidR="003A75D3">
        <w:rPr>
          <w:rFonts w:asciiTheme="minorHAnsi" w:hAnsiTheme="minorHAnsi"/>
          <w:snapToGrid w:val="0"/>
          <w:lang w:val="en-GB"/>
        </w:rPr>
        <w:t xml:space="preserve">The PBAC considered that it was likely that </w:t>
      </w:r>
      <w:proofErr w:type="gramStart"/>
      <w:r w:rsidR="003A75D3">
        <w:rPr>
          <w:rFonts w:asciiTheme="minorHAnsi" w:hAnsiTheme="minorHAnsi"/>
          <w:snapToGrid w:val="0"/>
          <w:lang w:val="en-GB"/>
        </w:rPr>
        <w:t>a number of</w:t>
      </w:r>
      <w:proofErr w:type="gramEnd"/>
      <w:r w:rsidR="003A75D3">
        <w:rPr>
          <w:rFonts w:asciiTheme="minorHAnsi" w:hAnsiTheme="minorHAnsi"/>
          <w:snapToGrid w:val="0"/>
          <w:lang w:val="en-GB"/>
        </w:rPr>
        <w:t xml:space="preserve"> stable patients on OCA (with or without UDCA) would switch to </w:t>
      </w:r>
      <w:proofErr w:type="spellStart"/>
      <w:r w:rsidR="003A75D3">
        <w:rPr>
          <w:rFonts w:asciiTheme="minorHAnsi" w:hAnsiTheme="minorHAnsi"/>
          <w:snapToGrid w:val="0"/>
          <w:lang w:val="en-GB"/>
        </w:rPr>
        <w:t>elafibr</w:t>
      </w:r>
      <w:r w:rsidR="00056B8E">
        <w:rPr>
          <w:rFonts w:asciiTheme="minorHAnsi" w:hAnsiTheme="minorHAnsi"/>
          <w:snapToGrid w:val="0"/>
          <w:lang w:val="en-GB"/>
        </w:rPr>
        <w:t>a</w:t>
      </w:r>
      <w:r w:rsidR="003A75D3">
        <w:rPr>
          <w:rFonts w:asciiTheme="minorHAnsi" w:hAnsiTheme="minorHAnsi"/>
          <w:snapToGrid w:val="0"/>
          <w:lang w:val="en-GB"/>
        </w:rPr>
        <w:t>nor</w:t>
      </w:r>
      <w:proofErr w:type="spellEnd"/>
      <w:r w:rsidR="003A75D3">
        <w:rPr>
          <w:rFonts w:asciiTheme="minorHAnsi" w:hAnsiTheme="minorHAnsi"/>
          <w:snapToGrid w:val="0"/>
          <w:lang w:val="en-GB"/>
        </w:rPr>
        <w:t xml:space="preserve">. </w:t>
      </w:r>
      <w:r w:rsidR="006D2C72">
        <w:rPr>
          <w:rFonts w:asciiTheme="minorHAnsi" w:hAnsiTheme="minorHAnsi"/>
          <w:snapToGrid w:val="0"/>
          <w:lang w:val="en-GB"/>
        </w:rPr>
        <w:t xml:space="preserve">The PBAC considered that most </w:t>
      </w:r>
      <w:proofErr w:type="spellStart"/>
      <w:r w:rsidR="001E7F49">
        <w:rPr>
          <w:rFonts w:asciiTheme="minorHAnsi" w:hAnsiTheme="minorHAnsi"/>
          <w:snapToGrid w:val="0"/>
          <w:lang w:val="en-GB"/>
        </w:rPr>
        <w:t>elafibranor</w:t>
      </w:r>
      <w:proofErr w:type="spellEnd"/>
      <w:r w:rsidR="001E7F49">
        <w:rPr>
          <w:rFonts w:asciiTheme="minorHAnsi" w:hAnsiTheme="minorHAnsi"/>
          <w:snapToGrid w:val="0"/>
          <w:lang w:val="en-GB"/>
        </w:rPr>
        <w:t xml:space="preserve"> </w:t>
      </w:r>
      <w:r w:rsidR="006D2C72">
        <w:rPr>
          <w:rFonts w:asciiTheme="minorHAnsi" w:hAnsiTheme="minorHAnsi"/>
          <w:snapToGrid w:val="0"/>
          <w:lang w:val="en-GB"/>
        </w:rPr>
        <w:t xml:space="preserve">use would be in combination with </w:t>
      </w:r>
      <w:r w:rsidR="00012D5E">
        <w:rPr>
          <w:rFonts w:asciiTheme="minorHAnsi" w:hAnsiTheme="minorHAnsi"/>
          <w:snapToGrid w:val="0"/>
          <w:lang w:val="en-GB"/>
        </w:rPr>
        <w:t xml:space="preserve">ursodeoxycholic acid (UDCA), but noted that </w:t>
      </w:r>
      <w:r w:rsidR="003157FA">
        <w:rPr>
          <w:rFonts w:asciiTheme="minorHAnsi" w:hAnsiTheme="minorHAnsi"/>
          <w:snapToGrid w:val="0"/>
          <w:lang w:val="en-GB"/>
        </w:rPr>
        <w:t>for those patients</w:t>
      </w:r>
      <w:r w:rsidR="000C6B9C">
        <w:rPr>
          <w:rFonts w:asciiTheme="minorHAnsi" w:hAnsiTheme="minorHAnsi"/>
          <w:snapToGrid w:val="0"/>
          <w:lang w:val="en-GB"/>
        </w:rPr>
        <w:t>’</w:t>
      </w:r>
      <w:r w:rsidR="003157FA">
        <w:rPr>
          <w:rFonts w:asciiTheme="minorHAnsi" w:hAnsiTheme="minorHAnsi"/>
          <w:snapToGrid w:val="0"/>
          <w:lang w:val="en-GB"/>
        </w:rPr>
        <w:t xml:space="preserve"> intolerant to UDCA, </w:t>
      </w:r>
      <w:proofErr w:type="spellStart"/>
      <w:r w:rsidR="003157FA">
        <w:rPr>
          <w:rFonts w:asciiTheme="minorHAnsi" w:hAnsiTheme="minorHAnsi"/>
          <w:snapToGrid w:val="0"/>
          <w:lang w:val="en-GB"/>
        </w:rPr>
        <w:t>elafibranor</w:t>
      </w:r>
      <w:proofErr w:type="spellEnd"/>
      <w:r w:rsidR="003157FA">
        <w:rPr>
          <w:rFonts w:asciiTheme="minorHAnsi" w:hAnsiTheme="minorHAnsi"/>
          <w:snapToGrid w:val="0"/>
          <w:lang w:val="en-GB"/>
        </w:rPr>
        <w:t xml:space="preserve"> </w:t>
      </w:r>
      <w:r w:rsidR="006F61DD">
        <w:rPr>
          <w:rFonts w:asciiTheme="minorHAnsi" w:hAnsiTheme="minorHAnsi"/>
          <w:snapToGrid w:val="0"/>
          <w:lang w:val="en-GB"/>
        </w:rPr>
        <w:t xml:space="preserve">would </w:t>
      </w:r>
      <w:r w:rsidR="006F61DD">
        <w:rPr>
          <w:rFonts w:asciiTheme="minorHAnsi" w:hAnsiTheme="minorHAnsi"/>
          <w:snapToGrid w:val="0"/>
          <w:lang w:val="en-GB"/>
        </w:rPr>
        <w:lastRenderedPageBreak/>
        <w:t xml:space="preserve">likely </w:t>
      </w:r>
      <w:r w:rsidR="003157FA">
        <w:rPr>
          <w:rFonts w:asciiTheme="minorHAnsi" w:hAnsiTheme="minorHAnsi"/>
          <w:snapToGrid w:val="0"/>
          <w:lang w:val="en-GB"/>
        </w:rPr>
        <w:t>be used as monotherapy.</w:t>
      </w:r>
      <w:r w:rsidR="00F92FDE">
        <w:rPr>
          <w:rFonts w:asciiTheme="minorHAnsi" w:hAnsiTheme="minorHAnsi"/>
          <w:snapToGrid w:val="0"/>
          <w:lang w:val="en-GB"/>
        </w:rPr>
        <w:t xml:space="preserve"> The PBAC also considered that </w:t>
      </w:r>
      <w:r w:rsidR="003A75D3">
        <w:rPr>
          <w:rFonts w:asciiTheme="minorHAnsi" w:hAnsiTheme="minorHAnsi"/>
          <w:snapToGrid w:val="0"/>
          <w:lang w:val="en-GB"/>
        </w:rPr>
        <w:t xml:space="preserve">it was reasonable that </w:t>
      </w:r>
      <w:proofErr w:type="spellStart"/>
      <w:r w:rsidR="00F92FDE">
        <w:rPr>
          <w:rFonts w:asciiTheme="minorHAnsi" w:hAnsiTheme="minorHAnsi"/>
          <w:snapToGrid w:val="0"/>
          <w:lang w:val="en-GB"/>
        </w:rPr>
        <w:t>elafibranor</w:t>
      </w:r>
      <w:proofErr w:type="spellEnd"/>
      <w:r w:rsidR="00F92FDE">
        <w:rPr>
          <w:rFonts w:asciiTheme="minorHAnsi" w:hAnsiTheme="minorHAnsi"/>
          <w:snapToGrid w:val="0"/>
          <w:lang w:val="en-GB"/>
        </w:rPr>
        <w:t xml:space="preserve"> </w:t>
      </w:r>
      <w:r w:rsidR="009C6BA5">
        <w:rPr>
          <w:rFonts w:asciiTheme="minorHAnsi" w:hAnsiTheme="minorHAnsi"/>
          <w:snapToGrid w:val="0"/>
          <w:lang w:val="en-GB"/>
        </w:rPr>
        <w:t>should be available for use in the third</w:t>
      </w:r>
      <w:r w:rsidR="006E3DA8">
        <w:rPr>
          <w:rFonts w:asciiTheme="minorHAnsi" w:hAnsiTheme="minorHAnsi"/>
          <w:snapToGrid w:val="0"/>
          <w:lang w:val="en-GB"/>
        </w:rPr>
        <w:t xml:space="preserve"> </w:t>
      </w:r>
      <w:r w:rsidR="009C6BA5">
        <w:rPr>
          <w:rFonts w:asciiTheme="minorHAnsi" w:hAnsiTheme="minorHAnsi"/>
          <w:snapToGrid w:val="0"/>
          <w:lang w:val="en-GB"/>
        </w:rPr>
        <w:t>line setting for patients who have an inadequate response to, or are intolerant of, OCA</w:t>
      </w:r>
      <w:r w:rsidR="003A75D3">
        <w:rPr>
          <w:rFonts w:asciiTheme="minorHAnsi" w:hAnsiTheme="minorHAnsi"/>
          <w:snapToGrid w:val="0"/>
          <w:lang w:val="en-GB"/>
        </w:rPr>
        <w:t>, noting however that there was minimal clinical evidence in this population</w:t>
      </w:r>
      <w:r w:rsidR="009C6BA5">
        <w:rPr>
          <w:rFonts w:asciiTheme="minorHAnsi" w:hAnsiTheme="minorHAnsi"/>
          <w:snapToGrid w:val="0"/>
          <w:lang w:val="en-GB"/>
        </w:rPr>
        <w:t>.</w:t>
      </w:r>
    </w:p>
    <w:p w14:paraId="1C75EEA8" w14:textId="69DD3B64" w:rsidR="007A587D" w:rsidRDefault="007A587D"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w:t>
      </w:r>
      <w:r w:rsidR="003157FA">
        <w:rPr>
          <w:rFonts w:asciiTheme="minorHAnsi" w:hAnsiTheme="minorHAnsi"/>
          <w:snapToGrid w:val="0"/>
          <w:lang w:val="en-GB"/>
        </w:rPr>
        <w:t xml:space="preserve">he </w:t>
      </w:r>
      <w:r>
        <w:rPr>
          <w:rFonts w:asciiTheme="minorHAnsi" w:hAnsiTheme="minorHAnsi"/>
          <w:snapToGrid w:val="0"/>
          <w:lang w:val="en-GB"/>
        </w:rPr>
        <w:t xml:space="preserve">PBAC considered that the </w:t>
      </w:r>
      <w:r w:rsidR="00B84755">
        <w:rPr>
          <w:rFonts w:asciiTheme="minorHAnsi" w:hAnsiTheme="minorHAnsi"/>
          <w:snapToGrid w:val="0"/>
          <w:lang w:val="en-GB"/>
        </w:rPr>
        <w:t xml:space="preserve">initial and continuing </w:t>
      </w:r>
      <w:r>
        <w:rPr>
          <w:rFonts w:asciiTheme="minorHAnsi" w:hAnsiTheme="minorHAnsi"/>
          <w:snapToGrid w:val="0"/>
          <w:lang w:val="en-GB"/>
        </w:rPr>
        <w:t>restriction</w:t>
      </w:r>
      <w:r w:rsidR="00B84755">
        <w:rPr>
          <w:rFonts w:asciiTheme="minorHAnsi" w:hAnsiTheme="minorHAnsi"/>
          <w:snapToGrid w:val="0"/>
          <w:lang w:val="en-GB"/>
        </w:rPr>
        <w:t>s</w:t>
      </w:r>
      <w:r>
        <w:rPr>
          <w:rFonts w:asciiTheme="minorHAnsi" w:hAnsiTheme="minorHAnsi"/>
          <w:snapToGrid w:val="0"/>
          <w:lang w:val="en-GB"/>
        </w:rPr>
        <w:t xml:space="preserve"> for </w:t>
      </w:r>
      <w:proofErr w:type="spellStart"/>
      <w:r>
        <w:rPr>
          <w:rFonts w:asciiTheme="minorHAnsi" w:hAnsiTheme="minorHAnsi"/>
          <w:snapToGrid w:val="0"/>
          <w:lang w:val="en-GB"/>
        </w:rPr>
        <w:t>elafibranor</w:t>
      </w:r>
      <w:proofErr w:type="spellEnd"/>
      <w:r>
        <w:rPr>
          <w:rFonts w:asciiTheme="minorHAnsi" w:hAnsiTheme="minorHAnsi"/>
          <w:snapToGrid w:val="0"/>
          <w:lang w:val="en-GB"/>
        </w:rPr>
        <w:t xml:space="preserve"> should align with the curre</w:t>
      </w:r>
      <w:r w:rsidR="00454094">
        <w:rPr>
          <w:rFonts w:asciiTheme="minorHAnsi" w:hAnsiTheme="minorHAnsi"/>
          <w:snapToGrid w:val="0"/>
          <w:lang w:val="en-GB"/>
        </w:rPr>
        <w:t>n</w:t>
      </w:r>
      <w:r>
        <w:rPr>
          <w:rFonts w:asciiTheme="minorHAnsi" w:hAnsiTheme="minorHAnsi"/>
          <w:snapToGrid w:val="0"/>
          <w:lang w:val="en-GB"/>
        </w:rPr>
        <w:t>t OCA restriction</w:t>
      </w:r>
      <w:r w:rsidR="00B84755">
        <w:rPr>
          <w:rFonts w:asciiTheme="minorHAnsi" w:hAnsiTheme="minorHAnsi"/>
          <w:snapToGrid w:val="0"/>
          <w:lang w:val="en-GB"/>
        </w:rPr>
        <w:t>s</w:t>
      </w:r>
      <w:r w:rsidR="00B14697">
        <w:rPr>
          <w:rFonts w:asciiTheme="minorHAnsi" w:hAnsiTheme="minorHAnsi"/>
          <w:snapToGrid w:val="0"/>
          <w:lang w:val="en-GB"/>
        </w:rPr>
        <w:t xml:space="preserve"> as outlined in paragraph </w:t>
      </w:r>
      <w:r w:rsidR="00B14697">
        <w:rPr>
          <w:rFonts w:asciiTheme="minorHAnsi" w:hAnsiTheme="minorHAnsi"/>
          <w:snapToGrid w:val="0"/>
          <w:lang w:val="en-GB"/>
        </w:rPr>
        <w:fldChar w:fldCharType="begin" w:fldLock="1"/>
      </w:r>
      <w:r w:rsidR="00B14697">
        <w:rPr>
          <w:rFonts w:asciiTheme="minorHAnsi" w:hAnsiTheme="minorHAnsi"/>
          <w:snapToGrid w:val="0"/>
          <w:lang w:val="en-GB"/>
        </w:rPr>
        <w:instrText xml:space="preserve"> REF _Ref193707608 \r \h </w:instrText>
      </w:r>
      <w:r w:rsidR="00B14697">
        <w:rPr>
          <w:rFonts w:asciiTheme="minorHAnsi" w:hAnsiTheme="minorHAnsi"/>
          <w:snapToGrid w:val="0"/>
          <w:lang w:val="en-GB"/>
        </w:rPr>
      </w:r>
      <w:r w:rsidR="00B14697">
        <w:rPr>
          <w:rFonts w:asciiTheme="minorHAnsi" w:hAnsiTheme="minorHAnsi"/>
          <w:snapToGrid w:val="0"/>
          <w:lang w:val="en-GB"/>
        </w:rPr>
        <w:fldChar w:fldCharType="separate"/>
      </w:r>
      <w:r w:rsidR="001F6253">
        <w:rPr>
          <w:rFonts w:asciiTheme="minorHAnsi" w:hAnsiTheme="minorHAnsi"/>
          <w:snapToGrid w:val="0"/>
          <w:lang w:val="en-GB"/>
        </w:rPr>
        <w:t>3.2</w:t>
      </w:r>
      <w:r w:rsidR="00B14697">
        <w:rPr>
          <w:rFonts w:asciiTheme="minorHAnsi" w:hAnsiTheme="minorHAnsi"/>
          <w:snapToGrid w:val="0"/>
          <w:lang w:val="en-GB"/>
        </w:rPr>
        <w:fldChar w:fldCharType="end"/>
      </w:r>
      <w:r>
        <w:rPr>
          <w:rFonts w:asciiTheme="minorHAnsi" w:hAnsiTheme="minorHAnsi"/>
          <w:snapToGrid w:val="0"/>
          <w:lang w:val="en-GB"/>
        </w:rPr>
        <w:t xml:space="preserve">. The PBAC noted that the following changes should be made to both </w:t>
      </w:r>
      <w:r w:rsidR="00A7093E">
        <w:rPr>
          <w:rFonts w:asciiTheme="minorHAnsi" w:hAnsiTheme="minorHAnsi"/>
          <w:snapToGrid w:val="0"/>
          <w:lang w:val="en-GB"/>
        </w:rPr>
        <w:t xml:space="preserve">the </w:t>
      </w:r>
      <w:proofErr w:type="spellStart"/>
      <w:r w:rsidR="00A7093E">
        <w:rPr>
          <w:rFonts w:asciiTheme="minorHAnsi" w:hAnsiTheme="minorHAnsi"/>
          <w:snapToGrid w:val="0"/>
          <w:lang w:val="en-GB"/>
        </w:rPr>
        <w:t>elafibranor</w:t>
      </w:r>
      <w:proofErr w:type="spellEnd"/>
      <w:r w:rsidR="00A7093E">
        <w:rPr>
          <w:rFonts w:asciiTheme="minorHAnsi" w:hAnsiTheme="minorHAnsi"/>
          <w:snapToGrid w:val="0"/>
          <w:lang w:val="en-GB"/>
        </w:rPr>
        <w:t xml:space="preserve"> and OCA </w:t>
      </w:r>
      <w:r>
        <w:rPr>
          <w:rFonts w:asciiTheme="minorHAnsi" w:hAnsiTheme="minorHAnsi"/>
          <w:snapToGrid w:val="0"/>
          <w:lang w:val="en-GB"/>
        </w:rPr>
        <w:t>restrictions:</w:t>
      </w:r>
    </w:p>
    <w:p w14:paraId="698100F9" w14:textId="444E4E54" w:rsidR="00D53AE7" w:rsidRDefault="00D53AE7" w:rsidP="000C6B9C">
      <w:pPr>
        <w:widowControl w:val="0"/>
        <w:numPr>
          <w:ilvl w:val="1"/>
          <w:numId w:val="35"/>
        </w:numPr>
        <w:spacing w:after="120"/>
        <w:rPr>
          <w:rFonts w:asciiTheme="minorHAnsi" w:hAnsiTheme="minorHAnsi"/>
          <w:snapToGrid w:val="0"/>
          <w:lang w:val="en-GB"/>
        </w:rPr>
      </w:pPr>
      <w:r>
        <w:rPr>
          <w:rFonts w:asciiTheme="minorHAnsi" w:hAnsiTheme="minorHAnsi"/>
          <w:snapToGrid w:val="0"/>
          <w:lang w:val="en-GB"/>
        </w:rPr>
        <w:t>The</w:t>
      </w:r>
      <w:r w:rsidR="00530480">
        <w:rPr>
          <w:rFonts w:asciiTheme="minorHAnsi" w:hAnsiTheme="minorHAnsi"/>
          <w:snapToGrid w:val="0"/>
          <w:lang w:val="en-GB"/>
        </w:rPr>
        <w:t xml:space="preserve"> Administrative Advice</w:t>
      </w:r>
      <w:r>
        <w:rPr>
          <w:rFonts w:asciiTheme="minorHAnsi" w:hAnsiTheme="minorHAnsi"/>
          <w:snapToGrid w:val="0"/>
          <w:lang w:val="en-GB"/>
        </w:rPr>
        <w:t xml:space="preserve"> should exclude </w:t>
      </w:r>
      <w:r w:rsidR="00A443EC">
        <w:rPr>
          <w:rFonts w:asciiTheme="minorHAnsi" w:hAnsiTheme="minorHAnsi"/>
          <w:snapToGrid w:val="0"/>
          <w:lang w:val="en-GB"/>
        </w:rPr>
        <w:t>us</w:t>
      </w:r>
      <w:r w:rsidR="00477F77">
        <w:rPr>
          <w:rFonts w:asciiTheme="minorHAnsi" w:hAnsiTheme="minorHAnsi"/>
          <w:snapToGrid w:val="0"/>
          <w:lang w:val="en-GB"/>
        </w:rPr>
        <w:t>e</w:t>
      </w:r>
      <w:r w:rsidR="00A443EC">
        <w:rPr>
          <w:rFonts w:asciiTheme="minorHAnsi" w:hAnsiTheme="minorHAnsi"/>
          <w:snapToGrid w:val="0"/>
          <w:lang w:val="en-GB"/>
        </w:rPr>
        <w:t xml:space="preserve"> in patients with sclerosing cholangitis only</w:t>
      </w:r>
      <w:r w:rsidR="00C83571">
        <w:rPr>
          <w:rFonts w:asciiTheme="minorHAnsi" w:hAnsiTheme="minorHAnsi"/>
          <w:snapToGrid w:val="0"/>
          <w:lang w:val="en-GB"/>
        </w:rPr>
        <w:t xml:space="preserve"> (</w:t>
      </w:r>
      <w:r w:rsidR="00B14697">
        <w:rPr>
          <w:rFonts w:asciiTheme="minorHAnsi" w:hAnsiTheme="minorHAnsi"/>
          <w:snapToGrid w:val="0"/>
          <w:lang w:val="en-GB"/>
        </w:rPr>
        <w:t xml:space="preserve">i.e. </w:t>
      </w:r>
      <w:r w:rsidR="00C83571">
        <w:rPr>
          <w:rFonts w:asciiTheme="minorHAnsi" w:hAnsiTheme="minorHAnsi"/>
          <w:snapToGrid w:val="0"/>
          <w:lang w:val="en-GB"/>
        </w:rPr>
        <w:t>chole</w:t>
      </w:r>
      <w:r w:rsidR="001A27A3">
        <w:rPr>
          <w:rFonts w:asciiTheme="minorHAnsi" w:hAnsiTheme="minorHAnsi"/>
          <w:snapToGrid w:val="0"/>
          <w:lang w:val="en-GB"/>
        </w:rPr>
        <w:t>lithiasis can be deleted)</w:t>
      </w:r>
      <w:r w:rsidR="00A443EC">
        <w:rPr>
          <w:rFonts w:asciiTheme="minorHAnsi" w:hAnsiTheme="minorHAnsi"/>
          <w:snapToGrid w:val="0"/>
          <w:lang w:val="en-GB"/>
        </w:rPr>
        <w:t>;</w:t>
      </w:r>
      <w:r w:rsidR="00A50444">
        <w:rPr>
          <w:rFonts w:asciiTheme="minorHAnsi" w:hAnsiTheme="minorHAnsi"/>
          <w:snapToGrid w:val="0"/>
          <w:lang w:val="en-GB"/>
        </w:rPr>
        <w:t xml:space="preserve"> </w:t>
      </w:r>
    </w:p>
    <w:p w14:paraId="59B92C80" w14:textId="7E2A91D4" w:rsidR="00B14697" w:rsidRDefault="00D03F86" w:rsidP="000C6B9C">
      <w:pPr>
        <w:widowControl w:val="0"/>
        <w:numPr>
          <w:ilvl w:val="1"/>
          <w:numId w:val="35"/>
        </w:numPr>
        <w:spacing w:after="120"/>
        <w:rPr>
          <w:rFonts w:asciiTheme="minorHAnsi" w:hAnsiTheme="minorHAnsi"/>
          <w:snapToGrid w:val="0"/>
          <w:lang w:val="en-GB"/>
        </w:rPr>
      </w:pPr>
      <w:r>
        <w:rPr>
          <w:rFonts w:asciiTheme="minorHAnsi" w:hAnsiTheme="minorHAnsi"/>
          <w:snapToGrid w:val="0"/>
          <w:lang w:val="en-GB"/>
        </w:rPr>
        <w:t xml:space="preserve">A criterion should be added to each restriction excluding </w:t>
      </w:r>
      <w:r w:rsidR="00A7093E">
        <w:rPr>
          <w:rFonts w:asciiTheme="minorHAnsi" w:hAnsiTheme="minorHAnsi"/>
          <w:snapToGrid w:val="0"/>
          <w:lang w:val="en-GB"/>
        </w:rPr>
        <w:t>concomitant use with the alternative agent</w:t>
      </w:r>
      <w:r w:rsidR="00A50444">
        <w:rPr>
          <w:rFonts w:asciiTheme="minorHAnsi" w:hAnsiTheme="minorHAnsi"/>
          <w:snapToGrid w:val="0"/>
          <w:lang w:val="en-GB"/>
        </w:rPr>
        <w:t xml:space="preserve">; and </w:t>
      </w:r>
    </w:p>
    <w:p w14:paraId="0AFD8B8F" w14:textId="13D54C3A" w:rsidR="00A50444" w:rsidRPr="00A50444" w:rsidRDefault="007A5D64" w:rsidP="000C6B9C">
      <w:pPr>
        <w:widowControl w:val="0"/>
        <w:numPr>
          <w:ilvl w:val="1"/>
          <w:numId w:val="35"/>
        </w:numPr>
        <w:spacing w:after="120"/>
        <w:rPr>
          <w:rFonts w:asciiTheme="minorHAnsi" w:hAnsiTheme="minorHAnsi"/>
          <w:snapToGrid w:val="0"/>
          <w:lang w:val="en-GB"/>
        </w:rPr>
      </w:pPr>
      <w:r>
        <w:rPr>
          <w:rFonts w:asciiTheme="minorHAnsi" w:hAnsiTheme="minorHAnsi"/>
          <w:snapToGrid w:val="0"/>
          <w:lang w:val="en-GB"/>
        </w:rPr>
        <w:t xml:space="preserve">Unnecessary wording should be removed </w:t>
      </w:r>
      <w:r w:rsidR="00FA1D8A">
        <w:rPr>
          <w:rFonts w:asciiTheme="minorHAnsi" w:hAnsiTheme="minorHAnsi"/>
          <w:snapToGrid w:val="0"/>
          <w:lang w:val="en-GB"/>
        </w:rPr>
        <w:t xml:space="preserve">from the </w:t>
      </w:r>
      <w:r w:rsidR="008048CE">
        <w:rPr>
          <w:rFonts w:asciiTheme="minorHAnsi" w:hAnsiTheme="minorHAnsi"/>
          <w:snapToGrid w:val="0"/>
          <w:lang w:val="en-GB"/>
        </w:rPr>
        <w:t>treatment criteria</w:t>
      </w:r>
      <w:r w:rsidR="00011A78">
        <w:rPr>
          <w:rFonts w:asciiTheme="minorHAnsi" w:hAnsiTheme="minorHAnsi"/>
          <w:snapToGrid w:val="0"/>
          <w:lang w:val="en-GB"/>
        </w:rPr>
        <w:t xml:space="preserve"> </w:t>
      </w:r>
      <w:r>
        <w:rPr>
          <w:rFonts w:asciiTheme="minorHAnsi" w:hAnsiTheme="minorHAnsi"/>
          <w:snapToGrid w:val="0"/>
          <w:lang w:val="en-GB"/>
        </w:rPr>
        <w:t>(</w:t>
      </w:r>
      <w:r w:rsidR="00E71D48">
        <w:rPr>
          <w:rFonts w:asciiTheme="minorHAnsi" w:hAnsiTheme="minorHAnsi"/>
          <w:snapToGrid w:val="0"/>
          <w:lang w:val="en-GB"/>
        </w:rPr>
        <w:t xml:space="preserve">e.g. </w:t>
      </w:r>
      <w:r>
        <w:rPr>
          <w:rFonts w:asciiTheme="minorHAnsi" w:hAnsiTheme="minorHAnsi"/>
          <w:snapToGrid w:val="0"/>
          <w:lang w:val="en-GB"/>
        </w:rPr>
        <w:t>‘with agreement reached that the patient should be treated with this pharmaceutical benefit on this occasion</w:t>
      </w:r>
      <w:r w:rsidR="00E71D48">
        <w:rPr>
          <w:rFonts w:asciiTheme="minorHAnsi" w:hAnsiTheme="minorHAnsi"/>
          <w:snapToGrid w:val="0"/>
          <w:lang w:val="en-GB"/>
        </w:rPr>
        <w:t>’, ‘following this authority application’</w:t>
      </w:r>
      <w:r w:rsidR="00FA1D8A">
        <w:rPr>
          <w:rFonts w:asciiTheme="minorHAnsi" w:hAnsiTheme="minorHAnsi"/>
          <w:snapToGrid w:val="0"/>
          <w:lang w:val="en-GB"/>
        </w:rPr>
        <w:t xml:space="preserve"> and ‘combination’</w:t>
      </w:r>
      <w:r w:rsidR="00B273D4">
        <w:rPr>
          <w:rFonts w:asciiTheme="minorHAnsi" w:hAnsiTheme="minorHAnsi"/>
          <w:snapToGrid w:val="0"/>
          <w:lang w:val="en-GB"/>
        </w:rPr>
        <w:t>).</w:t>
      </w:r>
    </w:p>
    <w:p w14:paraId="370E81BA" w14:textId="6D9B0420" w:rsidR="007E5259" w:rsidRDefault="00D545A0"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that the nomination of OCA as the main comparator was reasonable</w:t>
      </w:r>
      <w:r w:rsidR="007E5259">
        <w:rPr>
          <w:rFonts w:asciiTheme="minorHAnsi" w:hAnsiTheme="minorHAnsi"/>
          <w:snapToGrid w:val="0"/>
          <w:lang w:val="en-GB"/>
        </w:rPr>
        <w:t>, with UDCA monotherapy or no treatment relevant comparators in the third</w:t>
      </w:r>
      <w:r w:rsidR="00EE6C46">
        <w:rPr>
          <w:rFonts w:asciiTheme="minorHAnsi" w:hAnsiTheme="minorHAnsi"/>
          <w:snapToGrid w:val="0"/>
          <w:lang w:val="en-GB"/>
        </w:rPr>
        <w:t xml:space="preserve"> </w:t>
      </w:r>
      <w:r w:rsidR="007E5259">
        <w:rPr>
          <w:rFonts w:asciiTheme="minorHAnsi" w:hAnsiTheme="minorHAnsi"/>
          <w:snapToGrid w:val="0"/>
          <w:lang w:val="en-GB"/>
        </w:rPr>
        <w:t>line setting.</w:t>
      </w:r>
    </w:p>
    <w:p w14:paraId="1E2D2257" w14:textId="15D44E43" w:rsidR="00052F0E" w:rsidRDefault="007E5259"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submission was based on indirect treatment comparisons between </w:t>
      </w:r>
      <w:proofErr w:type="spellStart"/>
      <w:r>
        <w:rPr>
          <w:rFonts w:asciiTheme="minorHAnsi" w:hAnsiTheme="minorHAnsi"/>
          <w:snapToGrid w:val="0"/>
          <w:lang w:val="en-GB"/>
        </w:rPr>
        <w:t>elafibranor</w:t>
      </w:r>
      <w:proofErr w:type="spellEnd"/>
      <w:r>
        <w:rPr>
          <w:rFonts w:asciiTheme="minorHAnsi" w:hAnsiTheme="minorHAnsi"/>
          <w:snapToGrid w:val="0"/>
          <w:lang w:val="en-GB"/>
        </w:rPr>
        <w:t xml:space="preserve"> (data from the ELATIVE trial, </w:t>
      </w:r>
      <w:r w:rsidR="00052F0E">
        <w:rPr>
          <w:rFonts w:asciiTheme="minorHAnsi" w:hAnsiTheme="minorHAnsi"/>
          <w:snapToGrid w:val="0"/>
          <w:lang w:val="en-GB"/>
        </w:rPr>
        <w:t>N</w:t>
      </w:r>
      <w:r>
        <w:rPr>
          <w:rFonts w:asciiTheme="minorHAnsi" w:hAnsiTheme="minorHAnsi"/>
          <w:snapToGrid w:val="0"/>
          <w:lang w:val="en-GB"/>
        </w:rPr>
        <w:t xml:space="preserve"> = </w:t>
      </w:r>
      <w:r w:rsidR="00052F0E">
        <w:rPr>
          <w:rFonts w:asciiTheme="minorHAnsi" w:hAnsiTheme="minorHAnsi"/>
          <w:snapToGrid w:val="0"/>
          <w:lang w:val="en-GB"/>
        </w:rPr>
        <w:t>161) and OCA (data from the POISE trial, N = 217), with placebo as the common comparator.</w:t>
      </w:r>
      <w:r w:rsidR="005C065D">
        <w:rPr>
          <w:rFonts w:asciiTheme="minorHAnsi" w:hAnsiTheme="minorHAnsi"/>
          <w:snapToGrid w:val="0"/>
          <w:lang w:val="en-GB"/>
        </w:rPr>
        <w:t xml:space="preserve"> The PBAC, noting the transitivity issues outlined in paragraph </w:t>
      </w:r>
      <w:r w:rsidR="005C065D">
        <w:rPr>
          <w:rFonts w:asciiTheme="minorHAnsi" w:hAnsiTheme="minorHAnsi"/>
          <w:snapToGrid w:val="0"/>
          <w:lang w:val="en-GB"/>
        </w:rPr>
        <w:fldChar w:fldCharType="begin" w:fldLock="1"/>
      </w:r>
      <w:r w:rsidR="005C065D">
        <w:rPr>
          <w:rFonts w:asciiTheme="minorHAnsi" w:hAnsiTheme="minorHAnsi"/>
          <w:snapToGrid w:val="0"/>
          <w:lang w:val="en-GB"/>
        </w:rPr>
        <w:instrText xml:space="preserve"> REF _Ref184673533 \r \h </w:instrText>
      </w:r>
      <w:r w:rsidR="005C065D">
        <w:rPr>
          <w:rFonts w:asciiTheme="minorHAnsi" w:hAnsiTheme="minorHAnsi"/>
          <w:snapToGrid w:val="0"/>
          <w:lang w:val="en-GB"/>
        </w:rPr>
      </w:r>
      <w:r w:rsidR="005C065D">
        <w:rPr>
          <w:rFonts w:asciiTheme="minorHAnsi" w:hAnsiTheme="minorHAnsi"/>
          <w:snapToGrid w:val="0"/>
          <w:lang w:val="en-GB"/>
        </w:rPr>
        <w:fldChar w:fldCharType="separate"/>
      </w:r>
      <w:r w:rsidR="001F6253">
        <w:rPr>
          <w:rFonts w:asciiTheme="minorHAnsi" w:hAnsiTheme="minorHAnsi"/>
          <w:snapToGrid w:val="0"/>
          <w:lang w:val="en-GB"/>
        </w:rPr>
        <w:t>6.14</w:t>
      </w:r>
      <w:r w:rsidR="005C065D">
        <w:rPr>
          <w:rFonts w:asciiTheme="minorHAnsi" w:hAnsiTheme="minorHAnsi"/>
          <w:snapToGrid w:val="0"/>
          <w:lang w:val="en-GB"/>
        </w:rPr>
        <w:fldChar w:fldCharType="end"/>
      </w:r>
      <w:r w:rsidR="005C065D">
        <w:rPr>
          <w:rFonts w:asciiTheme="minorHAnsi" w:hAnsiTheme="minorHAnsi"/>
          <w:snapToGrid w:val="0"/>
          <w:lang w:val="en-GB"/>
        </w:rPr>
        <w:t>, considered that this approach was appropriate.</w:t>
      </w:r>
    </w:p>
    <w:p w14:paraId="4B367074" w14:textId="12B140B2" w:rsidR="005C065D" w:rsidRDefault="005C065D"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w:t>
      </w:r>
      <w:r w:rsidR="000B0F63">
        <w:rPr>
          <w:rFonts w:asciiTheme="minorHAnsi" w:hAnsiTheme="minorHAnsi"/>
          <w:snapToGrid w:val="0"/>
          <w:lang w:val="en-GB"/>
        </w:rPr>
        <w:t>the key primary outcome</w:t>
      </w:r>
      <w:r w:rsidR="00CE7432">
        <w:rPr>
          <w:rFonts w:asciiTheme="minorHAnsi" w:hAnsiTheme="minorHAnsi"/>
          <w:snapToGrid w:val="0"/>
          <w:lang w:val="en-GB"/>
        </w:rPr>
        <w:t>, cholestasis response,</w:t>
      </w:r>
      <w:r w:rsidR="000B0F63">
        <w:rPr>
          <w:rFonts w:asciiTheme="minorHAnsi" w:hAnsiTheme="minorHAnsi"/>
          <w:snapToGrid w:val="0"/>
          <w:lang w:val="en-GB"/>
        </w:rPr>
        <w:t xml:space="preserve"> </w:t>
      </w:r>
      <w:r w:rsidR="00386FB3">
        <w:rPr>
          <w:rFonts w:asciiTheme="minorHAnsi" w:hAnsiTheme="minorHAnsi"/>
          <w:snapToGrid w:val="0"/>
          <w:lang w:val="en-GB"/>
        </w:rPr>
        <w:t xml:space="preserve">was the same </w:t>
      </w:r>
      <w:r w:rsidR="000B0F63">
        <w:rPr>
          <w:rFonts w:asciiTheme="minorHAnsi" w:hAnsiTheme="minorHAnsi"/>
          <w:snapToGrid w:val="0"/>
          <w:lang w:val="en-GB"/>
        </w:rPr>
        <w:t xml:space="preserve">in the ELATIVE </w:t>
      </w:r>
      <w:r w:rsidR="00386FB3">
        <w:rPr>
          <w:rFonts w:asciiTheme="minorHAnsi" w:hAnsiTheme="minorHAnsi"/>
          <w:snapToGrid w:val="0"/>
          <w:lang w:val="en-GB"/>
        </w:rPr>
        <w:t xml:space="preserve">and POISE </w:t>
      </w:r>
      <w:r w:rsidR="000B0F63">
        <w:rPr>
          <w:rFonts w:asciiTheme="minorHAnsi" w:hAnsiTheme="minorHAnsi"/>
          <w:snapToGrid w:val="0"/>
          <w:lang w:val="en-GB"/>
        </w:rPr>
        <w:t>trial</w:t>
      </w:r>
      <w:r w:rsidR="00386FB3">
        <w:rPr>
          <w:rFonts w:asciiTheme="minorHAnsi" w:hAnsiTheme="minorHAnsi"/>
          <w:snapToGrid w:val="0"/>
          <w:lang w:val="en-GB"/>
        </w:rPr>
        <w:t>s</w:t>
      </w:r>
      <w:r w:rsidR="009335DA">
        <w:rPr>
          <w:rFonts w:asciiTheme="minorHAnsi" w:hAnsiTheme="minorHAnsi"/>
          <w:snapToGrid w:val="0"/>
          <w:lang w:val="en-GB"/>
        </w:rPr>
        <w:t xml:space="preserve"> </w:t>
      </w:r>
      <w:r w:rsidR="00CE7432">
        <w:rPr>
          <w:rFonts w:asciiTheme="minorHAnsi" w:hAnsiTheme="minorHAnsi"/>
          <w:snapToGrid w:val="0"/>
          <w:lang w:val="en-GB"/>
        </w:rPr>
        <w:t>and was</w:t>
      </w:r>
      <w:r w:rsidR="009335DA">
        <w:rPr>
          <w:rFonts w:asciiTheme="minorHAnsi" w:hAnsiTheme="minorHAnsi"/>
          <w:snapToGrid w:val="0"/>
          <w:lang w:val="en-GB"/>
        </w:rPr>
        <w:t xml:space="preserve"> </w:t>
      </w:r>
      <w:r w:rsidR="003A7700">
        <w:rPr>
          <w:rFonts w:asciiTheme="minorHAnsi" w:hAnsiTheme="minorHAnsi"/>
          <w:snapToGrid w:val="0"/>
          <w:lang w:val="en-GB"/>
        </w:rPr>
        <w:t xml:space="preserve">assessed as achieving </w:t>
      </w:r>
      <w:r w:rsidR="00561D77">
        <w:rPr>
          <w:rFonts w:asciiTheme="minorHAnsi" w:hAnsiTheme="minorHAnsi"/>
          <w:snapToGrid w:val="0"/>
          <w:lang w:val="en-GB"/>
        </w:rPr>
        <w:t>an alkaline phosphatase (</w:t>
      </w:r>
      <w:r w:rsidR="003A7700">
        <w:rPr>
          <w:rFonts w:asciiTheme="minorHAnsi" w:hAnsiTheme="minorHAnsi"/>
          <w:snapToGrid w:val="0"/>
          <w:lang w:val="en-GB"/>
        </w:rPr>
        <w:t>ALP</w:t>
      </w:r>
      <w:r w:rsidR="00561D77">
        <w:rPr>
          <w:rFonts w:asciiTheme="minorHAnsi" w:hAnsiTheme="minorHAnsi"/>
          <w:snapToGrid w:val="0"/>
          <w:lang w:val="en-GB"/>
        </w:rPr>
        <w:t>)</w:t>
      </w:r>
      <w:r w:rsidR="003A7700">
        <w:rPr>
          <w:rFonts w:asciiTheme="minorHAnsi" w:hAnsiTheme="minorHAnsi"/>
          <w:snapToGrid w:val="0"/>
          <w:lang w:val="en-GB"/>
        </w:rPr>
        <w:t xml:space="preserve"> &lt; 1.67 x the upper limit of normal (ULN), a decrease in ALP of </w:t>
      </w:r>
      <w:r w:rsidR="003A7700">
        <w:rPr>
          <w:rFonts w:asciiTheme="minorHAnsi" w:hAnsiTheme="minorHAnsi" w:cstheme="minorHAnsi"/>
          <w:snapToGrid w:val="0"/>
          <w:lang w:val="en-GB"/>
        </w:rPr>
        <w:t>≥</w:t>
      </w:r>
      <w:r w:rsidR="003A7700">
        <w:rPr>
          <w:rFonts w:asciiTheme="minorHAnsi" w:hAnsiTheme="minorHAnsi"/>
          <w:snapToGrid w:val="0"/>
          <w:lang w:val="en-GB"/>
        </w:rPr>
        <w:t xml:space="preserve"> 15% </w:t>
      </w:r>
      <w:r w:rsidR="00ED6C54">
        <w:rPr>
          <w:rFonts w:asciiTheme="minorHAnsi" w:hAnsiTheme="minorHAnsi"/>
          <w:snapToGrid w:val="0"/>
          <w:lang w:val="en-GB"/>
        </w:rPr>
        <w:t xml:space="preserve">and total bilirubin (TB) </w:t>
      </w:r>
      <w:r w:rsidR="00ED6C54">
        <w:rPr>
          <w:rFonts w:asciiTheme="minorHAnsi" w:hAnsiTheme="minorHAnsi" w:cstheme="minorHAnsi"/>
          <w:snapToGrid w:val="0"/>
          <w:lang w:val="en-GB"/>
        </w:rPr>
        <w:t>≤</w:t>
      </w:r>
      <w:r w:rsidR="00ED6C54">
        <w:rPr>
          <w:rFonts w:asciiTheme="minorHAnsi" w:hAnsiTheme="minorHAnsi"/>
          <w:snapToGrid w:val="0"/>
          <w:lang w:val="en-GB"/>
        </w:rPr>
        <w:t xml:space="preserve"> ULN. </w:t>
      </w:r>
      <w:r w:rsidR="00EF4343">
        <w:rPr>
          <w:rFonts w:asciiTheme="minorHAnsi" w:hAnsiTheme="minorHAnsi"/>
          <w:snapToGrid w:val="0"/>
          <w:lang w:val="en-GB"/>
        </w:rPr>
        <w:t xml:space="preserve">The PBAC noted that following the </w:t>
      </w:r>
      <w:r w:rsidR="007A3F8D">
        <w:rPr>
          <w:rFonts w:asciiTheme="minorHAnsi" w:hAnsiTheme="minorHAnsi"/>
          <w:snapToGrid w:val="0"/>
          <w:lang w:val="en-GB"/>
        </w:rPr>
        <w:t xml:space="preserve">results of the COBALT trial </w:t>
      </w:r>
      <w:r w:rsidR="00B91533">
        <w:rPr>
          <w:rFonts w:asciiTheme="minorHAnsi" w:hAnsiTheme="minorHAnsi"/>
          <w:snapToGrid w:val="0"/>
          <w:lang w:val="en-GB"/>
        </w:rPr>
        <w:t xml:space="preserve">(see paragraph </w:t>
      </w:r>
      <w:r w:rsidR="00B91533">
        <w:rPr>
          <w:rFonts w:asciiTheme="minorHAnsi" w:hAnsiTheme="minorHAnsi"/>
          <w:snapToGrid w:val="0"/>
          <w:lang w:val="en-GB"/>
        </w:rPr>
        <w:fldChar w:fldCharType="begin" w:fldLock="1"/>
      </w:r>
      <w:r w:rsidR="00B91533">
        <w:rPr>
          <w:rFonts w:asciiTheme="minorHAnsi" w:hAnsiTheme="minorHAnsi"/>
          <w:snapToGrid w:val="0"/>
          <w:lang w:val="en-GB"/>
        </w:rPr>
        <w:instrText xml:space="preserve"> REF _Ref184658882 \r \h </w:instrText>
      </w:r>
      <w:r w:rsidR="00B91533">
        <w:rPr>
          <w:rFonts w:asciiTheme="minorHAnsi" w:hAnsiTheme="minorHAnsi"/>
          <w:snapToGrid w:val="0"/>
          <w:lang w:val="en-GB"/>
        </w:rPr>
      </w:r>
      <w:r w:rsidR="00B91533">
        <w:rPr>
          <w:rFonts w:asciiTheme="minorHAnsi" w:hAnsiTheme="minorHAnsi"/>
          <w:snapToGrid w:val="0"/>
          <w:lang w:val="en-GB"/>
        </w:rPr>
        <w:fldChar w:fldCharType="separate"/>
      </w:r>
      <w:r w:rsidR="001F6253">
        <w:rPr>
          <w:rFonts w:asciiTheme="minorHAnsi" w:hAnsiTheme="minorHAnsi"/>
          <w:snapToGrid w:val="0"/>
          <w:lang w:val="en-GB"/>
        </w:rPr>
        <w:t>5.4</w:t>
      </w:r>
      <w:r w:rsidR="00B91533">
        <w:rPr>
          <w:rFonts w:asciiTheme="minorHAnsi" w:hAnsiTheme="minorHAnsi"/>
          <w:snapToGrid w:val="0"/>
          <w:lang w:val="en-GB"/>
        </w:rPr>
        <w:fldChar w:fldCharType="end"/>
      </w:r>
      <w:r w:rsidR="00B91533">
        <w:rPr>
          <w:rFonts w:asciiTheme="minorHAnsi" w:hAnsiTheme="minorHAnsi"/>
          <w:snapToGrid w:val="0"/>
          <w:lang w:val="en-GB"/>
        </w:rPr>
        <w:t xml:space="preserve">) </w:t>
      </w:r>
      <w:r w:rsidR="007A3F8D">
        <w:rPr>
          <w:rFonts w:asciiTheme="minorHAnsi" w:hAnsiTheme="minorHAnsi"/>
          <w:snapToGrid w:val="0"/>
          <w:lang w:val="en-GB"/>
        </w:rPr>
        <w:t>the relationship between the surrogate endpoint and disease progression was uncertain</w:t>
      </w:r>
      <w:r w:rsidR="009D0303">
        <w:rPr>
          <w:rFonts w:asciiTheme="minorHAnsi" w:hAnsiTheme="minorHAnsi"/>
          <w:snapToGrid w:val="0"/>
          <w:lang w:val="en-GB"/>
        </w:rPr>
        <w:t>;</w:t>
      </w:r>
      <w:r w:rsidR="00365D84">
        <w:rPr>
          <w:rFonts w:asciiTheme="minorHAnsi" w:hAnsiTheme="minorHAnsi"/>
          <w:snapToGrid w:val="0"/>
          <w:lang w:val="en-GB"/>
        </w:rPr>
        <w:t xml:space="preserve"> </w:t>
      </w:r>
      <w:r w:rsidR="00550B56">
        <w:rPr>
          <w:rFonts w:asciiTheme="minorHAnsi" w:hAnsiTheme="minorHAnsi"/>
          <w:snapToGrid w:val="0"/>
          <w:lang w:val="en-GB"/>
        </w:rPr>
        <w:t>however o</w:t>
      </w:r>
      <w:r w:rsidR="00794673">
        <w:rPr>
          <w:rFonts w:asciiTheme="minorHAnsi" w:hAnsiTheme="minorHAnsi"/>
          <w:snapToGrid w:val="0"/>
          <w:lang w:val="en-GB"/>
        </w:rPr>
        <w:t xml:space="preserve">n balance, the PBAC considered that the use of cholestasis response </w:t>
      </w:r>
      <w:r w:rsidR="00550B56">
        <w:rPr>
          <w:rFonts w:asciiTheme="minorHAnsi" w:hAnsiTheme="minorHAnsi"/>
          <w:snapToGrid w:val="0"/>
          <w:lang w:val="en-GB"/>
        </w:rPr>
        <w:t xml:space="preserve">to </w:t>
      </w:r>
      <w:r w:rsidR="003827F4">
        <w:rPr>
          <w:rFonts w:asciiTheme="minorHAnsi" w:hAnsiTheme="minorHAnsi"/>
          <w:snapToGrid w:val="0"/>
          <w:lang w:val="en-GB"/>
        </w:rPr>
        <w:t xml:space="preserve">assess non-inferiority </w:t>
      </w:r>
      <w:r w:rsidR="00794673">
        <w:rPr>
          <w:rFonts w:asciiTheme="minorHAnsi" w:hAnsiTheme="minorHAnsi"/>
          <w:snapToGrid w:val="0"/>
          <w:lang w:val="en-GB"/>
        </w:rPr>
        <w:t>was reasonable</w:t>
      </w:r>
      <w:r w:rsidR="003827F4">
        <w:rPr>
          <w:rFonts w:asciiTheme="minorHAnsi" w:hAnsiTheme="minorHAnsi"/>
          <w:snapToGrid w:val="0"/>
          <w:lang w:val="en-GB"/>
        </w:rPr>
        <w:t xml:space="preserve"> at this point</w:t>
      </w:r>
      <w:r w:rsidR="00784240">
        <w:rPr>
          <w:rFonts w:asciiTheme="minorHAnsi" w:hAnsiTheme="minorHAnsi"/>
          <w:snapToGrid w:val="0"/>
          <w:lang w:val="en-GB"/>
        </w:rPr>
        <w:t xml:space="preserve"> in time</w:t>
      </w:r>
      <w:r w:rsidR="00794673">
        <w:rPr>
          <w:rFonts w:asciiTheme="minorHAnsi" w:hAnsiTheme="minorHAnsi"/>
          <w:snapToGrid w:val="0"/>
          <w:lang w:val="en-GB"/>
        </w:rPr>
        <w:t>.</w:t>
      </w:r>
    </w:p>
    <w:p w14:paraId="46A2E8C8" w14:textId="590DB0D5" w:rsidR="0022231A" w:rsidRDefault="0022231A"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w:t>
      </w:r>
      <w:r w:rsidR="00E12B10">
        <w:rPr>
          <w:rFonts w:asciiTheme="minorHAnsi" w:hAnsiTheme="minorHAnsi"/>
          <w:snapToGrid w:val="0"/>
          <w:lang w:val="en-GB"/>
        </w:rPr>
        <w:t xml:space="preserve">that compared to placebo, </w:t>
      </w:r>
      <w:proofErr w:type="spellStart"/>
      <w:r w:rsidR="00325B74">
        <w:rPr>
          <w:rFonts w:asciiTheme="minorHAnsi" w:hAnsiTheme="minorHAnsi"/>
          <w:snapToGrid w:val="0"/>
          <w:lang w:val="en-GB"/>
        </w:rPr>
        <w:t>elafibranor</w:t>
      </w:r>
      <w:proofErr w:type="spellEnd"/>
      <w:r w:rsidR="00325B74">
        <w:rPr>
          <w:rFonts w:asciiTheme="minorHAnsi" w:hAnsiTheme="minorHAnsi"/>
          <w:snapToGrid w:val="0"/>
          <w:lang w:val="en-GB"/>
        </w:rPr>
        <w:t xml:space="preserve"> was associated with a </w:t>
      </w:r>
      <w:r w:rsidR="00F85DA4">
        <w:rPr>
          <w:rFonts w:asciiTheme="minorHAnsi" w:hAnsiTheme="minorHAnsi"/>
          <w:snapToGrid w:val="0"/>
          <w:lang w:val="en-GB"/>
        </w:rPr>
        <w:t>significantly higher proportion of patients achieving cholestasis response (</w:t>
      </w:r>
      <w:r w:rsidR="00E051F0">
        <w:rPr>
          <w:rFonts w:asciiTheme="minorHAnsi" w:hAnsiTheme="minorHAnsi"/>
          <w:snapToGrid w:val="0"/>
          <w:lang w:val="en-GB"/>
        </w:rPr>
        <w:t xml:space="preserve">50.9% of </w:t>
      </w:r>
      <w:proofErr w:type="spellStart"/>
      <w:r w:rsidR="00E051F0">
        <w:rPr>
          <w:rFonts w:asciiTheme="minorHAnsi" w:hAnsiTheme="minorHAnsi"/>
          <w:snapToGrid w:val="0"/>
          <w:lang w:val="en-GB"/>
        </w:rPr>
        <w:t>elafibranor</w:t>
      </w:r>
      <w:proofErr w:type="spellEnd"/>
      <w:r w:rsidR="00E051F0">
        <w:rPr>
          <w:rFonts w:asciiTheme="minorHAnsi" w:hAnsiTheme="minorHAnsi"/>
          <w:snapToGrid w:val="0"/>
          <w:lang w:val="en-GB"/>
        </w:rPr>
        <w:t xml:space="preserve"> patients vs 3.8% of </w:t>
      </w:r>
      <w:r w:rsidR="0034377C">
        <w:rPr>
          <w:rFonts w:asciiTheme="minorHAnsi" w:hAnsiTheme="minorHAnsi"/>
          <w:snapToGrid w:val="0"/>
          <w:lang w:val="en-GB"/>
        </w:rPr>
        <w:t>placebo patients; unadjusted RD = 47.2%; 95% CI: 36.4, 57.9)</w:t>
      </w:r>
      <w:r w:rsidR="00717871">
        <w:rPr>
          <w:rFonts w:asciiTheme="minorHAnsi" w:hAnsiTheme="minorHAnsi"/>
          <w:snapToGrid w:val="0"/>
          <w:lang w:val="en-GB"/>
        </w:rPr>
        <w:t xml:space="preserve"> and ALP normalisation </w:t>
      </w:r>
      <w:r w:rsidR="0034377C">
        <w:rPr>
          <w:rFonts w:asciiTheme="minorHAnsi" w:hAnsiTheme="minorHAnsi"/>
          <w:snapToGrid w:val="0"/>
          <w:lang w:val="en-GB"/>
        </w:rPr>
        <w:t>(</w:t>
      </w:r>
      <w:r w:rsidR="0096073F">
        <w:rPr>
          <w:rFonts w:asciiTheme="minorHAnsi" w:hAnsiTheme="minorHAnsi"/>
          <w:snapToGrid w:val="0"/>
          <w:lang w:val="en-GB"/>
        </w:rPr>
        <w:t xml:space="preserve">14.8% of </w:t>
      </w:r>
      <w:proofErr w:type="spellStart"/>
      <w:r w:rsidR="0096073F">
        <w:rPr>
          <w:rFonts w:asciiTheme="minorHAnsi" w:hAnsiTheme="minorHAnsi"/>
          <w:snapToGrid w:val="0"/>
          <w:lang w:val="en-GB"/>
        </w:rPr>
        <w:t>elafibranor</w:t>
      </w:r>
      <w:proofErr w:type="spellEnd"/>
      <w:r w:rsidR="0096073F">
        <w:rPr>
          <w:rFonts w:asciiTheme="minorHAnsi" w:hAnsiTheme="minorHAnsi"/>
          <w:snapToGrid w:val="0"/>
          <w:lang w:val="en-GB"/>
        </w:rPr>
        <w:t xml:space="preserve"> patients vs 0% of placebo patients; unadjusted RD = 14.8%; 95% CI: 8.1, 21.5) </w:t>
      </w:r>
      <w:r w:rsidR="00717871">
        <w:rPr>
          <w:rFonts w:asciiTheme="minorHAnsi" w:hAnsiTheme="minorHAnsi"/>
          <w:snapToGrid w:val="0"/>
          <w:lang w:val="en-GB"/>
        </w:rPr>
        <w:t xml:space="preserve">at Week 52 (see </w:t>
      </w:r>
      <w:r w:rsidR="00717871">
        <w:rPr>
          <w:rFonts w:asciiTheme="minorHAnsi" w:hAnsiTheme="minorHAnsi"/>
          <w:snapToGrid w:val="0"/>
          <w:lang w:val="en-GB"/>
        </w:rPr>
        <w:fldChar w:fldCharType="begin" w:fldLock="1"/>
      </w:r>
      <w:r w:rsidR="00717871">
        <w:rPr>
          <w:rFonts w:asciiTheme="minorHAnsi" w:hAnsiTheme="minorHAnsi"/>
          <w:snapToGrid w:val="0"/>
          <w:lang w:val="en-GB"/>
        </w:rPr>
        <w:instrText xml:space="preserve"> REF _Ref184669443 \h </w:instrText>
      </w:r>
      <w:r w:rsidR="00717871">
        <w:rPr>
          <w:rFonts w:asciiTheme="minorHAnsi" w:hAnsiTheme="minorHAnsi"/>
          <w:snapToGrid w:val="0"/>
          <w:lang w:val="en-GB"/>
        </w:rPr>
      </w:r>
      <w:r w:rsidR="00717871">
        <w:rPr>
          <w:rFonts w:asciiTheme="minorHAnsi" w:hAnsiTheme="minorHAnsi"/>
          <w:snapToGrid w:val="0"/>
          <w:lang w:val="en-GB"/>
        </w:rPr>
        <w:fldChar w:fldCharType="separate"/>
      </w:r>
      <w:r w:rsidR="00717871" w:rsidRPr="0098262F">
        <w:t xml:space="preserve">Table </w:t>
      </w:r>
      <w:r w:rsidR="00717871">
        <w:rPr>
          <w:noProof/>
        </w:rPr>
        <w:t>4</w:t>
      </w:r>
      <w:r w:rsidR="00717871">
        <w:rPr>
          <w:rFonts w:asciiTheme="minorHAnsi" w:hAnsiTheme="minorHAnsi"/>
          <w:snapToGrid w:val="0"/>
          <w:lang w:val="en-GB"/>
        </w:rPr>
        <w:fldChar w:fldCharType="end"/>
      </w:r>
      <w:r w:rsidR="00717871">
        <w:rPr>
          <w:rFonts w:asciiTheme="minorHAnsi" w:hAnsiTheme="minorHAnsi"/>
          <w:snapToGrid w:val="0"/>
          <w:lang w:val="en-GB"/>
        </w:rPr>
        <w:t>).</w:t>
      </w:r>
    </w:p>
    <w:p w14:paraId="7FBC8890" w14:textId="1AC62E59" w:rsidR="00CD64A6" w:rsidRDefault="009C1490"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submission presented </w:t>
      </w:r>
      <w:r w:rsidR="00297812">
        <w:rPr>
          <w:rFonts w:asciiTheme="minorHAnsi" w:hAnsiTheme="minorHAnsi"/>
          <w:snapToGrid w:val="0"/>
          <w:lang w:val="en-GB"/>
        </w:rPr>
        <w:t xml:space="preserve">three indirect treatment comparisons comparing </w:t>
      </w:r>
      <w:proofErr w:type="spellStart"/>
      <w:r w:rsidR="003A6ADD">
        <w:rPr>
          <w:rFonts w:asciiTheme="minorHAnsi" w:hAnsiTheme="minorHAnsi"/>
          <w:snapToGrid w:val="0"/>
          <w:lang w:val="en-GB"/>
        </w:rPr>
        <w:t>elafibranor</w:t>
      </w:r>
      <w:proofErr w:type="spellEnd"/>
      <w:r w:rsidR="003A6ADD">
        <w:rPr>
          <w:rFonts w:asciiTheme="minorHAnsi" w:hAnsiTheme="minorHAnsi"/>
          <w:snapToGrid w:val="0"/>
          <w:lang w:val="en-GB"/>
        </w:rPr>
        <w:t xml:space="preserve"> to OCA in terms of </w:t>
      </w:r>
      <w:r w:rsidR="00297812">
        <w:rPr>
          <w:rFonts w:asciiTheme="minorHAnsi" w:hAnsiTheme="minorHAnsi"/>
          <w:snapToGrid w:val="0"/>
          <w:lang w:val="en-GB"/>
        </w:rPr>
        <w:t xml:space="preserve">cholestasis response, change from baseline in ALP levels </w:t>
      </w:r>
      <w:r w:rsidR="0000548F">
        <w:rPr>
          <w:rFonts w:asciiTheme="minorHAnsi" w:hAnsiTheme="minorHAnsi"/>
          <w:snapToGrid w:val="0"/>
          <w:lang w:val="en-GB"/>
        </w:rPr>
        <w:t xml:space="preserve">and ALP normalisation at 52 weeks (see paragraph </w:t>
      </w:r>
      <w:r w:rsidR="0000548F">
        <w:rPr>
          <w:rFonts w:asciiTheme="minorHAnsi" w:hAnsiTheme="minorHAnsi"/>
          <w:snapToGrid w:val="0"/>
          <w:lang w:val="en-GB"/>
        </w:rPr>
        <w:fldChar w:fldCharType="begin" w:fldLock="1"/>
      </w:r>
      <w:r w:rsidR="0000548F">
        <w:rPr>
          <w:rFonts w:asciiTheme="minorHAnsi" w:hAnsiTheme="minorHAnsi"/>
          <w:snapToGrid w:val="0"/>
          <w:lang w:val="en-GB"/>
        </w:rPr>
        <w:instrText xml:space="preserve"> REF _Ref193715257 \r \h </w:instrText>
      </w:r>
      <w:r w:rsidR="0000548F">
        <w:rPr>
          <w:rFonts w:asciiTheme="minorHAnsi" w:hAnsiTheme="minorHAnsi"/>
          <w:snapToGrid w:val="0"/>
          <w:lang w:val="en-GB"/>
        </w:rPr>
      </w:r>
      <w:r w:rsidR="0000548F">
        <w:rPr>
          <w:rFonts w:asciiTheme="minorHAnsi" w:hAnsiTheme="minorHAnsi"/>
          <w:snapToGrid w:val="0"/>
          <w:lang w:val="en-GB"/>
        </w:rPr>
        <w:fldChar w:fldCharType="separate"/>
      </w:r>
      <w:r w:rsidR="001F6253">
        <w:rPr>
          <w:rFonts w:asciiTheme="minorHAnsi" w:hAnsiTheme="minorHAnsi"/>
          <w:snapToGrid w:val="0"/>
          <w:lang w:val="en-GB"/>
        </w:rPr>
        <w:t>6.29</w:t>
      </w:r>
      <w:r w:rsidR="0000548F">
        <w:rPr>
          <w:rFonts w:asciiTheme="minorHAnsi" w:hAnsiTheme="minorHAnsi"/>
          <w:snapToGrid w:val="0"/>
          <w:lang w:val="en-GB"/>
        </w:rPr>
        <w:fldChar w:fldCharType="end"/>
      </w:r>
      <w:r w:rsidR="00091980">
        <w:rPr>
          <w:rFonts w:asciiTheme="minorHAnsi" w:hAnsiTheme="minorHAnsi"/>
          <w:snapToGrid w:val="0"/>
          <w:lang w:val="en-GB"/>
        </w:rPr>
        <w:t xml:space="preserve">). </w:t>
      </w:r>
      <w:r w:rsidR="00DF1503">
        <w:rPr>
          <w:rFonts w:asciiTheme="minorHAnsi" w:hAnsiTheme="minorHAnsi"/>
          <w:snapToGrid w:val="0"/>
          <w:lang w:val="en-GB"/>
        </w:rPr>
        <w:t>The PBAC noted that</w:t>
      </w:r>
      <w:r w:rsidR="00061EE3">
        <w:rPr>
          <w:rFonts w:asciiTheme="minorHAnsi" w:hAnsiTheme="minorHAnsi"/>
          <w:snapToGrid w:val="0"/>
          <w:lang w:val="en-GB"/>
        </w:rPr>
        <w:t>, although the submission did not nominate minim</w:t>
      </w:r>
      <w:r w:rsidR="001A1F77">
        <w:rPr>
          <w:rFonts w:asciiTheme="minorHAnsi" w:hAnsiTheme="minorHAnsi"/>
          <w:snapToGrid w:val="0"/>
          <w:lang w:val="en-GB"/>
        </w:rPr>
        <w:t>um</w:t>
      </w:r>
      <w:r w:rsidR="00061EE3">
        <w:rPr>
          <w:rFonts w:asciiTheme="minorHAnsi" w:hAnsiTheme="minorHAnsi"/>
          <w:snapToGrid w:val="0"/>
          <w:lang w:val="en-GB"/>
        </w:rPr>
        <w:t xml:space="preserve"> clinically important </w:t>
      </w:r>
      <w:r w:rsidR="00061EE3">
        <w:rPr>
          <w:rFonts w:asciiTheme="minorHAnsi" w:hAnsiTheme="minorHAnsi"/>
          <w:snapToGrid w:val="0"/>
          <w:lang w:val="en-GB"/>
        </w:rPr>
        <w:lastRenderedPageBreak/>
        <w:t>difference</w:t>
      </w:r>
      <w:r w:rsidR="005613FF">
        <w:rPr>
          <w:rFonts w:asciiTheme="minorHAnsi" w:hAnsiTheme="minorHAnsi"/>
          <w:snapToGrid w:val="0"/>
          <w:lang w:val="en-GB"/>
        </w:rPr>
        <w:t>s</w:t>
      </w:r>
      <w:r w:rsidR="003A6ADD">
        <w:rPr>
          <w:rFonts w:asciiTheme="minorHAnsi" w:hAnsiTheme="minorHAnsi"/>
          <w:snapToGrid w:val="0"/>
          <w:lang w:val="en-GB"/>
        </w:rPr>
        <w:t xml:space="preserve"> and </w:t>
      </w:r>
      <w:r w:rsidR="00D044A8">
        <w:rPr>
          <w:rFonts w:asciiTheme="minorHAnsi" w:hAnsiTheme="minorHAnsi"/>
          <w:snapToGrid w:val="0"/>
          <w:lang w:val="en-GB"/>
        </w:rPr>
        <w:t xml:space="preserve">there </w:t>
      </w:r>
      <w:r w:rsidR="00DF1503">
        <w:rPr>
          <w:rFonts w:asciiTheme="minorHAnsi" w:hAnsiTheme="minorHAnsi"/>
          <w:snapToGrid w:val="0"/>
          <w:lang w:val="en-GB"/>
        </w:rPr>
        <w:t xml:space="preserve">were no statistically significant differences </w:t>
      </w:r>
      <w:r w:rsidR="00375C79">
        <w:rPr>
          <w:rFonts w:asciiTheme="minorHAnsi" w:hAnsiTheme="minorHAnsi"/>
          <w:snapToGrid w:val="0"/>
          <w:lang w:val="en-GB"/>
        </w:rPr>
        <w:t xml:space="preserve">between </w:t>
      </w:r>
      <w:proofErr w:type="spellStart"/>
      <w:r w:rsidR="00EE490D">
        <w:rPr>
          <w:rFonts w:asciiTheme="minorHAnsi" w:hAnsiTheme="minorHAnsi"/>
          <w:snapToGrid w:val="0"/>
          <w:lang w:val="en-GB"/>
        </w:rPr>
        <w:t>elafibranor</w:t>
      </w:r>
      <w:proofErr w:type="spellEnd"/>
      <w:r w:rsidR="00EE490D">
        <w:rPr>
          <w:rFonts w:asciiTheme="minorHAnsi" w:hAnsiTheme="minorHAnsi"/>
          <w:snapToGrid w:val="0"/>
          <w:lang w:val="en-GB"/>
        </w:rPr>
        <w:t xml:space="preserve"> and OCA</w:t>
      </w:r>
      <w:r w:rsidR="00605E1E">
        <w:rPr>
          <w:rFonts w:asciiTheme="minorHAnsi" w:hAnsiTheme="minorHAnsi"/>
          <w:snapToGrid w:val="0"/>
          <w:lang w:val="en-GB"/>
        </w:rPr>
        <w:t xml:space="preserve"> </w:t>
      </w:r>
      <w:r w:rsidR="00257F4E">
        <w:rPr>
          <w:rFonts w:asciiTheme="minorHAnsi" w:hAnsiTheme="minorHAnsi"/>
          <w:snapToGrid w:val="0"/>
          <w:lang w:val="en-GB"/>
        </w:rPr>
        <w:t>in any of the comparisons</w:t>
      </w:r>
      <w:r w:rsidR="00D044A8">
        <w:rPr>
          <w:rFonts w:asciiTheme="minorHAnsi" w:hAnsiTheme="minorHAnsi"/>
          <w:snapToGrid w:val="0"/>
          <w:lang w:val="en-GB"/>
        </w:rPr>
        <w:t xml:space="preserve">, </w:t>
      </w:r>
      <w:r w:rsidR="0052198D">
        <w:rPr>
          <w:rFonts w:asciiTheme="minorHAnsi" w:hAnsiTheme="minorHAnsi"/>
          <w:snapToGrid w:val="0"/>
          <w:lang w:val="en-GB"/>
        </w:rPr>
        <w:t xml:space="preserve">the point estimates favoured </w:t>
      </w:r>
      <w:proofErr w:type="spellStart"/>
      <w:r w:rsidR="0052198D">
        <w:rPr>
          <w:rFonts w:asciiTheme="minorHAnsi" w:hAnsiTheme="minorHAnsi"/>
          <w:snapToGrid w:val="0"/>
          <w:lang w:val="en-GB"/>
        </w:rPr>
        <w:t>elafibranor</w:t>
      </w:r>
      <w:proofErr w:type="spellEnd"/>
      <w:r w:rsidR="00605E1E">
        <w:rPr>
          <w:rFonts w:asciiTheme="minorHAnsi" w:hAnsiTheme="minorHAnsi"/>
          <w:snapToGrid w:val="0"/>
          <w:lang w:val="en-GB"/>
        </w:rPr>
        <w:t xml:space="preserve"> </w:t>
      </w:r>
      <w:r w:rsidR="00375C79">
        <w:rPr>
          <w:rFonts w:asciiTheme="minorHAnsi" w:hAnsiTheme="minorHAnsi"/>
          <w:snapToGrid w:val="0"/>
          <w:lang w:val="en-GB"/>
        </w:rPr>
        <w:t xml:space="preserve">(see </w:t>
      </w:r>
      <w:r w:rsidR="00375C79">
        <w:rPr>
          <w:rFonts w:asciiTheme="minorHAnsi" w:hAnsiTheme="minorHAnsi"/>
          <w:snapToGrid w:val="0"/>
          <w:lang w:val="en-GB"/>
        </w:rPr>
        <w:fldChar w:fldCharType="begin" w:fldLock="1"/>
      </w:r>
      <w:r w:rsidR="00375C79">
        <w:rPr>
          <w:rFonts w:asciiTheme="minorHAnsi" w:hAnsiTheme="minorHAnsi"/>
          <w:snapToGrid w:val="0"/>
          <w:lang w:val="en-GB"/>
        </w:rPr>
        <w:instrText xml:space="preserve"> REF _Ref184673880 \h </w:instrText>
      </w:r>
      <w:r w:rsidR="00375C79">
        <w:rPr>
          <w:rFonts w:asciiTheme="minorHAnsi" w:hAnsiTheme="minorHAnsi"/>
          <w:snapToGrid w:val="0"/>
          <w:lang w:val="en-GB"/>
        </w:rPr>
      </w:r>
      <w:r w:rsidR="00375C79">
        <w:rPr>
          <w:rFonts w:asciiTheme="minorHAnsi" w:hAnsiTheme="minorHAnsi"/>
          <w:snapToGrid w:val="0"/>
          <w:lang w:val="en-GB"/>
        </w:rPr>
        <w:fldChar w:fldCharType="separate"/>
      </w:r>
      <w:r w:rsidR="00375C79" w:rsidRPr="05042C88">
        <w:t xml:space="preserve">Table </w:t>
      </w:r>
      <w:r w:rsidR="00375C79" w:rsidRPr="05042C88">
        <w:rPr>
          <w:noProof/>
        </w:rPr>
        <w:t>7</w:t>
      </w:r>
      <w:r w:rsidR="00375C79">
        <w:rPr>
          <w:rFonts w:asciiTheme="minorHAnsi" w:hAnsiTheme="minorHAnsi"/>
          <w:snapToGrid w:val="0"/>
          <w:lang w:val="en-GB"/>
        </w:rPr>
        <w:fldChar w:fldCharType="end"/>
      </w:r>
      <w:r w:rsidR="00B74F65">
        <w:rPr>
          <w:rFonts w:asciiTheme="minorHAnsi" w:hAnsiTheme="minorHAnsi"/>
          <w:snapToGrid w:val="0"/>
          <w:lang w:val="en-GB"/>
        </w:rPr>
        <w:t xml:space="preserve"> and </w:t>
      </w:r>
      <w:r w:rsidR="00375C79">
        <w:rPr>
          <w:rFonts w:asciiTheme="minorHAnsi" w:hAnsiTheme="minorHAnsi"/>
          <w:snapToGrid w:val="0"/>
          <w:lang w:val="en-GB"/>
        </w:rPr>
        <w:fldChar w:fldCharType="begin" w:fldLock="1"/>
      </w:r>
      <w:r w:rsidR="00375C79">
        <w:rPr>
          <w:rFonts w:asciiTheme="minorHAnsi" w:hAnsiTheme="minorHAnsi"/>
          <w:snapToGrid w:val="0"/>
          <w:lang w:val="en-GB"/>
        </w:rPr>
        <w:instrText xml:space="preserve"> REF _Ref184673873 \h </w:instrText>
      </w:r>
      <w:r w:rsidR="00375C79">
        <w:rPr>
          <w:rFonts w:asciiTheme="minorHAnsi" w:hAnsiTheme="minorHAnsi"/>
          <w:snapToGrid w:val="0"/>
          <w:lang w:val="en-GB"/>
        </w:rPr>
      </w:r>
      <w:r w:rsidR="00375C79">
        <w:rPr>
          <w:rFonts w:asciiTheme="minorHAnsi" w:hAnsiTheme="minorHAnsi"/>
          <w:snapToGrid w:val="0"/>
          <w:lang w:val="en-GB"/>
        </w:rPr>
        <w:fldChar w:fldCharType="separate"/>
      </w:r>
      <w:r w:rsidR="00375C79">
        <w:t xml:space="preserve">Table </w:t>
      </w:r>
      <w:r w:rsidR="00375C79">
        <w:rPr>
          <w:noProof/>
        </w:rPr>
        <w:t>8</w:t>
      </w:r>
      <w:r w:rsidR="00375C79">
        <w:rPr>
          <w:rFonts w:asciiTheme="minorHAnsi" w:hAnsiTheme="minorHAnsi"/>
          <w:snapToGrid w:val="0"/>
          <w:lang w:val="en-GB"/>
        </w:rPr>
        <w:fldChar w:fldCharType="end"/>
      </w:r>
      <w:r w:rsidR="00B74F65">
        <w:rPr>
          <w:rFonts w:asciiTheme="minorHAnsi" w:hAnsiTheme="minorHAnsi"/>
          <w:snapToGrid w:val="0"/>
          <w:lang w:val="en-GB"/>
        </w:rPr>
        <w:t>).</w:t>
      </w:r>
    </w:p>
    <w:p w14:paraId="063819F0" w14:textId="76079EE9" w:rsidR="00B74F65" w:rsidRDefault="00B74F65"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clinical claim that </w:t>
      </w:r>
      <w:proofErr w:type="spellStart"/>
      <w:r>
        <w:rPr>
          <w:rFonts w:asciiTheme="minorHAnsi" w:hAnsiTheme="minorHAnsi"/>
          <w:snapToGrid w:val="0"/>
          <w:lang w:val="en-GB"/>
        </w:rPr>
        <w:t>elafibranor</w:t>
      </w:r>
      <w:proofErr w:type="spellEnd"/>
      <w:r>
        <w:rPr>
          <w:rFonts w:asciiTheme="minorHAnsi" w:hAnsiTheme="minorHAnsi"/>
          <w:snapToGrid w:val="0"/>
          <w:lang w:val="en-GB"/>
        </w:rPr>
        <w:t xml:space="preserve"> was non-inferior compared to OCA</w:t>
      </w:r>
      <w:r w:rsidR="00C27211">
        <w:rPr>
          <w:rFonts w:asciiTheme="minorHAnsi" w:hAnsiTheme="minorHAnsi"/>
          <w:snapToGrid w:val="0"/>
          <w:lang w:val="en-GB"/>
        </w:rPr>
        <w:t xml:space="preserve"> in terms of effectiveness was reasonable.</w:t>
      </w:r>
    </w:p>
    <w:p w14:paraId="3F2EE1A5" w14:textId="1F185067" w:rsidR="00CA4080" w:rsidRPr="00CA4080" w:rsidRDefault="00420EAD" w:rsidP="00CA4080">
      <w:pPr>
        <w:widowControl w:val="0"/>
        <w:numPr>
          <w:ilvl w:val="1"/>
          <w:numId w:val="1"/>
        </w:numPr>
        <w:spacing w:after="120"/>
        <w:ind w:left="720"/>
        <w:rPr>
          <w:rFonts w:asciiTheme="minorHAnsi" w:hAnsiTheme="minorHAnsi"/>
          <w:snapToGrid w:val="0"/>
          <w:lang w:val="en-GB"/>
        </w:rPr>
      </w:pPr>
      <w:r w:rsidRPr="00420EAD">
        <w:rPr>
          <w:rFonts w:asciiTheme="minorHAnsi" w:hAnsiTheme="minorHAnsi"/>
          <w:snapToGrid w:val="0"/>
        </w:rPr>
        <w:t xml:space="preserve">The PBAC noted that in the ELATIVE trial </w:t>
      </w:r>
      <w:proofErr w:type="spellStart"/>
      <w:r>
        <w:rPr>
          <w:rFonts w:asciiTheme="minorHAnsi" w:hAnsiTheme="minorHAnsi"/>
          <w:snapToGrid w:val="0"/>
        </w:rPr>
        <w:t>elafibranor</w:t>
      </w:r>
      <w:proofErr w:type="spellEnd"/>
      <w:r>
        <w:rPr>
          <w:rFonts w:asciiTheme="minorHAnsi" w:hAnsiTheme="minorHAnsi"/>
          <w:snapToGrid w:val="0"/>
        </w:rPr>
        <w:t xml:space="preserve"> was associated with </w:t>
      </w:r>
      <w:r w:rsidRPr="00420EAD">
        <w:rPr>
          <w:rFonts w:asciiTheme="minorHAnsi" w:hAnsiTheme="minorHAnsi"/>
          <w:snapToGrid w:val="0"/>
        </w:rPr>
        <w:t xml:space="preserve">a reduction in </w:t>
      </w:r>
      <w:proofErr w:type="spellStart"/>
      <w:r w:rsidRPr="00420EAD">
        <w:rPr>
          <w:rFonts w:asciiTheme="minorHAnsi" w:hAnsiTheme="minorHAnsi"/>
          <w:snapToGrid w:val="0"/>
        </w:rPr>
        <w:t>pruritis</w:t>
      </w:r>
      <w:proofErr w:type="spellEnd"/>
      <w:r w:rsidRPr="00420EAD">
        <w:rPr>
          <w:rFonts w:asciiTheme="minorHAnsi" w:hAnsiTheme="minorHAnsi"/>
          <w:snapToGrid w:val="0"/>
        </w:rPr>
        <w:t xml:space="preserve"> compared </w:t>
      </w:r>
      <w:r>
        <w:rPr>
          <w:rFonts w:asciiTheme="minorHAnsi" w:hAnsiTheme="minorHAnsi"/>
          <w:snapToGrid w:val="0"/>
        </w:rPr>
        <w:t>to</w:t>
      </w:r>
      <w:r w:rsidRPr="00420EAD">
        <w:rPr>
          <w:rFonts w:asciiTheme="minorHAnsi" w:hAnsiTheme="minorHAnsi"/>
          <w:snapToGrid w:val="0"/>
        </w:rPr>
        <w:t xml:space="preserve"> placebo based on the 5-D Itch </w:t>
      </w:r>
      <w:r w:rsidR="00003617">
        <w:rPr>
          <w:rFonts w:asciiTheme="minorHAnsi" w:hAnsiTheme="minorHAnsi"/>
          <w:snapToGrid w:val="0"/>
        </w:rPr>
        <w:t>S</w:t>
      </w:r>
      <w:r w:rsidRPr="00420EAD">
        <w:rPr>
          <w:rFonts w:asciiTheme="minorHAnsi" w:hAnsiTheme="minorHAnsi"/>
          <w:snapToGrid w:val="0"/>
        </w:rPr>
        <w:t xml:space="preserve">cale and </w:t>
      </w:r>
      <w:r w:rsidR="00003617">
        <w:rPr>
          <w:rFonts w:asciiTheme="minorHAnsi" w:hAnsiTheme="minorHAnsi"/>
          <w:snapToGrid w:val="0"/>
        </w:rPr>
        <w:t xml:space="preserve">the </w:t>
      </w:r>
      <w:r w:rsidRPr="00420EAD">
        <w:rPr>
          <w:rFonts w:asciiTheme="minorHAnsi" w:hAnsiTheme="minorHAnsi"/>
          <w:snapToGrid w:val="0"/>
        </w:rPr>
        <w:t xml:space="preserve">Itch </w:t>
      </w:r>
      <w:r w:rsidR="00003617">
        <w:rPr>
          <w:rFonts w:asciiTheme="minorHAnsi" w:hAnsiTheme="minorHAnsi"/>
          <w:snapToGrid w:val="0"/>
        </w:rPr>
        <w:t>D</w:t>
      </w:r>
      <w:r w:rsidRPr="00420EAD">
        <w:rPr>
          <w:rFonts w:asciiTheme="minorHAnsi" w:hAnsiTheme="minorHAnsi"/>
          <w:snapToGrid w:val="0"/>
        </w:rPr>
        <w:t>omain of the PBC-40</w:t>
      </w:r>
      <w:r w:rsidR="00CA4080">
        <w:rPr>
          <w:rFonts w:asciiTheme="minorHAnsi" w:hAnsiTheme="minorHAnsi"/>
          <w:snapToGrid w:val="0"/>
        </w:rPr>
        <w:t xml:space="preserve">. However, the PBAC considered that </w:t>
      </w:r>
      <w:r w:rsidRPr="00420EAD">
        <w:rPr>
          <w:rFonts w:asciiTheme="minorHAnsi" w:hAnsiTheme="minorHAnsi"/>
          <w:snapToGrid w:val="0"/>
        </w:rPr>
        <w:t>the clinical significance of the differences w</w:t>
      </w:r>
      <w:r w:rsidR="001D202F">
        <w:rPr>
          <w:rFonts w:asciiTheme="minorHAnsi" w:hAnsiTheme="minorHAnsi"/>
          <w:snapToGrid w:val="0"/>
        </w:rPr>
        <w:t>as</w:t>
      </w:r>
      <w:r w:rsidRPr="00420EAD">
        <w:rPr>
          <w:rFonts w:asciiTheme="minorHAnsi" w:hAnsiTheme="minorHAnsi"/>
          <w:snapToGrid w:val="0"/>
        </w:rPr>
        <w:t xml:space="preserve"> unclear</w:t>
      </w:r>
      <w:r w:rsidR="00CA4080">
        <w:rPr>
          <w:rFonts w:asciiTheme="minorHAnsi" w:hAnsiTheme="minorHAnsi"/>
          <w:snapToGrid w:val="0"/>
        </w:rPr>
        <w:t xml:space="preserve">, noting that </w:t>
      </w:r>
      <w:r w:rsidRPr="00420EAD">
        <w:rPr>
          <w:rFonts w:asciiTheme="minorHAnsi" w:hAnsiTheme="minorHAnsi"/>
          <w:snapToGrid w:val="0"/>
        </w:rPr>
        <w:t>an improvement in global quality of life</w:t>
      </w:r>
      <w:r w:rsidR="00CA4080">
        <w:rPr>
          <w:rFonts w:asciiTheme="minorHAnsi" w:hAnsiTheme="minorHAnsi"/>
          <w:snapToGrid w:val="0"/>
        </w:rPr>
        <w:t>,</w:t>
      </w:r>
      <w:r w:rsidRPr="00420EAD">
        <w:rPr>
          <w:rFonts w:asciiTheme="minorHAnsi" w:hAnsiTheme="minorHAnsi"/>
          <w:snapToGrid w:val="0"/>
        </w:rPr>
        <w:t xml:space="preserve"> as measured by the total PBC-40 scale and EQ-5D-5L</w:t>
      </w:r>
      <w:r w:rsidR="00CA4080">
        <w:rPr>
          <w:rFonts w:asciiTheme="minorHAnsi" w:hAnsiTheme="minorHAnsi"/>
          <w:snapToGrid w:val="0"/>
        </w:rPr>
        <w:t>,</w:t>
      </w:r>
      <w:r w:rsidRPr="00420EAD">
        <w:rPr>
          <w:rFonts w:asciiTheme="minorHAnsi" w:hAnsiTheme="minorHAnsi"/>
          <w:snapToGrid w:val="0"/>
        </w:rPr>
        <w:t xml:space="preserve"> was not observed.</w:t>
      </w:r>
    </w:p>
    <w:p w14:paraId="2E8B43B1" w14:textId="0A1C60DF" w:rsidR="00CA4080" w:rsidRPr="00CA4080" w:rsidRDefault="00CA4080" w:rsidP="00CA4080">
      <w:pPr>
        <w:widowControl w:val="0"/>
        <w:numPr>
          <w:ilvl w:val="1"/>
          <w:numId w:val="1"/>
        </w:numPr>
        <w:spacing w:after="120"/>
        <w:ind w:left="720"/>
        <w:rPr>
          <w:rFonts w:asciiTheme="minorHAnsi" w:hAnsiTheme="minorHAnsi" w:cstheme="minorHAnsi"/>
          <w:snapToGrid w:val="0"/>
          <w:lang w:val="en-GB"/>
        </w:rPr>
      </w:pPr>
      <w:r w:rsidRPr="00CA4080">
        <w:rPr>
          <w:rStyle w:val="cf01"/>
          <w:rFonts w:asciiTheme="minorHAnsi" w:hAnsiTheme="minorHAnsi" w:cstheme="minorHAnsi"/>
          <w:sz w:val="24"/>
          <w:szCs w:val="24"/>
        </w:rPr>
        <w:t xml:space="preserve">The </w:t>
      </w:r>
      <w:r w:rsidR="003A1617">
        <w:rPr>
          <w:rStyle w:val="cf01"/>
          <w:rFonts w:asciiTheme="minorHAnsi" w:hAnsiTheme="minorHAnsi" w:cstheme="minorHAnsi"/>
          <w:sz w:val="24"/>
          <w:szCs w:val="24"/>
        </w:rPr>
        <w:t xml:space="preserve">PBAC noted that the </w:t>
      </w:r>
      <w:r w:rsidRPr="00CA4080">
        <w:rPr>
          <w:rStyle w:val="cf01"/>
          <w:rFonts w:asciiTheme="minorHAnsi" w:hAnsiTheme="minorHAnsi" w:cstheme="minorHAnsi"/>
          <w:sz w:val="24"/>
          <w:szCs w:val="24"/>
        </w:rPr>
        <w:t xml:space="preserve">indirect treatment comparisons suggested </w:t>
      </w:r>
      <w:proofErr w:type="spellStart"/>
      <w:r w:rsidRPr="00CA4080">
        <w:rPr>
          <w:rStyle w:val="cf01"/>
          <w:rFonts w:asciiTheme="minorHAnsi" w:hAnsiTheme="minorHAnsi" w:cstheme="minorHAnsi"/>
          <w:sz w:val="24"/>
          <w:szCs w:val="24"/>
        </w:rPr>
        <w:t>elafibranor</w:t>
      </w:r>
      <w:proofErr w:type="spellEnd"/>
      <w:r w:rsidRPr="00CA4080">
        <w:rPr>
          <w:rStyle w:val="cf01"/>
          <w:rFonts w:asciiTheme="minorHAnsi" w:hAnsiTheme="minorHAnsi" w:cstheme="minorHAnsi"/>
          <w:sz w:val="24"/>
          <w:szCs w:val="24"/>
        </w:rPr>
        <w:t xml:space="preserve"> </w:t>
      </w:r>
      <w:r w:rsidR="003A1617">
        <w:rPr>
          <w:rStyle w:val="cf01"/>
          <w:rFonts w:asciiTheme="minorHAnsi" w:hAnsiTheme="minorHAnsi" w:cstheme="minorHAnsi"/>
          <w:sz w:val="24"/>
          <w:szCs w:val="24"/>
        </w:rPr>
        <w:t>was</w:t>
      </w:r>
      <w:r w:rsidRPr="00CA4080">
        <w:rPr>
          <w:rStyle w:val="cf01"/>
          <w:rFonts w:asciiTheme="minorHAnsi" w:hAnsiTheme="minorHAnsi" w:cstheme="minorHAnsi"/>
          <w:sz w:val="24"/>
          <w:szCs w:val="24"/>
        </w:rPr>
        <w:t xml:space="preserve"> associated with less prurit</w:t>
      </w:r>
      <w:r w:rsidR="001E49B5">
        <w:rPr>
          <w:rStyle w:val="cf01"/>
          <w:rFonts w:asciiTheme="minorHAnsi" w:hAnsiTheme="minorHAnsi" w:cstheme="minorHAnsi"/>
          <w:sz w:val="24"/>
          <w:szCs w:val="24"/>
        </w:rPr>
        <w:t>us</w:t>
      </w:r>
      <w:r w:rsidRPr="00CA4080">
        <w:rPr>
          <w:rStyle w:val="cf01"/>
          <w:rFonts w:asciiTheme="minorHAnsi" w:hAnsiTheme="minorHAnsi" w:cstheme="minorHAnsi"/>
          <w:sz w:val="24"/>
          <w:szCs w:val="24"/>
        </w:rPr>
        <w:t xml:space="preserve"> based on the 5-D Itch scale and PBC-40 Itch-domain </w:t>
      </w:r>
      <w:r w:rsidRPr="00CA4080">
        <w:rPr>
          <w:rStyle w:val="cf11"/>
          <w:rFonts w:asciiTheme="minorHAnsi" w:hAnsiTheme="minorHAnsi" w:cstheme="minorHAnsi"/>
          <w:sz w:val="24"/>
          <w:szCs w:val="24"/>
        </w:rPr>
        <w:t>(</w:t>
      </w:r>
      <w:r w:rsidR="003A1617">
        <w:rPr>
          <w:rStyle w:val="cf11"/>
          <w:rFonts w:asciiTheme="minorHAnsi" w:hAnsiTheme="minorHAnsi" w:cstheme="minorHAnsi"/>
          <w:sz w:val="24"/>
          <w:szCs w:val="24"/>
        </w:rPr>
        <w:t xml:space="preserve">see </w:t>
      </w:r>
      <w:r w:rsidR="003A1617">
        <w:rPr>
          <w:rStyle w:val="cf11"/>
          <w:rFonts w:asciiTheme="minorHAnsi" w:hAnsiTheme="minorHAnsi" w:cstheme="minorHAnsi"/>
          <w:sz w:val="24"/>
          <w:szCs w:val="24"/>
        </w:rPr>
        <w:fldChar w:fldCharType="begin" w:fldLock="1"/>
      </w:r>
      <w:r w:rsidR="003A1617">
        <w:rPr>
          <w:rStyle w:val="cf11"/>
          <w:rFonts w:asciiTheme="minorHAnsi" w:hAnsiTheme="minorHAnsi" w:cstheme="minorHAnsi"/>
          <w:sz w:val="24"/>
          <w:szCs w:val="24"/>
        </w:rPr>
        <w:instrText xml:space="preserve"> REF _Ref184675316 \h </w:instrText>
      </w:r>
      <w:r w:rsidR="003A1617">
        <w:rPr>
          <w:rStyle w:val="cf11"/>
          <w:rFonts w:asciiTheme="minorHAnsi" w:hAnsiTheme="minorHAnsi" w:cstheme="minorHAnsi"/>
          <w:sz w:val="24"/>
          <w:szCs w:val="24"/>
        </w:rPr>
      </w:r>
      <w:r w:rsidR="003A1617">
        <w:rPr>
          <w:rStyle w:val="cf11"/>
          <w:rFonts w:asciiTheme="minorHAnsi" w:hAnsiTheme="minorHAnsi" w:cstheme="minorHAnsi"/>
          <w:sz w:val="24"/>
          <w:szCs w:val="24"/>
        </w:rPr>
        <w:fldChar w:fldCharType="separate"/>
      </w:r>
      <w:r w:rsidR="003A1617">
        <w:t xml:space="preserve">Table </w:t>
      </w:r>
      <w:r w:rsidR="003A1617">
        <w:rPr>
          <w:noProof/>
        </w:rPr>
        <w:t>10</w:t>
      </w:r>
      <w:r w:rsidR="003A1617">
        <w:rPr>
          <w:rStyle w:val="cf11"/>
          <w:rFonts w:asciiTheme="minorHAnsi" w:hAnsiTheme="minorHAnsi" w:cstheme="minorHAnsi"/>
          <w:sz w:val="24"/>
          <w:szCs w:val="24"/>
        </w:rPr>
        <w:fldChar w:fldCharType="end"/>
      </w:r>
      <w:r w:rsidRPr="00CA4080">
        <w:rPr>
          <w:rStyle w:val="cf11"/>
          <w:rFonts w:asciiTheme="minorHAnsi" w:hAnsiTheme="minorHAnsi" w:cstheme="minorHAnsi"/>
          <w:sz w:val="24"/>
          <w:szCs w:val="24"/>
        </w:rPr>
        <w:t>)</w:t>
      </w:r>
      <w:r w:rsidR="005D6C40">
        <w:rPr>
          <w:rStyle w:val="cf11"/>
          <w:rFonts w:asciiTheme="minorHAnsi" w:hAnsiTheme="minorHAnsi" w:cstheme="minorHAnsi"/>
          <w:sz w:val="24"/>
          <w:szCs w:val="24"/>
        </w:rPr>
        <w:t xml:space="preserve"> compared to OCA</w:t>
      </w:r>
      <w:r w:rsidRPr="00CA4080">
        <w:rPr>
          <w:rStyle w:val="cf01"/>
          <w:rFonts w:asciiTheme="minorHAnsi" w:hAnsiTheme="minorHAnsi" w:cstheme="minorHAnsi"/>
          <w:sz w:val="24"/>
          <w:szCs w:val="24"/>
        </w:rPr>
        <w:t xml:space="preserve">, and there was a reduced </w:t>
      </w:r>
      <w:r w:rsidR="005D6C40">
        <w:rPr>
          <w:rStyle w:val="cf01"/>
          <w:rFonts w:asciiTheme="minorHAnsi" w:hAnsiTheme="minorHAnsi" w:cstheme="minorHAnsi"/>
          <w:sz w:val="24"/>
          <w:szCs w:val="24"/>
        </w:rPr>
        <w:t>occur</w:t>
      </w:r>
      <w:r w:rsidR="001D202F">
        <w:rPr>
          <w:rStyle w:val="cf01"/>
          <w:rFonts w:asciiTheme="minorHAnsi" w:hAnsiTheme="minorHAnsi" w:cstheme="minorHAnsi"/>
          <w:sz w:val="24"/>
          <w:szCs w:val="24"/>
        </w:rPr>
        <w:t>r</w:t>
      </w:r>
      <w:r w:rsidR="005D6C40">
        <w:rPr>
          <w:rStyle w:val="cf01"/>
          <w:rFonts w:asciiTheme="minorHAnsi" w:hAnsiTheme="minorHAnsi" w:cstheme="minorHAnsi"/>
          <w:sz w:val="24"/>
          <w:szCs w:val="24"/>
        </w:rPr>
        <w:t>ence</w:t>
      </w:r>
      <w:r w:rsidRPr="00CA4080">
        <w:rPr>
          <w:rStyle w:val="cf01"/>
          <w:rFonts w:asciiTheme="minorHAnsi" w:hAnsiTheme="minorHAnsi" w:cstheme="minorHAnsi"/>
          <w:sz w:val="24"/>
          <w:szCs w:val="24"/>
        </w:rPr>
        <w:t xml:space="preserve"> of </w:t>
      </w:r>
      <w:r w:rsidRPr="00CA4080">
        <w:rPr>
          <w:rStyle w:val="cf11"/>
          <w:rFonts w:asciiTheme="minorHAnsi" w:hAnsiTheme="minorHAnsi" w:cstheme="minorHAnsi"/>
          <w:sz w:val="24"/>
          <w:szCs w:val="24"/>
        </w:rPr>
        <w:t>pruritus treatment emergent adverse events and discontinuations due to pruritus (see</w:t>
      </w:r>
      <w:r w:rsidR="001D202F">
        <w:rPr>
          <w:rStyle w:val="cf11"/>
          <w:rFonts w:asciiTheme="minorHAnsi" w:hAnsiTheme="minorHAnsi" w:cstheme="minorHAnsi"/>
          <w:sz w:val="24"/>
          <w:szCs w:val="24"/>
        </w:rPr>
        <w:t xml:space="preserve"> </w:t>
      </w:r>
      <w:r w:rsidR="001D202F">
        <w:rPr>
          <w:rStyle w:val="cf11"/>
          <w:rFonts w:asciiTheme="minorHAnsi" w:hAnsiTheme="minorHAnsi" w:cstheme="minorHAnsi"/>
          <w:sz w:val="24"/>
          <w:szCs w:val="24"/>
        </w:rPr>
        <w:fldChar w:fldCharType="begin" w:fldLock="1"/>
      </w:r>
      <w:r w:rsidR="001D202F">
        <w:rPr>
          <w:rStyle w:val="cf11"/>
          <w:rFonts w:asciiTheme="minorHAnsi" w:hAnsiTheme="minorHAnsi" w:cstheme="minorHAnsi"/>
          <w:sz w:val="24"/>
          <w:szCs w:val="24"/>
        </w:rPr>
        <w:instrText xml:space="preserve"> REF _Ref184675317 \h </w:instrText>
      </w:r>
      <w:r w:rsidR="001D202F">
        <w:rPr>
          <w:rStyle w:val="cf11"/>
          <w:rFonts w:asciiTheme="minorHAnsi" w:hAnsiTheme="minorHAnsi" w:cstheme="minorHAnsi"/>
          <w:sz w:val="24"/>
          <w:szCs w:val="24"/>
        </w:rPr>
      </w:r>
      <w:r w:rsidR="001D202F">
        <w:rPr>
          <w:rStyle w:val="cf11"/>
          <w:rFonts w:asciiTheme="minorHAnsi" w:hAnsiTheme="minorHAnsi" w:cstheme="minorHAnsi"/>
          <w:sz w:val="24"/>
          <w:szCs w:val="24"/>
        </w:rPr>
        <w:fldChar w:fldCharType="separate"/>
      </w:r>
      <w:r w:rsidR="001D202F">
        <w:t xml:space="preserve">Table </w:t>
      </w:r>
      <w:r w:rsidR="001D202F">
        <w:rPr>
          <w:noProof/>
        </w:rPr>
        <w:t>11</w:t>
      </w:r>
      <w:r w:rsidR="001D202F">
        <w:rPr>
          <w:rStyle w:val="cf11"/>
          <w:rFonts w:asciiTheme="minorHAnsi" w:hAnsiTheme="minorHAnsi" w:cstheme="minorHAnsi"/>
          <w:sz w:val="24"/>
          <w:szCs w:val="24"/>
        </w:rPr>
        <w:fldChar w:fldCharType="end"/>
      </w:r>
      <w:r w:rsidRPr="00CA4080">
        <w:rPr>
          <w:rStyle w:val="cf11"/>
          <w:rFonts w:asciiTheme="minorHAnsi" w:hAnsiTheme="minorHAnsi" w:cstheme="minorHAnsi"/>
          <w:sz w:val="24"/>
          <w:szCs w:val="24"/>
        </w:rPr>
        <w:t xml:space="preserve">). However, the PBAC noted that there were differences across the trials which affected the assumption of transitivity; in particular, the POISE trial excluded patients with severe pruritus. Overall, the PBAC, noting that pruritus was a symptom of PBC, considered that there was likely a reduction in </w:t>
      </w:r>
      <w:r w:rsidR="002A1BEF">
        <w:rPr>
          <w:rStyle w:val="cf11"/>
          <w:rFonts w:asciiTheme="minorHAnsi" w:hAnsiTheme="minorHAnsi" w:cstheme="minorHAnsi"/>
          <w:sz w:val="24"/>
          <w:szCs w:val="24"/>
        </w:rPr>
        <w:t xml:space="preserve">PBC-related </w:t>
      </w:r>
      <w:r w:rsidRPr="00CA4080">
        <w:rPr>
          <w:rStyle w:val="cf11"/>
          <w:rFonts w:asciiTheme="minorHAnsi" w:hAnsiTheme="minorHAnsi" w:cstheme="minorHAnsi"/>
          <w:sz w:val="24"/>
          <w:szCs w:val="24"/>
        </w:rPr>
        <w:t xml:space="preserve">pruritus with </w:t>
      </w:r>
      <w:proofErr w:type="spellStart"/>
      <w:r w:rsidRPr="00CA4080">
        <w:rPr>
          <w:rStyle w:val="cf11"/>
          <w:rFonts w:asciiTheme="minorHAnsi" w:hAnsiTheme="minorHAnsi" w:cstheme="minorHAnsi"/>
          <w:sz w:val="24"/>
          <w:szCs w:val="24"/>
        </w:rPr>
        <w:t>elafibranor</w:t>
      </w:r>
      <w:proofErr w:type="spellEnd"/>
      <w:r w:rsidRPr="00CA4080">
        <w:rPr>
          <w:rStyle w:val="cf11"/>
          <w:rFonts w:asciiTheme="minorHAnsi" w:hAnsiTheme="minorHAnsi" w:cstheme="minorHAnsi"/>
          <w:sz w:val="24"/>
          <w:szCs w:val="24"/>
        </w:rPr>
        <w:t xml:space="preserve"> compared with OCA</w:t>
      </w:r>
      <w:r w:rsidR="002B1CCF">
        <w:rPr>
          <w:rStyle w:val="cf11"/>
          <w:rFonts w:asciiTheme="minorHAnsi" w:hAnsiTheme="minorHAnsi" w:cstheme="minorHAnsi"/>
          <w:sz w:val="24"/>
          <w:szCs w:val="24"/>
        </w:rPr>
        <w:t>;</w:t>
      </w:r>
      <w:r w:rsidRPr="00CA4080">
        <w:rPr>
          <w:rStyle w:val="cf11"/>
          <w:rFonts w:asciiTheme="minorHAnsi" w:hAnsiTheme="minorHAnsi" w:cstheme="minorHAnsi"/>
          <w:sz w:val="24"/>
          <w:szCs w:val="24"/>
        </w:rPr>
        <w:t xml:space="preserve"> however</w:t>
      </w:r>
      <w:r w:rsidR="002B1CCF">
        <w:rPr>
          <w:rStyle w:val="cf11"/>
          <w:rFonts w:asciiTheme="minorHAnsi" w:hAnsiTheme="minorHAnsi" w:cstheme="minorHAnsi"/>
          <w:sz w:val="24"/>
          <w:szCs w:val="24"/>
        </w:rPr>
        <w:t>,</w:t>
      </w:r>
      <w:r w:rsidRPr="00CA4080">
        <w:rPr>
          <w:rStyle w:val="cf11"/>
          <w:rFonts w:asciiTheme="minorHAnsi" w:hAnsiTheme="minorHAnsi" w:cstheme="minorHAnsi"/>
          <w:sz w:val="24"/>
          <w:szCs w:val="24"/>
        </w:rPr>
        <w:t xml:space="preserve"> the magnitude of the reduction and associated impact on </w:t>
      </w:r>
      <w:r w:rsidR="0051622F">
        <w:rPr>
          <w:rStyle w:val="cf11"/>
          <w:rFonts w:asciiTheme="minorHAnsi" w:hAnsiTheme="minorHAnsi" w:cstheme="minorHAnsi"/>
          <w:sz w:val="24"/>
          <w:szCs w:val="24"/>
        </w:rPr>
        <w:t xml:space="preserve">health-related quality of life and on </w:t>
      </w:r>
      <w:r w:rsidRPr="00CA4080">
        <w:rPr>
          <w:rStyle w:val="cf11"/>
          <w:rFonts w:asciiTheme="minorHAnsi" w:hAnsiTheme="minorHAnsi" w:cstheme="minorHAnsi"/>
          <w:sz w:val="24"/>
          <w:szCs w:val="24"/>
        </w:rPr>
        <w:t xml:space="preserve">the </w:t>
      </w:r>
      <w:r w:rsidR="0051622F">
        <w:rPr>
          <w:rStyle w:val="cf11"/>
          <w:rFonts w:asciiTheme="minorHAnsi" w:hAnsiTheme="minorHAnsi" w:cstheme="minorHAnsi"/>
          <w:sz w:val="24"/>
          <w:szCs w:val="24"/>
        </w:rPr>
        <w:t xml:space="preserve">overall </w:t>
      </w:r>
      <w:r w:rsidRPr="00CA4080">
        <w:rPr>
          <w:rStyle w:val="cf11"/>
          <w:rFonts w:asciiTheme="minorHAnsi" w:hAnsiTheme="minorHAnsi" w:cstheme="minorHAnsi"/>
          <w:sz w:val="24"/>
          <w:szCs w:val="24"/>
        </w:rPr>
        <w:t>management of PBC was unclear.</w:t>
      </w:r>
    </w:p>
    <w:p w14:paraId="74372684" w14:textId="69EF1ABE" w:rsidR="000F55E7" w:rsidRPr="000F55E7" w:rsidRDefault="00D571A4">
      <w:pPr>
        <w:widowControl w:val="0"/>
        <w:numPr>
          <w:ilvl w:val="1"/>
          <w:numId w:val="1"/>
        </w:numPr>
        <w:spacing w:after="120"/>
        <w:ind w:left="720"/>
        <w:rPr>
          <w:rFonts w:asciiTheme="minorHAnsi" w:hAnsiTheme="minorHAnsi"/>
          <w:snapToGrid w:val="0"/>
          <w:lang w:val="en-GB"/>
        </w:rPr>
      </w:pPr>
      <w:r w:rsidRPr="00D571A4">
        <w:rPr>
          <w:rFonts w:asciiTheme="minorHAnsi" w:hAnsiTheme="minorHAnsi"/>
          <w:snapToGrid w:val="0"/>
        </w:rPr>
        <w:t xml:space="preserve">The </w:t>
      </w:r>
      <w:r w:rsidR="00AC58BF">
        <w:rPr>
          <w:rFonts w:asciiTheme="minorHAnsi" w:hAnsiTheme="minorHAnsi"/>
          <w:snapToGrid w:val="0"/>
        </w:rPr>
        <w:t xml:space="preserve">submission claimed that </w:t>
      </w:r>
      <w:proofErr w:type="spellStart"/>
      <w:r w:rsidR="003B00CD">
        <w:rPr>
          <w:rFonts w:asciiTheme="minorHAnsi" w:hAnsiTheme="minorHAnsi"/>
          <w:snapToGrid w:val="0"/>
        </w:rPr>
        <w:t>elafibranor</w:t>
      </w:r>
      <w:proofErr w:type="spellEnd"/>
      <w:r w:rsidR="003B00CD">
        <w:rPr>
          <w:rFonts w:asciiTheme="minorHAnsi" w:hAnsiTheme="minorHAnsi"/>
          <w:snapToGrid w:val="0"/>
        </w:rPr>
        <w:t xml:space="preserve"> was superior to OCA</w:t>
      </w:r>
      <w:r w:rsidR="0067510C">
        <w:rPr>
          <w:rFonts w:asciiTheme="minorHAnsi" w:hAnsiTheme="minorHAnsi"/>
          <w:snapToGrid w:val="0"/>
        </w:rPr>
        <w:t xml:space="preserve">, primarily based on the </w:t>
      </w:r>
      <w:r w:rsidR="000A366F">
        <w:rPr>
          <w:rFonts w:asciiTheme="minorHAnsi" w:hAnsiTheme="minorHAnsi"/>
          <w:snapToGrid w:val="0"/>
        </w:rPr>
        <w:t xml:space="preserve">assumption that </w:t>
      </w:r>
      <w:proofErr w:type="spellStart"/>
      <w:r w:rsidR="00E806A0">
        <w:rPr>
          <w:rFonts w:asciiTheme="minorHAnsi" w:hAnsiTheme="minorHAnsi"/>
          <w:snapToGrid w:val="0"/>
        </w:rPr>
        <w:t>elafibranor</w:t>
      </w:r>
      <w:proofErr w:type="spellEnd"/>
      <w:r w:rsidR="00E806A0">
        <w:rPr>
          <w:rFonts w:asciiTheme="minorHAnsi" w:hAnsiTheme="minorHAnsi"/>
          <w:snapToGrid w:val="0"/>
        </w:rPr>
        <w:t xml:space="preserve"> </w:t>
      </w:r>
      <w:r w:rsidR="00D16B48">
        <w:rPr>
          <w:rFonts w:asciiTheme="minorHAnsi" w:hAnsiTheme="minorHAnsi"/>
          <w:snapToGrid w:val="0"/>
        </w:rPr>
        <w:t>resulted in less pruritus</w:t>
      </w:r>
      <w:r w:rsidR="007F3505">
        <w:rPr>
          <w:rFonts w:asciiTheme="minorHAnsi" w:hAnsiTheme="minorHAnsi"/>
          <w:snapToGrid w:val="0"/>
        </w:rPr>
        <w:t>. The</w:t>
      </w:r>
      <w:r w:rsidR="003B00CD">
        <w:rPr>
          <w:rFonts w:asciiTheme="minorHAnsi" w:hAnsiTheme="minorHAnsi"/>
          <w:snapToGrid w:val="0"/>
        </w:rPr>
        <w:t xml:space="preserve"> </w:t>
      </w:r>
      <w:r w:rsidRPr="00D571A4">
        <w:rPr>
          <w:rFonts w:asciiTheme="minorHAnsi" w:hAnsiTheme="minorHAnsi"/>
          <w:snapToGrid w:val="0"/>
        </w:rPr>
        <w:t xml:space="preserve">PBAC did not accept the submission’s claim of superior safety compared with OCA given the issues </w:t>
      </w:r>
      <w:r w:rsidR="00334CC9">
        <w:rPr>
          <w:rFonts w:asciiTheme="minorHAnsi" w:hAnsiTheme="minorHAnsi"/>
          <w:snapToGrid w:val="0"/>
        </w:rPr>
        <w:t xml:space="preserve">associated with </w:t>
      </w:r>
      <w:r w:rsidR="00B343CE">
        <w:rPr>
          <w:rFonts w:asciiTheme="minorHAnsi" w:hAnsiTheme="minorHAnsi"/>
          <w:snapToGrid w:val="0"/>
        </w:rPr>
        <w:t xml:space="preserve">the </w:t>
      </w:r>
      <w:r w:rsidR="00680F9C">
        <w:rPr>
          <w:rFonts w:asciiTheme="minorHAnsi" w:hAnsiTheme="minorHAnsi"/>
          <w:snapToGrid w:val="0"/>
        </w:rPr>
        <w:t>pruritus comparisons</w:t>
      </w:r>
      <w:r w:rsidR="00334CC9">
        <w:rPr>
          <w:rFonts w:asciiTheme="minorHAnsi" w:hAnsiTheme="minorHAnsi"/>
          <w:snapToGrid w:val="0"/>
        </w:rPr>
        <w:t xml:space="preserve"> </w:t>
      </w:r>
      <w:r w:rsidR="0051622F">
        <w:rPr>
          <w:rFonts w:asciiTheme="minorHAnsi" w:hAnsiTheme="minorHAnsi"/>
          <w:snapToGrid w:val="0"/>
        </w:rPr>
        <w:t>discussed</w:t>
      </w:r>
      <w:r w:rsidR="0051622F" w:rsidRPr="00D571A4">
        <w:rPr>
          <w:rFonts w:asciiTheme="minorHAnsi" w:hAnsiTheme="minorHAnsi"/>
          <w:snapToGrid w:val="0"/>
        </w:rPr>
        <w:t xml:space="preserve"> </w:t>
      </w:r>
      <w:r w:rsidRPr="00D571A4">
        <w:rPr>
          <w:rFonts w:asciiTheme="minorHAnsi" w:hAnsiTheme="minorHAnsi"/>
          <w:snapToGrid w:val="0"/>
        </w:rPr>
        <w:t xml:space="preserve">above. The PBAC </w:t>
      </w:r>
      <w:r w:rsidR="00EC4800">
        <w:rPr>
          <w:rFonts w:asciiTheme="minorHAnsi" w:hAnsiTheme="minorHAnsi"/>
          <w:snapToGrid w:val="0"/>
        </w:rPr>
        <w:t xml:space="preserve">acknowledged </w:t>
      </w:r>
      <w:r w:rsidR="000E4DCC">
        <w:rPr>
          <w:rFonts w:asciiTheme="minorHAnsi" w:hAnsiTheme="minorHAnsi"/>
          <w:snapToGrid w:val="0"/>
        </w:rPr>
        <w:t xml:space="preserve">that pruritus was a significant </w:t>
      </w:r>
      <w:r w:rsidR="0045362D">
        <w:rPr>
          <w:rFonts w:asciiTheme="minorHAnsi" w:hAnsiTheme="minorHAnsi"/>
          <w:snapToGrid w:val="0"/>
        </w:rPr>
        <w:t xml:space="preserve">issue for patients with PBC, but </w:t>
      </w:r>
      <w:r w:rsidRPr="00D571A4">
        <w:rPr>
          <w:rFonts w:asciiTheme="minorHAnsi" w:hAnsiTheme="minorHAnsi"/>
          <w:snapToGrid w:val="0"/>
        </w:rPr>
        <w:t xml:space="preserve">considered </w:t>
      </w:r>
      <w:r w:rsidR="00334CC9">
        <w:rPr>
          <w:rFonts w:asciiTheme="minorHAnsi" w:hAnsiTheme="minorHAnsi"/>
          <w:snapToGrid w:val="0"/>
        </w:rPr>
        <w:t xml:space="preserve">that </w:t>
      </w:r>
      <w:r w:rsidRPr="00D571A4">
        <w:rPr>
          <w:rFonts w:asciiTheme="minorHAnsi" w:hAnsiTheme="minorHAnsi"/>
          <w:snapToGrid w:val="0"/>
        </w:rPr>
        <w:t>overall</w:t>
      </w:r>
      <w:r w:rsidR="000F55E7">
        <w:rPr>
          <w:rFonts w:asciiTheme="minorHAnsi" w:hAnsiTheme="minorHAnsi"/>
          <w:snapToGrid w:val="0"/>
        </w:rPr>
        <w:t>,</w:t>
      </w:r>
      <w:r w:rsidRPr="00D571A4">
        <w:rPr>
          <w:rFonts w:asciiTheme="minorHAnsi" w:hAnsiTheme="minorHAnsi"/>
          <w:snapToGrid w:val="0"/>
        </w:rPr>
        <w:t xml:space="preserve"> a claim of </w:t>
      </w:r>
      <w:r w:rsidR="0045362D">
        <w:rPr>
          <w:rFonts w:asciiTheme="minorHAnsi" w:hAnsiTheme="minorHAnsi"/>
          <w:snapToGrid w:val="0"/>
        </w:rPr>
        <w:t xml:space="preserve">superior </w:t>
      </w:r>
      <w:r w:rsidR="007560E2">
        <w:rPr>
          <w:rFonts w:asciiTheme="minorHAnsi" w:hAnsiTheme="minorHAnsi"/>
          <w:snapToGrid w:val="0"/>
        </w:rPr>
        <w:t xml:space="preserve">safety had not been demonstrated. Overall, the PBAC considered that </w:t>
      </w:r>
      <w:proofErr w:type="spellStart"/>
      <w:r w:rsidR="00086FCE">
        <w:rPr>
          <w:rFonts w:asciiTheme="minorHAnsi" w:hAnsiTheme="minorHAnsi"/>
          <w:snapToGrid w:val="0"/>
        </w:rPr>
        <w:t>elafibranor</w:t>
      </w:r>
      <w:proofErr w:type="spellEnd"/>
      <w:r w:rsidR="00086FCE">
        <w:rPr>
          <w:rFonts w:asciiTheme="minorHAnsi" w:hAnsiTheme="minorHAnsi"/>
          <w:snapToGrid w:val="0"/>
        </w:rPr>
        <w:t xml:space="preserve"> was </w:t>
      </w:r>
      <w:r w:rsidRPr="00D571A4">
        <w:rPr>
          <w:rFonts w:asciiTheme="minorHAnsi" w:hAnsiTheme="minorHAnsi"/>
          <w:snapToGrid w:val="0"/>
        </w:rPr>
        <w:t xml:space="preserve">non-inferior </w:t>
      </w:r>
      <w:r w:rsidR="00086FCE">
        <w:rPr>
          <w:rFonts w:asciiTheme="minorHAnsi" w:hAnsiTheme="minorHAnsi"/>
          <w:snapToGrid w:val="0"/>
        </w:rPr>
        <w:t xml:space="preserve">compared to OCA. </w:t>
      </w:r>
    </w:p>
    <w:p w14:paraId="0BFB780E" w14:textId="6A888B02" w:rsidR="00443745" w:rsidRDefault="0044374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submission presented a cost utility analysis </w:t>
      </w:r>
      <w:r w:rsidR="00871D26">
        <w:rPr>
          <w:rFonts w:asciiTheme="minorHAnsi" w:hAnsiTheme="minorHAnsi"/>
          <w:snapToGrid w:val="0"/>
          <w:lang w:val="en-GB"/>
        </w:rPr>
        <w:t xml:space="preserve">comparing </w:t>
      </w:r>
      <w:proofErr w:type="spellStart"/>
      <w:r w:rsidR="00871D26">
        <w:rPr>
          <w:rFonts w:asciiTheme="minorHAnsi" w:hAnsiTheme="minorHAnsi"/>
          <w:snapToGrid w:val="0"/>
          <w:lang w:val="en-GB"/>
        </w:rPr>
        <w:t>elafibranor</w:t>
      </w:r>
      <w:proofErr w:type="spellEnd"/>
      <w:r w:rsidR="00871D26">
        <w:rPr>
          <w:rFonts w:asciiTheme="minorHAnsi" w:hAnsiTheme="minorHAnsi"/>
          <w:snapToGrid w:val="0"/>
          <w:lang w:val="en-GB"/>
        </w:rPr>
        <w:t xml:space="preserve"> with OCA</w:t>
      </w:r>
      <w:r w:rsidR="00214613">
        <w:rPr>
          <w:rFonts w:asciiTheme="minorHAnsi" w:hAnsiTheme="minorHAnsi"/>
          <w:snapToGrid w:val="0"/>
          <w:lang w:val="en-GB"/>
        </w:rPr>
        <w:t xml:space="preserve"> incorporating benefits of reduced </w:t>
      </w:r>
      <w:proofErr w:type="spellStart"/>
      <w:r w:rsidR="00214613">
        <w:rPr>
          <w:rFonts w:asciiTheme="minorHAnsi" w:hAnsiTheme="minorHAnsi"/>
          <w:snapToGrid w:val="0"/>
          <w:lang w:val="en-GB"/>
        </w:rPr>
        <w:t>pruritis</w:t>
      </w:r>
      <w:proofErr w:type="spellEnd"/>
      <w:r w:rsidR="00214613">
        <w:rPr>
          <w:rFonts w:asciiTheme="minorHAnsi" w:hAnsiTheme="minorHAnsi"/>
          <w:snapToGrid w:val="0"/>
          <w:lang w:val="en-GB"/>
        </w:rPr>
        <w:t xml:space="preserve"> </w:t>
      </w:r>
      <w:r w:rsidR="00187830">
        <w:rPr>
          <w:rFonts w:asciiTheme="minorHAnsi" w:hAnsiTheme="minorHAnsi"/>
          <w:snapToGrid w:val="0"/>
          <w:lang w:val="en-GB"/>
        </w:rPr>
        <w:t xml:space="preserve">and </w:t>
      </w:r>
      <w:r w:rsidR="00B25015">
        <w:rPr>
          <w:rFonts w:asciiTheme="minorHAnsi" w:hAnsiTheme="minorHAnsi"/>
          <w:snapToGrid w:val="0"/>
          <w:lang w:val="en-GB"/>
        </w:rPr>
        <w:t>associated reduction</w:t>
      </w:r>
      <w:r w:rsidR="00946EAB">
        <w:rPr>
          <w:rFonts w:asciiTheme="minorHAnsi" w:hAnsiTheme="minorHAnsi"/>
          <w:snapToGrid w:val="0"/>
          <w:lang w:val="en-GB"/>
        </w:rPr>
        <w:t>s</w:t>
      </w:r>
      <w:r w:rsidR="00B25015">
        <w:rPr>
          <w:rFonts w:asciiTheme="minorHAnsi" w:hAnsiTheme="minorHAnsi"/>
          <w:snapToGrid w:val="0"/>
          <w:lang w:val="en-GB"/>
        </w:rPr>
        <w:t xml:space="preserve"> in</w:t>
      </w:r>
      <w:r w:rsidR="00187830">
        <w:rPr>
          <w:rFonts w:asciiTheme="minorHAnsi" w:hAnsiTheme="minorHAnsi"/>
          <w:snapToGrid w:val="0"/>
          <w:lang w:val="en-GB"/>
        </w:rPr>
        <w:t xml:space="preserve"> treatment discontinuations</w:t>
      </w:r>
      <w:r w:rsidR="00871D26">
        <w:rPr>
          <w:rFonts w:asciiTheme="minorHAnsi" w:hAnsiTheme="minorHAnsi"/>
          <w:snapToGrid w:val="0"/>
          <w:lang w:val="en-GB"/>
        </w:rPr>
        <w:t xml:space="preserve">. </w:t>
      </w:r>
      <w:r w:rsidR="00D975AC">
        <w:rPr>
          <w:rFonts w:asciiTheme="minorHAnsi" w:hAnsiTheme="minorHAnsi"/>
          <w:snapToGrid w:val="0"/>
          <w:lang w:val="en-GB"/>
        </w:rPr>
        <w:t xml:space="preserve">The PBAC considered the magnitude of the differences were unable to be reliably estimated </w:t>
      </w:r>
      <w:r w:rsidR="007632DC">
        <w:rPr>
          <w:rFonts w:asciiTheme="minorHAnsi" w:hAnsiTheme="minorHAnsi"/>
          <w:snapToGrid w:val="0"/>
          <w:lang w:val="en-GB"/>
        </w:rPr>
        <w:t xml:space="preserve">based on the available evidence, noting the </w:t>
      </w:r>
      <w:r w:rsidR="004A041F">
        <w:rPr>
          <w:rFonts w:asciiTheme="minorHAnsi" w:hAnsiTheme="minorHAnsi"/>
          <w:snapToGrid w:val="0"/>
          <w:lang w:val="en-GB"/>
        </w:rPr>
        <w:t>transitivity issues with the indirect treatment comparison</w:t>
      </w:r>
      <w:r w:rsidR="00D871DB">
        <w:rPr>
          <w:rFonts w:asciiTheme="minorHAnsi" w:hAnsiTheme="minorHAnsi"/>
          <w:snapToGrid w:val="0"/>
          <w:lang w:val="en-GB"/>
        </w:rPr>
        <w:t>s</w:t>
      </w:r>
      <w:r w:rsidR="004A041F">
        <w:rPr>
          <w:rFonts w:asciiTheme="minorHAnsi" w:hAnsiTheme="minorHAnsi"/>
          <w:snapToGrid w:val="0"/>
          <w:lang w:val="en-GB"/>
        </w:rPr>
        <w:t xml:space="preserve"> and </w:t>
      </w:r>
      <w:r w:rsidR="00D871DB">
        <w:rPr>
          <w:rFonts w:asciiTheme="minorHAnsi" w:hAnsiTheme="minorHAnsi"/>
          <w:snapToGrid w:val="0"/>
          <w:lang w:val="en-GB"/>
        </w:rPr>
        <w:t xml:space="preserve">the </w:t>
      </w:r>
      <w:r w:rsidR="00087DDC">
        <w:rPr>
          <w:rFonts w:asciiTheme="minorHAnsi" w:hAnsiTheme="minorHAnsi"/>
          <w:snapToGrid w:val="0"/>
          <w:lang w:val="en-GB"/>
        </w:rPr>
        <w:t xml:space="preserve">lack of a statically significant difference for discontinuations. </w:t>
      </w:r>
      <w:r w:rsidR="002C2537">
        <w:rPr>
          <w:rFonts w:asciiTheme="minorHAnsi" w:hAnsiTheme="minorHAnsi"/>
          <w:snapToGrid w:val="0"/>
          <w:lang w:val="en-GB"/>
        </w:rPr>
        <w:t>On this basis</w:t>
      </w:r>
      <w:r w:rsidR="00871D26">
        <w:rPr>
          <w:rFonts w:asciiTheme="minorHAnsi" w:hAnsiTheme="minorHAnsi"/>
          <w:snapToGrid w:val="0"/>
          <w:lang w:val="en-GB"/>
        </w:rPr>
        <w:t>, the PBAC considered that a cost</w:t>
      </w:r>
      <w:r w:rsidR="00701669">
        <w:rPr>
          <w:rFonts w:asciiTheme="minorHAnsi" w:hAnsiTheme="minorHAnsi"/>
          <w:snapToGrid w:val="0"/>
          <w:lang w:val="en-GB"/>
        </w:rPr>
        <w:t>-</w:t>
      </w:r>
      <w:r w:rsidR="00871D26">
        <w:rPr>
          <w:rFonts w:asciiTheme="minorHAnsi" w:hAnsiTheme="minorHAnsi"/>
          <w:snapToGrid w:val="0"/>
          <w:lang w:val="en-GB"/>
        </w:rPr>
        <w:t>minimisation approach</w:t>
      </w:r>
      <w:r w:rsidR="00CA1199">
        <w:rPr>
          <w:rFonts w:asciiTheme="minorHAnsi" w:hAnsiTheme="minorHAnsi"/>
          <w:snapToGrid w:val="0"/>
          <w:lang w:val="en-GB"/>
        </w:rPr>
        <w:t xml:space="preserve"> </w:t>
      </w:r>
      <w:r w:rsidR="00516DFE">
        <w:rPr>
          <w:rFonts w:asciiTheme="minorHAnsi" w:hAnsiTheme="minorHAnsi"/>
          <w:snapToGrid w:val="0"/>
          <w:lang w:val="en-GB"/>
        </w:rPr>
        <w:t>versus OCA</w:t>
      </w:r>
      <w:r w:rsidR="00656703">
        <w:rPr>
          <w:rFonts w:asciiTheme="minorHAnsi" w:hAnsiTheme="minorHAnsi"/>
          <w:snapToGrid w:val="0"/>
          <w:lang w:val="en-GB"/>
        </w:rPr>
        <w:t>, based on daily drug costs only</w:t>
      </w:r>
      <w:r w:rsidR="00946EAB">
        <w:rPr>
          <w:rFonts w:asciiTheme="minorHAnsi" w:hAnsiTheme="minorHAnsi"/>
          <w:snapToGrid w:val="0"/>
          <w:lang w:val="en-GB"/>
        </w:rPr>
        <w:t xml:space="preserve">, </w:t>
      </w:r>
      <w:r w:rsidR="00086FCE">
        <w:rPr>
          <w:rFonts w:asciiTheme="minorHAnsi" w:hAnsiTheme="minorHAnsi"/>
          <w:snapToGrid w:val="0"/>
          <w:lang w:val="en-GB"/>
        </w:rPr>
        <w:t xml:space="preserve">would be appropriate. </w:t>
      </w:r>
      <w:r w:rsidR="00F017A2">
        <w:rPr>
          <w:rFonts w:asciiTheme="minorHAnsi" w:hAnsiTheme="minorHAnsi"/>
          <w:snapToGrid w:val="0"/>
          <w:lang w:val="en-GB"/>
        </w:rPr>
        <w:t xml:space="preserve">Noting the significant </w:t>
      </w:r>
      <w:r w:rsidR="00AE657D">
        <w:rPr>
          <w:rFonts w:asciiTheme="minorHAnsi" w:hAnsiTheme="minorHAnsi"/>
          <w:snapToGrid w:val="0"/>
          <w:lang w:val="en-GB"/>
        </w:rPr>
        <w:t>effects</w:t>
      </w:r>
      <w:r w:rsidR="00F017A2">
        <w:rPr>
          <w:rFonts w:asciiTheme="minorHAnsi" w:hAnsiTheme="minorHAnsi"/>
          <w:snapToGrid w:val="0"/>
          <w:lang w:val="en-GB"/>
        </w:rPr>
        <w:t xml:space="preserve"> of pruritus for PBC patients, th</w:t>
      </w:r>
      <w:r w:rsidR="0064211B">
        <w:rPr>
          <w:rFonts w:asciiTheme="minorHAnsi" w:hAnsiTheme="minorHAnsi"/>
          <w:snapToGrid w:val="0"/>
          <w:lang w:val="en-GB"/>
        </w:rPr>
        <w:t xml:space="preserve">e PBAC </w:t>
      </w:r>
      <w:r w:rsidR="00F017A2">
        <w:rPr>
          <w:rFonts w:asciiTheme="minorHAnsi" w:hAnsiTheme="minorHAnsi"/>
          <w:snapToGrid w:val="0"/>
          <w:lang w:val="en-GB"/>
        </w:rPr>
        <w:t>considered</w:t>
      </w:r>
      <w:r w:rsidR="0064211B">
        <w:rPr>
          <w:rFonts w:asciiTheme="minorHAnsi" w:hAnsiTheme="minorHAnsi"/>
          <w:snapToGrid w:val="0"/>
          <w:lang w:val="en-GB"/>
        </w:rPr>
        <w:t xml:space="preserve"> that if </w:t>
      </w:r>
      <w:proofErr w:type="spellStart"/>
      <w:r w:rsidR="0064211B">
        <w:rPr>
          <w:rFonts w:asciiTheme="minorHAnsi" w:hAnsiTheme="minorHAnsi"/>
          <w:snapToGrid w:val="0"/>
          <w:lang w:val="en-GB"/>
        </w:rPr>
        <w:t>elafibranor</w:t>
      </w:r>
      <w:proofErr w:type="spellEnd"/>
      <w:r w:rsidR="0064211B">
        <w:rPr>
          <w:rFonts w:asciiTheme="minorHAnsi" w:hAnsiTheme="minorHAnsi"/>
          <w:snapToGrid w:val="0"/>
          <w:lang w:val="en-GB"/>
        </w:rPr>
        <w:t xml:space="preserve"> was </w:t>
      </w:r>
      <w:r w:rsidR="00294FCE">
        <w:rPr>
          <w:rFonts w:asciiTheme="minorHAnsi" w:hAnsiTheme="minorHAnsi"/>
          <w:snapToGrid w:val="0"/>
          <w:lang w:val="en-GB"/>
        </w:rPr>
        <w:t xml:space="preserve">associated with a reduction in pruritus this could improve </w:t>
      </w:r>
      <w:r w:rsidR="00F017A2">
        <w:rPr>
          <w:rFonts w:asciiTheme="minorHAnsi" w:hAnsiTheme="minorHAnsi"/>
          <w:snapToGrid w:val="0"/>
          <w:lang w:val="en-GB"/>
        </w:rPr>
        <w:t xml:space="preserve">treatment </w:t>
      </w:r>
      <w:r w:rsidR="00301716">
        <w:rPr>
          <w:rFonts w:asciiTheme="minorHAnsi" w:hAnsiTheme="minorHAnsi"/>
          <w:snapToGrid w:val="0"/>
          <w:lang w:val="en-GB"/>
        </w:rPr>
        <w:t>adherence and persistence</w:t>
      </w:r>
      <w:r w:rsidR="00F017A2">
        <w:rPr>
          <w:rFonts w:asciiTheme="minorHAnsi" w:hAnsiTheme="minorHAnsi"/>
          <w:snapToGrid w:val="0"/>
          <w:lang w:val="en-GB"/>
        </w:rPr>
        <w:t xml:space="preserve">. </w:t>
      </w:r>
      <w:r w:rsidR="001D18C1">
        <w:rPr>
          <w:rFonts w:asciiTheme="minorHAnsi" w:hAnsiTheme="minorHAnsi"/>
          <w:snapToGrid w:val="0"/>
          <w:lang w:val="en-GB"/>
        </w:rPr>
        <w:t xml:space="preserve">The PBAC considered that </w:t>
      </w:r>
      <w:r w:rsidR="002C2537">
        <w:rPr>
          <w:rFonts w:asciiTheme="minorHAnsi" w:hAnsiTheme="minorHAnsi"/>
          <w:snapToGrid w:val="0"/>
          <w:lang w:val="en-GB"/>
        </w:rPr>
        <w:t xml:space="preserve">a </w:t>
      </w:r>
      <w:r w:rsidR="00120B90">
        <w:rPr>
          <w:rFonts w:asciiTheme="minorHAnsi" w:hAnsiTheme="minorHAnsi"/>
          <w:snapToGrid w:val="0"/>
          <w:lang w:val="en-GB"/>
        </w:rPr>
        <w:t xml:space="preserve">price </w:t>
      </w:r>
      <w:r w:rsidR="002C2537">
        <w:rPr>
          <w:rFonts w:asciiTheme="minorHAnsi" w:hAnsiTheme="minorHAnsi"/>
          <w:snapToGrid w:val="0"/>
          <w:lang w:val="en-GB"/>
        </w:rPr>
        <w:t xml:space="preserve">premium </w:t>
      </w:r>
      <w:r w:rsidR="001D18C1">
        <w:rPr>
          <w:rFonts w:asciiTheme="minorHAnsi" w:hAnsiTheme="minorHAnsi"/>
          <w:snapToGrid w:val="0"/>
          <w:lang w:val="en-GB"/>
        </w:rPr>
        <w:t xml:space="preserve">could be </w:t>
      </w:r>
      <w:r w:rsidR="002C2537">
        <w:rPr>
          <w:rFonts w:asciiTheme="minorHAnsi" w:hAnsiTheme="minorHAnsi"/>
          <w:snapToGrid w:val="0"/>
          <w:lang w:val="en-GB"/>
        </w:rPr>
        <w:t xml:space="preserve">applied </w:t>
      </w:r>
      <w:r w:rsidR="00946EAB">
        <w:rPr>
          <w:rFonts w:asciiTheme="minorHAnsi" w:hAnsiTheme="minorHAnsi"/>
          <w:snapToGrid w:val="0"/>
          <w:lang w:val="en-GB"/>
        </w:rPr>
        <w:t xml:space="preserve">to </w:t>
      </w:r>
      <w:proofErr w:type="spellStart"/>
      <w:r w:rsidR="00946EAB">
        <w:rPr>
          <w:rFonts w:asciiTheme="minorHAnsi" w:hAnsiTheme="minorHAnsi"/>
          <w:snapToGrid w:val="0"/>
          <w:lang w:val="en-GB"/>
        </w:rPr>
        <w:t>elafibranor</w:t>
      </w:r>
      <w:proofErr w:type="spellEnd"/>
      <w:r w:rsidR="00EB7D56">
        <w:rPr>
          <w:rFonts w:asciiTheme="minorHAnsi" w:hAnsiTheme="minorHAnsi"/>
          <w:snapToGrid w:val="0"/>
          <w:lang w:val="en-GB"/>
        </w:rPr>
        <w:t xml:space="preserve"> in accordance with the PBAC Guidelines, </w:t>
      </w:r>
      <w:r w:rsidR="00140230">
        <w:rPr>
          <w:rFonts w:asciiTheme="minorHAnsi" w:hAnsiTheme="minorHAnsi"/>
          <w:snapToGrid w:val="0"/>
          <w:lang w:val="en-GB"/>
        </w:rPr>
        <w:t xml:space="preserve">September 2016 </w:t>
      </w:r>
      <w:r w:rsidR="00EB7D56">
        <w:rPr>
          <w:rFonts w:asciiTheme="minorHAnsi" w:hAnsiTheme="minorHAnsi"/>
          <w:snapToGrid w:val="0"/>
          <w:lang w:val="en-GB"/>
        </w:rPr>
        <w:t xml:space="preserve">v5.0, which allow a price </w:t>
      </w:r>
      <w:r w:rsidR="00BB31E2">
        <w:rPr>
          <w:rFonts w:asciiTheme="minorHAnsi" w:hAnsiTheme="minorHAnsi"/>
          <w:snapToGrid w:val="0"/>
          <w:lang w:val="en-GB"/>
        </w:rPr>
        <w:t xml:space="preserve">advantage </w:t>
      </w:r>
      <w:r w:rsidR="007318DB">
        <w:rPr>
          <w:rFonts w:asciiTheme="minorHAnsi" w:hAnsiTheme="minorHAnsi"/>
          <w:snapToGrid w:val="0"/>
          <w:lang w:val="en-GB"/>
        </w:rPr>
        <w:t xml:space="preserve">over the comparator </w:t>
      </w:r>
      <w:proofErr w:type="gramStart"/>
      <w:r w:rsidR="007318DB">
        <w:rPr>
          <w:rFonts w:asciiTheme="minorHAnsi" w:hAnsiTheme="minorHAnsi"/>
          <w:snapToGrid w:val="0"/>
          <w:lang w:val="en-GB"/>
        </w:rPr>
        <w:t>on the basis of</w:t>
      </w:r>
      <w:proofErr w:type="gramEnd"/>
      <w:r w:rsidR="007318DB">
        <w:rPr>
          <w:rFonts w:asciiTheme="minorHAnsi" w:hAnsiTheme="minorHAnsi"/>
          <w:snapToGrid w:val="0"/>
          <w:lang w:val="en-GB"/>
        </w:rPr>
        <w:t xml:space="preserve"> </w:t>
      </w:r>
      <w:r w:rsidR="00E0424E">
        <w:rPr>
          <w:rFonts w:asciiTheme="minorHAnsi" w:hAnsiTheme="minorHAnsi"/>
          <w:snapToGrid w:val="0"/>
          <w:lang w:val="en-GB"/>
        </w:rPr>
        <w:t xml:space="preserve">reduced </w:t>
      </w:r>
      <w:r w:rsidR="007318DB">
        <w:rPr>
          <w:rFonts w:asciiTheme="minorHAnsi" w:hAnsiTheme="minorHAnsi"/>
          <w:snapToGrid w:val="0"/>
          <w:lang w:val="en-GB"/>
        </w:rPr>
        <w:t>cost offsets</w:t>
      </w:r>
      <w:r w:rsidR="00E0424E">
        <w:rPr>
          <w:rFonts w:asciiTheme="minorHAnsi" w:hAnsiTheme="minorHAnsi"/>
          <w:snapToGrid w:val="0"/>
          <w:lang w:val="en-GB"/>
        </w:rPr>
        <w:t xml:space="preserve">, which in this case </w:t>
      </w:r>
      <w:r w:rsidR="00335836">
        <w:rPr>
          <w:rFonts w:asciiTheme="minorHAnsi" w:hAnsiTheme="minorHAnsi"/>
          <w:snapToGrid w:val="0"/>
          <w:lang w:val="en-GB"/>
        </w:rPr>
        <w:t xml:space="preserve">would be due </w:t>
      </w:r>
      <w:r w:rsidR="00A30238">
        <w:rPr>
          <w:rFonts w:asciiTheme="minorHAnsi" w:hAnsiTheme="minorHAnsi"/>
          <w:snapToGrid w:val="0"/>
          <w:lang w:val="en-GB"/>
        </w:rPr>
        <w:t xml:space="preserve">reduced costs </w:t>
      </w:r>
      <w:r w:rsidR="00AE657D">
        <w:rPr>
          <w:rFonts w:asciiTheme="minorHAnsi" w:hAnsiTheme="minorHAnsi"/>
          <w:snapToGrid w:val="0"/>
          <w:lang w:val="en-GB"/>
        </w:rPr>
        <w:t xml:space="preserve">associated with the </w:t>
      </w:r>
      <w:r w:rsidR="007318DB">
        <w:rPr>
          <w:rFonts w:asciiTheme="minorHAnsi" w:hAnsiTheme="minorHAnsi"/>
          <w:snapToGrid w:val="0"/>
          <w:lang w:val="en-GB"/>
        </w:rPr>
        <w:t xml:space="preserve">management </w:t>
      </w:r>
      <w:r w:rsidR="00AE657D">
        <w:rPr>
          <w:rFonts w:asciiTheme="minorHAnsi" w:hAnsiTheme="minorHAnsi"/>
          <w:snapToGrid w:val="0"/>
          <w:lang w:val="en-GB"/>
        </w:rPr>
        <w:t>of pruritus.</w:t>
      </w:r>
      <w:r w:rsidR="00946EAB">
        <w:rPr>
          <w:rFonts w:asciiTheme="minorHAnsi" w:hAnsiTheme="minorHAnsi"/>
          <w:snapToGrid w:val="0"/>
          <w:lang w:val="en-GB"/>
        </w:rPr>
        <w:t xml:space="preserve"> </w:t>
      </w:r>
    </w:p>
    <w:p w14:paraId="779391BA" w14:textId="3049588A" w:rsidR="00CA1199" w:rsidRDefault="00CA1199">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lastRenderedPageBreak/>
        <w:t>The PBAC considered that the equi-effective doses were:</w:t>
      </w:r>
    </w:p>
    <w:p w14:paraId="1B1DB13D" w14:textId="0987F298" w:rsidR="00CA1199" w:rsidRPr="00443745" w:rsidRDefault="00CA1199" w:rsidP="002A6261">
      <w:pPr>
        <w:widowControl w:val="0"/>
        <w:spacing w:after="120"/>
        <w:ind w:left="720" w:firstLine="720"/>
        <w:rPr>
          <w:rFonts w:asciiTheme="minorHAnsi" w:hAnsiTheme="minorHAnsi"/>
          <w:snapToGrid w:val="0"/>
          <w:lang w:val="en-GB"/>
        </w:rPr>
      </w:pPr>
      <w:proofErr w:type="spellStart"/>
      <w:r>
        <w:rPr>
          <w:rFonts w:asciiTheme="minorHAnsi" w:hAnsiTheme="minorHAnsi"/>
          <w:snapToGrid w:val="0"/>
          <w:lang w:val="en-GB"/>
        </w:rPr>
        <w:t>Elafibranor</w:t>
      </w:r>
      <w:proofErr w:type="spellEnd"/>
      <w:r>
        <w:rPr>
          <w:rFonts w:asciiTheme="minorHAnsi" w:hAnsiTheme="minorHAnsi"/>
          <w:snapToGrid w:val="0"/>
          <w:lang w:val="en-GB"/>
        </w:rPr>
        <w:t xml:space="preserve"> 80 mg once daily = </w:t>
      </w:r>
      <w:proofErr w:type="spellStart"/>
      <w:r>
        <w:rPr>
          <w:rFonts w:asciiTheme="minorHAnsi" w:hAnsiTheme="minorHAnsi"/>
          <w:snapToGrid w:val="0"/>
          <w:lang w:val="en-GB"/>
        </w:rPr>
        <w:t>obeticholic</w:t>
      </w:r>
      <w:proofErr w:type="spellEnd"/>
      <w:r>
        <w:rPr>
          <w:rFonts w:asciiTheme="minorHAnsi" w:hAnsiTheme="minorHAnsi"/>
          <w:snapToGrid w:val="0"/>
          <w:lang w:val="en-GB"/>
        </w:rPr>
        <w:t xml:space="preserve"> acid 5</w:t>
      </w:r>
      <w:r w:rsidR="0013181D">
        <w:rPr>
          <w:rFonts w:asciiTheme="minorHAnsi" w:hAnsiTheme="minorHAnsi"/>
          <w:snapToGrid w:val="0"/>
          <w:lang w:val="en-GB"/>
        </w:rPr>
        <w:t xml:space="preserve"> </w:t>
      </w:r>
      <w:r>
        <w:rPr>
          <w:rFonts w:asciiTheme="minorHAnsi" w:hAnsiTheme="minorHAnsi"/>
          <w:snapToGrid w:val="0"/>
          <w:lang w:val="en-GB"/>
        </w:rPr>
        <w:t xml:space="preserve">mg or 10 mg </w:t>
      </w:r>
      <w:r w:rsidR="001B33A3">
        <w:rPr>
          <w:rFonts w:asciiTheme="minorHAnsi" w:hAnsiTheme="minorHAnsi"/>
          <w:snapToGrid w:val="0"/>
          <w:lang w:val="en-GB"/>
        </w:rPr>
        <w:t xml:space="preserve">once </w:t>
      </w:r>
      <w:r>
        <w:rPr>
          <w:rFonts w:asciiTheme="minorHAnsi" w:hAnsiTheme="minorHAnsi"/>
          <w:snapToGrid w:val="0"/>
          <w:lang w:val="en-GB"/>
        </w:rPr>
        <w:t>daily.</w:t>
      </w:r>
    </w:p>
    <w:p w14:paraId="6E181EF4" w14:textId="46E1D557" w:rsidR="00D6432B" w:rsidRDefault="007338BB"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agreed with the DUSC in considering that there would be three populations who would </w:t>
      </w:r>
      <w:r w:rsidR="00D3178F">
        <w:rPr>
          <w:rFonts w:asciiTheme="minorHAnsi" w:hAnsiTheme="minorHAnsi"/>
          <w:snapToGrid w:val="0"/>
          <w:lang w:val="en-GB"/>
        </w:rPr>
        <w:t xml:space="preserve">be treated with </w:t>
      </w:r>
      <w:proofErr w:type="spellStart"/>
      <w:r w:rsidR="00D3178F">
        <w:rPr>
          <w:rFonts w:asciiTheme="minorHAnsi" w:hAnsiTheme="minorHAnsi"/>
          <w:snapToGrid w:val="0"/>
          <w:lang w:val="en-GB"/>
        </w:rPr>
        <w:t>elafibranor</w:t>
      </w:r>
      <w:proofErr w:type="spellEnd"/>
      <w:r w:rsidR="00D3178F">
        <w:rPr>
          <w:rFonts w:asciiTheme="minorHAnsi" w:hAnsiTheme="minorHAnsi"/>
          <w:snapToGrid w:val="0"/>
          <w:lang w:val="en-GB"/>
        </w:rPr>
        <w:t>: (</w:t>
      </w:r>
      <w:proofErr w:type="spellStart"/>
      <w:r w:rsidR="00D3178F">
        <w:rPr>
          <w:rFonts w:asciiTheme="minorHAnsi" w:hAnsiTheme="minorHAnsi"/>
          <w:snapToGrid w:val="0"/>
          <w:lang w:val="en-GB"/>
        </w:rPr>
        <w:t>i</w:t>
      </w:r>
      <w:proofErr w:type="spellEnd"/>
      <w:r w:rsidR="00D3178F">
        <w:rPr>
          <w:rFonts w:asciiTheme="minorHAnsi" w:hAnsiTheme="minorHAnsi"/>
          <w:snapToGrid w:val="0"/>
          <w:lang w:val="en-GB"/>
        </w:rPr>
        <w:t xml:space="preserve">) prevalent patients who are intolerant of OCA; (ii) prevalent patients who </w:t>
      </w:r>
      <w:r w:rsidR="00B11762">
        <w:rPr>
          <w:rFonts w:asciiTheme="minorHAnsi" w:hAnsiTheme="minorHAnsi"/>
          <w:snapToGrid w:val="0"/>
          <w:lang w:val="en-GB"/>
        </w:rPr>
        <w:t xml:space="preserve">are currently receiving OCA who may switch to </w:t>
      </w:r>
      <w:proofErr w:type="spellStart"/>
      <w:r w:rsidR="00B11762">
        <w:rPr>
          <w:rFonts w:asciiTheme="minorHAnsi" w:hAnsiTheme="minorHAnsi"/>
          <w:snapToGrid w:val="0"/>
          <w:lang w:val="en-GB"/>
        </w:rPr>
        <w:t>elafibranor</w:t>
      </w:r>
      <w:proofErr w:type="spellEnd"/>
      <w:r w:rsidR="00B11762">
        <w:rPr>
          <w:rFonts w:asciiTheme="minorHAnsi" w:hAnsiTheme="minorHAnsi"/>
          <w:snapToGrid w:val="0"/>
          <w:lang w:val="en-GB"/>
        </w:rPr>
        <w:t xml:space="preserve">; and (iii) incident patients who </w:t>
      </w:r>
      <w:r w:rsidR="00984006">
        <w:rPr>
          <w:rFonts w:asciiTheme="minorHAnsi" w:hAnsiTheme="minorHAnsi"/>
          <w:snapToGrid w:val="0"/>
          <w:lang w:val="en-GB"/>
        </w:rPr>
        <w:t>require second</w:t>
      </w:r>
      <w:r w:rsidR="00655546">
        <w:rPr>
          <w:rFonts w:asciiTheme="minorHAnsi" w:hAnsiTheme="minorHAnsi"/>
          <w:snapToGrid w:val="0"/>
          <w:lang w:val="en-GB"/>
        </w:rPr>
        <w:t>-line treatment in addition to UDCA</w:t>
      </w:r>
      <w:r w:rsidR="00137836">
        <w:rPr>
          <w:rFonts w:asciiTheme="minorHAnsi" w:hAnsiTheme="minorHAnsi"/>
          <w:snapToGrid w:val="0"/>
          <w:lang w:val="en-GB"/>
        </w:rPr>
        <w:t xml:space="preserve"> or are intolerant of UDCA. </w:t>
      </w:r>
    </w:p>
    <w:p w14:paraId="51C69B11" w14:textId="5768B7EF" w:rsidR="00655546" w:rsidRDefault="00655546"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w:t>
      </w:r>
      <w:r w:rsidR="002F3E07">
        <w:rPr>
          <w:rFonts w:asciiTheme="minorHAnsi" w:hAnsiTheme="minorHAnsi"/>
          <w:snapToGrid w:val="0"/>
          <w:lang w:val="en-GB"/>
        </w:rPr>
        <w:t xml:space="preserve">noted </w:t>
      </w:r>
      <w:r>
        <w:rPr>
          <w:rFonts w:asciiTheme="minorHAnsi" w:hAnsiTheme="minorHAnsi"/>
          <w:snapToGrid w:val="0"/>
          <w:lang w:val="en-GB"/>
        </w:rPr>
        <w:t xml:space="preserve">that </w:t>
      </w:r>
      <w:r w:rsidR="00763046">
        <w:rPr>
          <w:rFonts w:asciiTheme="minorHAnsi" w:hAnsiTheme="minorHAnsi"/>
          <w:snapToGrid w:val="0"/>
          <w:lang w:val="en-GB"/>
        </w:rPr>
        <w:t xml:space="preserve">the financial impact of listing </w:t>
      </w:r>
      <w:proofErr w:type="spellStart"/>
      <w:r w:rsidR="00763046">
        <w:rPr>
          <w:rFonts w:asciiTheme="minorHAnsi" w:hAnsiTheme="minorHAnsi"/>
          <w:snapToGrid w:val="0"/>
          <w:lang w:val="en-GB"/>
        </w:rPr>
        <w:t>elafibranor</w:t>
      </w:r>
      <w:proofErr w:type="spellEnd"/>
      <w:r w:rsidR="00763046">
        <w:rPr>
          <w:rFonts w:asciiTheme="minorHAnsi" w:hAnsiTheme="minorHAnsi"/>
          <w:snapToGrid w:val="0"/>
          <w:lang w:val="en-GB"/>
        </w:rPr>
        <w:t xml:space="preserve"> would be reduced compared to the submission</w:t>
      </w:r>
      <w:r w:rsidR="009152E0">
        <w:rPr>
          <w:rFonts w:asciiTheme="minorHAnsi" w:hAnsiTheme="minorHAnsi"/>
          <w:snapToGrid w:val="0"/>
          <w:lang w:val="en-GB"/>
        </w:rPr>
        <w:t xml:space="preserve"> estimates</w:t>
      </w:r>
      <w:r w:rsidR="00D0283C">
        <w:rPr>
          <w:rFonts w:asciiTheme="minorHAnsi" w:hAnsiTheme="minorHAnsi"/>
          <w:snapToGrid w:val="0"/>
          <w:lang w:val="en-GB"/>
        </w:rPr>
        <w:t xml:space="preserve"> when the price of </w:t>
      </w:r>
      <w:proofErr w:type="spellStart"/>
      <w:r w:rsidR="00D0283C">
        <w:rPr>
          <w:rFonts w:asciiTheme="minorHAnsi" w:hAnsiTheme="minorHAnsi"/>
          <w:snapToGrid w:val="0"/>
          <w:lang w:val="en-GB"/>
        </w:rPr>
        <w:t>elafibranor</w:t>
      </w:r>
      <w:proofErr w:type="spellEnd"/>
      <w:r w:rsidR="00D0283C">
        <w:rPr>
          <w:rFonts w:asciiTheme="minorHAnsi" w:hAnsiTheme="minorHAnsi"/>
          <w:snapToGrid w:val="0"/>
          <w:lang w:val="en-GB"/>
        </w:rPr>
        <w:t xml:space="preserve"> was cost-minimised to OCA</w:t>
      </w:r>
      <w:r w:rsidR="00763046">
        <w:rPr>
          <w:rFonts w:asciiTheme="minorHAnsi" w:hAnsiTheme="minorHAnsi"/>
          <w:snapToGrid w:val="0"/>
          <w:lang w:val="en-GB"/>
        </w:rPr>
        <w:t xml:space="preserve">. </w:t>
      </w:r>
    </w:p>
    <w:p w14:paraId="5447F0AD" w14:textId="7655843F" w:rsidR="00633CBD" w:rsidRDefault="008E7ACD"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that</w:t>
      </w:r>
      <w:r w:rsidR="006751D0">
        <w:rPr>
          <w:rFonts w:asciiTheme="minorHAnsi" w:hAnsiTheme="minorHAnsi"/>
          <w:snapToGrid w:val="0"/>
          <w:lang w:val="en-GB"/>
        </w:rPr>
        <w:t xml:space="preserve"> there is </w:t>
      </w:r>
      <w:r w:rsidR="00196051">
        <w:rPr>
          <w:rFonts w:asciiTheme="minorHAnsi" w:hAnsiTheme="minorHAnsi"/>
          <w:snapToGrid w:val="0"/>
          <w:lang w:val="en-GB"/>
        </w:rPr>
        <w:t>an</w:t>
      </w:r>
      <w:r w:rsidR="006751D0">
        <w:rPr>
          <w:rFonts w:asciiTheme="minorHAnsi" w:hAnsiTheme="minorHAnsi"/>
          <w:snapToGrid w:val="0"/>
          <w:lang w:val="en-GB"/>
        </w:rPr>
        <w:t xml:space="preserve"> RSA in place for</w:t>
      </w:r>
      <w:r>
        <w:rPr>
          <w:rFonts w:asciiTheme="minorHAnsi" w:hAnsiTheme="minorHAnsi"/>
          <w:snapToGrid w:val="0"/>
          <w:lang w:val="en-GB"/>
        </w:rPr>
        <w:t xml:space="preserve"> </w:t>
      </w:r>
      <w:r w:rsidR="00E63D4C">
        <w:rPr>
          <w:rFonts w:asciiTheme="minorHAnsi" w:hAnsiTheme="minorHAnsi"/>
          <w:snapToGrid w:val="0"/>
          <w:lang w:val="en-GB"/>
        </w:rPr>
        <w:t>OCA</w:t>
      </w:r>
      <w:r w:rsidR="00D7324E">
        <w:rPr>
          <w:rFonts w:asciiTheme="minorHAnsi" w:hAnsiTheme="minorHAnsi"/>
          <w:snapToGrid w:val="0"/>
          <w:lang w:val="en-GB"/>
        </w:rPr>
        <w:t xml:space="preserve"> and </w:t>
      </w:r>
      <w:r w:rsidR="00FD34FF">
        <w:rPr>
          <w:rFonts w:asciiTheme="minorHAnsi" w:hAnsiTheme="minorHAnsi"/>
          <w:snapToGrid w:val="0"/>
          <w:lang w:val="en-GB"/>
        </w:rPr>
        <w:t xml:space="preserve">considered that </w:t>
      </w:r>
      <w:proofErr w:type="spellStart"/>
      <w:r w:rsidR="00FD34FF">
        <w:rPr>
          <w:rFonts w:asciiTheme="minorHAnsi" w:hAnsiTheme="minorHAnsi"/>
          <w:snapToGrid w:val="0"/>
          <w:lang w:val="en-GB"/>
        </w:rPr>
        <w:t>elafibranor</w:t>
      </w:r>
      <w:proofErr w:type="spellEnd"/>
      <w:r w:rsidR="00FD34FF">
        <w:rPr>
          <w:rFonts w:asciiTheme="minorHAnsi" w:hAnsiTheme="minorHAnsi"/>
          <w:snapToGrid w:val="0"/>
          <w:lang w:val="en-GB"/>
        </w:rPr>
        <w:t xml:space="preserve"> should join the OCA RSA</w:t>
      </w:r>
      <w:r w:rsidR="0084154B">
        <w:rPr>
          <w:rFonts w:asciiTheme="minorHAnsi" w:hAnsiTheme="minorHAnsi"/>
          <w:snapToGrid w:val="0"/>
          <w:lang w:val="en-GB"/>
        </w:rPr>
        <w:t xml:space="preserve">, with </w:t>
      </w:r>
      <w:r w:rsidR="007D6550">
        <w:rPr>
          <w:rFonts w:asciiTheme="minorHAnsi" w:hAnsiTheme="minorHAnsi"/>
          <w:snapToGrid w:val="0"/>
          <w:lang w:val="en-GB"/>
        </w:rPr>
        <w:t xml:space="preserve">no </w:t>
      </w:r>
      <w:r w:rsidR="000035FA">
        <w:rPr>
          <w:rFonts w:asciiTheme="minorHAnsi" w:hAnsiTheme="minorHAnsi"/>
          <w:snapToGrid w:val="0"/>
          <w:lang w:val="en-GB"/>
        </w:rPr>
        <w:t>increase</w:t>
      </w:r>
      <w:r w:rsidR="0084154B">
        <w:rPr>
          <w:rFonts w:asciiTheme="minorHAnsi" w:hAnsiTheme="minorHAnsi"/>
          <w:snapToGrid w:val="0"/>
          <w:lang w:val="en-GB"/>
        </w:rPr>
        <w:t xml:space="preserve"> to the </w:t>
      </w:r>
      <w:r w:rsidR="001E3075">
        <w:rPr>
          <w:rFonts w:asciiTheme="minorHAnsi" w:hAnsiTheme="minorHAnsi"/>
          <w:snapToGrid w:val="0"/>
          <w:lang w:val="en-GB"/>
        </w:rPr>
        <w:t>current expenditure caps</w:t>
      </w:r>
      <w:r w:rsidR="00633CBD">
        <w:rPr>
          <w:rFonts w:asciiTheme="minorHAnsi" w:hAnsiTheme="minorHAnsi"/>
          <w:snapToGrid w:val="0"/>
          <w:lang w:val="en-GB"/>
        </w:rPr>
        <w:t>.</w:t>
      </w:r>
    </w:p>
    <w:p w14:paraId="55E8B5F1" w14:textId="0D25A5D0" w:rsidR="003A6CB8" w:rsidRDefault="003A6CB8"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advised that continuing treatment of </w:t>
      </w:r>
      <w:proofErr w:type="spellStart"/>
      <w:r>
        <w:rPr>
          <w:rFonts w:asciiTheme="minorHAnsi" w:hAnsiTheme="minorHAnsi"/>
          <w:snapToGrid w:val="0"/>
          <w:lang w:val="en-GB"/>
        </w:rPr>
        <w:t>elafibranor</w:t>
      </w:r>
      <w:proofErr w:type="spellEnd"/>
      <w:r w:rsidR="0083346D">
        <w:rPr>
          <w:rFonts w:asciiTheme="minorHAnsi" w:hAnsiTheme="minorHAnsi"/>
          <w:snapToGrid w:val="0"/>
          <w:lang w:val="en-GB"/>
        </w:rPr>
        <w:t>, like OCA,</w:t>
      </w:r>
      <w:r>
        <w:rPr>
          <w:rFonts w:asciiTheme="minorHAnsi" w:hAnsiTheme="minorHAnsi"/>
          <w:snapToGrid w:val="0"/>
          <w:lang w:val="en-GB"/>
        </w:rPr>
        <w:t xml:space="preserve"> is suitable for prescribing by nurse practitioners</w:t>
      </w:r>
      <w:r w:rsidR="0083346D">
        <w:rPr>
          <w:rFonts w:asciiTheme="minorHAnsi" w:hAnsiTheme="minorHAnsi"/>
          <w:snapToGrid w:val="0"/>
          <w:lang w:val="en-GB"/>
        </w:rPr>
        <w:t>.</w:t>
      </w:r>
    </w:p>
    <w:p w14:paraId="7FD1820B" w14:textId="7B6DF9E3" w:rsidR="0083346D" w:rsidRDefault="0083346D"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advised that </w:t>
      </w:r>
      <w:proofErr w:type="spellStart"/>
      <w:r>
        <w:rPr>
          <w:rFonts w:asciiTheme="minorHAnsi" w:hAnsiTheme="minorHAnsi"/>
          <w:snapToGrid w:val="0"/>
          <w:lang w:val="en-GB"/>
        </w:rPr>
        <w:t>elafibranor</w:t>
      </w:r>
      <w:proofErr w:type="spellEnd"/>
      <w:r>
        <w:rPr>
          <w:rFonts w:asciiTheme="minorHAnsi" w:hAnsiTheme="minorHAnsi"/>
          <w:snapToGrid w:val="0"/>
          <w:lang w:val="en-GB"/>
        </w:rPr>
        <w:t xml:space="preserve"> should not be exempt from the Early Supply Rule.</w:t>
      </w:r>
    </w:p>
    <w:p w14:paraId="7183CE78" w14:textId="77777777" w:rsidR="00EE3B8C" w:rsidRDefault="0083346D" w:rsidP="00EE3B8C">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advised that under section 101(</w:t>
      </w:r>
      <w:r w:rsidR="00EE3B8C">
        <w:rPr>
          <w:rFonts w:asciiTheme="minorHAnsi" w:hAnsiTheme="minorHAnsi"/>
          <w:snapToGrid w:val="0"/>
          <w:lang w:val="en-GB"/>
        </w:rPr>
        <w:t xml:space="preserve">3BA) of the </w:t>
      </w:r>
      <w:r w:rsidR="00EE3B8C" w:rsidRPr="008A40A6">
        <w:rPr>
          <w:rFonts w:asciiTheme="minorHAnsi" w:hAnsiTheme="minorHAnsi"/>
          <w:i/>
          <w:iCs/>
          <w:snapToGrid w:val="0"/>
          <w:lang w:val="en-GB"/>
        </w:rPr>
        <w:t>National Health Act 1953</w:t>
      </w:r>
      <w:r w:rsidR="00EE3B8C">
        <w:rPr>
          <w:rFonts w:asciiTheme="minorHAnsi" w:hAnsiTheme="minorHAnsi"/>
          <w:snapToGrid w:val="0"/>
          <w:lang w:val="en-GB"/>
        </w:rPr>
        <w:t xml:space="preserve">, </w:t>
      </w:r>
      <w:proofErr w:type="spellStart"/>
      <w:r w:rsidR="00EE3B8C">
        <w:rPr>
          <w:rFonts w:asciiTheme="minorHAnsi" w:hAnsiTheme="minorHAnsi"/>
          <w:snapToGrid w:val="0"/>
          <w:lang w:val="en-GB"/>
        </w:rPr>
        <w:t>elafibranor</w:t>
      </w:r>
      <w:proofErr w:type="spellEnd"/>
      <w:r w:rsidR="00EE3B8C">
        <w:rPr>
          <w:rFonts w:asciiTheme="minorHAnsi" w:hAnsiTheme="minorHAnsi"/>
          <w:snapToGrid w:val="0"/>
          <w:lang w:val="en-GB"/>
        </w:rPr>
        <w:t xml:space="preserve"> should not be treated as interchangeable on an individual patient basis with any other drug.</w:t>
      </w:r>
    </w:p>
    <w:p w14:paraId="5D00CCA2" w14:textId="51AC984E" w:rsidR="00EE3B8C" w:rsidRPr="00EE3B8C" w:rsidRDefault="00EE3B8C" w:rsidP="00EE3B8C">
      <w:pPr>
        <w:widowControl w:val="0"/>
        <w:numPr>
          <w:ilvl w:val="1"/>
          <w:numId w:val="1"/>
        </w:numPr>
        <w:spacing w:after="120"/>
        <w:ind w:left="720"/>
        <w:rPr>
          <w:rFonts w:asciiTheme="minorHAnsi" w:hAnsiTheme="minorHAnsi"/>
          <w:snapToGrid w:val="0"/>
          <w:lang w:val="en-GB"/>
        </w:rPr>
      </w:pPr>
      <w:r w:rsidRPr="00EE3B8C">
        <w:rPr>
          <w:rFonts w:asciiTheme="minorHAnsi" w:hAnsiTheme="minorHAnsi"/>
          <w:snapToGrid w:val="0"/>
          <w:lang w:val="en-GB"/>
        </w:rPr>
        <w:t xml:space="preserve">The PBAC </w:t>
      </w:r>
      <w:r w:rsidRPr="00EE3B8C">
        <w:rPr>
          <w:rFonts w:asciiTheme="minorHAnsi" w:hAnsiTheme="minorHAnsi" w:cstheme="minorHAnsi"/>
          <w:lang w:val="en-GB"/>
        </w:rPr>
        <w:t xml:space="preserve">noted that its recommendation was on a cost-minimisation basis and advised that, because </w:t>
      </w:r>
      <w:proofErr w:type="spellStart"/>
      <w:r w:rsidRPr="00EE3B8C">
        <w:rPr>
          <w:rFonts w:asciiTheme="minorHAnsi" w:hAnsiTheme="minorHAnsi" w:cstheme="minorHAnsi"/>
          <w:lang w:val="en-GB"/>
        </w:rPr>
        <w:t>elafibranor</w:t>
      </w:r>
      <w:proofErr w:type="spellEnd"/>
      <w:r w:rsidRPr="00EE3B8C">
        <w:rPr>
          <w:rFonts w:asciiTheme="minorHAnsi" w:hAnsiTheme="minorHAnsi" w:cstheme="minorHAnsi"/>
          <w:lang w:val="en-GB"/>
        </w:rPr>
        <w:t xml:space="preserve"> is not expected to provide a substantial</w:t>
      </w:r>
      <w:r w:rsidRPr="00EE3B8C">
        <w:rPr>
          <w:rFonts w:asciiTheme="minorHAnsi" w:hAnsiTheme="minorHAnsi"/>
          <w:bCs/>
          <w:lang w:val="en-GB"/>
        </w:rPr>
        <w:t xml:space="preserve"> and clinically relevant improvement in efficacy, or reduction of toxicity, over </w:t>
      </w:r>
      <w:proofErr w:type="spellStart"/>
      <w:r w:rsidRPr="00EE3B8C">
        <w:rPr>
          <w:rFonts w:asciiTheme="minorHAnsi" w:hAnsiTheme="minorHAnsi"/>
          <w:bCs/>
          <w:lang w:val="en-GB"/>
        </w:rPr>
        <w:t>obeticholic</w:t>
      </w:r>
      <w:proofErr w:type="spellEnd"/>
      <w:r w:rsidRPr="00EE3B8C">
        <w:rPr>
          <w:rFonts w:asciiTheme="minorHAnsi" w:hAnsiTheme="minorHAnsi"/>
          <w:bCs/>
          <w:lang w:val="en-GB"/>
        </w:rPr>
        <w:t xml:space="preserve"> acid, or not expected to address a high and urgent unmet clinical need given the presence of an alternative therapy, the criteria prescribed by the </w:t>
      </w:r>
      <w:r w:rsidRPr="00EE3B8C">
        <w:rPr>
          <w:rFonts w:asciiTheme="minorHAnsi" w:hAnsiTheme="minorHAnsi"/>
          <w:bCs/>
          <w:i/>
          <w:lang w:val="en-GB"/>
        </w:rPr>
        <w:t>National Health (Pharmaceuticals and Vaccines – Cost Recovery) Regulations 2022</w:t>
      </w:r>
      <w:r w:rsidRPr="00EE3B8C">
        <w:rPr>
          <w:rFonts w:asciiTheme="minorHAnsi" w:hAnsiTheme="minorHAnsi"/>
          <w:bCs/>
          <w:lang w:val="en-GB"/>
        </w:rPr>
        <w:t xml:space="preserve"> for Pricing Pathway A were not met.</w:t>
      </w:r>
    </w:p>
    <w:p w14:paraId="5204EFC1" w14:textId="7C6CE5F6" w:rsidR="00EE3B8C" w:rsidRDefault="00EE3B8C" w:rsidP="004A6A25">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that this submission was not eligible for an Independent Review, as it received a positive recommendation.</w:t>
      </w:r>
    </w:p>
    <w:bookmarkEnd w:id="85"/>
    <w:p w14:paraId="7FE0871A" w14:textId="77777777" w:rsidR="004A6A25" w:rsidRPr="00525B39" w:rsidRDefault="004A6A25" w:rsidP="004A6A2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7C75BA5" w14:textId="779D6AB0" w:rsidR="00703154" w:rsidRPr="00DA09D4" w:rsidRDefault="004A6A25" w:rsidP="00DA09D4">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83"/>
    <w:p w14:paraId="2ACFEC86" w14:textId="231A0A6D" w:rsidR="004A6A25" w:rsidRPr="00907671" w:rsidRDefault="004A6A25" w:rsidP="004A6A25">
      <w:pPr>
        <w:pStyle w:val="2-SectionHeading"/>
        <w:numPr>
          <w:ilvl w:val="0"/>
          <w:numId w:val="1"/>
        </w:numPr>
      </w:pPr>
      <w:r w:rsidRPr="00907671">
        <w:t>Recommended listing</w:t>
      </w:r>
    </w:p>
    <w:p w14:paraId="07A61302" w14:textId="0536BE16" w:rsidR="004A6A25" w:rsidRPr="000A4F09" w:rsidRDefault="004A6A25" w:rsidP="000A4F09">
      <w:pPr>
        <w:widowControl w:val="0"/>
        <w:numPr>
          <w:ilvl w:val="1"/>
          <w:numId w:val="1"/>
        </w:numPr>
        <w:spacing w:after="120"/>
        <w:ind w:left="720"/>
        <w:contextualSpacing/>
        <w:rPr>
          <w:rFonts w:asciiTheme="minorHAnsi" w:hAnsiTheme="minorHAnsi"/>
          <w:bCs/>
          <w:snapToGrid w:val="0"/>
        </w:rPr>
      </w:pPr>
      <w:r w:rsidRPr="000A4F09">
        <w:rPr>
          <w:rFonts w:asciiTheme="minorHAnsi" w:hAnsiTheme="minorHAnsi"/>
          <w:bCs/>
          <w:snapToGrid w:val="0"/>
        </w:rPr>
        <w:t>Add new item:</w:t>
      </w:r>
    </w:p>
    <w:p w14:paraId="7AD1AC44" w14:textId="77777777" w:rsidR="000A4F09" w:rsidRDefault="000A4F09" w:rsidP="004A6A25">
      <w:pPr>
        <w:spacing w:before="120"/>
        <w:rPr>
          <w:rFonts w:asciiTheme="minorHAnsi" w:hAnsiTheme="minorHAnsi"/>
          <w:b/>
          <w:i/>
          <w:iCs/>
          <w:snapToGrid w:val="0"/>
          <w:lang w:val="en-GB"/>
        </w:rPr>
      </w:pPr>
    </w:p>
    <w:tbl>
      <w:tblPr>
        <w:tblStyle w:val="TableGrid"/>
        <w:tblW w:w="5000" w:type="pct"/>
        <w:tblLayout w:type="fixed"/>
        <w:tblLook w:val="0000" w:firstRow="0" w:lastRow="0" w:firstColumn="0" w:lastColumn="0" w:noHBand="0" w:noVBand="0"/>
      </w:tblPr>
      <w:tblGrid>
        <w:gridCol w:w="488"/>
        <w:gridCol w:w="784"/>
        <w:gridCol w:w="2668"/>
        <w:gridCol w:w="811"/>
        <w:gridCol w:w="812"/>
        <w:gridCol w:w="811"/>
        <w:gridCol w:w="812"/>
        <w:gridCol w:w="1831"/>
      </w:tblGrid>
      <w:tr w:rsidR="002A79E2" w:rsidRPr="005B4935" w14:paraId="3C9781CF" w14:textId="77777777">
        <w:trPr>
          <w:trHeight w:val="20"/>
        </w:trPr>
        <w:tc>
          <w:tcPr>
            <w:tcW w:w="3940" w:type="dxa"/>
            <w:gridSpan w:val="3"/>
          </w:tcPr>
          <w:p w14:paraId="495FCEBF" w14:textId="77777777" w:rsidR="002A79E2" w:rsidRPr="005B4935" w:rsidRDefault="002A79E2">
            <w:pPr>
              <w:keepLines/>
              <w:rPr>
                <w:rFonts w:ascii="Arial Narrow" w:hAnsi="Arial Narrow"/>
                <w:b/>
                <w:bCs/>
                <w:sz w:val="20"/>
                <w:szCs w:val="20"/>
              </w:rPr>
            </w:pPr>
            <w:r w:rsidRPr="005B4935">
              <w:rPr>
                <w:rFonts w:ascii="Arial Narrow" w:hAnsi="Arial Narrow"/>
                <w:b/>
                <w:bCs/>
                <w:sz w:val="20"/>
                <w:szCs w:val="20"/>
              </w:rPr>
              <w:t>MEDICINAL PRODUCT</w:t>
            </w:r>
          </w:p>
          <w:p w14:paraId="7B8B543E" w14:textId="77777777" w:rsidR="002A79E2" w:rsidRPr="005B4935" w:rsidRDefault="002A79E2">
            <w:pPr>
              <w:keepLines/>
              <w:rPr>
                <w:rFonts w:ascii="Arial Narrow" w:hAnsi="Arial Narrow"/>
                <w:b/>
                <w:bCs/>
                <w:sz w:val="20"/>
                <w:szCs w:val="20"/>
              </w:rPr>
            </w:pPr>
            <w:r w:rsidRPr="005B4935">
              <w:rPr>
                <w:rFonts w:ascii="Arial Narrow" w:hAnsi="Arial Narrow"/>
                <w:b/>
                <w:bCs/>
                <w:sz w:val="20"/>
                <w:szCs w:val="20"/>
              </w:rPr>
              <w:t>medicinal product pack</w:t>
            </w:r>
          </w:p>
        </w:tc>
        <w:tc>
          <w:tcPr>
            <w:tcW w:w="811" w:type="dxa"/>
          </w:tcPr>
          <w:p w14:paraId="2B2BCD14"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PBS item code</w:t>
            </w:r>
          </w:p>
        </w:tc>
        <w:tc>
          <w:tcPr>
            <w:tcW w:w="812" w:type="dxa"/>
          </w:tcPr>
          <w:p w14:paraId="4A674A29"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Max. qty packs</w:t>
            </w:r>
          </w:p>
        </w:tc>
        <w:tc>
          <w:tcPr>
            <w:tcW w:w="811" w:type="dxa"/>
          </w:tcPr>
          <w:p w14:paraId="7794F530"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Max. qty units</w:t>
            </w:r>
          </w:p>
        </w:tc>
        <w:tc>
          <w:tcPr>
            <w:tcW w:w="812" w:type="dxa"/>
          </w:tcPr>
          <w:p w14:paraId="288F1AAA"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 of</w:t>
            </w:r>
          </w:p>
          <w:p w14:paraId="14FEB8B6"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Rpts</w:t>
            </w:r>
          </w:p>
        </w:tc>
        <w:tc>
          <w:tcPr>
            <w:tcW w:w="1831" w:type="dxa"/>
          </w:tcPr>
          <w:p w14:paraId="0B00E680" w14:textId="77777777" w:rsidR="002A79E2" w:rsidRPr="005B4935" w:rsidRDefault="002A79E2">
            <w:pPr>
              <w:keepLines/>
              <w:rPr>
                <w:rFonts w:ascii="Arial Narrow" w:hAnsi="Arial Narrow"/>
                <w:b/>
                <w:bCs/>
                <w:sz w:val="20"/>
                <w:szCs w:val="20"/>
                <w:lang w:val="fr-FR"/>
              </w:rPr>
            </w:pPr>
            <w:r w:rsidRPr="005B4935">
              <w:rPr>
                <w:rFonts w:ascii="Arial Narrow" w:hAnsi="Arial Narrow"/>
                <w:b/>
                <w:bCs/>
                <w:sz w:val="20"/>
                <w:szCs w:val="20"/>
              </w:rPr>
              <w:t>Available brands</w:t>
            </w:r>
          </w:p>
        </w:tc>
      </w:tr>
      <w:tr w:rsidR="002A79E2" w:rsidRPr="005B4935" w14:paraId="29637C24" w14:textId="77777777">
        <w:trPr>
          <w:trHeight w:val="20"/>
        </w:trPr>
        <w:tc>
          <w:tcPr>
            <w:tcW w:w="9017" w:type="dxa"/>
            <w:gridSpan w:val="8"/>
          </w:tcPr>
          <w:p w14:paraId="1B5BBCB7" w14:textId="77777777" w:rsidR="002A79E2" w:rsidRPr="005B4935" w:rsidRDefault="002A79E2">
            <w:pPr>
              <w:keepLines/>
              <w:rPr>
                <w:rFonts w:ascii="Arial Narrow" w:hAnsi="Arial Narrow"/>
                <w:sz w:val="20"/>
                <w:szCs w:val="20"/>
              </w:rPr>
            </w:pPr>
            <w:r w:rsidRPr="005B4935">
              <w:rPr>
                <w:rFonts w:ascii="Arial Narrow" w:hAnsi="Arial Narrow"/>
                <w:sz w:val="20"/>
                <w:szCs w:val="20"/>
              </w:rPr>
              <w:t xml:space="preserve">ELAFIBRANOR </w:t>
            </w:r>
          </w:p>
        </w:tc>
      </w:tr>
      <w:tr w:rsidR="002A79E2" w:rsidRPr="005B4935" w14:paraId="7A284AA2" w14:textId="77777777">
        <w:trPr>
          <w:trHeight w:val="20"/>
        </w:trPr>
        <w:tc>
          <w:tcPr>
            <w:tcW w:w="3940" w:type="dxa"/>
            <w:gridSpan w:val="3"/>
          </w:tcPr>
          <w:p w14:paraId="689E4BBD" w14:textId="77777777" w:rsidR="002A79E2" w:rsidRPr="005B4935" w:rsidRDefault="002A79E2">
            <w:pPr>
              <w:keepLines/>
              <w:rPr>
                <w:rFonts w:ascii="Arial Narrow" w:hAnsi="Arial Narrow"/>
                <w:sz w:val="20"/>
                <w:szCs w:val="20"/>
              </w:rPr>
            </w:pPr>
            <w:proofErr w:type="spellStart"/>
            <w:r w:rsidRPr="005B4935">
              <w:rPr>
                <w:rFonts w:ascii="Arial Narrow" w:hAnsi="Arial Narrow"/>
                <w:sz w:val="20"/>
                <w:szCs w:val="20"/>
              </w:rPr>
              <w:t>Elafibranor</w:t>
            </w:r>
            <w:proofErr w:type="spellEnd"/>
            <w:r w:rsidRPr="005B4935">
              <w:rPr>
                <w:rFonts w:ascii="Arial Narrow" w:hAnsi="Arial Narrow"/>
                <w:sz w:val="20"/>
                <w:szCs w:val="20"/>
              </w:rPr>
              <w:t xml:space="preserve"> 80 mg tablet, 30 </w:t>
            </w:r>
          </w:p>
        </w:tc>
        <w:tc>
          <w:tcPr>
            <w:tcW w:w="811" w:type="dxa"/>
          </w:tcPr>
          <w:p w14:paraId="1BCC899F"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 xml:space="preserve"> NEW</w:t>
            </w:r>
          </w:p>
        </w:tc>
        <w:tc>
          <w:tcPr>
            <w:tcW w:w="812" w:type="dxa"/>
          </w:tcPr>
          <w:p w14:paraId="10C86B30"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1</w:t>
            </w:r>
          </w:p>
        </w:tc>
        <w:tc>
          <w:tcPr>
            <w:tcW w:w="811" w:type="dxa"/>
          </w:tcPr>
          <w:p w14:paraId="73C4BC6B"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30</w:t>
            </w:r>
          </w:p>
        </w:tc>
        <w:tc>
          <w:tcPr>
            <w:tcW w:w="812" w:type="dxa"/>
          </w:tcPr>
          <w:p w14:paraId="5D7D469C"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5</w:t>
            </w:r>
          </w:p>
        </w:tc>
        <w:tc>
          <w:tcPr>
            <w:tcW w:w="1831" w:type="dxa"/>
          </w:tcPr>
          <w:p w14:paraId="2A0AC4B0" w14:textId="77777777" w:rsidR="002A79E2" w:rsidRPr="005B4935" w:rsidRDefault="002A79E2">
            <w:pPr>
              <w:keepLines/>
              <w:rPr>
                <w:rFonts w:ascii="Arial Narrow" w:hAnsi="Arial Narrow"/>
                <w:sz w:val="20"/>
                <w:szCs w:val="20"/>
              </w:rPr>
            </w:pPr>
            <w:proofErr w:type="spellStart"/>
            <w:r w:rsidRPr="005B4935">
              <w:rPr>
                <w:rFonts w:ascii="Arial Narrow" w:hAnsi="Arial Narrow"/>
                <w:sz w:val="20"/>
                <w:szCs w:val="20"/>
              </w:rPr>
              <w:t>Iqirvo</w:t>
            </w:r>
            <w:proofErr w:type="spellEnd"/>
          </w:p>
        </w:tc>
      </w:tr>
      <w:tr w:rsidR="002A79E2" w:rsidRPr="005B4935" w14:paraId="5C17AA79" w14:textId="77777777">
        <w:trPr>
          <w:trHeight w:val="20"/>
        </w:trPr>
        <w:tc>
          <w:tcPr>
            <w:tcW w:w="9017" w:type="dxa"/>
            <w:gridSpan w:val="8"/>
          </w:tcPr>
          <w:p w14:paraId="76C4199E" w14:textId="77777777" w:rsidR="002A79E2" w:rsidRPr="005B4935" w:rsidRDefault="002A79E2">
            <w:pPr>
              <w:rPr>
                <w:rFonts w:ascii="Arial Narrow" w:hAnsi="Arial Narrow"/>
                <w:sz w:val="20"/>
                <w:szCs w:val="20"/>
              </w:rPr>
            </w:pPr>
          </w:p>
        </w:tc>
      </w:tr>
      <w:tr w:rsidR="002A79E2" w:rsidRPr="005B4935" w14:paraId="2D7FB8DE" w14:textId="77777777">
        <w:trPr>
          <w:trHeight w:val="20"/>
        </w:trPr>
        <w:tc>
          <w:tcPr>
            <w:tcW w:w="9017" w:type="dxa"/>
            <w:gridSpan w:val="8"/>
          </w:tcPr>
          <w:p w14:paraId="12F3C957" w14:textId="77777777" w:rsidR="002A79E2" w:rsidRPr="005B4935" w:rsidRDefault="002A79E2">
            <w:pPr>
              <w:keepLines/>
              <w:rPr>
                <w:rFonts w:ascii="Arial Narrow" w:hAnsi="Arial Narrow"/>
                <w:b/>
                <w:bCs/>
                <w:sz w:val="20"/>
                <w:szCs w:val="20"/>
              </w:rPr>
            </w:pPr>
            <w:r w:rsidRPr="005B4935">
              <w:rPr>
                <w:rFonts w:ascii="Arial Narrow" w:hAnsi="Arial Narrow"/>
                <w:b/>
                <w:bCs/>
                <w:sz w:val="20"/>
                <w:szCs w:val="20"/>
              </w:rPr>
              <w:t xml:space="preserve">Restriction Summary [new] / Treatment of Concept: [new] </w:t>
            </w:r>
          </w:p>
        </w:tc>
      </w:tr>
      <w:tr w:rsidR="002A79E2" w:rsidRPr="005B4935" w14:paraId="66F0E511" w14:textId="77777777">
        <w:trPr>
          <w:trHeight w:val="20"/>
        </w:trPr>
        <w:tc>
          <w:tcPr>
            <w:tcW w:w="1272" w:type="dxa"/>
            <w:gridSpan w:val="2"/>
            <w:vMerge w:val="restart"/>
          </w:tcPr>
          <w:p w14:paraId="17E3E136" w14:textId="77777777" w:rsidR="002A79E2" w:rsidRPr="005B4935" w:rsidRDefault="002A79E2">
            <w:pPr>
              <w:jc w:val="center"/>
              <w:rPr>
                <w:rFonts w:ascii="Arial Narrow" w:hAnsi="Arial Narrow"/>
                <w:b/>
                <w:bCs/>
                <w:sz w:val="20"/>
                <w:szCs w:val="20"/>
              </w:rPr>
            </w:pPr>
            <w:r w:rsidRPr="005B4935">
              <w:rPr>
                <w:rFonts w:ascii="Arial Narrow" w:hAnsi="Arial Narrow"/>
                <w:b/>
                <w:bCs/>
                <w:sz w:val="20"/>
                <w:szCs w:val="20"/>
              </w:rPr>
              <w:t xml:space="preserve">Concept ID </w:t>
            </w:r>
            <w:r w:rsidRPr="005B4935">
              <w:rPr>
                <w:rFonts w:ascii="Arial Narrow" w:hAnsi="Arial Narrow"/>
                <w:sz w:val="20"/>
                <w:szCs w:val="20"/>
              </w:rPr>
              <w:t>(for internal Dept. use)</w:t>
            </w:r>
          </w:p>
        </w:tc>
        <w:tc>
          <w:tcPr>
            <w:tcW w:w="7745" w:type="dxa"/>
            <w:gridSpan w:val="6"/>
          </w:tcPr>
          <w:p w14:paraId="1C438FD0" w14:textId="77777777" w:rsidR="002A79E2" w:rsidRPr="005B4935" w:rsidRDefault="002A79E2">
            <w:pPr>
              <w:keepLines/>
              <w:rPr>
                <w:rFonts w:ascii="Arial Narrow" w:hAnsi="Arial Narrow"/>
                <w:sz w:val="20"/>
                <w:szCs w:val="20"/>
              </w:rPr>
            </w:pPr>
            <w:r w:rsidRPr="005B4935">
              <w:rPr>
                <w:rFonts w:ascii="Arial Narrow" w:hAnsi="Arial Narrow"/>
                <w:b/>
                <w:bCs/>
                <w:sz w:val="20"/>
                <w:szCs w:val="20"/>
              </w:rPr>
              <w:t>Category / Program:</w:t>
            </w:r>
            <w:r w:rsidRPr="005B4935">
              <w:rPr>
                <w:rFonts w:ascii="Arial Narrow" w:hAnsi="Arial Narrow"/>
                <w:color w:val="FF0000"/>
                <w:sz w:val="20"/>
                <w:szCs w:val="20"/>
              </w:rPr>
              <w:t xml:space="preserve"> </w:t>
            </w:r>
            <w:r w:rsidRPr="005B4935">
              <w:rPr>
                <w:rFonts w:ascii="Arial Narrow" w:eastAsia="Calibri" w:hAnsi="Arial Narrow"/>
                <w:sz w:val="20"/>
                <w:szCs w:val="20"/>
              </w:rPr>
              <w:fldChar w:fldCharType="begin" w:fldLock="1">
                <w:ffData>
                  <w:name w:val="Check1"/>
                  <w:enabled/>
                  <w:calcOnExit w:val="0"/>
                  <w:checkBox>
                    <w:sizeAuto/>
                    <w:default w:val="1"/>
                  </w:checkBox>
                </w:ffData>
              </w:fldChar>
            </w:r>
            <w:r w:rsidRPr="005B4935">
              <w:rPr>
                <w:rFonts w:ascii="Arial Narrow" w:eastAsia="Calibri" w:hAnsi="Arial Narrow"/>
                <w:sz w:val="20"/>
                <w:szCs w:val="20"/>
              </w:rPr>
              <w:instrText xml:space="preserve"> FORMCHECKBOX </w:instrText>
            </w:r>
            <w:r w:rsidRPr="005B4935">
              <w:rPr>
                <w:rFonts w:ascii="Arial Narrow" w:eastAsia="Calibri" w:hAnsi="Arial Narrow"/>
                <w:sz w:val="20"/>
                <w:szCs w:val="20"/>
              </w:rPr>
            </w:r>
            <w:r w:rsidRPr="005B4935">
              <w:rPr>
                <w:rFonts w:ascii="Arial Narrow" w:eastAsia="Calibri" w:hAnsi="Arial Narrow"/>
                <w:sz w:val="20"/>
                <w:szCs w:val="20"/>
              </w:rPr>
              <w:fldChar w:fldCharType="separate"/>
            </w:r>
            <w:r w:rsidRPr="005B4935">
              <w:rPr>
                <w:rFonts w:ascii="Arial Narrow" w:eastAsia="Calibri" w:hAnsi="Arial Narrow"/>
                <w:sz w:val="20"/>
                <w:szCs w:val="20"/>
              </w:rPr>
              <w:fldChar w:fldCharType="end"/>
            </w:r>
            <w:r w:rsidRPr="005B4935">
              <w:rPr>
                <w:rFonts w:ascii="Arial Narrow" w:eastAsia="Calibri" w:hAnsi="Arial Narrow"/>
                <w:sz w:val="20"/>
                <w:szCs w:val="20"/>
              </w:rPr>
              <w:t xml:space="preserve"> GENERAL - General Schedule (Code GE) </w:t>
            </w:r>
          </w:p>
        </w:tc>
      </w:tr>
      <w:tr w:rsidR="002A79E2" w:rsidRPr="005B4935" w14:paraId="58EEB94C" w14:textId="77777777">
        <w:trPr>
          <w:trHeight w:val="20"/>
        </w:trPr>
        <w:tc>
          <w:tcPr>
            <w:tcW w:w="1272" w:type="dxa"/>
            <w:gridSpan w:val="2"/>
            <w:vMerge/>
          </w:tcPr>
          <w:p w14:paraId="4290BA75" w14:textId="77777777" w:rsidR="002A79E2" w:rsidRPr="005B4935" w:rsidRDefault="002A79E2">
            <w:pPr>
              <w:rPr>
                <w:rFonts w:ascii="Arial Narrow" w:hAnsi="Arial Narrow"/>
                <w:sz w:val="20"/>
                <w:szCs w:val="20"/>
              </w:rPr>
            </w:pPr>
          </w:p>
        </w:tc>
        <w:tc>
          <w:tcPr>
            <w:tcW w:w="7745" w:type="dxa"/>
            <w:gridSpan w:val="6"/>
          </w:tcPr>
          <w:p w14:paraId="454DE8F4" w14:textId="77777777" w:rsidR="002A79E2" w:rsidRPr="005B4935" w:rsidRDefault="002A79E2">
            <w:pPr>
              <w:keepLines/>
              <w:rPr>
                <w:rFonts w:ascii="Arial Narrow" w:hAnsi="Arial Narrow"/>
                <w:sz w:val="20"/>
                <w:szCs w:val="20"/>
              </w:rPr>
            </w:pPr>
            <w:r w:rsidRPr="005B4935">
              <w:rPr>
                <w:rFonts w:ascii="Arial Narrow" w:hAnsi="Arial Narrow"/>
                <w:b/>
                <w:bCs/>
                <w:sz w:val="20"/>
                <w:szCs w:val="20"/>
              </w:rPr>
              <w:t xml:space="preserve">Prescriber type: </w:t>
            </w:r>
            <w:r w:rsidRPr="005B4935">
              <w:rPr>
                <w:rFonts w:ascii="Arial Narrow" w:hAnsi="Arial Narrow"/>
                <w:sz w:val="20"/>
                <w:szCs w:val="20"/>
              </w:rPr>
              <w:fldChar w:fldCharType="begin" w:fldLock="1">
                <w:ffData>
                  <w:name w:val=""/>
                  <w:enabled/>
                  <w:calcOnExit w:val="0"/>
                  <w:checkBox>
                    <w:sizeAuto/>
                    <w:default w:val="1"/>
                  </w:checkBox>
                </w:ffData>
              </w:fldChar>
            </w:r>
            <w:r w:rsidRPr="005B4935">
              <w:rPr>
                <w:rFonts w:ascii="Arial Narrow" w:hAnsi="Arial Narrow"/>
                <w:sz w:val="20"/>
                <w:szCs w:val="20"/>
              </w:rPr>
              <w:instrText xml:space="preserve"> FORMCHECKBOX </w:instrText>
            </w:r>
            <w:r w:rsidRPr="005B4935">
              <w:rPr>
                <w:rFonts w:ascii="Arial Narrow" w:hAnsi="Arial Narrow"/>
                <w:sz w:val="20"/>
                <w:szCs w:val="20"/>
              </w:rPr>
            </w:r>
            <w:r w:rsidRPr="005B4935">
              <w:rPr>
                <w:rFonts w:ascii="Arial Narrow" w:hAnsi="Arial Narrow"/>
                <w:sz w:val="20"/>
                <w:szCs w:val="20"/>
              </w:rPr>
              <w:fldChar w:fldCharType="separate"/>
            </w:r>
            <w:r w:rsidRPr="005B4935">
              <w:rPr>
                <w:rFonts w:ascii="Arial Narrow" w:hAnsi="Arial Narrow"/>
                <w:sz w:val="20"/>
                <w:szCs w:val="20"/>
              </w:rPr>
              <w:fldChar w:fldCharType="end"/>
            </w:r>
            <w:r w:rsidRPr="005B4935">
              <w:rPr>
                <w:rFonts w:ascii="Arial Narrow" w:hAnsi="Arial Narrow"/>
                <w:sz w:val="20"/>
                <w:szCs w:val="20"/>
              </w:rPr>
              <w:t xml:space="preserve">Medical Practitioners </w:t>
            </w:r>
          </w:p>
        </w:tc>
      </w:tr>
      <w:tr w:rsidR="002A79E2" w:rsidRPr="005B4935" w14:paraId="19C85275" w14:textId="77777777">
        <w:trPr>
          <w:trHeight w:val="20"/>
        </w:trPr>
        <w:tc>
          <w:tcPr>
            <w:tcW w:w="1272" w:type="dxa"/>
            <w:gridSpan w:val="2"/>
            <w:vMerge/>
          </w:tcPr>
          <w:p w14:paraId="59477E96" w14:textId="77777777" w:rsidR="002A79E2" w:rsidRPr="005B4935" w:rsidRDefault="002A79E2">
            <w:pPr>
              <w:rPr>
                <w:rFonts w:ascii="Arial Narrow" w:hAnsi="Arial Narrow"/>
                <w:sz w:val="20"/>
                <w:szCs w:val="20"/>
              </w:rPr>
            </w:pPr>
          </w:p>
        </w:tc>
        <w:tc>
          <w:tcPr>
            <w:tcW w:w="7745" w:type="dxa"/>
            <w:gridSpan w:val="6"/>
          </w:tcPr>
          <w:p w14:paraId="26D02280" w14:textId="7E98C2A1" w:rsidR="002A79E2" w:rsidRPr="005B4935" w:rsidRDefault="002A79E2">
            <w:pPr>
              <w:keepLines/>
              <w:rPr>
                <w:rFonts w:ascii="Arial Narrow" w:eastAsia="Calibri" w:hAnsi="Arial Narrow"/>
                <w:sz w:val="20"/>
                <w:szCs w:val="20"/>
              </w:rPr>
            </w:pPr>
            <w:r w:rsidRPr="005B4935">
              <w:rPr>
                <w:rFonts w:ascii="Arial Narrow" w:hAnsi="Arial Narrow"/>
                <w:b/>
                <w:bCs/>
                <w:sz w:val="20"/>
                <w:szCs w:val="20"/>
              </w:rPr>
              <w:t xml:space="preserve">Restriction type: </w:t>
            </w:r>
            <w:r w:rsidRPr="005B4935">
              <w:rPr>
                <w:rFonts w:ascii="Arial Narrow" w:eastAsia="Calibri" w:hAnsi="Arial Narrow"/>
                <w:sz w:val="20"/>
                <w:szCs w:val="20"/>
              </w:rPr>
              <w:fldChar w:fldCharType="begin" w:fldLock="1">
                <w:ffData>
                  <w:name w:val=""/>
                  <w:enabled/>
                  <w:calcOnExit w:val="0"/>
                  <w:checkBox>
                    <w:sizeAuto/>
                    <w:default w:val="1"/>
                  </w:checkBox>
                </w:ffData>
              </w:fldChar>
            </w:r>
            <w:r w:rsidRPr="005B4935">
              <w:rPr>
                <w:rFonts w:ascii="Arial Narrow" w:eastAsia="Calibri" w:hAnsi="Arial Narrow"/>
                <w:sz w:val="20"/>
                <w:szCs w:val="20"/>
              </w:rPr>
              <w:instrText xml:space="preserve"> FORMCHECKBOX </w:instrText>
            </w:r>
            <w:r w:rsidRPr="005B4935">
              <w:rPr>
                <w:rFonts w:ascii="Arial Narrow" w:eastAsia="Calibri" w:hAnsi="Arial Narrow"/>
                <w:sz w:val="20"/>
                <w:szCs w:val="20"/>
              </w:rPr>
            </w:r>
            <w:r w:rsidRPr="005B4935">
              <w:rPr>
                <w:rFonts w:ascii="Arial Narrow" w:eastAsia="Calibri" w:hAnsi="Arial Narrow"/>
                <w:sz w:val="20"/>
                <w:szCs w:val="20"/>
              </w:rPr>
              <w:fldChar w:fldCharType="separate"/>
            </w:r>
            <w:r w:rsidRPr="005B4935">
              <w:rPr>
                <w:rFonts w:ascii="Arial Narrow" w:eastAsia="Calibri" w:hAnsi="Arial Narrow"/>
                <w:sz w:val="20"/>
                <w:szCs w:val="20"/>
              </w:rPr>
              <w:fldChar w:fldCharType="end"/>
            </w:r>
            <w:r w:rsidRPr="005B4935">
              <w:rPr>
                <w:rFonts w:ascii="Arial Narrow" w:eastAsia="Calibri" w:hAnsi="Arial Narrow"/>
                <w:sz w:val="20"/>
                <w:szCs w:val="20"/>
              </w:rPr>
              <w:t xml:space="preserve">Authority Required </w:t>
            </w:r>
            <w:r w:rsidR="0022204C">
              <w:rPr>
                <w:rFonts w:ascii="Arial Narrow" w:eastAsia="Calibri" w:hAnsi="Arial Narrow"/>
                <w:sz w:val="20"/>
                <w:szCs w:val="20"/>
              </w:rPr>
              <w:t xml:space="preserve">– immediate assessment </w:t>
            </w:r>
            <w:r w:rsidRPr="00DC0413">
              <w:rPr>
                <w:rFonts w:ascii="Arial Narrow" w:eastAsia="Calibri" w:hAnsi="Arial Narrow"/>
                <w:sz w:val="20"/>
                <w:szCs w:val="20"/>
              </w:rPr>
              <w:t>(telephone/online)</w:t>
            </w:r>
            <w:r w:rsidRPr="005B4935">
              <w:rPr>
                <w:rFonts w:ascii="Arial Narrow" w:eastAsia="Calibri" w:hAnsi="Arial Narrow"/>
                <w:sz w:val="20"/>
                <w:szCs w:val="20"/>
              </w:rPr>
              <w:t xml:space="preserve"> </w:t>
            </w:r>
          </w:p>
        </w:tc>
      </w:tr>
      <w:tr w:rsidR="002A79E2" w:rsidRPr="005B4935" w14:paraId="5D897B61" w14:textId="77777777">
        <w:trPr>
          <w:trHeight w:val="20"/>
        </w:trPr>
        <w:tc>
          <w:tcPr>
            <w:tcW w:w="488" w:type="dxa"/>
            <w:vMerge w:val="restart"/>
            <w:textDirection w:val="btLr"/>
          </w:tcPr>
          <w:p w14:paraId="351010B2" w14:textId="77777777" w:rsidR="002A79E2" w:rsidRPr="005B4935" w:rsidRDefault="002A79E2">
            <w:pPr>
              <w:jc w:val="center"/>
              <w:rPr>
                <w:rFonts w:ascii="Arial Narrow" w:hAnsi="Arial Narrow"/>
                <w:sz w:val="20"/>
                <w:szCs w:val="20"/>
              </w:rPr>
            </w:pPr>
            <w:r w:rsidRPr="005B4935">
              <w:rPr>
                <w:rFonts w:ascii="Arial Narrow" w:hAnsi="Arial Narrow"/>
                <w:sz w:val="20"/>
                <w:szCs w:val="20"/>
              </w:rPr>
              <w:t>Prescribing rule level</w:t>
            </w:r>
          </w:p>
        </w:tc>
        <w:tc>
          <w:tcPr>
            <w:tcW w:w="784" w:type="dxa"/>
            <w:tcBorders>
              <w:bottom w:val="single" w:sz="4" w:space="0" w:color="auto"/>
            </w:tcBorders>
          </w:tcPr>
          <w:p w14:paraId="445D4D5D" w14:textId="1337C5CD" w:rsidR="002A79E2" w:rsidRPr="000E0F83" w:rsidRDefault="002A79E2">
            <w:pPr>
              <w:jc w:val="center"/>
              <w:rPr>
                <w:rFonts w:ascii="Arial Narrow" w:hAnsi="Arial Narrow" w:cs="Open Sans"/>
                <w:color w:val="333333"/>
                <w:sz w:val="20"/>
                <w:szCs w:val="20"/>
              </w:rPr>
            </w:pPr>
          </w:p>
        </w:tc>
        <w:tc>
          <w:tcPr>
            <w:tcW w:w="7745" w:type="dxa"/>
            <w:gridSpan w:val="6"/>
            <w:tcBorders>
              <w:bottom w:val="single" w:sz="4" w:space="0" w:color="auto"/>
            </w:tcBorders>
          </w:tcPr>
          <w:p w14:paraId="4A6DB450" w14:textId="77777777" w:rsidR="002A79E2" w:rsidRPr="000E0F83" w:rsidRDefault="002A79E2">
            <w:pPr>
              <w:pStyle w:val="NormalWeb"/>
              <w:spacing w:before="0" w:after="0"/>
              <w:textAlignment w:val="baseline"/>
              <w:rPr>
                <w:rFonts w:ascii="Arial Narrow" w:hAnsi="Arial Narrow" w:cs="Open Sans"/>
                <w:color w:val="333333"/>
                <w:sz w:val="20"/>
                <w:szCs w:val="20"/>
              </w:rPr>
            </w:pPr>
            <w:r w:rsidRPr="000E0F83">
              <w:rPr>
                <w:rStyle w:val="Strong"/>
                <w:rFonts w:ascii="Arial Narrow" w:eastAsiaTheme="majorEastAsia" w:hAnsi="Arial Narrow" w:cs="Open Sans"/>
                <w:color w:val="333333"/>
                <w:sz w:val="20"/>
                <w:szCs w:val="20"/>
                <w:bdr w:val="none" w:sz="0" w:space="0" w:color="auto" w:frame="1"/>
              </w:rPr>
              <w:t>Caution:</w:t>
            </w:r>
          </w:p>
          <w:p w14:paraId="6DAB3E7F" w14:textId="77777777" w:rsidR="002A79E2" w:rsidRPr="000E0F83" w:rsidRDefault="002A79E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0E0F83">
              <w:rPr>
                <w:rFonts w:ascii="Arial Narrow" w:hAnsi="Arial Narrow" w:cs="Open Sans"/>
                <w:color w:val="333333"/>
                <w:sz w:val="20"/>
                <w:szCs w:val="20"/>
              </w:rPr>
              <w:t>Hepatic decompensation and failure, in some cases fatal, have been reported in post-marketing reports in patients with moderate to severe hepatic impairment when dosed incorrectly.</w:t>
            </w:r>
          </w:p>
        </w:tc>
      </w:tr>
      <w:tr w:rsidR="002A79E2" w:rsidRPr="005B4935" w14:paraId="4CFEDDF5" w14:textId="77777777" w:rsidTr="009C40FB">
        <w:trPr>
          <w:trHeight w:val="230"/>
        </w:trPr>
        <w:tc>
          <w:tcPr>
            <w:tcW w:w="488" w:type="dxa"/>
            <w:vMerge/>
            <w:textDirection w:val="btLr"/>
          </w:tcPr>
          <w:p w14:paraId="7E4F3225" w14:textId="77777777" w:rsidR="002A79E2" w:rsidRPr="005B4935" w:rsidRDefault="002A79E2">
            <w:pPr>
              <w:jc w:val="center"/>
              <w:rPr>
                <w:rFonts w:ascii="Arial Narrow" w:hAnsi="Arial Narrow"/>
                <w:sz w:val="20"/>
                <w:szCs w:val="20"/>
              </w:rPr>
            </w:pPr>
          </w:p>
        </w:tc>
        <w:tc>
          <w:tcPr>
            <w:tcW w:w="784" w:type="dxa"/>
            <w:tcBorders>
              <w:top w:val="single" w:sz="4" w:space="0" w:color="auto"/>
              <w:left w:val="nil"/>
              <w:bottom w:val="single" w:sz="4" w:space="0" w:color="auto"/>
              <w:right w:val="single" w:sz="4" w:space="0" w:color="auto"/>
            </w:tcBorders>
            <w:shd w:val="clear" w:color="auto" w:fill="auto"/>
          </w:tcPr>
          <w:p w14:paraId="20E78BEF" w14:textId="5DABF47B" w:rsidR="002A79E2" w:rsidRPr="000E0F83" w:rsidRDefault="002A79E2" w:rsidP="009C40FB">
            <w:pPr>
              <w:jc w:val="center"/>
              <w:rPr>
                <w:rFonts w:ascii="Arial Narrow" w:hAnsi="Arial Narrow" w:cs="Open Sans"/>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6DF00C83" w14:textId="77777777" w:rsidR="002A79E2" w:rsidRPr="000E0F83" w:rsidRDefault="002A79E2">
            <w:pPr>
              <w:pStyle w:val="NormalWeb"/>
              <w:spacing w:before="0" w:after="0"/>
              <w:textAlignment w:val="baseline"/>
              <w:rPr>
                <w:rFonts w:ascii="Arial Narrow" w:hAnsi="Arial Narrow" w:cs="Open Sans"/>
                <w:color w:val="333333"/>
                <w:sz w:val="20"/>
                <w:szCs w:val="20"/>
              </w:rPr>
            </w:pPr>
            <w:r w:rsidRPr="000E0F83">
              <w:rPr>
                <w:rStyle w:val="Strong"/>
                <w:rFonts w:ascii="Arial Narrow" w:eastAsiaTheme="majorEastAsia" w:hAnsi="Arial Narrow" w:cs="Open Sans"/>
                <w:color w:val="333333"/>
                <w:sz w:val="20"/>
                <w:szCs w:val="20"/>
                <w:bdr w:val="none" w:sz="0" w:space="0" w:color="auto" w:frame="1"/>
              </w:rPr>
              <w:t>Administrative Advice:</w:t>
            </w:r>
          </w:p>
          <w:p w14:paraId="2D1D02BD" w14:textId="0C2A550B" w:rsidR="002A79E2" w:rsidRPr="000E0F83" w:rsidRDefault="002A79E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0E0F83">
              <w:rPr>
                <w:rFonts w:ascii="Arial Narrow" w:hAnsi="Arial Narrow" w:cs="Open Sans"/>
                <w:color w:val="333333"/>
                <w:sz w:val="20"/>
                <w:szCs w:val="20"/>
              </w:rPr>
              <w:t>Not for use in the treatment of sclerosing cholangitis</w:t>
            </w:r>
            <w:r w:rsidR="00274727">
              <w:rPr>
                <w:rFonts w:ascii="Arial Narrow" w:hAnsi="Arial Narrow" w:cs="Open Sans"/>
                <w:color w:val="333333"/>
                <w:sz w:val="20"/>
                <w:szCs w:val="20"/>
              </w:rPr>
              <w:t>.</w:t>
            </w:r>
          </w:p>
        </w:tc>
      </w:tr>
      <w:tr w:rsidR="002A79E2" w:rsidRPr="005B4935" w14:paraId="44138E3F" w14:textId="77777777">
        <w:trPr>
          <w:trHeight w:val="20"/>
        </w:trPr>
        <w:tc>
          <w:tcPr>
            <w:tcW w:w="488" w:type="dxa"/>
            <w:vMerge/>
            <w:textDirection w:val="btLr"/>
          </w:tcPr>
          <w:p w14:paraId="6895DCEA" w14:textId="77777777" w:rsidR="002A79E2" w:rsidRPr="005B4935" w:rsidRDefault="002A79E2">
            <w:pPr>
              <w:rPr>
                <w:rFonts w:ascii="Arial Narrow" w:hAnsi="Arial Narrow"/>
                <w:sz w:val="20"/>
                <w:szCs w:val="20"/>
              </w:rPr>
            </w:pPr>
          </w:p>
        </w:tc>
        <w:tc>
          <w:tcPr>
            <w:tcW w:w="784" w:type="dxa"/>
            <w:tcBorders>
              <w:top w:val="single" w:sz="4" w:space="0" w:color="auto"/>
              <w:left w:val="nil"/>
              <w:bottom w:val="single" w:sz="4" w:space="0" w:color="auto"/>
              <w:right w:val="single" w:sz="4" w:space="0" w:color="auto"/>
            </w:tcBorders>
            <w:shd w:val="clear" w:color="auto" w:fill="auto"/>
          </w:tcPr>
          <w:p w14:paraId="5848DFD6" w14:textId="28CEF691" w:rsidR="002A79E2" w:rsidRPr="000E0F83" w:rsidRDefault="002A79E2">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EC004FB" w14:textId="77777777" w:rsidR="002A79E2" w:rsidRPr="000E0F83" w:rsidRDefault="002A79E2">
            <w:pPr>
              <w:pStyle w:val="NormalWeb"/>
              <w:spacing w:before="0" w:after="0"/>
              <w:rPr>
                <w:rStyle w:val="Strong"/>
                <w:rFonts w:ascii="Arial Narrow" w:eastAsiaTheme="majorEastAsia" w:hAnsi="Arial Narrow" w:cs="Open Sans"/>
                <w:color w:val="333333"/>
                <w:sz w:val="20"/>
                <w:szCs w:val="20"/>
              </w:rPr>
            </w:pPr>
            <w:r w:rsidRPr="000E0F83">
              <w:rPr>
                <w:rStyle w:val="Strong"/>
                <w:rFonts w:ascii="Arial Narrow" w:eastAsiaTheme="majorEastAsia" w:hAnsi="Arial Narrow" w:cs="Open Sans"/>
                <w:color w:val="333333"/>
                <w:sz w:val="20"/>
                <w:szCs w:val="20"/>
              </w:rPr>
              <w:t>Administrative Advice:</w:t>
            </w:r>
          </w:p>
          <w:p w14:paraId="278C1522" w14:textId="77777777" w:rsidR="002A79E2" w:rsidRPr="000E0F83" w:rsidRDefault="002A79E2">
            <w:pPr>
              <w:pStyle w:val="NormalWeb"/>
              <w:spacing w:before="0" w:after="0"/>
              <w:rPr>
                <w:rStyle w:val="Strong"/>
                <w:rFonts w:ascii="Arial Narrow" w:eastAsiaTheme="majorEastAsia" w:hAnsi="Arial Narrow" w:cs="Open Sans"/>
                <w:b w:val="0"/>
                <w:color w:val="333333"/>
                <w:sz w:val="20"/>
                <w:szCs w:val="20"/>
              </w:rPr>
            </w:pPr>
            <w:r w:rsidRPr="000E0F83">
              <w:rPr>
                <w:rStyle w:val="Strong"/>
                <w:rFonts w:ascii="Arial Narrow" w:eastAsiaTheme="majorEastAsia" w:hAnsi="Arial Narrow" w:cs="Open Sans"/>
                <w:b w:val="0"/>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A79E2" w:rsidRPr="005B4935" w14:paraId="1583F58C" w14:textId="77777777">
        <w:trPr>
          <w:trHeight w:val="20"/>
        </w:trPr>
        <w:tc>
          <w:tcPr>
            <w:tcW w:w="488" w:type="dxa"/>
            <w:vMerge/>
            <w:textDirection w:val="btLr"/>
          </w:tcPr>
          <w:p w14:paraId="3D44D902" w14:textId="77777777" w:rsidR="002A79E2" w:rsidRPr="005B4935" w:rsidRDefault="002A79E2">
            <w:pPr>
              <w:jc w:val="center"/>
              <w:rPr>
                <w:rFonts w:ascii="Arial Narrow" w:hAnsi="Arial Narrow"/>
                <w:sz w:val="20"/>
                <w:szCs w:val="20"/>
              </w:rPr>
            </w:pPr>
          </w:p>
        </w:tc>
        <w:tc>
          <w:tcPr>
            <w:tcW w:w="784" w:type="dxa"/>
            <w:tcBorders>
              <w:top w:val="single" w:sz="4" w:space="0" w:color="auto"/>
            </w:tcBorders>
          </w:tcPr>
          <w:p w14:paraId="1545FE91" w14:textId="26D5D106" w:rsidR="002A79E2" w:rsidRPr="000E0F83" w:rsidRDefault="002A79E2">
            <w:pPr>
              <w:jc w:val="center"/>
              <w:rPr>
                <w:rFonts w:ascii="Arial Narrow" w:hAnsi="Arial Narrow"/>
                <w:color w:val="333333"/>
                <w:sz w:val="20"/>
                <w:szCs w:val="20"/>
              </w:rPr>
            </w:pPr>
          </w:p>
        </w:tc>
        <w:tc>
          <w:tcPr>
            <w:tcW w:w="7745" w:type="dxa"/>
            <w:gridSpan w:val="6"/>
            <w:tcBorders>
              <w:top w:val="single" w:sz="4" w:space="0" w:color="auto"/>
            </w:tcBorders>
          </w:tcPr>
          <w:p w14:paraId="3943B62D" w14:textId="77777777" w:rsidR="002A79E2" w:rsidRPr="000E0F83" w:rsidRDefault="002A79E2">
            <w:pPr>
              <w:pStyle w:val="NormalWeb"/>
              <w:spacing w:before="0" w:after="0"/>
              <w:textAlignment w:val="baseline"/>
              <w:rPr>
                <w:rFonts w:ascii="Arial Narrow" w:hAnsi="Arial Narrow" w:cs="Open Sans"/>
                <w:color w:val="333333"/>
                <w:sz w:val="20"/>
                <w:szCs w:val="20"/>
              </w:rPr>
            </w:pPr>
            <w:r w:rsidRPr="000E0F83">
              <w:rPr>
                <w:rStyle w:val="Strong"/>
                <w:rFonts w:ascii="Arial Narrow" w:eastAsiaTheme="majorEastAsia" w:hAnsi="Arial Narrow" w:cs="Open Sans"/>
                <w:color w:val="333333"/>
                <w:sz w:val="20"/>
                <w:szCs w:val="20"/>
                <w:bdr w:val="none" w:sz="0" w:space="0" w:color="auto" w:frame="1"/>
              </w:rPr>
              <w:t>Administrative Advice:</w:t>
            </w:r>
          </w:p>
          <w:p w14:paraId="75B0AA58" w14:textId="77777777" w:rsidR="002A79E2" w:rsidRPr="000E0F83" w:rsidRDefault="002A79E2">
            <w:pPr>
              <w:rPr>
                <w:rFonts w:ascii="Arial Narrow" w:hAnsi="Arial Narrow"/>
                <w:color w:val="333333"/>
                <w:sz w:val="20"/>
                <w:szCs w:val="20"/>
              </w:rPr>
            </w:pPr>
            <w:r w:rsidRPr="000E0F83">
              <w:rPr>
                <w:rFonts w:ascii="Arial Narrow" w:hAnsi="Arial Narrow" w:cs="Open Sans"/>
                <w:color w:val="333333"/>
                <w:sz w:val="20"/>
                <w:szCs w:val="20"/>
              </w:rPr>
              <w:t>No increase in the maximum quantity or number of units may be authorised.</w:t>
            </w:r>
          </w:p>
        </w:tc>
      </w:tr>
      <w:tr w:rsidR="002A79E2" w:rsidRPr="005B4935" w14:paraId="31AFB2D4" w14:textId="77777777">
        <w:trPr>
          <w:trHeight w:val="20"/>
        </w:trPr>
        <w:tc>
          <w:tcPr>
            <w:tcW w:w="488" w:type="dxa"/>
            <w:vMerge/>
          </w:tcPr>
          <w:p w14:paraId="026FADD7" w14:textId="77777777" w:rsidR="002A79E2" w:rsidRPr="005B4935" w:rsidRDefault="002A79E2">
            <w:pPr>
              <w:rPr>
                <w:rFonts w:ascii="Arial Narrow" w:hAnsi="Arial Narrow"/>
                <w:sz w:val="20"/>
                <w:szCs w:val="20"/>
              </w:rPr>
            </w:pPr>
          </w:p>
        </w:tc>
        <w:tc>
          <w:tcPr>
            <w:tcW w:w="784" w:type="dxa"/>
          </w:tcPr>
          <w:p w14:paraId="116CCA81" w14:textId="73C09D6E" w:rsidR="002A79E2" w:rsidRPr="000E0F83" w:rsidRDefault="002A79E2">
            <w:pPr>
              <w:jc w:val="center"/>
              <w:rPr>
                <w:rFonts w:ascii="Arial Narrow" w:hAnsi="Arial Narrow"/>
                <w:color w:val="333333"/>
                <w:sz w:val="20"/>
                <w:szCs w:val="20"/>
              </w:rPr>
            </w:pPr>
          </w:p>
        </w:tc>
        <w:tc>
          <w:tcPr>
            <w:tcW w:w="7745" w:type="dxa"/>
            <w:gridSpan w:val="6"/>
          </w:tcPr>
          <w:p w14:paraId="15A16F97" w14:textId="77777777" w:rsidR="002A79E2" w:rsidRPr="000E0F83" w:rsidRDefault="002A79E2">
            <w:pPr>
              <w:pStyle w:val="NormalWeb"/>
              <w:spacing w:before="0" w:after="0"/>
              <w:textAlignment w:val="baseline"/>
              <w:rPr>
                <w:rFonts w:ascii="Arial Narrow" w:hAnsi="Arial Narrow" w:cs="Open Sans"/>
                <w:color w:val="333333"/>
                <w:sz w:val="20"/>
                <w:szCs w:val="20"/>
              </w:rPr>
            </w:pPr>
            <w:r w:rsidRPr="000E0F83">
              <w:rPr>
                <w:rStyle w:val="Strong"/>
                <w:rFonts w:ascii="Arial Narrow" w:eastAsiaTheme="majorEastAsia" w:hAnsi="Arial Narrow" w:cs="Open Sans"/>
                <w:color w:val="333333"/>
                <w:sz w:val="20"/>
                <w:szCs w:val="20"/>
                <w:bdr w:val="none" w:sz="0" w:space="0" w:color="auto" w:frame="1"/>
              </w:rPr>
              <w:t>Administrative Advice:</w:t>
            </w:r>
          </w:p>
          <w:p w14:paraId="6D42AB3A" w14:textId="77777777" w:rsidR="002A79E2" w:rsidRPr="000E0F83" w:rsidRDefault="002A79E2">
            <w:pPr>
              <w:rPr>
                <w:rFonts w:ascii="Arial Narrow" w:hAnsi="Arial Narrow"/>
                <w:b/>
                <w:color w:val="333333"/>
                <w:sz w:val="20"/>
                <w:szCs w:val="20"/>
              </w:rPr>
            </w:pPr>
            <w:r w:rsidRPr="000E0F83">
              <w:rPr>
                <w:rFonts w:ascii="Arial Narrow" w:hAnsi="Arial Narrow" w:cs="Open Sans"/>
                <w:color w:val="333333"/>
                <w:sz w:val="20"/>
                <w:szCs w:val="20"/>
              </w:rPr>
              <w:t>No increase in the maximum number of repeats may be authorised.</w:t>
            </w:r>
          </w:p>
        </w:tc>
      </w:tr>
      <w:tr w:rsidR="002A79E2" w:rsidRPr="005B4935" w14:paraId="37EC2651" w14:textId="77777777">
        <w:trPr>
          <w:trHeight w:val="20"/>
        </w:trPr>
        <w:tc>
          <w:tcPr>
            <w:tcW w:w="488" w:type="dxa"/>
            <w:vMerge/>
          </w:tcPr>
          <w:p w14:paraId="3C6C3214" w14:textId="77777777" w:rsidR="002A79E2" w:rsidRPr="005B4935" w:rsidRDefault="002A79E2">
            <w:pPr>
              <w:rPr>
                <w:rFonts w:ascii="Arial Narrow" w:hAnsi="Arial Narrow"/>
                <w:sz w:val="20"/>
                <w:szCs w:val="20"/>
              </w:rPr>
            </w:pPr>
          </w:p>
        </w:tc>
        <w:tc>
          <w:tcPr>
            <w:tcW w:w="784" w:type="dxa"/>
          </w:tcPr>
          <w:p w14:paraId="1DC9F28C" w14:textId="3F648563" w:rsidR="002A79E2" w:rsidRPr="000E0F83" w:rsidRDefault="002A79E2">
            <w:pPr>
              <w:jc w:val="center"/>
              <w:rPr>
                <w:rFonts w:ascii="Arial Narrow" w:hAnsi="Arial Narrow"/>
                <w:color w:val="333333"/>
                <w:sz w:val="20"/>
                <w:szCs w:val="20"/>
              </w:rPr>
            </w:pPr>
          </w:p>
        </w:tc>
        <w:tc>
          <w:tcPr>
            <w:tcW w:w="7745" w:type="dxa"/>
            <w:gridSpan w:val="6"/>
          </w:tcPr>
          <w:p w14:paraId="676AB10F" w14:textId="77777777" w:rsidR="002A79E2" w:rsidRPr="000E0F83" w:rsidRDefault="002A79E2">
            <w:pPr>
              <w:pStyle w:val="NormalWeb"/>
              <w:spacing w:before="0" w:after="0"/>
              <w:textAlignment w:val="baseline"/>
              <w:rPr>
                <w:rFonts w:ascii="Arial Narrow" w:hAnsi="Arial Narrow" w:cs="Open Sans"/>
                <w:color w:val="333333"/>
                <w:sz w:val="20"/>
                <w:szCs w:val="20"/>
              </w:rPr>
            </w:pPr>
            <w:r w:rsidRPr="000E0F83">
              <w:rPr>
                <w:rStyle w:val="Strong"/>
                <w:rFonts w:ascii="Arial Narrow" w:eastAsiaTheme="majorEastAsia" w:hAnsi="Arial Narrow" w:cs="Open Sans"/>
                <w:color w:val="333333"/>
                <w:sz w:val="20"/>
                <w:szCs w:val="20"/>
                <w:bdr w:val="none" w:sz="0" w:space="0" w:color="auto" w:frame="1"/>
              </w:rPr>
              <w:t>Administrative Advice:</w:t>
            </w:r>
          </w:p>
          <w:p w14:paraId="0317823E" w14:textId="77777777" w:rsidR="002A79E2" w:rsidRPr="000E0F83" w:rsidRDefault="002A79E2">
            <w:pPr>
              <w:rPr>
                <w:rFonts w:ascii="Arial Narrow" w:hAnsi="Arial Narrow"/>
                <w:b/>
                <w:color w:val="333333"/>
                <w:sz w:val="20"/>
                <w:szCs w:val="20"/>
              </w:rPr>
            </w:pPr>
            <w:r w:rsidRPr="000E0F83">
              <w:rPr>
                <w:rFonts w:ascii="Arial Narrow" w:hAnsi="Arial Narrow" w:cs="Open Sans"/>
                <w:color w:val="333333"/>
                <w:sz w:val="20"/>
                <w:szCs w:val="20"/>
              </w:rPr>
              <w:t>Special Pricing Arrangements apply.</w:t>
            </w:r>
          </w:p>
        </w:tc>
      </w:tr>
      <w:tr w:rsidR="002A79E2" w:rsidRPr="005B4935" w14:paraId="215EF14E" w14:textId="77777777">
        <w:trPr>
          <w:trHeight w:val="20"/>
        </w:trPr>
        <w:tc>
          <w:tcPr>
            <w:tcW w:w="1272" w:type="dxa"/>
            <w:gridSpan w:val="2"/>
          </w:tcPr>
          <w:p w14:paraId="606380A2" w14:textId="0E5E0DB2" w:rsidR="002A79E2" w:rsidRPr="005B4935" w:rsidRDefault="002A79E2">
            <w:pPr>
              <w:jc w:val="center"/>
              <w:rPr>
                <w:rFonts w:ascii="Arial Narrow" w:hAnsi="Arial Narrow"/>
                <w:color w:val="333333"/>
                <w:sz w:val="20"/>
                <w:szCs w:val="20"/>
              </w:rPr>
            </w:pPr>
          </w:p>
        </w:tc>
        <w:tc>
          <w:tcPr>
            <w:tcW w:w="7745" w:type="dxa"/>
            <w:gridSpan w:val="6"/>
          </w:tcPr>
          <w:p w14:paraId="644AB718" w14:textId="77777777" w:rsidR="002A79E2" w:rsidRPr="005B4935" w:rsidRDefault="002A79E2">
            <w:pPr>
              <w:pStyle w:val="NormalWeb"/>
              <w:spacing w:before="0" w:after="0"/>
              <w:textAlignment w:val="baseline"/>
              <w:rPr>
                <w:rFonts w:ascii="Arial Narrow" w:hAnsi="Arial Narrow"/>
                <w:b/>
                <w:bCs/>
                <w:color w:val="333333"/>
                <w:sz w:val="20"/>
                <w:szCs w:val="20"/>
              </w:rPr>
            </w:pPr>
            <w:r w:rsidRPr="005B4935">
              <w:rPr>
                <w:rStyle w:val="Strong"/>
                <w:rFonts w:ascii="Arial Narrow" w:eastAsiaTheme="majorEastAsia" w:hAnsi="Arial Narrow" w:cs="Open Sans"/>
                <w:color w:val="333333"/>
                <w:sz w:val="20"/>
                <w:szCs w:val="20"/>
                <w:bdr w:val="none" w:sz="0" w:space="0" w:color="auto" w:frame="1"/>
              </w:rPr>
              <w:t xml:space="preserve">Indication: </w:t>
            </w:r>
            <w:r w:rsidRPr="005B4935">
              <w:rPr>
                <w:rFonts w:ascii="Arial Narrow" w:hAnsi="Arial Narrow" w:cs="Open Sans"/>
                <w:color w:val="333333"/>
                <w:sz w:val="20"/>
                <w:szCs w:val="20"/>
              </w:rPr>
              <w:t>Primary biliary cholangitis (previously known as Primary biliary cirrhosis)</w:t>
            </w:r>
          </w:p>
        </w:tc>
      </w:tr>
      <w:tr w:rsidR="002A79E2" w:rsidRPr="005B4935" w14:paraId="4C644188" w14:textId="77777777">
        <w:trPr>
          <w:trHeight w:val="20"/>
        </w:trPr>
        <w:tc>
          <w:tcPr>
            <w:tcW w:w="1272" w:type="dxa"/>
            <w:gridSpan w:val="2"/>
          </w:tcPr>
          <w:p w14:paraId="525C1227" w14:textId="77777777" w:rsidR="002A79E2" w:rsidRPr="005B4935" w:rsidRDefault="002A79E2">
            <w:pPr>
              <w:jc w:val="center"/>
              <w:rPr>
                <w:rFonts w:ascii="Arial Narrow" w:hAnsi="Arial Narrow"/>
                <w:color w:val="333333"/>
                <w:sz w:val="20"/>
                <w:szCs w:val="20"/>
              </w:rPr>
            </w:pPr>
          </w:p>
        </w:tc>
        <w:tc>
          <w:tcPr>
            <w:tcW w:w="7745" w:type="dxa"/>
            <w:gridSpan w:val="6"/>
          </w:tcPr>
          <w:p w14:paraId="313153B0" w14:textId="77777777" w:rsidR="002A79E2" w:rsidRPr="005B4935" w:rsidRDefault="002A79E2">
            <w:pPr>
              <w:pStyle w:val="NormalWeb"/>
              <w:spacing w:before="0" w:after="0"/>
              <w:textAlignment w:val="baseline"/>
              <w:rPr>
                <w:rFonts w:ascii="Arial Narrow" w:hAnsi="Arial Narrow"/>
                <w:b/>
                <w:bCs/>
                <w:color w:val="333333"/>
                <w:sz w:val="20"/>
                <w:szCs w:val="20"/>
              </w:rPr>
            </w:pPr>
            <w:r w:rsidRPr="005B4935">
              <w:rPr>
                <w:rStyle w:val="Strong"/>
                <w:rFonts w:ascii="Arial Narrow" w:eastAsiaTheme="majorEastAsia" w:hAnsi="Arial Narrow" w:cs="Open Sans"/>
                <w:color w:val="333333"/>
                <w:sz w:val="20"/>
                <w:szCs w:val="20"/>
                <w:bdr w:val="none" w:sz="0" w:space="0" w:color="auto" w:frame="1"/>
              </w:rPr>
              <w:t xml:space="preserve">Treatment Phase: </w:t>
            </w:r>
            <w:r w:rsidRPr="005B4935">
              <w:rPr>
                <w:rFonts w:ascii="Arial Narrow" w:hAnsi="Arial Narrow" w:cs="Open Sans"/>
                <w:color w:val="333333"/>
                <w:sz w:val="20"/>
                <w:szCs w:val="20"/>
              </w:rPr>
              <w:t>Initial treatment</w:t>
            </w:r>
          </w:p>
        </w:tc>
      </w:tr>
      <w:tr w:rsidR="002A79E2" w:rsidRPr="005B4935" w14:paraId="7874F2EE" w14:textId="77777777">
        <w:trPr>
          <w:trHeight w:val="20"/>
        </w:trPr>
        <w:tc>
          <w:tcPr>
            <w:tcW w:w="1272" w:type="dxa"/>
            <w:gridSpan w:val="2"/>
          </w:tcPr>
          <w:p w14:paraId="3D32D9E5" w14:textId="49401A43" w:rsidR="002A79E2" w:rsidRPr="005B4935" w:rsidRDefault="002A79E2">
            <w:pPr>
              <w:jc w:val="center"/>
              <w:rPr>
                <w:rFonts w:ascii="Arial Narrow" w:hAnsi="Arial Narrow"/>
                <w:strike/>
                <w:color w:val="333333"/>
                <w:sz w:val="20"/>
                <w:szCs w:val="20"/>
              </w:rPr>
            </w:pPr>
          </w:p>
        </w:tc>
        <w:tc>
          <w:tcPr>
            <w:tcW w:w="7745" w:type="dxa"/>
            <w:gridSpan w:val="6"/>
            <w:hideMark/>
          </w:tcPr>
          <w:p w14:paraId="62DDF7B6" w14:textId="77777777" w:rsidR="002A79E2" w:rsidRPr="005B4935" w:rsidRDefault="002A79E2">
            <w:pPr>
              <w:rPr>
                <w:rFonts w:ascii="Arial Narrow" w:hAnsi="Arial Narrow"/>
                <w:color w:val="333333"/>
                <w:sz w:val="20"/>
                <w:szCs w:val="20"/>
              </w:rPr>
            </w:pPr>
            <w:r w:rsidRPr="005B4935">
              <w:rPr>
                <w:rStyle w:val="Strong"/>
                <w:rFonts w:ascii="Arial Narrow" w:hAnsi="Arial Narrow" w:cs="Open Sans"/>
                <w:color w:val="333333"/>
                <w:sz w:val="20"/>
                <w:szCs w:val="20"/>
                <w:bdr w:val="none" w:sz="0" w:space="0" w:color="auto" w:frame="1"/>
              </w:rPr>
              <w:t>Treatment criteria:</w:t>
            </w:r>
          </w:p>
        </w:tc>
      </w:tr>
      <w:tr w:rsidR="002A79E2" w:rsidRPr="005B4935" w14:paraId="0EDDEB04" w14:textId="77777777" w:rsidTr="00781BFD">
        <w:trPr>
          <w:trHeight w:val="20"/>
        </w:trPr>
        <w:tc>
          <w:tcPr>
            <w:tcW w:w="1272" w:type="dxa"/>
            <w:gridSpan w:val="2"/>
          </w:tcPr>
          <w:p w14:paraId="3998914B" w14:textId="3B3C69D0" w:rsidR="002A79E2" w:rsidRPr="005B4935" w:rsidRDefault="002A79E2">
            <w:pPr>
              <w:jc w:val="center"/>
              <w:rPr>
                <w:rFonts w:ascii="Arial Narrow" w:hAnsi="Arial Narrow"/>
                <w:color w:val="333333"/>
                <w:sz w:val="20"/>
                <w:szCs w:val="20"/>
              </w:rPr>
            </w:pPr>
          </w:p>
        </w:tc>
        <w:tc>
          <w:tcPr>
            <w:tcW w:w="7745" w:type="dxa"/>
            <w:gridSpan w:val="6"/>
            <w:hideMark/>
          </w:tcPr>
          <w:p w14:paraId="2D0AB567" w14:textId="77777777" w:rsidR="002A79E2" w:rsidRPr="005B4935" w:rsidRDefault="002A79E2">
            <w:pPr>
              <w:rPr>
                <w:rFonts w:ascii="Arial Narrow" w:hAnsi="Arial Narrow"/>
                <w:color w:val="333333"/>
                <w:sz w:val="20"/>
                <w:szCs w:val="20"/>
              </w:rPr>
            </w:pPr>
            <w:r w:rsidRPr="005B4935">
              <w:rPr>
                <w:rFonts w:ascii="Arial Narrow" w:hAnsi="Arial Narrow" w:cs="Open Sans"/>
                <w:color w:val="333333"/>
                <w:sz w:val="20"/>
                <w:szCs w:val="20"/>
              </w:rPr>
              <w:t>Must be treated by a prescriber who is either: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a gastroenterologist, (ii) a hepatologist; or</w:t>
            </w:r>
          </w:p>
        </w:tc>
      </w:tr>
      <w:tr w:rsidR="002A79E2" w:rsidRPr="005B4935" w14:paraId="66FC6BB5" w14:textId="77777777">
        <w:trPr>
          <w:trHeight w:val="20"/>
        </w:trPr>
        <w:tc>
          <w:tcPr>
            <w:tcW w:w="1272" w:type="dxa"/>
            <w:gridSpan w:val="2"/>
          </w:tcPr>
          <w:p w14:paraId="4048D84A" w14:textId="17B41281" w:rsidR="002A79E2" w:rsidRPr="00860ABE" w:rsidRDefault="002A79E2">
            <w:pPr>
              <w:jc w:val="center"/>
              <w:rPr>
                <w:rFonts w:ascii="Arial Narrow" w:hAnsi="Arial Narrow" w:cs="Open Sans"/>
                <w:color w:val="333333"/>
                <w:sz w:val="20"/>
                <w:szCs w:val="20"/>
              </w:rPr>
            </w:pPr>
          </w:p>
        </w:tc>
        <w:tc>
          <w:tcPr>
            <w:tcW w:w="7745" w:type="dxa"/>
            <w:gridSpan w:val="6"/>
          </w:tcPr>
          <w:p w14:paraId="459E5A56" w14:textId="710BE343" w:rsidR="002A79E2" w:rsidRPr="005B4935" w:rsidRDefault="002A79E2">
            <w:pPr>
              <w:rPr>
                <w:rFonts w:ascii="Arial Narrow" w:hAnsi="Arial Narrow"/>
                <w:color w:val="333333"/>
                <w:sz w:val="20"/>
                <w:szCs w:val="20"/>
              </w:rPr>
            </w:pPr>
            <w:r w:rsidRPr="005B4935">
              <w:rPr>
                <w:rFonts w:ascii="Arial Narrow" w:hAnsi="Arial Narrow" w:cs="Open Sans"/>
                <w:color w:val="333333"/>
                <w:sz w:val="20"/>
                <w:szCs w:val="20"/>
              </w:rPr>
              <w:t>Must be treated by a medical practitioner who has consulted at least one of the above mentioned specialist types</w:t>
            </w:r>
          </w:p>
        </w:tc>
      </w:tr>
      <w:tr w:rsidR="002A79E2" w:rsidRPr="005B4935" w14:paraId="05C8B5E4" w14:textId="77777777">
        <w:trPr>
          <w:trHeight w:val="20"/>
        </w:trPr>
        <w:tc>
          <w:tcPr>
            <w:tcW w:w="1272" w:type="dxa"/>
            <w:gridSpan w:val="2"/>
          </w:tcPr>
          <w:p w14:paraId="7CBCF01E" w14:textId="77777777" w:rsidR="002A79E2" w:rsidRPr="005B4935" w:rsidRDefault="002A79E2">
            <w:pPr>
              <w:jc w:val="center"/>
              <w:rPr>
                <w:rFonts w:ascii="Arial Narrow" w:hAnsi="Arial Narrow"/>
                <w:color w:val="333333"/>
                <w:sz w:val="20"/>
                <w:szCs w:val="20"/>
              </w:rPr>
            </w:pPr>
          </w:p>
        </w:tc>
        <w:tc>
          <w:tcPr>
            <w:tcW w:w="7745" w:type="dxa"/>
            <w:gridSpan w:val="6"/>
          </w:tcPr>
          <w:p w14:paraId="7754A847" w14:textId="77777777" w:rsidR="002A79E2" w:rsidRPr="005B4935" w:rsidRDefault="002A79E2">
            <w:pPr>
              <w:rPr>
                <w:rFonts w:ascii="Arial Narrow" w:hAnsi="Arial Narrow"/>
                <w:color w:val="333333"/>
                <w:sz w:val="20"/>
                <w:szCs w:val="20"/>
              </w:rPr>
            </w:pPr>
            <w:r w:rsidRPr="005B4935">
              <w:rPr>
                <w:rStyle w:val="Strong"/>
                <w:rFonts w:ascii="Arial Narrow" w:hAnsi="Arial Narrow" w:cs="Open Sans"/>
                <w:color w:val="333333"/>
                <w:sz w:val="20"/>
                <w:szCs w:val="20"/>
                <w:bdr w:val="none" w:sz="0" w:space="0" w:color="auto" w:frame="1"/>
              </w:rPr>
              <w:t>AND</w:t>
            </w:r>
          </w:p>
        </w:tc>
      </w:tr>
      <w:tr w:rsidR="002A79E2" w:rsidRPr="005B4935" w14:paraId="12449464" w14:textId="77777777">
        <w:trPr>
          <w:trHeight w:val="20"/>
        </w:trPr>
        <w:tc>
          <w:tcPr>
            <w:tcW w:w="1272" w:type="dxa"/>
            <w:gridSpan w:val="2"/>
          </w:tcPr>
          <w:p w14:paraId="7FF6964F" w14:textId="72368C58" w:rsidR="002A79E2" w:rsidRPr="005B4935" w:rsidRDefault="002A79E2">
            <w:pPr>
              <w:jc w:val="center"/>
              <w:rPr>
                <w:rFonts w:ascii="Arial Narrow" w:hAnsi="Arial Narrow"/>
                <w:color w:val="333333"/>
                <w:sz w:val="20"/>
                <w:szCs w:val="20"/>
              </w:rPr>
            </w:pPr>
          </w:p>
        </w:tc>
        <w:tc>
          <w:tcPr>
            <w:tcW w:w="7745" w:type="dxa"/>
            <w:gridSpan w:val="6"/>
          </w:tcPr>
          <w:p w14:paraId="31F15487" w14:textId="77777777" w:rsidR="002A79E2" w:rsidRPr="005B4935" w:rsidRDefault="002A79E2">
            <w:pPr>
              <w:rPr>
                <w:rFonts w:ascii="Arial Narrow" w:hAnsi="Arial Narrow"/>
                <w:color w:val="333333"/>
                <w:sz w:val="20"/>
                <w:szCs w:val="20"/>
              </w:rPr>
            </w:pPr>
            <w:r w:rsidRPr="005B4935">
              <w:rPr>
                <w:rStyle w:val="Strong"/>
                <w:rFonts w:ascii="Arial Narrow" w:hAnsi="Arial Narrow" w:cs="Open Sans"/>
                <w:color w:val="333333"/>
                <w:sz w:val="20"/>
                <w:szCs w:val="20"/>
                <w:bdr w:val="none" w:sz="0" w:space="0" w:color="auto" w:frame="1"/>
              </w:rPr>
              <w:t>Treatment criteria:</w:t>
            </w:r>
          </w:p>
        </w:tc>
      </w:tr>
      <w:tr w:rsidR="002A79E2" w:rsidRPr="005B4935" w14:paraId="53687303" w14:textId="77777777" w:rsidTr="00781BFD">
        <w:trPr>
          <w:trHeight w:val="20"/>
        </w:trPr>
        <w:tc>
          <w:tcPr>
            <w:tcW w:w="1272" w:type="dxa"/>
            <w:gridSpan w:val="2"/>
          </w:tcPr>
          <w:p w14:paraId="74AC9EE0" w14:textId="31B2EFA0" w:rsidR="002A79E2" w:rsidRPr="00860ABE" w:rsidRDefault="002A79E2">
            <w:pPr>
              <w:jc w:val="center"/>
              <w:rPr>
                <w:rFonts w:ascii="Arial Narrow" w:hAnsi="Arial Narrow" w:cs="Open Sans"/>
                <w:color w:val="333333"/>
                <w:sz w:val="20"/>
                <w:szCs w:val="20"/>
              </w:rPr>
            </w:pPr>
          </w:p>
        </w:tc>
        <w:tc>
          <w:tcPr>
            <w:tcW w:w="7745" w:type="dxa"/>
            <w:gridSpan w:val="6"/>
            <w:hideMark/>
          </w:tcPr>
          <w:p w14:paraId="1D57FBED" w14:textId="6A49ED4F" w:rsidR="002A79E2" w:rsidRPr="005B4935" w:rsidRDefault="002A79E2">
            <w:pPr>
              <w:rPr>
                <w:rFonts w:ascii="Arial Narrow" w:hAnsi="Arial Narrow"/>
                <w:sz w:val="20"/>
                <w:szCs w:val="20"/>
              </w:rPr>
            </w:pPr>
            <w:r w:rsidRPr="005B4935">
              <w:rPr>
                <w:rFonts w:ascii="Arial Narrow" w:hAnsi="Arial Narrow" w:cs="Open Sans"/>
                <w:color w:val="333333"/>
                <w:sz w:val="20"/>
                <w:szCs w:val="20"/>
              </w:rPr>
              <w:t>Patient must be undergoing concurrent treatment with ursodeoxycholic acid, or</w:t>
            </w:r>
          </w:p>
        </w:tc>
      </w:tr>
      <w:tr w:rsidR="002A79E2" w:rsidRPr="005B4935" w14:paraId="6A00D8F6" w14:textId="77777777" w:rsidTr="00781BFD">
        <w:trPr>
          <w:trHeight w:val="20"/>
        </w:trPr>
        <w:tc>
          <w:tcPr>
            <w:tcW w:w="1272" w:type="dxa"/>
            <w:gridSpan w:val="2"/>
          </w:tcPr>
          <w:p w14:paraId="4EDD4724" w14:textId="389F9714" w:rsidR="002A79E2" w:rsidRPr="00860ABE" w:rsidRDefault="002A79E2">
            <w:pPr>
              <w:jc w:val="center"/>
              <w:rPr>
                <w:rFonts w:ascii="Arial Narrow" w:hAnsi="Arial Narrow" w:cs="Open Sans"/>
                <w:color w:val="333333"/>
                <w:sz w:val="20"/>
                <w:szCs w:val="20"/>
              </w:rPr>
            </w:pPr>
          </w:p>
        </w:tc>
        <w:tc>
          <w:tcPr>
            <w:tcW w:w="7745" w:type="dxa"/>
            <w:gridSpan w:val="6"/>
            <w:hideMark/>
          </w:tcPr>
          <w:p w14:paraId="19FF1622" w14:textId="4E278D48" w:rsidR="002A79E2" w:rsidRPr="005B4935" w:rsidRDefault="002A79E2">
            <w:pPr>
              <w:rPr>
                <w:rFonts w:ascii="Arial Narrow" w:hAnsi="Arial Narrow"/>
                <w:color w:val="333333"/>
                <w:sz w:val="20"/>
                <w:szCs w:val="20"/>
              </w:rPr>
            </w:pPr>
            <w:r w:rsidRPr="005B4935">
              <w:rPr>
                <w:rFonts w:ascii="Arial Narrow" w:hAnsi="Arial Narrow" w:cs="Open Sans"/>
                <w:color w:val="333333"/>
                <w:sz w:val="20"/>
                <w:szCs w:val="20"/>
              </w:rPr>
              <w:t>Patient must be undergoing treatment with this drug as monotherapy because treatment with ursodeoxycholic acid is not tolerated</w:t>
            </w:r>
            <w:r w:rsidR="00F85888" w:rsidRPr="00860ABE">
              <w:rPr>
                <w:rFonts w:ascii="Arial Narrow" w:hAnsi="Arial Narrow" w:cs="Open Sans"/>
                <w:color w:val="333333"/>
                <w:sz w:val="20"/>
                <w:szCs w:val="20"/>
              </w:rPr>
              <w:t>/</w:t>
            </w:r>
            <w:r w:rsidR="006D5EFE" w:rsidRPr="00860ABE">
              <w:rPr>
                <w:rFonts w:ascii="Arial Narrow" w:hAnsi="Arial Narrow" w:cs="Open Sans"/>
                <w:color w:val="333333"/>
                <w:sz w:val="20"/>
                <w:szCs w:val="20"/>
              </w:rPr>
              <w:t>contraindicated</w:t>
            </w:r>
          </w:p>
        </w:tc>
      </w:tr>
      <w:tr w:rsidR="002A79E2" w:rsidRPr="005B4935" w14:paraId="69D215B3" w14:textId="77777777" w:rsidTr="005B4935">
        <w:trPr>
          <w:trHeight w:val="60"/>
        </w:trPr>
        <w:tc>
          <w:tcPr>
            <w:tcW w:w="1272" w:type="dxa"/>
            <w:gridSpan w:val="2"/>
          </w:tcPr>
          <w:p w14:paraId="3D904190" w14:textId="77777777" w:rsidR="002A79E2" w:rsidRPr="00860ABE" w:rsidRDefault="002A79E2">
            <w:pPr>
              <w:jc w:val="center"/>
              <w:rPr>
                <w:rFonts w:ascii="Arial Narrow" w:hAnsi="Arial Narrow" w:cs="Open Sans"/>
                <w:color w:val="333333"/>
                <w:sz w:val="20"/>
                <w:szCs w:val="20"/>
              </w:rPr>
            </w:pPr>
          </w:p>
        </w:tc>
        <w:tc>
          <w:tcPr>
            <w:tcW w:w="7745" w:type="dxa"/>
            <w:gridSpan w:val="6"/>
          </w:tcPr>
          <w:p w14:paraId="6230163D" w14:textId="77777777" w:rsidR="002A79E2" w:rsidRPr="00860ABE" w:rsidRDefault="002A79E2">
            <w:pPr>
              <w:rPr>
                <w:rFonts w:ascii="Arial Narrow" w:hAnsi="Arial Narrow" w:cs="Open Sans"/>
                <w:color w:val="333333"/>
                <w:sz w:val="20"/>
                <w:szCs w:val="20"/>
              </w:rPr>
            </w:pPr>
            <w:r w:rsidRPr="00860ABE">
              <w:rPr>
                <w:rStyle w:val="Strong"/>
                <w:rFonts w:ascii="Arial Narrow" w:hAnsi="Arial Narrow" w:cs="Open Sans"/>
                <w:color w:val="333333"/>
                <w:sz w:val="20"/>
                <w:szCs w:val="20"/>
                <w:bdr w:val="none" w:sz="0" w:space="0" w:color="auto" w:frame="1"/>
              </w:rPr>
              <w:t>AND</w:t>
            </w:r>
          </w:p>
        </w:tc>
      </w:tr>
      <w:tr w:rsidR="002A79E2" w:rsidRPr="005B4935" w14:paraId="13669D27" w14:textId="77777777" w:rsidTr="005B4935">
        <w:trPr>
          <w:trHeight w:val="60"/>
        </w:trPr>
        <w:tc>
          <w:tcPr>
            <w:tcW w:w="1272" w:type="dxa"/>
            <w:gridSpan w:val="2"/>
          </w:tcPr>
          <w:p w14:paraId="3B975150" w14:textId="5D73BED1" w:rsidR="002A79E2" w:rsidRPr="00860ABE" w:rsidRDefault="002A79E2">
            <w:pPr>
              <w:jc w:val="center"/>
              <w:rPr>
                <w:rFonts w:ascii="Arial Narrow" w:hAnsi="Arial Narrow" w:cs="Open Sans"/>
                <w:color w:val="333333"/>
                <w:sz w:val="20"/>
                <w:szCs w:val="20"/>
              </w:rPr>
            </w:pPr>
          </w:p>
        </w:tc>
        <w:tc>
          <w:tcPr>
            <w:tcW w:w="7745" w:type="dxa"/>
            <w:gridSpan w:val="6"/>
          </w:tcPr>
          <w:p w14:paraId="3717495F" w14:textId="77777777" w:rsidR="002A79E2" w:rsidRPr="00860ABE" w:rsidRDefault="002A79E2">
            <w:pPr>
              <w:rPr>
                <w:rFonts w:ascii="Arial Narrow" w:hAnsi="Arial Narrow" w:cs="Open Sans"/>
                <w:color w:val="333333"/>
                <w:sz w:val="20"/>
                <w:szCs w:val="20"/>
              </w:rPr>
            </w:pPr>
            <w:r w:rsidRPr="00860ABE">
              <w:rPr>
                <w:rStyle w:val="Strong"/>
                <w:rFonts w:ascii="Arial Narrow" w:hAnsi="Arial Narrow" w:cs="Open Sans"/>
                <w:color w:val="333333"/>
                <w:sz w:val="20"/>
                <w:szCs w:val="20"/>
                <w:bdr w:val="none" w:sz="0" w:space="0" w:color="auto" w:frame="1"/>
              </w:rPr>
              <w:t>Treatment criteria:</w:t>
            </w:r>
          </w:p>
        </w:tc>
      </w:tr>
      <w:tr w:rsidR="002A79E2" w:rsidRPr="005B4935" w14:paraId="66EE8A07" w14:textId="77777777" w:rsidTr="00781BFD">
        <w:trPr>
          <w:trHeight w:val="60"/>
        </w:trPr>
        <w:tc>
          <w:tcPr>
            <w:tcW w:w="1272" w:type="dxa"/>
            <w:gridSpan w:val="2"/>
          </w:tcPr>
          <w:p w14:paraId="52D5E5EA" w14:textId="3C6C4EFD" w:rsidR="002A79E2" w:rsidRPr="005B4935" w:rsidRDefault="002A79E2" w:rsidP="0080383A">
            <w:pPr>
              <w:jc w:val="center"/>
              <w:rPr>
                <w:rFonts w:ascii="Arial Narrow" w:hAnsi="Arial Narrow" w:cs="Open Sans"/>
                <w:color w:val="333333"/>
                <w:sz w:val="20"/>
                <w:szCs w:val="20"/>
              </w:rPr>
            </w:pPr>
          </w:p>
        </w:tc>
        <w:tc>
          <w:tcPr>
            <w:tcW w:w="7745" w:type="dxa"/>
            <w:gridSpan w:val="6"/>
            <w:hideMark/>
          </w:tcPr>
          <w:p w14:paraId="72E21939" w14:textId="4AB8CED2" w:rsidR="002A79E2" w:rsidRPr="00860ABE" w:rsidRDefault="002A79E2">
            <w:pPr>
              <w:rPr>
                <w:rFonts w:ascii="Arial Narrow" w:hAnsi="Arial Narrow" w:cs="Open Sans"/>
                <w:color w:val="333333"/>
                <w:sz w:val="20"/>
                <w:szCs w:val="20"/>
              </w:rPr>
            </w:pPr>
            <w:r w:rsidRPr="00860ABE">
              <w:rPr>
                <w:rFonts w:ascii="Arial Narrow" w:hAnsi="Arial Narrow" w:cs="Open Sans"/>
                <w:color w:val="333333"/>
                <w:sz w:val="20"/>
                <w:szCs w:val="20"/>
              </w:rPr>
              <w:t xml:space="preserve">Patient must not be undergoing concurrent treatment with </w:t>
            </w:r>
            <w:proofErr w:type="spellStart"/>
            <w:r w:rsidRPr="00860ABE">
              <w:rPr>
                <w:rFonts w:ascii="Arial Narrow" w:hAnsi="Arial Narrow" w:cs="Open Sans"/>
                <w:color w:val="333333"/>
                <w:sz w:val="20"/>
                <w:szCs w:val="20"/>
              </w:rPr>
              <w:t>obeticholic</w:t>
            </w:r>
            <w:proofErr w:type="spellEnd"/>
            <w:r w:rsidRPr="00860ABE">
              <w:rPr>
                <w:rFonts w:ascii="Arial Narrow" w:hAnsi="Arial Narrow" w:cs="Open Sans"/>
                <w:color w:val="333333"/>
                <w:sz w:val="20"/>
                <w:szCs w:val="20"/>
              </w:rPr>
              <w:t xml:space="preserve"> acid. </w:t>
            </w:r>
          </w:p>
        </w:tc>
      </w:tr>
      <w:tr w:rsidR="002A79E2" w:rsidRPr="005B4935" w14:paraId="2A0A51D6" w14:textId="77777777" w:rsidTr="005B4935">
        <w:trPr>
          <w:trHeight w:val="242"/>
        </w:trPr>
        <w:tc>
          <w:tcPr>
            <w:tcW w:w="1272" w:type="dxa"/>
            <w:gridSpan w:val="2"/>
          </w:tcPr>
          <w:p w14:paraId="68322527" w14:textId="77777777" w:rsidR="002A79E2" w:rsidRPr="005B4935" w:rsidRDefault="002A79E2">
            <w:pPr>
              <w:jc w:val="center"/>
              <w:rPr>
                <w:rFonts w:ascii="Arial Narrow" w:hAnsi="Arial Narrow" w:cs="Open Sans"/>
                <w:i/>
                <w:iCs/>
                <w:color w:val="333333"/>
                <w:sz w:val="20"/>
                <w:szCs w:val="20"/>
              </w:rPr>
            </w:pPr>
          </w:p>
        </w:tc>
        <w:tc>
          <w:tcPr>
            <w:tcW w:w="7745" w:type="dxa"/>
            <w:gridSpan w:val="6"/>
          </w:tcPr>
          <w:p w14:paraId="66C8379C" w14:textId="77777777" w:rsidR="002A79E2" w:rsidRPr="005B4935" w:rsidRDefault="002A79E2">
            <w:pPr>
              <w:rPr>
                <w:rFonts w:ascii="Arial Narrow" w:hAnsi="Arial Narrow" w:cs="Open Sans"/>
                <w:i/>
                <w:iCs/>
                <w:color w:val="333333"/>
                <w:sz w:val="20"/>
                <w:szCs w:val="20"/>
              </w:rPr>
            </w:pPr>
          </w:p>
        </w:tc>
      </w:tr>
      <w:tr w:rsidR="002A79E2" w:rsidRPr="005B4935" w14:paraId="3FD60BCE" w14:textId="77777777">
        <w:trPr>
          <w:trHeight w:val="20"/>
        </w:trPr>
        <w:tc>
          <w:tcPr>
            <w:tcW w:w="1272" w:type="dxa"/>
            <w:gridSpan w:val="2"/>
          </w:tcPr>
          <w:p w14:paraId="68F24360" w14:textId="221F0B71" w:rsidR="002A79E2" w:rsidRPr="005B4935" w:rsidRDefault="002A79E2">
            <w:pPr>
              <w:jc w:val="center"/>
              <w:rPr>
                <w:rFonts w:ascii="Arial Narrow" w:hAnsi="Arial Narrow"/>
                <w:color w:val="333333"/>
                <w:sz w:val="20"/>
                <w:szCs w:val="20"/>
              </w:rPr>
            </w:pPr>
          </w:p>
        </w:tc>
        <w:tc>
          <w:tcPr>
            <w:tcW w:w="7745" w:type="dxa"/>
            <w:gridSpan w:val="6"/>
          </w:tcPr>
          <w:p w14:paraId="310FA267" w14:textId="77777777" w:rsidR="002A79E2" w:rsidRPr="005B4935" w:rsidRDefault="002A79E2">
            <w:pPr>
              <w:rPr>
                <w:rFonts w:ascii="Arial Narrow" w:hAnsi="Arial Narrow"/>
                <w:color w:val="333333"/>
                <w:sz w:val="20"/>
                <w:szCs w:val="20"/>
              </w:rPr>
            </w:pPr>
            <w:r w:rsidRPr="005B4935">
              <w:rPr>
                <w:rStyle w:val="Strong"/>
                <w:rFonts w:ascii="Arial Narrow" w:hAnsi="Arial Narrow" w:cs="Open Sans"/>
                <w:color w:val="333333"/>
                <w:sz w:val="20"/>
                <w:szCs w:val="20"/>
                <w:bdr w:val="none" w:sz="0" w:space="0" w:color="auto" w:frame="1"/>
              </w:rPr>
              <w:t>Clinical criteria:</w:t>
            </w:r>
          </w:p>
        </w:tc>
      </w:tr>
      <w:tr w:rsidR="002A79E2" w:rsidRPr="005B4935" w14:paraId="7FFF6C6B" w14:textId="77777777">
        <w:trPr>
          <w:trHeight w:val="20"/>
        </w:trPr>
        <w:tc>
          <w:tcPr>
            <w:tcW w:w="1272" w:type="dxa"/>
            <w:gridSpan w:val="2"/>
          </w:tcPr>
          <w:p w14:paraId="118FB521" w14:textId="1C06A520" w:rsidR="002A79E2" w:rsidRPr="005B4935" w:rsidRDefault="002A79E2">
            <w:pPr>
              <w:jc w:val="center"/>
              <w:rPr>
                <w:rFonts w:ascii="Arial Narrow" w:hAnsi="Arial Narrow"/>
                <w:color w:val="333333"/>
                <w:sz w:val="20"/>
                <w:szCs w:val="20"/>
              </w:rPr>
            </w:pPr>
          </w:p>
        </w:tc>
        <w:tc>
          <w:tcPr>
            <w:tcW w:w="7745" w:type="dxa"/>
            <w:gridSpan w:val="6"/>
          </w:tcPr>
          <w:p w14:paraId="51247DEA" w14:textId="7777777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t>Patient must have experienced an inadequate response to ursodeoxycholic acid, despite treatment with ursodeoxycholic acid for at least 52 weeks at a therapeutic dose, prior to initiating treatment with this drug; or</w:t>
            </w:r>
          </w:p>
        </w:tc>
      </w:tr>
      <w:tr w:rsidR="002A79E2" w:rsidRPr="005B4935" w14:paraId="5152E916" w14:textId="77777777">
        <w:trPr>
          <w:trHeight w:val="20"/>
        </w:trPr>
        <w:tc>
          <w:tcPr>
            <w:tcW w:w="1272" w:type="dxa"/>
            <w:gridSpan w:val="2"/>
          </w:tcPr>
          <w:p w14:paraId="04EF5317" w14:textId="45F98382" w:rsidR="002A79E2" w:rsidRPr="005B4935" w:rsidRDefault="002A79E2">
            <w:pPr>
              <w:jc w:val="center"/>
              <w:rPr>
                <w:rFonts w:ascii="Arial Narrow" w:hAnsi="Arial Narrow"/>
                <w:color w:val="333333"/>
                <w:sz w:val="20"/>
                <w:szCs w:val="20"/>
              </w:rPr>
            </w:pPr>
          </w:p>
        </w:tc>
        <w:tc>
          <w:tcPr>
            <w:tcW w:w="7745" w:type="dxa"/>
            <w:gridSpan w:val="6"/>
          </w:tcPr>
          <w:p w14:paraId="6C53438A" w14:textId="1FAC729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t>Patient must have experienced an intolerance</w:t>
            </w:r>
            <w:r w:rsidR="006D5EFE" w:rsidRPr="00860ABE">
              <w:rPr>
                <w:rFonts w:ascii="Arial Narrow" w:hAnsi="Arial Narrow" w:cs="Open Sans"/>
                <w:color w:val="333333"/>
                <w:sz w:val="20"/>
                <w:szCs w:val="20"/>
              </w:rPr>
              <w:t>/contraindication</w:t>
            </w:r>
            <w:r w:rsidRPr="005B4935">
              <w:rPr>
                <w:rFonts w:ascii="Arial Narrow" w:hAnsi="Arial Narrow" w:cs="Open Sans"/>
                <w:color w:val="333333"/>
                <w:sz w:val="20"/>
                <w:szCs w:val="20"/>
              </w:rPr>
              <w:t xml:space="preserve"> to ursodeoxycholic acid of a severity requiring permanent treatment discontinuation, prior to initiating treatment with this drug</w:t>
            </w:r>
          </w:p>
        </w:tc>
      </w:tr>
      <w:tr w:rsidR="002A79E2" w:rsidRPr="005B4935" w14:paraId="38043DC5" w14:textId="77777777">
        <w:trPr>
          <w:trHeight w:val="20"/>
        </w:trPr>
        <w:tc>
          <w:tcPr>
            <w:tcW w:w="1272" w:type="dxa"/>
            <w:gridSpan w:val="2"/>
            <w:tcBorders>
              <w:bottom w:val="single" w:sz="4" w:space="0" w:color="auto"/>
            </w:tcBorders>
          </w:tcPr>
          <w:p w14:paraId="74C4D6D1" w14:textId="77777777" w:rsidR="002A79E2" w:rsidRPr="005B4935" w:rsidRDefault="002A79E2">
            <w:pPr>
              <w:jc w:val="center"/>
              <w:rPr>
                <w:rFonts w:ascii="Arial Narrow" w:hAnsi="Arial Narrow" w:cs="Open Sans"/>
                <w:color w:val="333333"/>
                <w:sz w:val="20"/>
                <w:szCs w:val="20"/>
              </w:rPr>
            </w:pPr>
          </w:p>
        </w:tc>
        <w:tc>
          <w:tcPr>
            <w:tcW w:w="7745" w:type="dxa"/>
            <w:gridSpan w:val="6"/>
            <w:tcBorders>
              <w:bottom w:val="single" w:sz="4" w:space="0" w:color="auto"/>
            </w:tcBorders>
          </w:tcPr>
          <w:p w14:paraId="3E720A5C" w14:textId="77777777" w:rsidR="002A79E2" w:rsidRPr="005B4935" w:rsidRDefault="002A79E2">
            <w:pPr>
              <w:rPr>
                <w:rFonts w:ascii="Arial Narrow" w:hAnsi="Arial Narrow" w:cs="Open Sans"/>
                <w:b/>
                <w:bCs/>
                <w:color w:val="333333"/>
                <w:sz w:val="20"/>
                <w:szCs w:val="20"/>
              </w:rPr>
            </w:pPr>
            <w:r w:rsidRPr="005B4935">
              <w:rPr>
                <w:rFonts w:ascii="Arial Narrow" w:hAnsi="Arial Narrow" w:cs="Open Sans"/>
                <w:b/>
                <w:bCs/>
                <w:color w:val="333333"/>
                <w:sz w:val="20"/>
                <w:szCs w:val="20"/>
              </w:rPr>
              <w:t>AND</w:t>
            </w:r>
          </w:p>
        </w:tc>
      </w:tr>
      <w:tr w:rsidR="002A79E2" w:rsidRPr="005B4935" w14:paraId="34C899A2" w14:textId="77777777">
        <w:trPr>
          <w:trHeight w:val="20"/>
        </w:trPr>
        <w:tc>
          <w:tcPr>
            <w:tcW w:w="1272" w:type="dxa"/>
            <w:gridSpan w:val="2"/>
            <w:tcBorders>
              <w:top w:val="single" w:sz="4" w:space="0" w:color="auto"/>
              <w:left w:val="single" w:sz="4" w:space="0" w:color="auto"/>
              <w:bottom w:val="single" w:sz="4" w:space="0" w:color="auto"/>
              <w:right w:val="single" w:sz="4" w:space="0" w:color="auto"/>
            </w:tcBorders>
            <w:shd w:val="clear" w:color="auto" w:fill="auto"/>
          </w:tcPr>
          <w:p w14:paraId="15C279F2" w14:textId="1036E5A0" w:rsidR="002A79E2" w:rsidRPr="00860ABE" w:rsidRDefault="002A79E2">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60CD0869" w14:textId="77777777" w:rsidR="002A79E2" w:rsidRPr="00860ABE" w:rsidRDefault="002A79E2">
            <w:pPr>
              <w:rPr>
                <w:rFonts w:ascii="Arial Narrow" w:hAnsi="Arial Narrow" w:cs="Open Sans"/>
                <w:color w:val="333333"/>
                <w:sz w:val="20"/>
                <w:szCs w:val="20"/>
              </w:rPr>
            </w:pPr>
            <w:r w:rsidRPr="00860ABE">
              <w:rPr>
                <w:rStyle w:val="Strong"/>
                <w:rFonts w:ascii="Arial Narrow" w:hAnsi="Arial Narrow" w:cs="Open Sans"/>
                <w:color w:val="333333"/>
                <w:sz w:val="20"/>
                <w:szCs w:val="20"/>
                <w:bdr w:val="none" w:sz="0" w:space="0" w:color="auto" w:frame="1"/>
              </w:rPr>
              <w:t>Clinical criteria:</w:t>
            </w:r>
          </w:p>
        </w:tc>
      </w:tr>
      <w:tr w:rsidR="002A79E2" w:rsidRPr="005B4935" w14:paraId="68382C57" w14:textId="77777777">
        <w:trPr>
          <w:trHeight w:val="20"/>
        </w:trPr>
        <w:tc>
          <w:tcPr>
            <w:tcW w:w="1272" w:type="dxa"/>
            <w:gridSpan w:val="2"/>
            <w:tcBorders>
              <w:top w:val="single" w:sz="4" w:space="0" w:color="auto"/>
              <w:left w:val="single" w:sz="4" w:space="0" w:color="auto"/>
              <w:bottom w:val="single" w:sz="4" w:space="0" w:color="auto"/>
              <w:right w:val="single" w:sz="4" w:space="0" w:color="auto"/>
            </w:tcBorders>
            <w:shd w:val="clear" w:color="auto" w:fill="auto"/>
          </w:tcPr>
          <w:p w14:paraId="0EBAAE80" w14:textId="2513E4F9" w:rsidR="002A79E2" w:rsidRPr="00860ABE" w:rsidRDefault="002A79E2">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AC52564" w14:textId="77777777" w:rsidR="002A79E2" w:rsidRPr="00860ABE" w:rsidRDefault="002A79E2">
            <w:pPr>
              <w:rPr>
                <w:rFonts w:ascii="Arial Narrow" w:hAnsi="Arial Narrow" w:cs="Open Sans"/>
                <w:color w:val="333333"/>
                <w:sz w:val="20"/>
                <w:szCs w:val="20"/>
              </w:rPr>
            </w:pPr>
            <w:r w:rsidRPr="00860ABE">
              <w:rPr>
                <w:rFonts w:ascii="Arial Narrow" w:hAnsi="Arial Narrow" w:cs="Open Sans"/>
                <w:color w:val="333333"/>
                <w:sz w:val="20"/>
                <w:szCs w:val="20"/>
              </w:rPr>
              <w:t>Patient must not have/be each of: (</w:t>
            </w:r>
            <w:proofErr w:type="spellStart"/>
            <w:r w:rsidRPr="00860ABE">
              <w:rPr>
                <w:rFonts w:ascii="Arial Narrow" w:hAnsi="Arial Narrow" w:cs="Open Sans"/>
                <w:color w:val="333333"/>
                <w:sz w:val="20"/>
                <w:szCs w:val="20"/>
              </w:rPr>
              <w:t>i</w:t>
            </w:r>
            <w:proofErr w:type="spellEnd"/>
            <w:r w:rsidRPr="00860ABE">
              <w:rPr>
                <w:rFonts w:ascii="Arial Narrow" w:hAnsi="Arial Narrow" w:cs="Open Sans"/>
                <w:color w:val="333333"/>
                <w:sz w:val="20"/>
                <w:szCs w:val="20"/>
              </w:rPr>
              <w:t>) severe liver disease, (</w:t>
            </w:r>
            <w:proofErr w:type="spellStart"/>
            <w:r w:rsidRPr="00860ABE">
              <w:rPr>
                <w:rFonts w:ascii="Arial Narrow" w:hAnsi="Arial Narrow" w:cs="Open Sans"/>
                <w:color w:val="333333"/>
                <w:sz w:val="20"/>
                <w:szCs w:val="20"/>
              </w:rPr>
              <w:t>i</w:t>
            </w:r>
            <w:proofErr w:type="spellEnd"/>
            <w:r w:rsidRPr="00860ABE">
              <w:rPr>
                <w:rFonts w:ascii="Arial Narrow" w:hAnsi="Arial Narrow" w:cs="Open Sans"/>
                <w:color w:val="333333"/>
                <w:sz w:val="20"/>
                <w:szCs w:val="20"/>
              </w:rPr>
              <w:t>) immunocompromised</w:t>
            </w:r>
          </w:p>
        </w:tc>
      </w:tr>
      <w:tr w:rsidR="002A79E2" w:rsidRPr="005B4935" w14:paraId="66990ED9" w14:textId="77777777">
        <w:trPr>
          <w:trHeight w:val="20"/>
        </w:trPr>
        <w:tc>
          <w:tcPr>
            <w:tcW w:w="1272" w:type="dxa"/>
            <w:gridSpan w:val="2"/>
            <w:tcBorders>
              <w:top w:val="single" w:sz="4" w:space="0" w:color="auto"/>
            </w:tcBorders>
          </w:tcPr>
          <w:p w14:paraId="4E09FC97" w14:textId="77777777" w:rsidR="002A79E2" w:rsidRPr="005B4935" w:rsidRDefault="002A79E2">
            <w:pPr>
              <w:jc w:val="center"/>
              <w:rPr>
                <w:rFonts w:ascii="Arial Narrow" w:hAnsi="Arial Narrow"/>
                <w:color w:val="333333"/>
                <w:sz w:val="20"/>
                <w:szCs w:val="20"/>
              </w:rPr>
            </w:pPr>
          </w:p>
        </w:tc>
        <w:tc>
          <w:tcPr>
            <w:tcW w:w="7745" w:type="dxa"/>
            <w:gridSpan w:val="6"/>
            <w:tcBorders>
              <w:top w:val="single" w:sz="4" w:space="0" w:color="auto"/>
            </w:tcBorders>
          </w:tcPr>
          <w:p w14:paraId="702C17C7" w14:textId="77777777" w:rsidR="002A79E2" w:rsidRPr="005B4935" w:rsidRDefault="002A79E2">
            <w:pPr>
              <w:rPr>
                <w:rFonts w:ascii="Arial Narrow" w:hAnsi="Arial Narrow"/>
                <w:b/>
                <w:bCs/>
                <w:color w:val="333333"/>
                <w:sz w:val="20"/>
                <w:szCs w:val="20"/>
              </w:rPr>
            </w:pPr>
            <w:r w:rsidRPr="005B4935">
              <w:rPr>
                <w:rStyle w:val="Strong"/>
                <w:rFonts w:ascii="Arial Narrow" w:hAnsi="Arial Narrow" w:cs="Open Sans"/>
                <w:color w:val="333333"/>
                <w:sz w:val="20"/>
                <w:szCs w:val="20"/>
                <w:bdr w:val="none" w:sz="0" w:space="0" w:color="auto" w:frame="1"/>
              </w:rPr>
              <w:t>AND</w:t>
            </w:r>
          </w:p>
        </w:tc>
      </w:tr>
      <w:tr w:rsidR="002A79E2" w:rsidRPr="005B4935" w14:paraId="0E0407EF" w14:textId="77777777">
        <w:trPr>
          <w:trHeight w:val="20"/>
        </w:trPr>
        <w:tc>
          <w:tcPr>
            <w:tcW w:w="1272" w:type="dxa"/>
            <w:gridSpan w:val="2"/>
          </w:tcPr>
          <w:p w14:paraId="18DB87DB" w14:textId="0743E0A1" w:rsidR="002A79E2" w:rsidRPr="005B4935" w:rsidRDefault="002A79E2">
            <w:pPr>
              <w:jc w:val="center"/>
              <w:rPr>
                <w:rFonts w:ascii="Arial Narrow" w:hAnsi="Arial Narrow"/>
                <w:color w:val="333333"/>
                <w:sz w:val="20"/>
                <w:szCs w:val="20"/>
              </w:rPr>
            </w:pPr>
          </w:p>
        </w:tc>
        <w:tc>
          <w:tcPr>
            <w:tcW w:w="7745" w:type="dxa"/>
            <w:gridSpan w:val="6"/>
          </w:tcPr>
          <w:p w14:paraId="38F79B0D" w14:textId="77777777" w:rsidR="002A79E2" w:rsidRPr="005B4935" w:rsidRDefault="002A79E2">
            <w:pPr>
              <w:rPr>
                <w:rFonts w:ascii="Arial Narrow" w:hAnsi="Arial Narrow"/>
                <w:b/>
                <w:bCs/>
                <w:color w:val="333333"/>
                <w:sz w:val="20"/>
                <w:szCs w:val="20"/>
              </w:rPr>
            </w:pPr>
            <w:r w:rsidRPr="005B4935">
              <w:rPr>
                <w:rStyle w:val="Strong"/>
                <w:rFonts w:ascii="Arial Narrow" w:hAnsi="Arial Narrow" w:cs="Open Sans"/>
                <w:color w:val="333333"/>
                <w:sz w:val="20"/>
                <w:szCs w:val="20"/>
                <w:bdr w:val="none" w:sz="0" w:space="0" w:color="auto" w:frame="1"/>
              </w:rPr>
              <w:t>Clinical criteria:</w:t>
            </w:r>
          </w:p>
        </w:tc>
      </w:tr>
      <w:tr w:rsidR="002A79E2" w:rsidRPr="005B4935" w14:paraId="69603049" w14:textId="77777777">
        <w:trPr>
          <w:trHeight w:val="20"/>
        </w:trPr>
        <w:tc>
          <w:tcPr>
            <w:tcW w:w="1272" w:type="dxa"/>
            <w:gridSpan w:val="2"/>
          </w:tcPr>
          <w:p w14:paraId="4BB116DE" w14:textId="520D2E7E" w:rsidR="002A79E2" w:rsidRPr="005B4935" w:rsidRDefault="002A79E2">
            <w:pPr>
              <w:jc w:val="center"/>
              <w:rPr>
                <w:rFonts w:ascii="Arial Narrow" w:hAnsi="Arial Narrow"/>
                <w:color w:val="333333"/>
                <w:sz w:val="20"/>
                <w:szCs w:val="20"/>
              </w:rPr>
            </w:pPr>
          </w:p>
        </w:tc>
        <w:tc>
          <w:tcPr>
            <w:tcW w:w="7745" w:type="dxa"/>
            <w:gridSpan w:val="6"/>
          </w:tcPr>
          <w:p w14:paraId="63C72195" w14:textId="7777777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t>Patient must have an alkaline phosphatase (ALP) level of at least 1.67 times the upper limit of normal (ULN) having accounted for each of: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age, (ii) gender, (iii) laboratory to laboratory variances in the definition of ‘normal’, despite treatment with ursodeoxycholic acid for at least 52 cumulative weeks; or</w:t>
            </w:r>
          </w:p>
        </w:tc>
      </w:tr>
      <w:tr w:rsidR="002A79E2" w:rsidRPr="005B4935" w14:paraId="7B3210D6" w14:textId="77777777">
        <w:trPr>
          <w:trHeight w:val="20"/>
        </w:trPr>
        <w:tc>
          <w:tcPr>
            <w:tcW w:w="1272" w:type="dxa"/>
            <w:gridSpan w:val="2"/>
          </w:tcPr>
          <w:p w14:paraId="2A295496" w14:textId="5EBD85D7" w:rsidR="002A79E2" w:rsidRPr="005B4935" w:rsidRDefault="002A79E2">
            <w:pPr>
              <w:jc w:val="center"/>
              <w:rPr>
                <w:rFonts w:ascii="Arial Narrow" w:hAnsi="Arial Narrow"/>
                <w:color w:val="333333"/>
                <w:sz w:val="20"/>
                <w:szCs w:val="20"/>
              </w:rPr>
            </w:pPr>
          </w:p>
        </w:tc>
        <w:tc>
          <w:tcPr>
            <w:tcW w:w="7745" w:type="dxa"/>
            <w:gridSpan w:val="6"/>
          </w:tcPr>
          <w:p w14:paraId="0E9EBFD5" w14:textId="7777777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t>Patient must have a total bilirubin level between 1 to 2 times the ULN, despite treatment with ursodeoxycholic acid for at least 52 cumulative weeks; or</w:t>
            </w:r>
          </w:p>
        </w:tc>
      </w:tr>
      <w:tr w:rsidR="002A79E2" w:rsidRPr="005B4935" w14:paraId="2EBFC52C" w14:textId="77777777">
        <w:trPr>
          <w:trHeight w:val="20"/>
        </w:trPr>
        <w:tc>
          <w:tcPr>
            <w:tcW w:w="1272" w:type="dxa"/>
            <w:gridSpan w:val="2"/>
          </w:tcPr>
          <w:p w14:paraId="4ABCE65D" w14:textId="27C482CA" w:rsidR="002A79E2" w:rsidRPr="005B4935" w:rsidRDefault="002A79E2">
            <w:pPr>
              <w:jc w:val="center"/>
              <w:rPr>
                <w:rFonts w:ascii="Arial Narrow" w:hAnsi="Arial Narrow"/>
                <w:color w:val="333333"/>
                <w:sz w:val="20"/>
                <w:szCs w:val="20"/>
              </w:rPr>
            </w:pPr>
          </w:p>
        </w:tc>
        <w:tc>
          <w:tcPr>
            <w:tcW w:w="7745" w:type="dxa"/>
            <w:gridSpan w:val="6"/>
          </w:tcPr>
          <w:p w14:paraId="4BDE6B1B" w14:textId="7777777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t>Patient must have abnormal readings of at least one of: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alkaline phosphatase (ii) total bilirubin, in the presence of an intolerance of a severity requiring treatment discontinuation with ursodeoxycholic acid</w:t>
            </w:r>
          </w:p>
        </w:tc>
      </w:tr>
      <w:tr w:rsidR="002A79E2" w:rsidRPr="005B4935" w14:paraId="0575F444" w14:textId="77777777">
        <w:trPr>
          <w:trHeight w:val="20"/>
        </w:trPr>
        <w:tc>
          <w:tcPr>
            <w:tcW w:w="1272" w:type="dxa"/>
            <w:gridSpan w:val="2"/>
          </w:tcPr>
          <w:p w14:paraId="0DFC0513" w14:textId="38DA58A0" w:rsidR="002A79E2" w:rsidRPr="005B4935" w:rsidRDefault="002A79E2">
            <w:pPr>
              <w:jc w:val="center"/>
              <w:rPr>
                <w:rFonts w:ascii="Arial Narrow" w:hAnsi="Arial Narrow"/>
                <w:color w:val="333333"/>
                <w:sz w:val="20"/>
                <w:szCs w:val="20"/>
              </w:rPr>
            </w:pPr>
          </w:p>
        </w:tc>
        <w:tc>
          <w:tcPr>
            <w:tcW w:w="7745" w:type="dxa"/>
            <w:gridSpan w:val="6"/>
          </w:tcPr>
          <w:p w14:paraId="185B6672" w14:textId="77777777" w:rsidR="002A79E2" w:rsidRPr="005B4935" w:rsidRDefault="002A79E2">
            <w:pPr>
              <w:rPr>
                <w:rFonts w:ascii="Arial Narrow" w:hAnsi="Arial Narrow"/>
                <w:b/>
                <w:bCs/>
                <w:color w:val="333333"/>
                <w:sz w:val="20"/>
                <w:szCs w:val="20"/>
              </w:rPr>
            </w:pPr>
            <w:r w:rsidRPr="005B4935">
              <w:rPr>
                <w:rStyle w:val="Strong"/>
                <w:rFonts w:ascii="Arial Narrow" w:hAnsi="Arial Narrow" w:cs="Open Sans"/>
                <w:color w:val="333333"/>
                <w:sz w:val="20"/>
                <w:szCs w:val="20"/>
                <w:bdr w:val="none" w:sz="0" w:space="0" w:color="auto" w:frame="1"/>
              </w:rPr>
              <w:t>Population criteria:</w:t>
            </w:r>
          </w:p>
        </w:tc>
      </w:tr>
      <w:tr w:rsidR="002A79E2" w:rsidRPr="005B4935" w14:paraId="5C235D89" w14:textId="77777777">
        <w:trPr>
          <w:trHeight w:val="20"/>
        </w:trPr>
        <w:tc>
          <w:tcPr>
            <w:tcW w:w="1272" w:type="dxa"/>
            <w:gridSpan w:val="2"/>
          </w:tcPr>
          <w:p w14:paraId="192887CF" w14:textId="066BB07B" w:rsidR="002A79E2" w:rsidRPr="005B4935" w:rsidRDefault="002A79E2">
            <w:pPr>
              <w:jc w:val="center"/>
              <w:rPr>
                <w:rFonts w:ascii="Arial Narrow" w:hAnsi="Arial Narrow"/>
                <w:color w:val="333333"/>
                <w:sz w:val="20"/>
                <w:szCs w:val="20"/>
              </w:rPr>
            </w:pPr>
          </w:p>
        </w:tc>
        <w:tc>
          <w:tcPr>
            <w:tcW w:w="7745" w:type="dxa"/>
            <w:gridSpan w:val="6"/>
          </w:tcPr>
          <w:p w14:paraId="42EEBF08" w14:textId="7777777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t>Patient must be at least 18 years of age</w:t>
            </w:r>
          </w:p>
        </w:tc>
      </w:tr>
      <w:tr w:rsidR="002A79E2" w:rsidRPr="005B4935" w14:paraId="0FEBF3F8" w14:textId="77777777">
        <w:trPr>
          <w:trHeight w:val="20"/>
        </w:trPr>
        <w:tc>
          <w:tcPr>
            <w:tcW w:w="1272" w:type="dxa"/>
            <w:gridSpan w:val="2"/>
          </w:tcPr>
          <w:p w14:paraId="53C8437C" w14:textId="6C5E0C63" w:rsidR="002A79E2" w:rsidRPr="005B4935" w:rsidRDefault="002A79E2">
            <w:pPr>
              <w:jc w:val="center"/>
              <w:rPr>
                <w:rFonts w:ascii="Arial Narrow" w:hAnsi="Arial Narrow"/>
                <w:color w:val="333333"/>
                <w:sz w:val="20"/>
                <w:szCs w:val="20"/>
              </w:rPr>
            </w:pPr>
          </w:p>
        </w:tc>
        <w:tc>
          <w:tcPr>
            <w:tcW w:w="7745" w:type="dxa"/>
            <w:gridSpan w:val="6"/>
          </w:tcPr>
          <w:p w14:paraId="44D1C968" w14:textId="77777777" w:rsidR="002A79E2" w:rsidRPr="005B4935" w:rsidRDefault="002A79E2">
            <w:pPr>
              <w:pStyle w:val="NormalWeb"/>
              <w:spacing w:before="0" w:after="0"/>
              <w:textAlignment w:val="baseline"/>
              <w:rPr>
                <w:rFonts w:ascii="Arial Narrow" w:hAnsi="Arial Narrow" w:cs="Open Sans"/>
                <w:color w:val="333333"/>
                <w:sz w:val="20"/>
                <w:szCs w:val="20"/>
              </w:rPr>
            </w:pPr>
            <w:r w:rsidRPr="005B4935">
              <w:rPr>
                <w:rStyle w:val="Strong"/>
                <w:rFonts w:ascii="Arial Narrow" w:eastAsiaTheme="majorEastAsia" w:hAnsi="Arial Narrow" w:cs="Open Sans"/>
                <w:color w:val="333333"/>
                <w:sz w:val="20"/>
                <w:szCs w:val="20"/>
                <w:bdr w:val="none" w:sz="0" w:space="0" w:color="auto" w:frame="1"/>
              </w:rPr>
              <w:t>Prescribing Instructions:</w:t>
            </w:r>
          </w:p>
          <w:p w14:paraId="3F28810F" w14:textId="77777777" w:rsidR="002A79E2" w:rsidRPr="005B4935" w:rsidRDefault="002A79E2">
            <w:pPr>
              <w:rPr>
                <w:rFonts w:ascii="Arial Narrow" w:hAnsi="Arial Narrow"/>
                <w:b/>
                <w:bCs/>
                <w:color w:val="333333"/>
                <w:sz w:val="20"/>
                <w:szCs w:val="20"/>
              </w:rPr>
            </w:pPr>
            <w:r w:rsidRPr="005B4935">
              <w:rPr>
                <w:rFonts w:ascii="Arial Narrow" w:hAnsi="Arial Narrow" w:cs="Open Sans"/>
                <w:color w:val="333333"/>
                <w:sz w:val="20"/>
                <w:szCs w:val="20"/>
              </w:rPr>
              <w:lastRenderedPageBreak/>
              <w:t>Document and retain in the patient's medical records the qualifying baseline laboratory reading for the purpose of assessing response to treatment under the 'Continuing treatment' restriction.</w:t>
            </w:r>
          </w:p>
        </w:tc>
      </w:tr>
      <w:tr w:rsidR="002A79E2" w:rsidRPr="009C40FB" w14:paraId="20D612AD" w14:textId="77777777">
        <w:tc>
          <w:tcPr>
            <w:tcW w:w="1272" w:type="dxa"/>
            <w:gridSpan w:val="2"/>
            <w:hideMark/>
          </w:tcPr>
          <w:p w14:paraId="69FB2A90" w14:textId="2B86B26A"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639CBC5D" w14:textId="77777777" w:rsidR="002A79E2" w:rsidRPr="00860ABE" w:rsidRDefault="002A79E2">
            <w:pPr>
              <w:textAlignment w:val="baseline"/>
              <w:rPr>
                <w:rFonts w:ascii="Arial Narrow" w:hAnsi="Arial Narrow" w:cs="Open Sans"/>
                <w:color w:val="333333"/>
                <w:sz w:val="20"/>
                <w:szCs w:val="20"/>
              </w:rPr>
            </w:pPr>
            <w:r w:rsidRPr="00860ABE">
              <w:rPr>
                <w:rFonts w:ascii="Arial Narrow" w:hAnsi="Arial Narrow" w:cs="Open Sans"/>
                <w:b/>
                <w:color w:val="333333"/>
                <w:sz w:val="20"/>
                <w:szCs w:val="20"/>
                <w:bdr w:val="none" w:sz="0" w:space="0" w:color="auto" w:frame="1"/>
              </w:rPr>
              <w:t>Administrative Advice:</w:t>
            </w:r>
          </w:p>
          <w:p w14:paraId="0EF324C3" w14:textId="77777777" w:rsidR="002A79E2" w:rsidRPr="00860ABE" w:rsidRDefault="002A79E2">
            <w:pPr>
              <w:textAlignment w:val="baseline"/>
              <w:rPr>
                <w:rFonts w:ascii="Arial Narrow" w:hAnsi="Arial Narrow" w:cs="Open Sans"/>
                <w:color w:val="333333"/>
                <w:sz w:val="20"/>
                <w:szCs w:val="20"/>
              </w:rPr>
            </w:pPr>
            <w:r w:rsidRPr="00860ABE">
              <w:rPr>
                <w:rFonts w:ascii="Arial Narrow" w:hAnsi="Arial Narrow" w:cs="Open Sans"/>
                <w:color w:val="333333"/>
                <w:sz w:val="20"/>
                <w:szCs w:val="20"/>
              </w:rPr>
              <w:t>Laboratory readings requested in this authority application must be no older than 52 weeks.</w:t>
            </w:r>
          </w:p>
        </w:tc>
      </w:tr>
    </w:tbl>
    <w:p w14:paraId="4F97356A" w14:textId="77777777" w:rsidR="002A79E2" w:rsidRPr="005D5EE2" w:rsidRDefault="002A79E2" w:rsidP="002A79E2"/>
    <w:tbl>
      <w:tblPr>
        <w:tblStyle w:val="TableGrid"/>
        <w:tblW w:w="5000" w:type="pct"/>
        <w:tblLayout w:type="fixed"/>
        <w:tblLook w:val="0000" w:firstRow="0" w:lastRow="0" w:firstColumn="0" w:lastColumn="0" w:noHBand="0" w:noVBand="0"/>
      </w:tblPr>
      <w:tblGrid>
        <w:gridCol w:w="488"/>
        <w:gridCol w:w="784"/>
        <w:gridCol w:w="2668"/>
        <w:gridCol w:w="811"/>
        <w:gridCol w:w="812"/>
        <w:gridCol w:w="811"/>
        <w:gridCol w:w="812"/>
        <w:gridCol w:w="1831"/>
      </w:tblGrid>
      <w:tr w:rsidR="002A79E2" w:rsidRPr="00F93F3C" w14:paraId="10538DED" w14:textId="77777777">
        <w:trPr>
          <w:trHeight w:val="20"/>
        </w:trPr>
        <w:tc>
          <w:tcPr>
            <w:tcW w:w="3940" w:type="dxa"/>
            <w:gridSpan w:val="3"/>
          </w:tcPr>
          <w:p w14:paraId="76E8F0AE" w14:textId="77777777" w:rsidR="002A79E2" w:rsidRPr="005B4935" w:rsidRDefault="002A79E2">
            <w:pPr>
              <w:keepLines/>
              <w:rPr>
                <w:rFonts w:ascii="Arial Narrow" w:hAnsi="Arial Narrow"/>
                <w:b/>
                <w:bCs/>
                <w:sz w:val="20"/>
                <w:szCs w:val="20"/>
              </w:rPr>
            </w:pPr>
            <w:r w:rsidRPr="005B4935">
              <w:rPr>
                <w:rFonts w:ascii="Arial Narrow" w:hAnsi="Arial Narrow"/>
                <w:b/>
                <w:bCs/>
                <w:sz w:val="20"/>
                <w:szCs w:val="20"/>
              </w:rPr>
              <w:t>MEDICINAL PRODUCT</w:t>
            </w:r>
          </w:p>
          <w:p w14:paraId="616646DC" w14:textId="77777777" w:rsidR="002A79E2" w:rsidRPr="005B4935" w:rsidRDefault="002A79E2">
            <w:pPr>
              <w:keepLines/>
              <w:rPr>
                <w:rFonts w:ascii="Arial Narrow" w:hAnsi="Arial Narrow"/>
                <w:b/>
                <w:bCs/>
                <w:sz w:val="20"/>
                <w:szCs w:val="20"/>
              </w:rPr>
            </w:pPr>
            <w:r w:rsidRPr="005B4935">
              <w:rPr>
                <w:rFonts w:ascii="Arial Narrow" w:hAnsi="Arial Narrow"/>
                <w:b/>
                <w:bCs/>
                <w:sz w:val="20"/>
                <w:szCs w:val="20"/>
              </w:rPr>
              <w:t>medicinal product pack</w:t>
            </w:r>
          </w:p>
        </w:tc>
        <w:tc>
          <w:tcPr>
            <w:tcW w:w="811" w:type="dxa"/>
          </w:tcPr>
          <w:p w14:paraId="2BB9454F"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PBS item code</w:t>
            </w:r>
          </w:p>
        </w:tc>
        <w:tc>
          <w:tcPr>
            <w:tcW w:w="812" w:type="dxa"/>
          </w:tcPr>
          <w:p w14:paraId="7DA4A3F0"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Max. qty packs</w:t>
            </w:r>
          </w:p>
        </w:tc>
        <w:tc>
          <w:tcPr>
            <w:tcW w:w="811" w:type="dxa"/>
          </w:tcPr>
          <w:p w14:paraId="30322FE4"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Max. qty units</w:t>
            </w:r>
          </w:p>
        </w:tc>
        <w:tc>
          <w:tcPr>
            <w:tcW w:w="812" w:type="dxa"/>
          </w:tcPr>
          <w:p w14:paraId="1064017E"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 of</w:t>
            </w:r>
          </w:p>
          <w:p w14:paraId="6799F312" w14:textId="77777777" w:rsidR="002A79E2" w:rsidRPr="005B4935" w:rsidRDefault="002A79E2">
            <w:pPr>
              <w:keepLines/>
              <w:jc w:val="center"/>
              <w:rPr>
                <w:rFonts w:ascii="Arial Narrow" w:hAnsi="Arial Narrow"/>
                <w:b/>
                <w:bCs/>
                <w:sz w:val="20"/>
                <w:szCs w:val="20"/>
              </w:rPr>
            </w:pPr>
            <w:r w:rsidRPr="005B4935">
              <w:rPr>
                <w:rFonts w:ascii="Arial Narrow" w:hAnsi="Arial Narrow"/>
                <w:b/>
                <w:bCs/>
                <w:sz w:val="20"/>
                <w:szCs w:val="20"/>
              </w:rPr>
              <w:t>Rpts</w:t>
            </w:r>
          </w:p>
        </w:tc>
        <w:tc>
          <w:tcPr>
            <w:tcW w:w="1831" w:type="dxa"/>
          </w:tcPr>
          <w:p w14:paraId="180EF181" w14:textId="77777777" w:rsidR="002A79E2" w:rsidRPr="005B4935" w:rsidRDefault="002A79E2">
            <w:pPr>
              <w:keepLines/>
              <w:rPr>
                <w:rFonts w:ascii="Arial Narrow" w:hAnsi="Arial Narrow"/>
                <w:b/>
                <w:bCs/>
                <w:sz w:val="20"/>
                <w:szCs w:val="20"/>
                <w:lang w:val="fr-FR"/>
              </w:rPr>
            </w:pPr>
            <w:r w:rsidRPr="005B4935">
              <w:rPr>
                <w:rFonts w:ascii="Arial Narrow" w:hAnsi="Arial Narrow"/>
                <w:b/>
                <w:bCs/>
                <w:sz w:val="20"/>
                <w:szCs w:val="20"/>
              </w:rPr>
              <w:t>Available brands</w:t>
            </w:r>
          </w:p>
        </w:tc>
      </w:tr>
      <w:tr w:rsidR="002A79E2" w:rsidRPr="00F93F3C" w14:paraId="56641601" w14:textId="77777777">
        <w:trPr>
          <w:trHeight w:val="20"/>
        </w:trPr>
        <w:tc>
          <w:tcPr>
            <w:tcW w:w="9017" w:type="dxa"/>
            <w:gridSpan w:val="8"/>
          </w:tcPr>
          <w:p w14:paraId="70786914" w14:textId="77777777" w:rsidR="002A79E2" w:rsidRPr="005B4935" w:rsidRDefault="002A79E2">
            <w:pPr>
              <w:keepLines/>
              <w:rPr>
                <w:rFonts w:ascii="Arial Narrow" w:hAnsi="Arial Narrow"/>
                <w:sz w:val="20"/>
                <w:szCs w:val="20"/>
              </w:rPr>
            </w:pPr>
            <w:r w:rsidRPr="005B4935">
              <w:rPr>
                <w:rFonts w:ascii="Arial Narrow" w:hAnsi="Arial Narrow"/>
                <w:sz w:val="20"/>
                <w:szCs w:val="20"/>
              </w:rPr>
              <w:t xml:space="preserve">ELAFIBRANOR </w:t>
            </w:r>
          </w:p>
        </w:tc>
      </w:tr>
      <w:tr w:rsidR="002A79E2" w:rsidRPr="00F93F3C" w14:paraId="2AC05567" w14:textId="77777777">
        <w:trPr>
          <w:trHeight w:val="20"/>
        </w:trPr>
        <w:tc>
          <w:tcPr>
            <w:tcW w:w="3940" w:type="dxa"/>
            <w:gridSpan w:val="3"/>
          </w:tcPr>
          <w:p w14:paraId="58AD1A60" w14:textId="77777777" w:rsidR="002A79E2" w:rsidRPr="005B4935" w:rsidRDefault="002A79E2">
            <w:pPr>
              <w:keepLines/>
              <w:rPr>
                <w:rFonts w:ascii="Arial Narrow" w:hAnsi="Arial Narrow"/>
                <w:sz w:val="20"/>
                <w:szCs w:val="20"/>
              </w:rPr>
            </w:pPr>
            <w:proofErr w:type="spellStart"/>
            <w:r w:rsidRPr="005B4935">
              <w:rPr>
                <w:rFonts w:ascii="Arial Narrow" w:hAnsi="Arial Narrow"/>
                <w:sz w:val="20"/>
                <w:szCs w:val="20"/>
              </w:rPr>
              <w:t>Elafibranor</w:t>
            </w:r>
            <w:proofErr w:type="spellEnd"/>
            <w:r w:rsidRPr="005B4935">
              <w:rPr>
                <w:rFonts w:ascii="Arial Narrow" w:hAnsi="Arial Narrow"/>
                <w:sz w:val="20"/>
                <w:szCs w:val="20"/>
              </w:rPr>
              <w:t xml:space="preserve"> 80 mg tablet, 30 </w:t>
            </w:r>
          </w:p>
        </w:tc>
        <w:tc>
          <w:tcPr>
            <w:tcW w:w="811" w:type="dxa"/>
          </w:tcPr>
          <w:p w14:paraId="03D9B1F1"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 xml:space="preserve"> NEW</w:t>
            </w:r>
          </w:p>
        </w:tc>
        <w:tc>
          <w:tcPr>
            <w:tcW w:w="812" w:type="dxa"/>
          </w:tcPr>
          <w:p w14:paraId="518C0E97"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1</w:t>
            </w:r>
          </w:p>
        </w:tc>
        <w:tc>
          <w:tcPr>
            <w:tcW w:w="811" w:type="dxa"/>
          </w:tcPr>
          <w:p w14:paraId="05189EDC"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30</w:t>
            </w:r>
          </w:p>
        </w:tc>
        <w:tc>
          <w:tcPr>
            <w:tcW w:w="812" w:type="dxa"/>
          </w:tcPr>
          <w:p w14:paraId="1C9315E5" w14:textId="77777777" w:rsidR="002A79E2" w:rsidRPr="005B4935" w:rsidRDefault="002A79E2">
            <w:pPr>
              <w:keepLines/>
              <w:jc w:val="center"/>
              <w:rPr>
                <w:rFonts w:ascii="Arial Narrow" w:hAnsi="Arial Narrow"/>
                <w:sz w:val="20"/>
                <w:szCs w:val="20"/>
              </w:rPr>
            </w:pPr>
            <w:r w:rsidRPr="005B4935">
              <w:rPr>
                <w:rFonts w:ascii="Arial Narrow" w:hAnsi="Arial Narrow"/>
                <w:sz w:val="20"/>
                <w:szCs w:val="20"/>
              </w:rPr>
              <w:t>5</w:t>
            </w:r>
          </w:p>
        </w:tc>
        <w:tc>
          <w:tcPr>
            <w:tcW w:w="1831" w:type="dxa"/>
          </w:tcPr>
          <w:p w14:paraId="51BBBFF7" w14:textId="77777777" w:rsidR="002A79E2" w:rsidRPr="005B4935" w:rsidRDefault="002A79E2">
            <w:pPr>
              <w:keepLines/>
              <w:rPr>
                <w:rFonts w:ascii="Arial Narrow" w:hAnsi="Arial Narrow"/>
                <w:sz w:val="20"/>
                <w:szCs w:val="20"/>
              </w:rPr>
            </w:pPr>
            <w:proofErr w:type="spellStart"/>
            <w:r w:rsidRPr="005B4935">
              <w:rPr>
                <w:rFonts w:ascii="Arial Narrow" w:hAnsi="Arial Narrow"/>
                <w:sz w:val="20"/>
                <w:szCs w:val="20"/>
              </w:rPr>
              <w:t>Iqirvo</w:t>
            </w:r>
            <w:proofErr w:type="spellEnd"/>
          </w:p>
        </w:tc>
      </w:tr>
      <w:tr w:rsidR="002A79E2" w:rsidRPr="00F93F3C" w14:paraId="1DD8071D" w14:textId="77777777">
        <w:trPr>
          <w:trHeight w:val="20"/>
        </w:trPr>
        <w:tc>
          <w:tcPr>
            <w:tcW w:w="9017" w:type="dxa"/>
            <w:gridSpan w:val="8"/>
          </w:tcPr>
          <w:p w14:paraId="2F990EC2" w14:textId="77777777" w:rsidR="002A79E2" w:rsidRPr="005B4935" w:rsidRDefault="002A79E2">
            <w:pPr>
              <w:rPr>
                <w:rFonts w:ascii="Arial Narrow" w:hAnsi="Arial Narrow"/>
                <w:sz w:val="20"/>
                <w:szCs w:val="20"/>
              </w:rPr>
            </w:pPr>
          </w:p>
        </w:tc>
      </w:tr>
      <w:tr w:rsidR="002A79E2" w:rsidRPr="00F93F3C" w14:paraId="1F2DA47A" w14:textId="77777777">
        <w:trPr>
          <w:trHeight w:val="20"/>
        </w:trPr>
        <w:tc>
          <w:tcPr>
            <w:tcW w:w="9017" w:type="dxa"/>
            <w:gridSpan w:val="8"/>
          </w:tcPr>
          <w:p w14:paraId="0395A6D3" w14:textId="77777777" w:rsidR="002A79E2" w:rsidRPr="005B4935" w:rsidRDefault="002A79E2">
            <w:pPr>
              <w:keepLines/>
              <w:rPr>
                <w:rFonts w:ascii="Arial Narrow" w:hAnsi="Arial Narrow"/>
                <w:b/>
                <w:bCs/>
                <w:sz w:val="20"/>
                <w:szCs w:val="20"/>
              </w:rPr>
            </w:pPr>
            <w:r w:rsidRPr="005B4935">
              <w:rPr>
                <w:rFonts w:ascii="Arial Narrow" w:hAnsi="Arial Narrow"/>
                <w:b/>
                <w:bCs/>
                <w:sz w:val="20"/>
                <w:szCs w:val="20"/>
              </w:rPr>
              <w:t xml:space="preserve">Restriction Summary [new] / Treatment of Concept: [new] </w:t>
            </w:r>
          </w:p>
        </w:tc>
      </w:tr>
      <w:tr w:rsidR="002A79E2" w:rsidRPr="00F93F3C" w14:paraId="5DA85001" w14:textId="77777777">
        <w:trPr>
          <w:trHeight w:val="20"/>
        </w:trPr>
        <w:tc>
          <w:tcPr>
            <w:tcW w:w="1272" w:type="dxa"/>
            <w:gridSpan w:val="2"/>
            <w:vMerge w:val="restart"/>
          </w:tcPr>
          <w:p w14:paraId="350B9C29" w14:textId="77777777" w:rsidR="002A79E2" w:rsidRPr="005B4935" w:rsidRDefault="002A79E2">
            <w:pPr>
              <w:jc w:val="center"/>
              <w:rPr>
                <w:rFonts w:ascii="Arial Narrow" w:hAnsi="Arial Narrow"/>
                <w:b/>
                <w:bCs/>
                <w:sz w:val="20"/>
                <w:szCs w:val="20"/>
              </w:rPr>
            </w:pPr>
            <w:r w:rsidRPr="005B4935">
              <w:rPr>
                <w:rFonts w:ascii="Arial Narrow" w:hAnsi="Arial Narrow"/>
                <w:b/>
                <w:bCs/>
                <w:sz w:val="20"/>
                <w:szCs w:val="20"/>
              </w:rPr>
              <w:t xml:space="preserve">Concept ID </w:t>
            </w:r>
            <w:r w:rsidRPr="005B4935">
              <w:rPr>
                <w:rFonts w:ascii="Arial Narrow" w:hAnsi="Arial Narrow"/>
                <w:sz w:val="20"/>
                <w:szCs w:val="20"/>
              </w:rPr>
              <w:t>(for internal Dept. use)</w:t>
            </w:r>
          </w:p>
        </w:tc>
        <w:tc>
          <w:tcPr>
            <w:tcW w:w="7745" w:type="dxa"/>
            <w:gridSpan w:val="6"/>
          </w:tcPr>
          <w:p w14:paraId="1972A172" w14:textId="77777777" w:rsidR="002A79E2" w:rsidRPr="005B4935" w:rsidRDefault="002A79E2">
            <w:pPr>
              <w:keepLines/>
              <w:rPr>
                <w:rFonts w:ascii="Arial Narrow" w:hAnsi="Arial Narrow"/>
                <w:sz w:val="20"/>
                <w:szCs w:val="20"/>
              </w:rPr>
            </w:pPr>
            <w:r w:rsidRPr="005B4935">
              <w:rPr>
                <w:rFonts w:ascii="Arial Narrow" w:hAnsi="Arial Narrow"/>
                <w:b/>
                <w:bCs/>
                <w:sz w:val="20"/>
                <w:szCs w:val="20"/>
              </w:rPr>
              <w:t>Category / Program:</w:t>
            </w:r>
            <w:r w:rsidRPr="005B4935">
              <w:rPr>
                <w:rFonts w:ascii="Arial Narrow" w:hAnsi="Arial Narrow"/>
                <w:color w:val="FF0000"/>
                <w:sz w:val="20"/>
                <w:szCs w:val="20"/>
              </w:rPr>
              <w:t xml:space="preserve"> </w:t>
            </w:r>
            <w:r w:rsidRPr="005B4935">
              <w:rPr>
                <w:rFonts w:ascii="Arial Narrow" w:eastAsia="Calibri" w:hAnsi="Arial Narrow"/>
                <w:sz w:val="20"/>
                <w:szCs w:val="20"/>
              </w:rPr>
              <w:fldChar w:fldCharType="begin" w:fldLock="1">
                <w:ffData>
                  <w:name w:val="Check1"/>
                  <w:enabled/>
                  <w:calcOnExit w:val="0"/>
                  <w:checkBox>
                    <w:sizeAuto/>
                    <w:default w:val="1"/>
                  </w:checkBox>
                </w:ffData>
              </w:fldChar>
            </w:r>
            <w:r w:rsidRPr="005B4935">
              <w:rPr>
                <w:rFonts w:ascii="Arial Narrow" w:eastAsia="Calibri" w:hAnsi="Arial Narrow"/>
                <w:sz w:val="20"/>
                <w:szCs w:val="20"/>
              </w:rPr>
              <w:instrText xml:space="preserve"> FORMCHECKBOX </w:instrText>
            </w:r>
            <w:r w:rsidRPr="005B4935">
              <w:rPr>
                <w:rFonts w:ascii="Arial Narrow" w:eastAsia="Calibri" w:hAnsi="Arial Narrow"/>
                <w:sz w:val="20"/>
                <w:szCs w:val="20"/>
              </w:rPr>
            </w:r>
            <w:r w:rsidRPr="005B4935">
              <w:rPr>
                <w:rFonts w:ascii="Arial Narrow" w:eastAsia="Calibri" w:hAnsi="Arial Narrow"/>
                <w:sz w:val="20"/>
                <w:szCs w:val="20"/>
              </w:rPr>
              <w:fldChar w:fldCharType="separate"/>
            </w:r>
            <w:r w:rsidRPr="005B4935">
              <w:rPr>
                <w:rFonts w:ascii="Arial Narrow" w:eastAsia="Calibri" w:hAnsi="Arial Narrow"/>
                <w:sz w:val="20"/>
                <w:szCs w:val="20"/>
              </w:rPr>
              <w:fldChar w:fldCharType="end"/>
            </w:r>
            <w:r w:rsidRPr="005B4935">
              <w:rPr>
                <w:rFonts w:ascii="Arial Narrow" w:eastAsia="Calibri" w:hAnsi="Arial Narrow"/>
                <w:sz w:val="20"/>
                <w:szCs w:val="20"/>
              </w:rPr>
              <w:t xml:space="preserve"> GENERAL - General Schedule (Code GE) </w:t>
            </w:r>
          </w:p>
        </w:tc>
      </w:tr>
      <w:tr w:rsidR="002A79E2" w:rsidRPr="00F93F3C" w14:paraId="293B046E" w14:textId="77777777">
        <w:trPr>
          <w:trHeight w:val="20"/>
        </w:trPr>
        <w:tc>
          <w:tcPr>
            <w:tcW w:w="1272" w:type="dxa"/>
            <w:gridSpan w:val="2"/>
            <w:vMerge/>
          </w:tcPr>
          <w:p w14:paraId="1D121C0B" w14:textId="77777777" w:rsidR="002A79E2" w:rsidRPr="005B4935" w:rsidRDefault="002A79E2">
            <w:pPr>
              <w:rPr>
                <w:rFonts w:ascii="Arial Narrow" w:hAnsi="Arial Narrow"/>
                <w:sz w:val="20"/>
                <w:szCs w:val="20"/>
              </w:rPr>
            </w:pPr>
          </w:p>
        </w:tc>
        <w:tc>
          <w:tcPr>
            <w:tcW w:w="7745" w:type="dxa"/>
            <w:gridSpan w:val="6"/>
          </w:tcPr>
          <w:p w14:paraId="5ACA9821" w14:textId="77777777" w:rsidR="002A79E2" w:rsidRPr="005B4935" w:rsidRDefault="002A79E2">
            <w:pPr>
              <w:keepLines/>
              <w:rPr>
                <w:rFonts w:ascii="Arial Narrow" w:hAnsi="Arial Narrow"/>
                <w:sz w:val="20"/>
                <w:szCs w:val="20"/>
              </w:rPr>
            </w:pPr>
            <w:r w:rsidRPr="005B4935">
              <w:rPr>
                <w:rFonts w:ascii="Arial Narrow" w:hAnsi="Arial Narrow"/>
                <w:b/>
                <w:bCs/>
                <w:sz w:val="20"/>
                <w:szCs w:val="20"/>
              </w:rPr>
              <w:t xml:space="preserve">Prescriber type: </w:t>
            </w:r>
            <w:r w:rsidRPr="005B4935">
              <w:rPr>
                <w:rFonts w:ascii="Arial Narrow" w:hAnsi="Arial Narrow"/>
                <w:sz w:val="20"/>
                <w:szCs w:val="20"/>
              </w:rPr>
              <w:fldChar w:fldCharType="begin" w:fldLock="1">
                <w:ffData>
                  <w:name w:val=""/>
                  <w:enabled/>
                  <w:calcOnExit w:val="0"/>
                  <w:checkBox>
                    <w:sizeAuto/>
                    <w:default w:val="1"/>
                  </w:checkBox>
                </w:ffData>
              </w:fldChar>
            </w:r>
            <w:r w:rsidRPr="005B4935">
              <w:rPr>
                <w:rFonts w:ascii="Arial Narrow" w:hAnsi="Arial Narrow"/>
                <w:sz w:val="20"/>
                <w:szCs w:val="20"/>
              </w:rPr>
              <w:instrText xml:space="preserve"> FORMCHECKBOX </w:instrText>
            </w:r>
            <w:r w:rsidRPr="005B4935">
              <w:rPr>
                <w:rFonts w:ascii="Arial Narrow" w:hAnsi="Arial Narrow"/>
                <w:sz w:val="20"/>
                <w:szCs w:val="20"/>
              </w:rPr>
            </w:r>
            <w:r w:rsidRPr="005B4935">
              <w:rPr>
                <w:rFonts w:ascii="Arial Narrow" w:hAnsi="Arial Narrow"/>
                <w:sz w:val="20"/>
                <w:szCs w:val="20"/>
              </w:rPr>
              <w:fldChar w:fldCharType="separate"/>
            </w:r>
            <w:r w:rsidRPr="005B4935">
              <w:rPr>
                <w:rFonts w:ascii="Arial Narrow" w:hAnsi="Arial Narrow"/>
                <w:sz w:val="20"/>
                <w:szCs w:val="20"/>
              </w:rPr>
              <w:fldChar w:fldCharType="end"/>
            </w:r>
            <w:r w:rsidRPr="005B4935">
              <w:rPr>
                <w:rFonts w:ascii="Arial Narrow" w:hAnsi="Arial Narrow"/>
                <w:sz w:val="20"/>
                <w:szCs w:val="20"/>
              </w:rPr>
              <w:t xml:space="preserve">Medical Practitioners </w:t>
            </w:r>
            <w:r w:rsidRPr="00DD4CB3">
              <w:rPr>
                <w:rFonts w:ascii="Arial Narrow" w:hAnsi="Arial Narrow"/>
                <w:sz w:val="20"/>
                <w:szCs w:val="20"/>
              </w:rPr>
              <w:fldChar w:fldCharType="begin" w:fldLock="1">
                <w:ffData>
                  <w:name w:val=""/>
                  <w:enabled/>
                  <w:calcOnExit w:val="0"/>
                  <w:checkBox>
                    <w:sizeAuto/>
                    <w:default w:val="1"/>
                  </w:checkBox>
                </w:ffData>
              </w:fldChar>
            </w:r>
            <w:r w:rsidRPr="00DD4CB3">
              <w:rPr>
                <w:rFonts w:ascii="Arial Narrow" w:hAnsi="Arial Narrow"/>
                <w:sz w:val="20"/>
                <w:szCs w:val="20"/>
              </w:rPr>
              <w:instrText xml:space="preserve"> FORMCHECKBOX </w:instrText>
            </w:r>
            <w:r w:rsidRPr="00DD4CB3">
              <w:rPr>
                <w:rFonts w:ascii="Arial Narrow" w:hAnsi="Arial Narrow"/>
                <w:sz w:val="20"/>
                <w:szCs w:val="20"/>
              </w:rPr>
            </w:r>
            <w:r w:rsidRPr="00DD4CB3">
              <w:rPr>
                <w:rFonts w:ascii="Arial Narrow" w:hAnsi="Arial Narrow"/>
                <w:sz w:val="20"/>
                <w:szCs w:val="20"/>
              </w:rPr>
              <w:fldChar w:fldCharType="separate"/>
            </w:r>
            <w:r w:rsidRPr="00DD4CB3">
              <w:rPr>
                <w:rFonts w:ascii="Arial Narrow" w:hAnsi="Arial Narrow"/>
                <w:sz w:val="20"/>
                <w:szCs w:val="20"/>
              </w:rPr>
              <w:fldChar w:fldCharType="end"/>
            </w:r>
            <w:r w:rsidRPr="00DD4CB3">
              <w:rPr>
                <w:rFonts w:ascii="Arial Narrow" w:hAnsi="Arial Narrow"/>
                <w:sz w:val="20"/>
                <w:szCs w:val="20"/>
              </w:rPr>
              <w:t>Nurse Practitioners</w:t>
            </w:r>
          </w:p>
        </w:tc>
      </w:tr>
      <w:tr w:rsidR="002A79E2" w:rsidRPr="00F93F3C" w14:paraId="7170705C" w14:textId="77777777">
        <w:trPr>
          <w:trHeight w:val="20"/>
        </w:trPr>
        <w:tc>
          <w:tcPr>
            <w:tcW w:w="1272" w:type="dxa"/>
            <w:gridSpan w:val="2"/>
            <w:vMerge/>
          </w:tcPr>
          <w:p w14:paraId="5825ACA7" w14:textId="77777777" w:rsidR="002A79E2" w:rsidRPr="005B4935" w:rsidRDefault="002A79E2">
            <w:pPr>
              <w:rPr>
                <w:rFonts w:ascii="Arial Narrow" w:hAnsi="Arial Narrow"/>
                <w:sz w:val="20"/>
                <w:szCs w:val="20"/>
              </w:rPr>
            </w:pPr>
          </w:p>
        </w:tc>
        <w:tc>
          <w:tcPr>
            <w:tcW w:w="7745" w:type="dxa"/>
            <w:gridSpan w:val="6"/>
          </w:tcPr>
          <w:p w14:paraId="385D6174" w14:textId="77777777" w:rsidR="002A79E2" w:rsidRPr="005B4935" w:rsidRDefault="002A79E2">
            <w:pPr>
              <w:keepLines/>
              <w:rPr>
                <w:rFonts w:ascii="Arial Narrow" w:eastAsia="Calibri" w:hAnsi="Arial Narrow"/>
                <w:sz w:val="20"/>
                <w:szCs w:val="20"/>
              </w:rPr>
            </w:pPr>
            <w:r w:rsidRPr="005B4935">
              <w:rPr>
                <w:rFonts w:ascii="Arial Narrow" w:hAnsi="Arial Narrow"/>
                <w:b/>
                <w:bCs/>
                <w:sz w:val="20"/>
                <w:szCs w:val="20"/>
              </w:rPr>
              <w:t>Restriction type:</w:t>
            </w:r>
            <w:r w:rsidRPr="005B4935">
              <w:rPr>
                <w:rFonts w:ascii="Arial Narrow" w:hAnsi="Arial Narrow"/>
                <w:b/>
                <w:bCs/>
                <w:strike/>
                <w:sz w:val="20"/>
                <w:szCs w:val="20"/>
              </w:rPr>
              <w:t xml:space="preserve"> </w:t>
            </w:r>
            <w:r w:rsidRPr="005B4935">
              <w:rPr>
                <w:rFonts w:ascii="Arial Narrow" w:eastAsia="Calibri" w:hAnsi="Arial Narrow"/>
                <w:sz w:val="20"/>
                <w:szCs w:val="20"/>
              </w:rPr>
              <w:fldChar w:fldCharType="begin" w:fldLock="1">
                <w:ffData>
                  <w:name w:val=""/>
                  <w:enabled/>
                  <w:calcOnExit w:val="0"/>
                  <w:checkBox>
                    <w:sizeAuto/>
                    <w:default w:val="1"/>
                  </w:checkBox>
                </w:ffData>
              </w:fldChar>
            </w:r>
            <w:r w:rsidRPr="005B4935">
              <w:rPr>
                <w:rFonts w:ascii="Arial Narrow" w:eastAsia="Calibri" w:hAnsi="Arial Narrow"/>
                <w:sz w:val="20"/>
                <w:szCs w:val="20"/>
              </w:rPr>
              <w:instrText xml:space="preserve"> FORMCHECKBOX </w:instrText>
            </w:r>
            <w:r w:rsidRPr="005B4935">
              <w:rPr>
                <w:rFonts w:ascii="Arial Narrow" w:eastAsia="Calibri" w:hAnsi="Arial Narrow"/>
                <w:sz w:val="20"/>
                <w:szCs w:val="20"/>
              </w:rPr>
            </w:r>
            <w:r w:rsidRPr="005B4935">
              <w:rPr>
                <w:rFonts w:ascii="Arial Narrow" w:eastAsia="Calibri" w:hAnsi="Arial Narrow"/>
                <w:sz w:val="20"/>
                <w:szCs w:val="20"/>
              </w:rPr>
              <w:fldChar w:fldCharType="separate"/>
            </w:r>
            <w:r w:rsidRPr="005B4935">
              <w:rPr>
                <w:rFonts w:ascii="Arial Narrow" w:eastAsia="Calibri" w:hAnsi="Arial Narrow"/>
                <w:sz w:val="20"/>
                <w:szCs w:val="20"/>
              </w:rPr>
              <w:fldChar w:fldCharType="end"/>
            </w:r>
            <w:r w:rsidRPr="005B4935">
              <w:rPr>
                <w:rFonts w:ascii="Arial Narrow" w:eastAsia="Calibri" w:hAnsi="Arial Narrow"/>
                <w:sz w:val="20"/>
                <w:szCs w:val="20"/>
              </w:rPr>
              <w:t>Authority Required (Streamlined) [new/existing code]</w:t>
            </w:r>
            <w:r w:rsidRPr="005B4935">
              <w:rPr>
                <w:rFonts w:ascii="Arial Narrow" w:eastAsia="Calibri" w:hAnsi="Arial Narrow"/>
                <w:strike/>
                <w:sz w:val="20"/>
                <w:szCs w:val="20"/>
              </w:rPr>
              <w:t xml:space="preserve"> </w:t>
            </w:r>
          </w:p>
        </w:tc>
      </w:tr>
      <w:tr w:rsidR="002A79E2" w:rsidRPr="00F93F3C" w14:paraId="7003C799" w14:textId="77777777">
        <w:trPr>
          <w:trHeight w:val="20"/>
        </w:trPr>
        <w:tc>
          <w:tcPr>
            <w:tcW w:w="488" w:type="dxa"/>
            <w:vMerge w:val="restart"/>
            <w:textDirection w:val="btLr"/>
          </w:tcPr>
          <w:p w14:paraId="019375BB" w14:textId="77777777" w:rsidR="002A79E2" w:rsidRPr="005B4935" w:rsidRDefault="002A79E2">
            <w:pPr>
              <w:jc w:val="center"/>
              <w:rPr>
                <w:rFonts w:ascii="Arial Narrow" w:hAnsi="Arial Narrow"/>
                <w:sz w:val="20"/>
                <w:szCs w:val="20"/>
              </w:rPr>
            </w:pPr>
            <w:r w:rsidRPr="005B4935">
              <w:rPr>
                <w:rFonts w:ascii="Arial Narrow" w:hAnsi="Arial Narrow"/>
                <w:sz w:val="20"/>
                <w:szCs w:val="20"/>
              </w:rPr>
              <w:t>Prescribing rule level</w:t>
            </w:r>
          </w:p>
        </w:tc>
        <w:tc>
          <w:tcPr>
            <w:tcW w:w="784" w:type="dxa"/>
          </w:tcPr>
          <w:p w14:paraId="1118479A" w14:textId="69776080" w:rsidR="002A79E2" w:rsidRPr="00860ABE" w:rsidRDefault="002A79E2">
            <w:pPr>
              <w:jc w:val="center"/>
              <w:rPr>
                <w:rFonts w:ascii="Arial Narrow" w:hAnsi="Arial Narrow" w:cs="Open Sans"/>
                <w:color w:val="333333"/>
                <w:sz w:val="20"/>
                <w:szCs w:val="20"/>
              </w:rPr>
            </w:pPr>
          </w:p>
        </w:tc>
        <w:tc>
          <w:tcPr>
            <w:tcW w:w="7745" w:type="dxa"/>
            <w:gridSpan w:val="6"/>
          </w:tcPr>
          <w:p w14:paraId="6B7F890E"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Caution:</w:t>
            </w:r>
          </w:p>
          <w:p w14:paraId="16B9C694" w14:textId="77777777" w:rsidR="002A79E2" w:rsidRPr="00860ABE" w:rsidRDefault="002A79E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860ABE">
              <w:rPr>
                <w:rFonts w:ascii="Arial Narrow" w:hAnsi="Arial Narrow" w:cs="Open Sans"/>
                <w:color w:val="333333"/>
                <w:sz w:val="20"/>
                <w:szCs w:val="20"/>
              </w:rPr>
              <w:t>Hepatic decompensation and failure, in some cases fatal, have been reported in post-marketing reports in patients with moderate to severe hepatic impairment when dosed incorrectly.</w:t>
            </w:r>
          </w:p>
        </w:tc>
      </w:tr>
      <w:tr w:rsidR="002A79E2" w:rsidRPr="00F93F3C" w14:paraId="1A12E954" w14:textId="77777777">
        <w:trPr>
          <w:trHeight w:val="20"/>
        </w:trPr>
        <w:tc>
          <w:tcPr>
            <w:tcW w:w="488" w:type="dxa"/>
            <w:vMerge/>
            <w:textDirection w:val="btLr"/>
          </w:tcPr>
          <w:p w14:paraId="5C0D1C63" w14:textId="77777777" w:rsidR="002A79E2" w:rsidRPr="005B4935" w:rsidRDefault="002A79E2">
            <w:pPr>
              <w:jc w:val="center"/>
              <w:rPr>
                <w:rFonts w:ascii="Arial Narrow" w:hAnsi="Arial Narrow"/>
                <w:sz w:val="20"/>
                <w:szCs w:val="20"/>
              </w:rPr>
            </w:pPr>
          </w:p>
        </w:tc>
        <w:tc>
          <w:tcPr>
            <w:tcW w:w="784" w:type="dxa"/>
            <w:tcBorders>
              <w:top w:val="single" w:sz="4" w:space="0" w:color="auto"/>
              <w:left w:val="nil"/>
              <w:bottom w:val="single" w:sz="4" w:space="0" w:color="auto"/>
              <w:right w:val="single" w:sz="4" w:space="0" w:color="auto"/>
            </w:tcBorders>
            <w:shd w:val="clear" w:color="auto" w:fill="auto"/>
          </w:tcPr>
          <w:p w14:paraId="67DAC320" w14:textId="23BE0018" w:rsidR="002A79E2" w:rsidRPr="00860ABE" w:rsidRDefault="002A79E2" w:rsidP="00F96ADF">
            <w:pPr>
              <w:jc w:val="center"/>
              <w:rPr>
                <w:rFonts w:ascii="Arial Narrow" w:hAnsi="Arial Narrow" w:cs="Open Sans"/>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E7CA2D4"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1E7F70B1" w14:textId="67D119A8" w:rsidR="002A79E2" w:rsidRPr="00860ABE" w:rsidRDefault="002A79E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860ABE">
              <w:rPr>
                <w:rFonts w:ascii="Arial Narrow" w:hAnsi="Arial Narrow" w:cs="Open Sans"/>
                <w:color w:val="333333"/>
                <w:sz w:val="20"/>
                <w:szCs w:val="20"/>
              </w:rPr>
              <w:t>Not for use in the treatment of sclerosing cholangitis</w:t>
            </w:r>
            <w:r w:rsidR="00DD4CB3">
              <w:rPr>
                <w:rFonts w:ascii="Arial Narrow" w:hAnsi="Arial Narrow" w:cs="Open Sans"/>
                <w:color w:val="333333"/>
                <w:sz w:val="20"/>
                <w:szCs w:val="20"/>
              </w:rPr>
              <w:t>.</w:t>
            </w:r>
          </w:p>
        </w:tc>
      </w:tr>
      <w:tr w:rsidR="002A79E2" w:rsidRPr="00F93F3C" w14:paraId="1810DF89" w14:textId="77777777">
        <w:trPr>
          <w:trHeight w:val="20"/>
        </w:trPr>
        <w:tc>
          <w:tcPr>
            <w:tcW w:w="488" w:type="dxa"/>
            <w:vMerge/>
            <w:textDirection w:val="btLr"/>
          </w:tcPr>
          <w:p w14:paraId="628E09BD" w14:textId="77777777" w:rsidR="002A79E2" w:rsidRPr="005B4935" w:rsidRDefault="002A79E2">
            <w:pPr>
              <w:jc w:val="center"/>
              <w:rPr>
                <w:rFonts w:ascii="Arial Narrow" w:hAnsi="Arial Narrow"/>
                <w:sz w:val="20"/>
                <w:szCs w:val="20"/>
              </w:rPr>
            </w:pPr>
          </w:p>
        </w:tc>
        <w:tc>
          <w:tcPr>
            <w:tcW w:w="784" w:type="dxa"/>
          </w:tcPr>
          <w:p w14:paraId="7E1889C6" w14:textId="4B165A48" w:rsidR="002A79E2" w:rsidRPr="00860ABE" w:rsidRDefault="002A79E2">
            <w:pPr>
              <w:jc w:val="center"/>
              <w:rPr>
                <w:rFonts w:ascii="Arial Narrow" w:hAnsi="Arial Narrow" w:cs="Open Sans"/>
                <w:color w:val="333333"/>
                <w:sz w:val="20"/>
                <w:szCs w:val="20"/>
              </w:rPr>
            </w:pPr>
          </w:p>
        </w:tc>
        <w:tc>
          <w:tcPr>
            <w:tcW w:w="7745" w:type="dxa"/>
            <w:gridSpan w:val="6"/>
          </w:tcPr>
          <w:p w14:paraId="0E6A6346" w14:textId="77777777" w:rsidR="002A79E2" w:rsidRPr="00860ABE" w:rsidRDefault="002A79E2">
            <w:pPr>
              <w:pStyle w:val="NormalWeb"/>
              <w:spacing w:before="0" w:after="0"/>
              <w:rPr>
                <w:rFonts w:ascii="Arial Narrow" w:eastAsiaTheme="majorEastAsia" w:hAnsi="Arial Narrow" w:cs="Open Sans"/>
                <w:b/>
                <w:color w:val="333333"/>
                <w:sz w:val="20"/>
                <w:szCs w:val="20"/>
                <w:bdr w:val="none" w:sz="0" w:space="0" w:color="auto" w:frame="1"/>
              </w:rPr>
            </w:pPr>
            <w:r w:rsidRPr="00860ABE">
              <w:rPr>
                <w:rFonts w:ascii="Arial Narrow" w:eastAsiaTheme="majorEastAsia" w:hAnsi="Arial Narrow" w:cs="Open Sans"/>
                <w:b/>
                <w:color w:val="333333"/>
                <w:sz w:val="20"/>
                <w:szCs w:val="20"/>
                <w:bdr w:val="none" w:sz="0" w:space="0" w:color="auto" w:frame="1"/>
              </w:rPr>
              <w:t>Administrative Advice:</w:t>
            </w:r>
          </w:p>
          <w:p w14:paraId="226F2F1A" w14:textId="77777777" w:rsidR="002A79E2" w:rsidRPr="00860ABE" w:rsidRDefault="002A79E2">
            <w:pPr>
              <w:pStyle w:val="NormalWeb"/>
              <w:spacing w:before="0" w:after="0"/>
              <w:rPr>
                <w:rFonts w:ascii="Arial Narrow" w:eastAsiaTheme="majorEastAsia" w:hAnsi="Arial Narrow" w:cs="Open Sans"/>
                <w:b/>
                <w:color w:val="333333"/>
                <w:sz w:val="20"/>
                <w:szCs w:val="20"/>
                <w:bdr w:val="none" w:sz="0" w:space="0" w:color="auto" w:frame="1"/>
              </w:rPr>
            </w:pPr>
            <w:r w:rsidRPr="00860ABE">
              <w:rPr>
                <w:rFonts w:ascii="Arial Narrow" w:eastAsiaTheme="majorEastAsia" w:hAnsi="Arial Narrow" w:cs="Open Sans"/>
                <w:b/>
                <w:color w:val="333333"/>
                <w:sz w:val="20"/>
                <w:szCs w:val="20"/>
                <w:bdr w:val="none" w:sz="0" w:space="0" w:color="auto" w:frame="1"/>
              </w:rPr>
              <w:t>Continuing Therapy Only:</w:t>
            </w:r>
          </w:p>
          <w:p w14:paraId="1E6EB48A" w14:textId="77777777" w:rsidR="002A79E2" w:rsidRPr="00860ABE" w:rsidRDefault="002A79E2">
            <w:pPr>
              <w:pStyle w:val="NormalWeb"/>
              <w:spacing w:before="0" w:after="0"/>
              <w:rPr>
                <w:rStyle w:val="Strong"/>
                <w:rFonts w:ascii="Arial Narrow" w:eastAsiaTheme="majorEastAsia" w:hAnsi="Arial Narrow" w:cs="Open Sans"/>
                <w:color w:val="333333"/>
                <w:sz w:val="20"/>
                <w:szCs w:val="20"/>
                <w:bdr w:val="none" w:sz="0" w:space="0" w:color="auto" w:frame="1"/>
              </w:rPr>
            </w:pPr>
            <w:r w:rsidRPr="00860ABE">
              <w:rPr>
                <w:rFonts w:ascii="Arial Narrow" w:eastAsiaTheme="majorEastAsia" w:hAnsi="Arial Narrow" w:cs="Open Sans"/>
                <w:color w:val="333333"/>
                <w:sz w:val="20"/>
                <w:szCs w:val="20"/>
                <w:bdr w:val="none" w:sz="0" w:space="0" w:color="auto" w:frame="1"/>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A79E2" w:rsidRPr="00F93F3C" w14:paraId="3C3FE40E" w14:textId="77777777">
        <w:trPr>
          <w:trHeight w:val="20"/>
        </w:trPr>
        <w:tc>
          <w:tcPr>
            <w:tcW w:w="488" w:type="dxa"/>
            <w:vMerge/>
            <w:textDirection w:val="btLr"/>
          </w:tcPr>
          <w:p w14:paraId="5A5C5698" w14:textId="77777777" w:rsidR="002A79E2" w:rsidRPr="005B4935" w:rsidRDefault="002A79E2">
            <w:pPr>
              <w:jc w:val="center"/>
              <w:rPr>
                <w:rFonts w:ascii="Arial Narrow" w:hAnsi="Arial Narrow"/>
                <w:sz w:val="20"/>
                <w:szCs w:val="20"/>
              </w:rPr>
            </w:pPr>
          </w:p>
        </w:tc>
        <w:tc>
          <w:tcPr>
            <w:tcW w:w="784" w:type="dxa"/>
          </w:tcPr>
          <w:p w14:paraId="2372FE88" w14:textId="33925386" w:rsidR="002A79E2" w:rsidRPr="00860ABE" w:rsidRDefault="002A79E2">
            <w:pPr>
              <w:jc w:val="center"/>
              <w:rPr>
                <w:rFonts w:ascii="Arial Narrow" w:hAnsi="Arial Narrow"/>
                <w:color w:val="333333"/>
                <w:sz w:val="20"/>
                <w:szCs w:val="20"/>
              </w:rPr>
            </w:pPr>
          </w:p>
        </w:tc>
        <w:tc>
          <w:tcPr>
            <w:tcW w:w="7745" w:type="dxa"/>
            <w:gridSpan w:val="6"/>
          </w:tcPr>
          <w:p w14:paraId="0D9B5DCF"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1C6A7CBB" w14:textId="77777777" w:rsidR="002A79E2" w:rsidRPr="00860ABE" w:rsidRDefault="002A79E2">
            <w:pPr>
              <w:rPr>
                <w:rFonts w:ascii="Arial Narrow" w:hAnsi="Arial Narrow"/>
                <w:color w:val="333333"/>
                <w:sz w:val="20"/>
                <w:szCs w:val="20"/>
              </w:rPr>
            </w:pPr>
            <w:r w:rsidRPr="00860ABE">
              <w:rPr>
                <w:rFonts w:ascii="Arial Narrow" w:hAnsi="Arial Narrow" w:cs="Open Sans"/>
                <w:color w:val="333333"/>
                <w:sz w:val="20"/>
                <w:szCs w:val="20"/>
              </w:rPr>
              <w:t>No increase in the maximum quantity or number of units may be authorised.</w:t>
            </w:r>
          </w:p>
        </w:tc>
      </w:tr>
      <w:tr w:rsidR="002A79E2" w:rsidRPr="00F93F3C" w14:paraId="57AA8BBA" w14:textId="77777777">
        <w:trPr>
          <w:trHeight w:val="20"/>
        </w:trPr>
        <w:tc>
          <w:tcPr>
            <w:tcW w:w="488" w:type="dxa"/>
            <w:vMerge/>
          </w:tcPr>
          <w:p w14:paraId="7A1CC9EB" w14:textId="77777777" w:rsidR="002A79E2" w:rsidRPr="005B4935" w:rsidRDefault="002A79E2">
            <w:pPr>
              <w:rPr>
                <w:rFonts w:ascii="Arial Narrow" w:hAnsi="Arial Narrow"/>
                <w:sz w:val="20"/>
                <w:szCs w:val="20"/>
              </w:rPr>
            </w:pPr>
          </w:p>
        </w:tc>
        <w:tc>
          <w:tcPr>
            <w:tcW w:w="784" w:type="dxa"/>
          </w:tcPr>
          <w:p w14:paraId="3D7B3E99" w14:textId="0F9B0D94" w:rsidR="002A79E2" w:rsidRPr="00860ABE" w:rsidRDefault="002A79E2">
            <w:pPr>
              <w:jc w:val="center"/>
              <w:rPr>
                <w:rFonts w:ascii="Arial Narrow" w:hAnsi="Arial Narrow"/>
                <w:color w:val="333333"/>
                <w:sz w:val="20"/>
                <w:szCs w:val="20"/>
              </w:rPr>
            </w:pPr>
          </w:p>
        </w:tc>
        <w:tc>
          <w:tcPr>
            <w:tcW w:w="7745" w:type="dxa"/>
            <w:gridSpan w:val="6"/>
          </w:tcPr>
          <w:p w14:paraId="3C1D41BC"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496F8E15" w14:textId="77777777" w:rsidR="002A79E2" w:rsidRPr="00860ABE" w:rsidRDefault="002A79E2">
            <w:pPr>
              <w:rPr>
                <w:rFonts w:ascii="Arial Narrow" w:hAnsi="Arial Narrow"/>
                <w:b/>
                <w:color w:val="333333"/>
                <w:sz w:val="20"/>
                <w:szCs w:val="20"/>
              </w:rPr>
            </w:pPr>
            <w:r w:rsidRPr="00860ABE">
              <w:rPr>
                <w:rFonts w:ascii="Arial Narrow" w:hAnsi="Arial Narrow" w:cs="Open Sans"/>
                <w:color w:val="333333"/>
                <w:sz w:val="20"/>
                <w:szCs w:val="20"/>
              </w:rPr>
              <w:t>No increase in the maximum number of repeats may be authorised.</w:t>
            </w:r>
          </w:p>
        </w:tc>
      </w:tr>
      <w:tr w:rsidR="002A79E2" w:rsidRPr="00F93F3C" w14:paraId="41C8EDA2" w14:textId="77777777" w:rsidTr="00781BFD">
        <w:tblPrEx>
          <w:tblLook w:val="04A0" w:firstRow="1" w:lastRow="0" w:firstColumn="1" w:lastColumn="0" w:noHBand="0" w:noVBand="1"/>
        </w:tblPrEx>
        <w:tc>
          <w:tcPr>
            <w:tcW w:w="1272" w:type="dxa"/>
            <w:gridSpan w:val="2"/>
          </w:tcPr>
          <w:p w14:paraId="6E8652EB" w14:textId="4A64AEB2"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3227F403"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 xml:space="preserve">Indication: </w:t>
            </w:r>
            <w:r w:rsidRPr="005B4935">
              <w:rPr>
                <w:rFonts w:ascii="Arial Narrow" w:hAnsi="Arial Narrow" w:cs="Open Sans"/>
                <w:color w:val="333333"/>
                <w:sz w:val="20"/>
                <w:szCs w:val="20"/>
              </w:rPr>
              <w:t>Primary biliary cholangitis (previously known as Primary biliary cirrhosis)</w:t>
            </w:r>
          </w:p>
        </w:tc>
      </w:tr>
      <w:tr w:rsidR="002A79E2" w:rsidRPr="00F93F3C" w14:paraId="46601754" w14:textId="77777777" w:rsidTr="00781BFD">
        <w:tblPrEx>
          <w:tblLook w:val="04A0" w:firstRow="1" w:lastRow="0" w:firstColumn="1" w:lastColumn="0" w:noHBand="0" w:noVBand="1"/>
        </w:tblPrEx>
        <w:tc>
          <w:tcPr>
            <w:tcW w:w="1272" w:type="dxa"/>
            <w:gridSpan w:val="2"/>
          </w:tcPr>
          <w:p w14:paraId="545131D2" w14:textId="77777777" w:rsidR="002A79E2" w:rsidRPr="00860ABE" w:rsidRDefault="002A79E2">
            <w:pPr>
              <w:jc w:val="center"/>
              <w:rPr>
                <w:rFonts w:ascii="Arial Narrow" w:hAnsi="Arial Narrow" w:cs="Open Sans"/>
                <w:color w:val="333333"/>
                <w:sz w:val="20"/>
                <w:szCs w:val="20"/>
              </w:rPr>
            </w:pPr>
          </w:p>
        </w:tc>
        <w:tc>
          <w:tcPr>
            <w:tcW w:w="7745" w:type="dxa"/>
            <w:gridSpan w:val="6"/>
            <w:hideMark/>
          </w:tcPr>
          <w:p w14:paraId="49F13A8D"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 xml:space="preserve">Treatment Phase: </w:t>
            </w:r>
            <w:r w:rsidRPr="005B4935">
              <w:rPr>
                <w:rFonts w:ascii="Arial Narrow" w:hAnsi="Arial Narrow" w:cs="Open Sans"/>
                <w:color w:val="333333"/>
                <w:sz w:val="20"/>
                <w:szCs w:val="20"/>
              </w:rPr>
              <w:t>Continuing treatment</w:t>
            </w:r>
          </w:p>
        </w:tc>
      </w:tr>
      <w:tr w:rsidR="002A79E2" w:rsidRPr="00F93F3C" w14:paraId="0848E8D8" w14:textId="77777777" w:rsidTr="00781BFD">
        <w:tblPrEx>
          <w:tblLook w:val="04A0" w:firstRow="1" w:lastRow="0" w:firstColumn="1" w:lastColumn="0" w:noHBand="0" w:noVBand="1"/>
        </w:tblPrEx>
        <w:tc>
          <w:tcPr>
            <w:tcW w:w="1272" w:type="dxa"/>
            <w:gridSpan w:val="2"/>
          </w:tcPr>
          <w:p w14:paraId="6F6BBEC4" w14:textId="138ECAE4"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13824976"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Treatment criteria:</w:t>
            </w:r>
          </w:p>
        </w:tc>
      </w:tr>
      <w:tr w:rsidR="002A79E2" w:rsidRPr="00F93F3C" w14:paraId="03D4C474" w14:textId="77777777" w:rsidTr="00781BFD">
        <w:tblPrEx>
          <w:tblLook w:val="04A0" w:firstRow="1" w:lastRow="0" w:firstColumn="1" w:lastColumn="0" w:noHBand="0" w:noVBand="1"/>
        </w:tblPrEx>
        <w:tc>
          <w:tcPr>
            <w:tcW w:w="1272" w:type="dxa"/>
            <w:gridSpan w:val="2"/>
          </w:tcPr>
          <w:p w14:paraId="70196A0D" w14:textId="680A59B4"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1A066EC9" w14:textId="77777777" w:rsidR="002A79E2" w:rsidRPr="005B4935" w:rsidRDefault="002A79E2">
            <w:pPr>
              <w:rPr>
                <w:rFonts w:ascii="Arial Narrow" w:hAnsi="Arial Narrow" w:cs="Open Sans"/>
                <w:color w:val="333333"/>
                <w:sz w:val="20"/>
                <w:szCs w:val="20"/>
              </w:rPr>
            </w:pPr>
            <w:r w:rsidRPr="005B4935">
              <w:rPr>
                <w:rFonts w:ascii="Arial Narrow" w:hAnsi="Arial Narrow" w:cs="Open Sans"/>
                <w:color w:val="333333"/>
                <w:sz w:val="20"/>
                <w:szCs w:val="20"/>
              </w:rPr>
              <w:t>Must be treated by a prescriber who is either: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a gastroenterologist, (ii) a hepatologist; or</w:t>
            </w:r>
          </w:p>
        </w:tc>
      </w:tr>
      <w:tr w:rsidR="002A79E2" w:rsidRPr="00F93F3C" w14:paraId="288C7322" w14:textId="77777777" w:rsidTr="00781BFD">
        <w:tblPrEx>
          <w:tblLook w:val="04A0" w:firstRow="1" w:lastRow="0" w:firstColumn="1" w:lastColumn="0" w:noHBand="0" w:noVBand="1"/>
        </w:tblPrEx>
        <w:tc>
          <w:tcPr>
            <w:tcW w:w="1272" w:type="dxa"/>
            <w:gridSpan w:val="2"/>
          </w:tcPr>
          <w:p w14:paraId="148148CC" w14:textId="7020362A" w:rsidR="002A79E2" w:rsidRPr="00860ABE" w:rsidRDefault="002A79E2">
            <w:pPr>
              <w:jc w:val="center"/>
              <w:textAlignment w:val="baseline"/>
              <w:rPr>
                <w:rFonts w:ascii="Arial Narrow" w:hAnsi="Arial Narrow" w:cs="Open Sans"/>
                <w:strike/>
                <w:color w:val="333333"/>
                <w:sz w:val="20"/>
                <w:szCs w:val="20"/>
              </w:rPr>
            </w:pPr>
          </w:p>
        </w:tc>
        <w:tc>
          <w:tcPr>
            <w:tcW w:w="7745" w:type="dxa"/>
            <w:gridSpan w:val="6"/>
            <w:hideMark/>
          </w:tcPr>
          <w:p w14:paraId="3ED2657E" w14:textId="25E43E2F" w:rsidR="002A79E2" w:rsidRPr="005B4935" w:rsidRDefault="002A79E2">
            <w:pPr>
              <w:rPr>
                <w:rFonts w:ascii="Arial Narrow" w:hAnsi="Arial Narrow" w:cs="Open Sans"/>
                <w:color w:val="333333"/>
                <w:sz w:val="20"/>
                <w:szCs w:val="20"/>
              </w:rPr>
            </w:pPr>
            <w:r w:rsidRPr="005B4935">
              <w:rPr>
                <w:rFonts w:ascii="Arial Narrow" w:hAnsi="Arial Narrow" w:cs="Open Sans"/>
                <w:color w:val="333333"/>
                <w:sz w:val="20"/>
                <w:szCs w:val="20"/>
              </w:rPr>
              <w:t>Must be treated by an eligible practitioner type who has consulted at least one of the above mentioned specialist types</w:t>
            </w:r>
          </w:p>
        </w:tc>
      </w:tr>
      <w:tr w:rsidR="002A79E2" w:rsidRPr="00F93F3C" w14:paraId="561C444E" w14:textId="77777777" w:rsidTr="00781BFD">
        <w:tblPrEx>
          <w:tblLook w:val="04A0" w:firstRow="1" w:lastRow="0" w:firstColumn="1" w:lastColumn="0" w:noHBand="0" w:noVBand="1"/>
        </w:tblPrEx>
        <w:tc>
          <w:tcPr>
            <w:tcW w:w="1272" w:type="dxa"/>
            <w:gridSpan w:val="2"/>
          </w:tcPr>
          <w:p w14:paraId="2F29A975" w14:textId="77777777" w:rsidR="002A79E2" w:rsidRPr="00860ABE" w:rsidRDefault="002A79E2">
            <w:pPr>
              <w:jc w:val="center"/>
              <w:rPr>
                <w:rFonts w:ascii="Arial Narrow" w:hAnsi="Arial Narrow" w:cs="Open Sans"/>
                <w:color w:val="333333"/>
                <w:sz w:val="20"/>
                <w:szCs w:val="20"/>
              </w:rPr>
            </w:pPr>
          </w:p>
        </w:tc>
        <w:tc>
          <w:tcPr>
            <w:tcW w:w="7745" w:type="dxa"/>
            <w:gridSpan w:val="6"/>
            <w:hideMark/>
          </w:tcPr>
          <w:p w14:paraId="6C56B9A1" w14:textId="77777777" w:rsidR="002A79E2" w:rsidRPr="005B4935" w:rsidRDefault="002A79E2">
            <w:pPr>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AND</w:t>
            </w:r>
          </w:p>
        </w:tc>
      </w:tr>
      <w:tr w:rsidR="002A79E2" w:rsidRPr="00F93F3C" w14:paraId="05ADEAE9" w14:textId="77777777" w:rsidTr="00781BFD">
        <w:tblPrEx>
          <w:tblLook w:val="04A0" w:firstRow="1" w:lastRow="0" w:firstColumn="1" w:lastColumn="0" w:noHBand="0" w:noVBand="1"/>
        </w:tblPrEx>
        <w:tc>
          <w:tcPr>
            <w:tcW w:w="1272" w:type="dxa"/>
            <w:gridSpan w:val="2"/>
          </w:tcPr>
          <w:p w14:paraId="1575570E" w14:textId="1ECAD90E"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51996B15"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Treatment criteria:</w:t>
            </w:r>
          </w:p>
        </w:tc>
      </w:tr>
      <w:tr w:rsidR="002A79E2" w:rsidRPr="00F93F3C" w14:paraId="68C455AD" w14:textId="77777777" w:rsidTr="00781BFD">
        <w:tblPrEx>
          <w:tblLook w:val="04A0" w:firstRow="1" w:lastRow="0" w:firstColumn="1" w:lastColumn="0" w:noHBand="0" w:noVBand="1"/>
        </w:tblPrEx>
        <w:tc>
          <w:tcPr>
            <w:tcW w:w="1272" w:type="dxa"/>
            <w:gridSpan w:val="2"/>
          </w:tcPr>
          <w:p w14:paraId="7C199DCB" w14:textId="66F5A1DC"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7DC77AF0" w14:textId="77777777" w:rsidR="002A79E2" w:rsidRPr="005B4935" w:rsidRDefault="002A79E2">
            <w:pPr>
              <w:rPr>
                <w:rFonts w:ascii="Arial Narrow" w:hAnsi="Arial Narrow" w:cs="Open Sans"/>
                <w:color w:val="333333"/>
                <w:sz w:val="20"/>
                <w:szCs w:val="20"/>
              </w:rPr>
            </w:pPr>
            <w:r w:rsidRPr="005B4935">
              <w:rPr>
                <w:rFonts w:ascii="Arial Narrow" w:hAnsi="Arial Narrow" w:cs="Open Sans"/>
                <w:color w:val="333333"/>
                <w:sz w:val="20"/>
                <w:szCs w:val="20"/>
              </w:rPr>
              <w:t>Patient must be undergoing continuing PBS-subsidised treatment with this drug, with treatment having commenced through one of: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the Initial treatment’ listing, (ii) ‘Grandfather’ arrangements</w:t>
            </w:r>
          </w:p>
        </w:tc>
      </w:tr>
      <w:tr w:rsidR="002A79E2" w:rsidRPr="00F93F3C" w14:paraId="73EE95B2" w14:textId="77777777" w:rsidTr="00781BFD">
        <w:tblPrEx>
          <w:tblLook w:val="04A0" w:firstRow="1" w:lastRow="0" w:firstColumn="1" w:lastColumn="0" w:noHBand="0" w:noVBand="1"/>
        </w:tblPrEx>
        <w:tc>
          <w:tcPr>
            <w:tcW w:w="1272" w:type="dxa"/>
            <w:gridSpan w:val="2"/>
          </w:tcPr>
          <w:p w14:paraId="4F17BDDD" w14:textId="77777777" w:rsidR="002A79E2" w:rsidRPr="00860ABE" w:rsidRDefault="002A79E2">
            <w:pPr>
              <w:jc w:val="center"/>
              <w:rPr>
                <w:rFonts w:ascii="Arial Narrow" w:hAnsi="Arial Narrow" w:cs="Open Sans"/>
                <w:color w:val="333333"/>
                <w:sz w:val="20"/>
                <w:szCs w:val="20"/>
              </w:rPr>
            </w:pPr>
          </w:p>
        </w:tc>
        <w:tc>
          <w:tcPr>
            <w:tcW w:w="7745" w:type="dxa"/>
            <w:gridSpan w:val="6"/>
            <w:hideMark/>
          </w:tcPr>
          <w:p w14:paraId="5CDBB654" w14:textId="77777777" w:rsidR="002A79E2" w:rsidRPr="005B4935" w:rsidRDefault="002A79E2">
            <w:pPr>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AND</w:t>
            </w:r>
          </w:p>
        </w:tc>
      </w:tr>
      <w:tr w:rsidR="002A79E2" w:rsidRPr="00F93F3C" w14:paraId="5544CF3F" w14:textId="77777777" w:rsidTr="00781BFD">
        <w:tblPrEx>
          <w:tblLook w:val="04A0" w:firstRow="1" w:lastRow="0" w:firstColumn="1" w:lastColumn="0" w:noHBand="0" w:noVBand="1"/>
        </w:tblPrEx>
        <w:tc>
          <w:tcPr>
            <w:tcW w:w="1272" w:type="dxa"/>
            <w:gridSpan w:val="2"/>
          </w:tcPr>
          <w:p w14:paraId="22F1BE0F" w14:textId="784F6277"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2F150A9C"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Treatment criteria:</w:t>
            </w:r>
          </w:p>
        </w:tc>
      </w:tr>
      <w:tr w:rsidR="002A79E2" w:rsidRPr="00F93F3C" w14:paraId="7564EBB6" w14:textId="77777777" w:rsidTr="00781BFD">
        <w:tblPrEx>
          <w:tblLook w:val="04A0" w:firstRow="1" w:lastRow="0" w:firstColumn="1" w:lastColumn="0" w:noHBand="0" w:noVBand="1"/>
        </w:tblPrEx>
        <w:tc>
          <w:tcPr>
            <w:tcW w:w="1272" w:type="dxa"/>
            <w:gridSpan w:val="2"/>
          </w:tcPr>
          <w:p w14:paraId="69016E44" w14:textId="18815E80" w:rsidR="002A79E2" w:rsidRPr="00860ABE" w:rsidRDefault="002A79E2" w:rsidP="00F96ADF">
            <w:pPr>
              <w:jc w:val="center"/>
              <w:textAlignment w:val="baseline"/>
              <w:rPr>
                <w:rFonts w:ascii="Arial Narrow" w:hAnsi="Arial Narrow" w:cs="Open Sans"/>
                <w:strike/>
                <w:color w:val="333333"/>
                <w:sz w:val="20"/>
                <w:szCs w:val="20"/>
              </w:rPr>
            </w:pPr>
          </w:p>
        </w:tc>
        <w:tc>
          <w:tcPr>
            <w:tcW w:w="7745" w:type="dxa"/>
            <w:gridSpan w:val="6"/>
            <w:hideMark/>
          </w:tcPr>
          <w:p w14:paraId="76F02268" w14:textId="2410CF4A" w:rsidR="002A79E2" w:rsidRPr="005B4935" w:rsidRDefault="002A79E2">
            <w:pPr>
              <w:rPr>
                <w:rFonts w:ascii="Arial Narrow" w:hAnsi="Arial Narrow" w:cs="Open Sans"/>
                <w:color w:val="333333"/>
                <w:sz w:val="20"/>
                <w:szCs w:val="20"/>
              </w:rPr>
            </w:pPr>
            <w:r w:rsidRPr="005B4935">
              <w:rPr>
                <w:rFonts w:ascii="Arial Narrow" w:hAnsi="Arial Narrow" w:cs="Open Sans"/>
                <w:color w:val="333333"/>
                <w:sz w:val="20"/>
                <w:szCs w:val="20"/>
              </w:rPr>
              <w:t>Patient must be undergoing concurrent treatment with ursodeoxycholic acid,</w:t>
            </w:r>
            <w:r w:rsidRPr="005B4935">
              <w:rPr>
                <w:rFonts w:ascii="Arial Narrow" w:hAnsi="Arial Narrow" w:cs="Open Sans"/>
                <w:strike/>
                <w:color w:val="333333"/>
                <w:sz w:val="20"/>
                <w:szCs w:val="20"/>
              </w:rPr>
              <w:t xml:space="preserve"> </w:t>
            </w:r>
            <w:r w:rsidRPr="005B4935">
              <w:rPr>
                <w:rFonts w:ascii="Arial Narrow" w:hAnsi="Arial Narrow" w:cs="Open Sans"/>
                <w:color w:val="333333"/>
                <w:sz w:val="20"/>
                <w:szCs w:val="20"/>
              </w:rPr>
              <w:t>or</w:t>
            </w:r>
          </w:p>
        </w:tc>
      </w:tr>
      <w:tr w:rsidR="002A79E2" w:rsidRPr="00F93F3C" w14:paraId="37220A51" w14:textId="77777777">
        <w:tblPrEx>
          <w:tblLook w:val="04A0" w:firstRow="1" w:lastRow="0" w:firstColumn="1" w:lastColumn="0" w:noHBand="0" w:noVBand="1"/>
        </w:tblPrEx>
        <w:tc>
          <w:tcPr>
            <w:tcW w:w="1272" w:type="dxa"/>
            <w:gridSpan w:val="2"/>
          </w:tcPr>
          <w:p w14:paraId="39E8A39E" w14:textId="3613244D" w:rsidR="002A79E2" w:rsidRPr="00860ABE" w:rsidRDefault="002A79E2" w:rsidP="00F96ADF">
            <w:pPr>
              <w:jc w:val="center"/>
              <w:textAlignment w:val="baseline"/>
              <w:rPr>
                <w:rFonts w:ascii="Arial Narrow" w:hAnsi="Arial Narrow" w:cs="Open Sans"/>
                <w:strike/>
                <w:color w:val="333333"/>
                <w:sz w:val="20"/>
                <w:szCs w:val="20"/>
              </w:rPr>
            </w:pPr>
          </w:p>
        </w:tc>
        <w:tc>
          <w:tcPr>
            <w:tcW w:w="7745" w:type="dxa"/>
            <w:gridSpan w:val="6"/>
          </w:tcPr>
          <w:p w14:paraId="2CD9B5D9" w14:textId="36A33870" w:rsidR="002A79E2" w:rsidRPr="005B4935" w:rsidRDefault="002A79E2">
            <w:pPr>
              <w:rPr>
                <w:rFonts w:ascii="Arial Narrow" w:hAnsi="Arial Narrow" w:cs="Open Sans"/>
                <w:color w:val="333333"/>
                <w:sz w:val="20"/>
                <w:szCs w:val="20"/>
              </w:rPr>
            </w:pPr>
            <w:r w:rsidRPr="005B4935">
              <w:rPr>
                <w:rFonts w:ascii="Arial Narrow" w:hAnsi="Arial Narrow" w:cs="Open Sans"/>
                <w:color w:val="333333"/>
                <w:sz w:val="20"/>
                <w:szCs w:val="20"/>
              </w:rPr>
              <w:t>Patient must be undergoing treatment with this drug as monotherapy because treatment with ursodeoxycholic acid is not tolerated</w:t>
            </w:r>
            <w:r w:rsidR="006D5EFE" w:rsidRPr="00860ABE">
              <w:rPr>
                <w:rFonts w:ascii="Arial Narrow" w:hAnsi="Arial Narrow" w:cs="Open Sans"/>
                <w:color w:val="333333"/>
                <w:sz w:val="20"/>
                <w:szCs w:val="20"/>
              </w:rPr>
              <w:t>/contraindicated</w:t>
            </w:r>
          </w:p>
        </w:tc>
      </w:tr>
      <w:tr w:rsidR="002A79E2" w:rsidRPr="00F93F3C" w14:paraId="1164F02D" w14:textId="77777777">
        <w:tblPrEx>
          <w:tblLook w:val="04A0" w:firstRow="1" w:lastRow="0" w:firstColumn="1" w:lastColumn="0" w:noHBand="0" w:noVBand="1"/>
        </w:tblPrEx>
        <w:tc>
          <w:tcPr>
            <w:tcW w:w="1272" w:type="dxa"/>
            <w:gridSpan w:val="2"/>
          </w:tcPr>
          <w:p w14:paraId="2FF2A004" w14:textId="77777777" w:rsidR="002A79E2" w:rsidRPr="00860ABE" w:rsidRDefault="002A79E2">
            <w:pPr>
              <w:jc w:val="center"/>
              <w:textAlignment w:val="baseline"/>
              <w:rPr>
                <w:rFonts w:ascii="Arial Narrow" w:hAnsi="Arial Narrow" w:cs="Open Sans"/>
                <w:color w:val="333333"/>
                <w:sz w:val="20"/>
                <w:szCs w:val="20"/>
              </w:rPr>
            </w:pPr>
          </w:p>
        </w:tc>
        <w:tc>
          <w:tcPr>
            <w:tcW w:w="7745" w:type="dxa"/>
            <w:gridSpan w:val="6"/>
          </w:tcPr>
          <w:p w14:paraId="09F18416" w14:textId="77777777" w:rsidR="002A79E2" w:rsidRPr="00860ABE" w:rsidRDefault="002A79E2">
            <w:pPr>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AND</w:t>
            </w:r>
          </w:p>
        </w:tc>
      </w:tr>
      <w:tr w:rsidR="002A79E2" w:rsidRPr="00F93F3C" w14:paraId="4625F406" w14:textId="77777777">
        <w:tblPrEx>
          <w:tblLook w:val="04A0" w:firstRow="1" w:lastRow="0" w:firstColumn="1" w:lastColumn="0" w:noHBand="0" w:noVBand="1"/>
        </w:tblPrEx>
        <w:tc>
          <w:tcPr>
            <w:tcW w:w="1272" w:type="dxa"/>
            <w:gridSpan w:val="2"/>
          </w:tcPr>
          <w:p w14:paraId="685E99F4" w14:textId="1764629C" w:rsidR="002A79E2" w:rsidRPr="00860ABE" w:rsidRDefault="002A79E2">
            <w:pPr>
              <w:jc w:val="center"/>
              <w:textAlignment w:val="baseline"/>
              <w:rPr>
                <w:rFonts w:ascii="Arial Narrow" w:hAnsi="Arial Narrow" w:cs="Open Sans"/>
                <w:color w:val="333333"/>
                <w:sz w:val="20"/>
                <w:szCs w:val="20"/>
              </w:rPr>
            </w:pPr>
          </w:p>
        </w:tc>
        <w:tc>
          <w:tcPr>
            <w:tcW w:w="7745" w:type="dxa"/>
            <w:gridSpan w:val="6"/>
          </w:tcPr>
          <w:p w14:paraId="10451AE8" w14:textId="77777777" w:rsidR="002A79E2" w:rsidRPr="00860ABE" w:rsidRDefault="002A79E2">
            <w:pPr>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Treatment criteria:</w:t>
            </w:r>
          </w:p>
        </w:tc>
      </w:tr>
      <w:tr w:rsidR="002A79E2" w:rsidRPr="00F93F3C" w14:paraId="5A47482B" w14:textId="77777777">
        <w:tblPrEx>
          <w:tblLook w:val="04A0" w:firstRow="1" w:lastRow="0" w:firstColumn="1" w:lastColumn="0" w:noHBand="0" w:noVBand="1"/>
        </w:tblPrEx>
        <w:tc>
          <w:tcPr>
            <w:tcW w:w="1272" w:type="dxa"/>
            <w:gridSpan w:val="2"/>
          </w:tcPr>
          <w:p w14:paraId="390F576E" w14:textId="0127BCD6" w:rsidR="002A79E2" w:rsidRPr="00860ABE" w:rsidRDefault="002A79E2">
            <w:pPr>
              <w:jc w:val="center"/>
              <w:textAlignment w:val="baseline"/>
              <w:rPr>
                <w:rFonts w:ascii="Arial Narrow" w:hAnsi="Arial Narrow" w:cs="Open Sans"/>
                <w:strike/>
                <w:color w:val="333333"/>
                <w:sz w:val="20"/>
                <w:szCs w:val="20"/>
              </w:rPr>
            </w:pPr>
          </w:p>
        </w:tc>
        <w:tc>
          <w:tcPr>
            <w:tcW w:w="7745" w:type="dxa"/>
            <w:gridSpan w:val="6"/>
          </w:tcPr>
          <w:p w14:paraId="1C99FB38" w14:textId="3BA8E518" w:rsidR="002A79E2" w:rsidRPr="00860ABE" w:rsidRDefault="002A79E2">
            <w:pPr>
              <w:rPr>
                <w:rFonts w:ascii="Arial Narrow" w:hAnsi="Arial Narrow" w:cs="Open Sans"/>
                <w:color w:val="333333"/>
                <w:sz w:val="20"/>
                <w:szCs w:val="20"/>
              </w:rPr>
            </w:pPr>
            <w:r w:rsidRPr="00860ABE">
              <w:rPr>
                <w:rFonts w:ascii="Arial Narrow" w:hAnsi="Arial Narrow" w:cs="Open Sans"/>
                <w:color w:val="333333"/>
                <w:sz w:val="20"/>
                <w:szCs w:val="20"/>
              </w:rPr>
              <w:t xml:space="preserve">Patient must not be undergoing concurrent treatment with </w:t>
            </w:r>
            <w:proofErr w:type="spellStart"/>
            <w:r w:rsidRPr="00860ABE">
              <w:rPr>
                <w:rFonts w:ascii="Arial Narrow" w:hAnsi="Arial Narrow" w:cs="Open Sans"/>
                <w:color w:val="333333"/>
                <w:sz w:val="20"/>
                <w:szCs w:val="20"/>
              </w:rPr>
              <w:t>obeticholic</w:t>
            </w:r>
            <w:proofErr w:type="spellEnd"/>
            <w:r w:rsidRPr="00860ABE">
              <w:rPr>
                <w:rFonts w:ascii="Arial Narrow" w:hAnsi="Arial Narrow" w:cs="Open Sans"/>
                <w:color w:val="333333"/>
                <w:sz w:val="20"/>
                <w:szCs w:val="20"/>
              </w:rPr>
              <w:t xml:space="preserve"> acid. </w:t>
            </w:r>
          </w:p>
        </w:tc>
      </w:tr>
      <w:tr w:rsidR="002A79E2" w:rsidRPr="00F93F3C" w14:paraId="3B59516D" w14:textId="77777777" w:rsidTr="00781BFD">
        <w:tblPrEx>
          <w:tblLook w:val="04A0" w:firstRow="1" w:lastRow="0" w:firstColumn="1" w:lastColumn="0" w:noHBand="0" w:noVBand="1"/>
        </w:tblPrEx>
        <w:tc>
          <w:tcPr>
            <w:tcW w:w="1272" w:type="dxa"/>
            <w:gridSpan w:val="2"/>
          </w:tcPr>
          <w:p w14:paraId="7BA875A1" w14:textId="6C842020"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08B5A3CB"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Clinical criteria:</w:t>
            </w:r>
          </w:p>
        </w:tc>
      </w:tr>
      <w:tr w:rsidR="002A79E2" w:rsidRPr="00F93F3C" w14:paraId="342F65D0" w14:textId="77777777">
        <w:tblPrEx>
          <w:tblLook w:val="04A0" w:firstRow="1" w:lastRow="0" w:firstColumn="1" w:lastColumn="0" w:noHBand="0" w:noVBand="1"/>
        </w:tblPrEx>
        <w:tc>
          <w:tcPr>
            <w:tcW w:w="1272" w:type="dxa"/>
            <w:gridSpan w:val="2"/>
          </w:tcPr>
          <w:p w14:paraId="6C95A2A7" w14:textId="23D16948" w:rsidR="002A79E2" w:rsidRPr="00860ABE" w:rsidRDefault="002A79E2">
            <w:pPr>
              <w:jc w:val="center"/>
              <w:textAlignment w:val="baseline"/>
              <w:rPr>
                <w:rFonts w:ascii="Arial Narrow" w:hAnsi="Arial Narrow" w:cs="Open Sans"/>
                <w:color w:val="333333"/>
                <w:sz w:val="20"/>
                <w:szCs w:val="20"/>
              </w:rPr>
            </w:pPr>
          </w:p>
        </w:tc>
        <w:tc>
          <w:tcPr>
            <w:tcW w:w="7745" w:type="dxa"/>
            <w:gridSpan w:val="6"/>
          </w:tcPr>
          <w:p w14:paraId="438DDBA0" w14:textId="77777777" w:rsidR="002A79E2" w:rsidRPr="00860ABE" w:rsidRDefault="002A79E2">
            <w:pPr>
              <w:rPr>
                <w:rFonts w:ascii="Arial Narrow" w:hAnsi="Arial Narrow" w:cs="Open Sans"/>
                <w:color w:val="333333"/>
                <w:sz w:val="20"/>
                <w:szCs w:val="20"/>
              </w:rPr>
            </w:pPr>
            <w:r w:rsidRPr="00860ABE">
              <w:rPr>
                <w:rFonts w:ascii="Arial Narrow" w:hAnsi="Arial Narrow" w:cs="Open Sans"/>
                <w:color w:val="333333"/>
                <w:sz w:val="20"/>
                <w:szCs w:val="20"/>
              </w:rPr>
              <w:t>Patient must have achieved an adequate response to this drug, defined as having at least one of: (</w:t>
            </w:r>
            <w:proofErr w:type="spellStart"/>
            <w:r w:rsidRPr="00860ABE">
              <w:rPr>
                <w:rFonts w:ascii="Arial Narrow" w:hAnsi="Arial Narrow" w:cs="Open Sans"/>
                <w:color w:val="333333"/>
                <w:sz w:val="20"/>
                <w:szCs w:val="20"/>
              </w:rPr>
              <w:t>i</w:t>
            </w:r>
            <w:proofErr w:type="spellEnd"/>
            <w:r w:rsidRPr="00860ABE">
              <w:rPr>
                <w:rFonts w:ascii="Arial Narrow" w:hAnsi="Arial Narrow" w:cs="Open Sans"/>
                <w:color w:val="333333"/>
                <w:sz w:val="20"/>
                <w:szCs w:val="20"/>
              </w:rPr>
              <w:t>) an alkaline phosphate (ALP) level less than 1.67 times the upper limit of normal (ULN), (ii) a reduction in the ALP reading of at least 15% compared to the baseline level provided with the initial authority application, (iii) a total bilirubin level within the normal reference range</w:t>
            </w:r>
          </w:p>
        </w:tc>
      </w:tr>
      <w:tr w:rsidR="002A79E2" w:rsidRPr="00F93F3C" w14:paraId="4A15735F" w14:textId="77777777" w:rsidTr="00781BFD">
        <w:tblPrEx>
          <w:tblLook w:val="04A0" w:firstRow="1" w:lastRow="0" w:firstColumn="1" w:lastColumn="0" w:noHBand="0" w:noVBand="1"/>
        </w:tblPrEx>
        <w:tc>
          <w:tcPr>
            <w:tcW w:w="1272" w:type="dxa"/>
            <w:gridSpan w:val="2"/>
          </w:tcPr>
          <w:p w14:paraId="1961AA7E" w14:textId="33C0C5B3" w:rsidR="002A79E2" w:rsidRPr="00860ABE" w:rsidRDefault="002A79E2">
            <w:pPr>
              <w:jc w:val="center"/>
              <w:textAlignment w:val="baseline"/>
              <w:rPr>
                <w:rFonts w:ascii="Arial Narrow" w:hAnsi="Arial Narrow" w:cs="Open Sans"/>
                <w:color w:val="333333"/>
                <w:sz w:val="20"/>
                <w:szCs w:val="20"/>
              </w:rPr>
            </w:pPr>
          </w:p>
        </w:tc>
        <w:tc>
          <w:tcPr>
            <w:tcW w:w="7745" w:type="dxa"/>
            <w:gridSpan w:val="6"/>
            <w:hideMark/>
          </w:tcPr>
          <w:p w14:paraId="52D653A7"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Prescribing Instructions:</w:t>
            </w:r>
          </w:p>
          <w:p w14:paraId="03540A22" w14:textId="77777777" w:rsidR="002A79E2" w:rsidRPr="005B4935" w:rsidRDefault="002A79E2">
            <w:pPr>
              <w:textAlignment w:val="baseline"/>
              <w:rPr>
                <w:rFonts w:ascii="Arial Narrow" w:hAnsi="Arial Narrow" w:cs="Open Sans"/>
                <w:color w:val="333333"/>
                <w:sz w:val="20"/>
                <w:szCs w:val="20"/>
              </w:rPr>
            </w:pPr>
            <w:r w:rsidRPr="005B4935">
              <w:rPr>
                <w:rFonts w:ascii="Arial Narrow" w:hAnsi="Arial Narrow" w:cs="Open Sans"/>
                <w:color w:val="333333"/>
                <w:sz w:val="20"/>
                <w:szCs w:val="20"/>
              </w:rPr>
              <w:lastRenderedPageBreak/>
              <w:t>The improvement in the qualifying laboratory reading(s) has/have been documented in the patient's medical records.</w:t>
            </w:r>
          </w:p>
        </w:tc>
      </w:tr>
      <w:tr w:rsidR="002A79E2" w:rsidRPr="00F93F3C" w14:paraId="68728283" w14:textId="77777777">
        <w:tblPrEx>
          <w:tblLook w:val="04A0" w:firstRow="1" w:lastRow="0" w:firstColumn="1" w:lastColumn="0" w:noHBand="0" w:noVBand="1"/>
        </w:tblPrEx>
        <w:tc>
          <w:tcPr>
            <w:tcW w:w="1272" w:type="dxa"/>
            <w:gridSpan w:val="2"/>
          </w:tcPr>
          <w:p w14:paraId="33F7E61F" w14:textId="056D3601" w:rsidR="002A79E2" w:rsidRPr="00860ABE" w:rsidRDefault="002A79E2">
            <w:pPr>
              <w:jc w:val="center"/>
              <w:textAlignment w:val="baseline"/>
              <w:rPr>
                <w:rFonts w:ascii="Arial Narrow" w:hAnsi="Arial Narrow" w:cs="Open Sans"/>
                <w:color w:val="333333"/>
                <w:sz w:val="20"/>
                <w:szCs w:val="20"/>
              </w:rPr>
            </w:pPr>
          </w:p>
        </w:tc>
        <w:tc>
          <w:tcPr>
            <w:tcW w:w="7745" w:type="dxa"/>
            <w:gridSpan w:val="6"/>
          </w:tcPr>
          <w:p w14:paraId="4843FF3D" w14:textId="77777777" w:rsidR="002A79E2" w:rsidRPr="00860ABE" w:rsidRDefault="002A79E2">
            <w:pPr>
              <w:textAlignment w:val="baseline"/>
              <w:rPr>
                <w:rFonts w:ascii="Arial Narrow" w:hAnsi="Arial Narrow" w:cs="Open Sans"/>
                <w:color w:val="333333"/>
                <w:sz w:val="20"/>
                <w:szCs w:val="20"/>
              </w:rPr>
            </w:pPr>
            <w:r w:rsidRPr="00860ABE">
              <w:rPr>
                <w:rFonts w:ascii="Arial Narrow" w:hAnsi="Arial Narrow" w:cs="Open Sans"/>
                <w:b/>
                <w:color w:val="333333"/>
                <w:sz w:val="20"/>
                <w:szCs w:val="20"/>
                <w:bdr w:val="none" w:sz="0" w:space="0" w:color="auto" w:frame="1"/>
              </w:rPr>
              <w:t>Administrative Advice:</w:t>
            </w:r>
          </w:p>
          <w:p w14:paraId="73A3A80A" w14:textId="77777777" w:rsidR="002A79E2" w:rsidRPr="00860ABE" w:rsidRDefault="002A79E2">
            <w:pPr>
              <w:textAlignment w:val="baseline"/>
              <w:rPr>
                <w:rFonts w:ascii="Arial Narrow" w:hAnsi="Arial Narrow" w:cs="Open Sans"/>
                <w:color w:val="333333"/>
                <w:sz w:val="20"/>
                <w:szCs w:val="20"/>
              </w:rPr>
            </w:pPr>
            <w:r w:rsidRPr="00860ABE">
              <w:rPr>
                <w:rFonts w:ascii="Arial Narrow" w:hAnsi="Arial Narrow" w:cs="Open Sans"/>
                <w:color w:val="333333"/>
                <w:sz w:val="20"/>
                <w:szCs w:val="20"/>
              </w:rPr>
              <w:t>Laboratory readings requested in this authority application must be no older than 52 weeks.</w:t>
            </w:r>
          </w:p>
        </w:tc>
      </w:tr>
    </w:tbl>
    <w:p w14:paraId="0C05D79A" w14:textId="77777777" w:rsidR="002A79E2" w:rsidRPr="005D5EE2" w:rsidRDefault="002A79E2" w:rsidP="002A79E2"/>
    <w:tbl>
      <w:tblPr>
        <w:tblStyle w:val="TableGrid"/>
        <w:tblW w:w="5000" w:type="pct"/>
        <w:tblLayout w:type="fixed"/>
        <w:tblLook w:val="0000" w:firstRow="0" w:lastRow="0" w:firstColumn="0" w:lastColumn="0" w:noHBand="0" w:noVBand="0"/>
      </w:tblPr>
      <w:tblGrid>
        <w:gridCol w:w="488"/>
        <w:gridCol w:w="784"/>
        <w:gridCol w:w="2668"/>
        <w:gridCol w:w="811"/>
        <w:gridCol w:w="812"/>
        <w:gridCol w:w="811"/>
        <w:gridCol w:w="812"/>
        <w:gridCol w:w="1831"/>
      </w:tblGrid>
      <w:tr w:rsidR="002A79E2" w:rsidRPr="00F93F3C" w14:paraId="2C5F742D" w14:textId="77777777">
        <w:trPr>
          <w:trHeight w:val="20"/>
        </w:trPr>
        <w:tc>
          <w:tcPr>
            <w:tcW w:w="3940" w:type="dxa"/>
            <w:gridSpan w:val="3"/>
          </w:tcPr>
          <w:p w14:paraId="572CD3A9" w14:textId="77777777" w:rsidR="002A79E2" w:rsidRPr="0087647B" w:rsidRDefault="002A79E2">
            <w:pPr>
              <w:keepLines/>
              <w:rPr>
                <w:rFonts w:ascii="Arial Narrow" w:hAnsi="Arial Narrow"/>
                <w:b/>
                <w:bCs/>
                <w:sz w:val="20"/>
                <w:szCs w:val="20"/>
              </w:rPr>
            </w:pPr>
            <w:r w:rsidRPr="0087647B">
              <w:rPr>
                <w:rFonts w:ascii="Arial Narrow" w:hAnsi="Arial Narrow"/>
                <w:b/>
                <w:bCs/>
                <w:sz w:val="20"/>
                <w:szCs w:val="20"/>
              </w:rPr>
              <w:t>MEDICINAL PRODUCT</w:t>
            </w:r>
          </w:p>
          <w:p w14:paraId="6DC0D462" w14:textId="77777777" w:rsidR="002A79E2" w:rsidRPr="0087647B" w:rsidRDefault="002A79E2">
            <w:pPr>
              <w:keepLines/>
              <w:rPr>
                <w:rFonts w:ascii="Arial Narrow" w:hAnsi="Arial Narrow"/>
                <w:b/>
                <w:bCs/>
                <w:sz w:val="20"/>
                <w:szCs w:val="20"/>
              </w:rPr>
            </w:pPr>
            <w:r w:rsidRPr="0087647B">
              <w:rPr>
                <w:rFonts w:ascii="Arial Narrow" w:hAnsi="Arial Narrow"/>
                <w:b/>
                <w:bCs/>
                <w:sz w:val="20"/>
                <w:szCs w:val="20"/>
              </w:rPr>
              <w:t>medicinal product pack</w:t>
            </w:r>
          </w:p>
        </w:tc>
        <w:tc>
          <w:tcPr>
            <w:tcW w:w="811" w:type="dxa"/>
          </w:tcPr>
          <w:p w14:paraId="19A09336" w14:textId="77777777" w:rsidR="002A79E2" w:rsidRPr="0087647B" w:rsidRDefault="002A79E2">
            <w:pPr>
              <w:keepLines/>
              <w:jc w:val="center"/>
              <w:rPr>
                <w:rFonts w:ascii="Arial Narrow" w:hAnsi="Arial Narrow"/>
                <w:b/>
                <w:bCs/>
                <w:sz w:val="20"/>
                <w:szCs w:val="20"/>
              </w:rPr>
            </w:pPr>
            <w:r w:rsidRPr="0087647B">
              <w:rPr>
                <w:rFonts w:ascii="Arial Narrow" w:hAnsi="Arial Narrow"/>
                <w:b/>
                <w:bCs/>
                <w:sz w:val="20"/>
                <w:szCs w:val="20"/>
              </w:rPr>
              <w:t>PBS item code</w:t>
            </w:r>
          </w:p>
        </w:tc>
        <w:tc>
          <w:tcPr>
            <w:tcW w:w="812" w:type="dxa"/>
          </w:tcPr>
          <w:p w14:paraId="403C4FC4" w14:textId="77777777" w:rsidR="002A79E2" w:rsidRPr="0087647B" w:rsidRDefault="002A79E2">
            <w:pPr>
              <w:keepLines/>
              <w:jc w:val="center"/>
              <w:rPr>
                <w:rFonts w:ascii="Arial Narrow" w:hAnsi="Arial Narrow"/>
                <w:b/>
                <w:bCs/>
                <w:sz w:val="20"/>
                <w:szCs w:val="20"/>
              </w:rPr>
            </w:pPr>
            <w:r w:rsidRPr="0087647B">
              <w:rPr>
                <w:rFonts w:ascii="Arial Narrow" w:hAnsi="Arial Narrow"/>
                <w:b/>
                <w:bCs/>
                <w:sz w:val="20"/>
                <w:szCs w:val="20"/>
              </w:rPr>
              <w:t>Max. qty packs</w:t>
            </w:r>
          </w:p>
        </w:tc>
        <w:tc>
          <w:tcPr>
            <w:tcW w:w="811" w:type="dxa"/>
          </w:tcPr>
          <w:p w14:paraId="64CCE12D" w14:textId="77777777" w:rsidR="002A79E2" w:rsidRPr="0087647B" w:rsidRDefault="002A79E2">
            <w:pPr>
              <w:keepLines/>
              <w:jc w:val="center"/>
              <w:rPr>
                <w:rFonts w:ascii="Arial Narrow" w:hAnsi="Arial Narrow"/>
                <w:b/>
                <w:bCs/>
                <w:sz w:val="20"/>
                <w:szCs w:val="20"/>
              </w:rPr>
            </w:pPr>
            <w:r w:rsidRPr="0087647B">
              <w:rPr>
                <w:rFonts w:ascii="Arial Narrow" w:hAnsi="Arial Narrow"/>
                <w:b/>
                <w:bCs/>
                <w:sz w:val="20"/>
                <w:szCs w:val="20"/>
              </w:rPr>
              <w:t>Max. qty units</w:t>
            </w:r>
          </w:p>
        </w:tc>
        <w:tc>
          <w:tcPr>
            <w:tcW w:w="812" w:type="dxa"/>
          </w:tcPr>
          <w:p w14:paraId="22E7666C" w14:textId="77777777" w:rsidR="002A79E2" w:rsidRPr="0087647B" w:rsidRDefault="002A79E2">
            <w:pPr>
              <w:keepLines/>
              <w:jc w:val="center"/>
              <w:rPr>
                <w:rFonts w:ascii="Arial Narrow" w:hAnsi="Arial Narrow"/>
                <w:b/>
                <w:bCs/>
                <w:sz w:val="20"/>
                <w:szCs w:val="20"/>
              </w:rPr>
            </w:pPr>
            <w:r w:rsidRPr="0087647B">
              <w:rPr>
                <w:rFonts w:ascii="Arial Narrow" w:hAnsi="Arial Narrow"/>
                <w:b/>
                <w:bCs/>
                <w:sz w:val="20"/>
                <w:szCs w:val="20"/>
              </w:rPr>
              <w:t>№. of</w:t>
            </w:r>
          </w:p>
          <w:p w14:paraId="2251065E" w14:textId="77777777" w:rsidR="002A79E2" w:rsidRPr="0087647B" w:rsidRDefault="002A79E2">
            <w:pPr>
              <w:keepLines/>
              <w:jc w:val="center"/>
              <w:rPr>
                <w:rFonts w:ascii="Arial Narrow" w:hAnsi="Arial Narrow"/>
                <w:b/>
                <w:bCs/>
                <w:sz w:val="20"/>
                <w:szCs w:val="20"/>
              </w:rPr>
            </w:pPr>
            <w:r w:rsidRPr="0087647B">
              <w:rPr>
                <w:rFonts w:ascii="Arial Narrow" w:hAnsi="Arial Narrow"/>
                <w:b/>
                <w:bCs/>
                <w:sz w:val="20"/>
                <w:szCs w:val="20"/>
              </w:rPr>
              <w:t>Rpts</w:t>
            </w:r>
          </w:p>
        </w:tc>
        <w:tc>
          <w:tcPr>
            <w:tcW w:w="1831" w:type="dxa"/>
          </w:tcPr>
          <w:p w14:paraId="196E026B" w14:textId="77777777" w:rsidR="002A79E2" w:rsidRPr="0087647B" w:rsidRDefault="002A79E2">
            <w:pPr>
              <w:keepLines/>
              <w:rPr>
                <w:rFonts w:ascii="Arial Narrow" w:hAnsi="Arial Narrow"/>
                <w:b/>
                <w:bCs/>
                <w:sz w:val="20"/>
                <w:szCs w:val="20"/>
                <w:lang w:val="fr-FR"/>
              </w:rPr>
            </w:pPr>
            <w:r w:rsidRPr="0087647B">
              <w:rPr>
                <w:rFonts w:ascii="Arial Narrow" w:hAnsi="Arial Narrow"/>
                <w:b/>
                <w:bCs/>
                <w:sz w:val="20"/>
                <w:szCs w:val="20"/>
              </w:rPr>
              <w:t>Available brands</w:t>
            </w:r>
          </w:p>
        </w:tc>
      </w:tr>
      <w:tr w:rsidR="002A79E2" w:rsidRPr="00F93F3C" w14:paraId="32952EED" w14:textId="77777777">
        <w:trPr>
          <w:trHeight w:val="20"/>
        </w:trPr>
        <w:tc>
          <w:tcPr>
            <w:tcW w:w="9017" w:type="dxa"/>
            <w:gridSpan w:val="8"/>
          </w:tcPr>
          <w:p w14:paraId="64F8A9C1" w14:textId="77777777" w:rsidR="002A79E2" w:rsidRPr="0087647B" w:rsidRDefault="002A79E2">
            <w:pPr>
              <w:keepLines/>
              <w:rPr>
                <w:rFonts w:ascii="Arial Narrow" w:hAnsi="Arial Narrow"/>
                <w:sz w:val="20"/>
                <w:szCs w:val="20"/>
              </w:rPr>
            </w:pPr>
            <w:r w:rsidRPr="0087647B">
              <w:rPr>
                <w:rFonts w:ascii="Arial Narrow" w:hAnsi="Arial Narrow"/>
                <w:sz w:val="20"/>
                <w:szCs w:val="20"/>
              </w:rPr>
              <w:t xml:space="preserve">ELAFIBRANOR </w:t>
            </w:r>
          </w:p>
        </w:tc>
      </w:tr>
      <w:tr w:rsidR="002A79E2" w:rsidRPr="00F93F3C" w14:paraId="20ACCC59" w14:textId="77777777">
        <w:trPr>
          <w:trHeight w:val="20"/>
        </w:trPr>
        <w:tc>
          <w:tcPr>
            <w:tcW w:w="3940" w:type="dxa"/>
            <w:gridSpan w:val="3"/>
          </w:tcPr>
          <w:p w14:paraId="2035FD76" w14:textId="77777777" w:rsidR="002A79E2" w:rsidRPr="0087647B" w:rsidRDefault="002A79E2">
            <w:pPr>
              <w:keepLines/>
              <w:rPr>
                <w:rFonts w:ascii="Arial Narrow" w:hAnsi="Arial Narrow"/>
                <w:sz w:val="20"/>
                <w:szCs w:val="20"/>
              </w:rPr>
            </w:pPr>
            <w:proofErr w:type="spellStart"/>
            <w:r w:rsidRPr="0087647B">
              <w:rPr>
                <w:rFonts w:ascii="Arial Narrow" w:hAnsi="Arial Narrow"/>
                <w:sz w:val="20"/>
                <w:szCs w:val="20"/>
              </w:rPr>
              <w:t>Elafibranor</w:t>
            </w:r>
            <w:proofErr w:type="spellEnd"/>
            <w:r w:rsidRPr="0087647B">
              <w:rPr>
                <w:rFonts w:ascii="Arial Narrow" w:hAnsi="Arial Narrow"/>
                <w:sz w:val="20"/>
                <w:szCs w:val="20"/>
              </w:rPr>
              <w:t xml:space="preserve"> 80 mg tablet, 30 </w:t>
            </w:r>
          </w:p>
        </w:tc>
        <w:tc>
          <w:tcPr>
            <w:tcW w:w="811" w:type="dxa"/>
          </w:tcPr>
          <w:p w14:paraId="524956A8" w14:textId="77777777" w:rsidR="002A79E2" w:rsidRPr="0087647B" w:rsidRDefault="002A79E2">
            <w:pPr>
              <w:keepLines/>
              <w:jc w:val="center"/>
              <w:rPr>
                <w:rFonts w:ascii="Arial Narrow" w:hAnsi="Arial Narrow"/>
                <w:sz w:val="20"/>
                <w:szCs w:val="20"/>
              </w:rPr>
            </w:pPr>
            <w:r w:rsidRPr="0087647B">
              <w:rPr>
                <w:rFonts w:ascii="Arial Narrow" w:hAnsi="Arial Narrow"/>
                <w:sz w:val="20"/>
                <w:szCs w:val="20"/>
              </w:rPr>
              <w:t xml:space="preserve"> NEW</w:t>
            </w:r>
          </w:p>
        </w:tc>
        <w:tc>
          <w:tcPr>
            <w:tcW w:w="812" w:type="dxa"/>
          </w:tcPr>
          <w:p w14:paraId="628E4D1C" w14:textId="77777777" w:rsidR="002A79E2" w:rsidRPr="0087647B" w:rsidRDefault="002A79E2">
            <w:pPr>
              <w:keepLines/>
              <w:jc w:val="center"/>
              <w:rPr>
                <w:rFonts w:ascii="Arial Narrow" w:hAnsi="Arial Narrow"/>
                <w:sz w:val="20"/>
                <w:szCs w:val="20"/>
              </w:rPr>
            </w:pPr>
            <w:r w:rsidRPr="0087647B">
              <w:rPr>
                <w:rFonts w:ascii="Arial Narrow" w:hAnsi="Arial Narrow"/>
                <w:sz w:val="20"/>
                <w:szCs w:val="20"/>
              </w:rPr>
              <w:t>1</w:t>
            </w:r>
          </w:p>
        </w:tc>
        <w:tc>
          <w:tcPr>
            <w:tcW w:w="811" w:type="dxa"/>
          </w:tcPr>
          <w:p w14:paraId="08312276" w14:textId="77777777" w:rsidR="002A79E2" w:rsidRPr="0087647B" w:rsidRDefault="002A79E2">
            <w:pPr>
              <w:keepLines/>
              <w:jc w:val="center"/>
              <w:rPr>
                <w:rFonts w:ascii="Arial Narrow" w:hAnsi="Arial Narrow"/>
                <w:sz w:val="20"/>
                <w:szCs w:val="20"/>
              </w:rPr>
            </w:pPr>
            <w:r w:rsidRPr="0087647B">
              <w:rPr>
                <w:rFonts w:ascii="Arial Narrow" w:hAnsi="Arial Narrow"/>
                <w:sz w:val="20"/>
                <w:szCs w:val="20"/>
              </w:rPr>
              <w:t>30</w:t>
            </w:r>
          </w:p>
        </w:tc>
        <w:tc>
          <w:tcPr>
            <w:tcW w:w="812" w:type="dxa"/>
          </w:tcPr>
          <w:p w14:paraId="6003C2EF" w14:textId="77777777" w:rsidR="002A79E2" w:rsidRPr="0087647B" w:rsidRDefault="002A79E2">
            <w:pPr>
              <w:keepLines/>
              <w:jc w:val="center"/>
              <w:rPr>
                <w:rFonts w:ascii="Arial Narrow" w:hAnsi="Arial Narrow"/>
                <w:sz w:val="20"/>
                <w:szCs w:val="20"/>
              </w:rPr>
            </w:pPr>
            <w:r w:rsidRPr="0087647B">
              <w:rPr>
                <w:rFonts w:ascii="Arial Narrow" w:hAnsi="Arial Narrow"/>
                <w:sz w:val="20"/>
                <w:szCs w:val="20"/>
              </w:rPr>
              <w:t>5</w:t>
            </w:r>
          </w:p>
        </w:tc>
        <w:tc>
          <w:tcPr>
            <w:tcW w:w="1831" w:type="dxa"/>
          </w:tcPr>
          <w:p w14:paraId="0B5A4243" w14:textId="77777777" w:rsidR="002A79E2" w:rsidRPr="0087647B" w:rsidRDefault="002A79E2">
            <w:pPr>
              <w:keepLines/>
              <w:rPr>
                <w:rFonts w:ascii="Arial Narrow" w:hAnsi="Arial Narrow"/>
                <w:sz w:val="20"/>
                <w:szCs w:val="20"/>
              </w:rPr>
            </w:pPr>
            <w:proofErr w:type="spellStart"/>
            <w:r w:rsidRPr="0087647B">
              <w:rPr>
                <w:rFonts w:ascii="Arial Narrow" w:hAnsi="Arial Narrow"/>
                <w:sz w:val="20"/>
                <w:szCs w:val="20"/>
              </w:rPr>
              <w:t>Iqirvo</w:t>
            </w:r>
            <w:proofErr w:type="spellEnd"/>
          </w:p>
        </w:tc>
      </w:tr>
      <w:tr w:rsidR="002A79E2" w:rsidRPr="00F93F3C" w14:paraId="42728303" w14:textId="77777777">
        <w:trPr>
          <w:trHeight w:val="20"/>
        </w:trPr>
        <w:tc>
          <w:tcPr>
            <w:tcW w:w="9017" w:type="dxa"/>
            <w:gridSpan w:val="8"/>
          </w:tcPr>
          <w:p w14:paraId="20283B2A" w14:textId="77777777" w:rsidR="002A79E2" w:rsidRPr="0087647B" w:rsidRDefault="002A79E2">
            <w:pPr>
              <w:rPr>
                <w:rFonts w:ascii="Arial Narrow" w:hAnsi="Arial Narrow"/>
                <w:sz w:val="20"/>
                <w:szCs w:val="20"/>
              </w:rPr>
            </w:pPr>
          </w:p>
        </w:tc>
      </w:tr>
      <w:tr w:rsidR="002A79E2" w:rsidRPr="00F93F3C" w14:paraId="5E11FA6E" w14:textId="77777777">
        <w:trPr>
          <w:trHeight w:val="20"/>
        </w:trPr>
        <w:tc>
          <w:tcPr>
            <w:tcW w:w="9017" w:type="dxa"/>
            <w:gridSpan w:val="8"/>
          </w:tcPr>
          <w:p w14:paraId="3E18F23E" w14:textId="77777777" w:rsidR="002A79E2" w:rsidRPr="0087647B" w:rsidRDefault="002A79E2">
            <w:pPr>
              <w:keepLines/>
              <w:rPr>
                <w:rFonts w:ascii="Arial Narrow" w:hAnsi="Arial Narrow"/>
                <w:b/>
                <w:bCs/>
                <w:sz w:val="20"/>
                <w:szCs w:val="20"/>
              </w:rPr>
            </w:pPr>
            <w:r w:rsidRPr="0087647B">
              <w:rPr>
                <w:rFonts w:ascii="Arial Narrow" w:hAnsi="Arial Narrow"/>
                <w:b/>
                <w:bCs/>
                <w:sz w:val="20"/>
                <w:szCs w:val="20"/>
              </w:rPr>
              <w:t xml:space="preserve">Restriction Summary [new] / Treatment of Concept: [new] </w:t>
            </w:r>
          </w:p>
        </w:tc>
      </w:tr>
      <w:tr w:rsidR="002A79E2" w:rsidRPr="00F93F3C" w14:paraId="0D1BD58F" w14:textId="77777777">
        <w:trPr>
          <w:trHeight w:val="20"/>
        </w:trPr>
        <w:tc>
          <w:tcPr>
            <w:tcW w:w="1272" w:type="dxa"/>
            <w:gridSpan w:val="2"/>
            <w:vMerge w:val="restart"/>
          </w:tcPr>
          <w:p w14:paraId="72C139DB" w14:textId="77777777" w:rsidR="002A79E2" w:rsidRPr="0087647B" w:rsidRDefault="002A79E2">
            <w:pPr>
              <w:jc w:val="center"/>
              <w:rPr>
                <w:rFonts w:ascii="Arial Narrow" w:hAnsi="Arial Narrow"/>
                <w:b/>
                <w:bCs/>
                <w:sz w:val="20"/>
                <w:szCs w:val="20"/>
              </w:rPr>
            </w:pPr>
            <w:r w:rsidRPr="0087647B">
              <w:rPr>
                <w:rFonts w:ascii="Arial Narrow" w:hAnsi="Arial Narrow"/>
                <w:b/>
                <w:bCs/>
                <w:sz w:val="20"/>
                <w:szCs w:val="20"/>
              </w:rPr>
              <w:t xml:space="preserve">Concept ID </w:t>
            </w:r>
            <w:r w:rsidRPr="0087647B">
              <w:rPr>
                <w:rFonts w:ascii="Arial Narrow" w:hAnsi="Arial Narrow"/>
                <w:sz w:val="20"/>
                <w:szCs w:val="20"/>
              </w:rPr>
              <w:t>(for internal Dept. use)</w:t>
            </w:r>
          </w:p>
        </w:tc>
        <w:tc>
          <w:tcPr>
            <w:tcW w:w="7745" w:type="dxa"/>
            <w:gridSpan w:val="6"/>
          </w:tcPr>
          <w:p w14:paraId="79D575F9" w14:textId="77777777" w:rsidR="002A79E2" w:rsidRPr="0087647B" w:rsidRDefault="002A79E2">
            <w:pPr>
              <w:keepLines/>
              <w:rPr>
                <w:rFonts w:ascii="Arial Narrow" w:hAnsi="Arial Narrow"/>
                <w:sz w:val="20"/>
                <w:szCs w:val="20"/>
              </w:rPr>
            </w:pPr>
            <w:r w:rsidRPr="0087647B">
              <w:rPr>
                <w:rFonts w:ascii="Arial Narrow" w:hAnsi="Arial Narrow"/>
                <w:b/>
                <w:bCs/>
                <w:sz w:val="20"/>
                <w:szCs w:val="20"/>
              </w:rPr>
              <w:t>Category / Program:</w:t>
            </w:r>
            <w:r w:rsidRPr="0087647B">
              <w:rPr>
                <w:rFonts w:ascii="Arial Narrow" w:hAnsi="Arial Narrow"/>
                <w:color w:val="FF0000"/>
                <w:sz w:val="20"/>
                <w:szCs w:val="20"/>
              </w:rPr>
              <w:t xml:space="preserve"> </w:t>
            </w:r>
            <w:r w:rsidRPr="0087647B">
              <w:rPr>
                <w:rFonts w:ascii="Arial Narrow" w:eastAsia="Calibri" w:hAnsi="Arial Narrow"/>
                <w:sz w:val="20"/>
                <w:szCs w:val="20"/>
              </w:rPr>
              <w:fldChar w:fldCharType="begin" w:fldLock="1">
                <w:ffData>
                  <w:name w:val="Check1"/>
                  <w:enabled/>
                  <w:calcOnExit w:val="0"/>
                  <w:checkBox>
                    <w:sizeAuto/>
                    <w:default w:val="1"/>
                  </w:checkBox>
                </w:ffData>
              </w:fldChar>
            </w:r>
            <w:r w:rsidRPr="0087647B">
              <w:rPr>
                <w:rFonts w:ascii="Arial Narrow" w:eastAsia="Calibri" w:hAnsi="Arial Narrow"/>
                <w:sz w:val="20"/>
                <w:szCs w:val="20"/>
              </w:rPr>
              <w:instrText xml:space="preserve"> FORMCHECKBOX </w:instrText>
            </w:r>
            <w:r w:rsidRPr="0087647B">
              <w:rPr>
                <w:rFonts w:ascii="Arial Narrow" w:eastAsia="Calibri" w:hAnsi="Arial Narrow"/>
                <w:sz w:val="20"/>
                <w:szCs w:val="20"/>
              </w:rPr>
            </w:r>
            <w:r w:rsidRPr="0087647B">
              <w:rPr>
                <w:rFonts w:ascii="Arial Narrow" w:eastAsia="Calibri" w:hAnsi="Arial Narrow"/>
                <w:sz w:val="20"/>
                <w:szCs w:val="20"/>
              </w:rPr>
              <w:fldChar w:fldCharType="separate"/>
            </w:r>
            <w:r w:rsidRPr="0087647B">
              <w:rPr>
                <w:rFonts w:ascii="Arial Narrow" w:eastAsia="Calibri" w:hAnsi="Arial Narrow"/>
                <w:sz w:val="20"/>
                <w:szCs w:val="20"/>
              </w:rPr>
              <w:fldChar w:fldCharType="end"/>
            </w:r>
            <w:r w:rsidRPr="0087647B">
              <w:rPr>
                <w:rFonts w:ascii="Arial Narrow" w:eastAsia="Calibri" w:hAnsi="Arial Narrow"/>
                <w:sz w:val="20"/>
                <w:szCs w:val="20"/>
              </w:rPr>
              <w:t xml:space="preserve"> GENERAL - General Schedule (Code GE) </w:t>
            </w:r>
          </w:p>
        </w:tc>
      </w:tr>
      <w:tr w:rsidR="002A79E2" w:rsidRPr="00F93F3C" w14:paraId="2796107D" w14:textId="77777777">
        <w:trPr>
          <w:trHeight w:val="20"/>
        </w:trPr>
        <w:tc>
          <w:tcPr>
            <w:tcW w:w="1272" w:type="dxa"/>
            <w:gridSpan w:val="2"/>
            <w:vMerge/>
          </w:tcPr>
          <w:p w14:paraId="7FDC8B6A" w14:textId="77777777" w:rsidR="002A79E2" w:rsidRPr="0087647B" w:rsidRDefault="002A79E2">
            <w:pPr>
              <w:rPr>
                <w:rFonts w:ascii="Arial Narrow" w:hAnsi="Arial Narrow"/>
                <w:sz w:val="20"/>
                <w:szCs w:val="20"/>
              </w:rPr>
            </w:pPr>
          </w:p>
        </w:tc>
        <w:tc>
          <w:tcPr>
            <w:tcW w:w="7745" w:type="dxa"/>
            <w:gridSpan w:val="6"/>
          </w:tcPr>
          <w:p w14:paraId="4ADD51C0" w14:textId="77777777" w:rsidR="002A79E2" w:rsidRPr="0087647B" w:rsidRDefault="002A79E2">
            <w:pPr>
              <w:keepLines/>
              <w:rPr>
                <w:rFonts w:ascii="Arial Narrow" w:hAnsi="Arial Narrow"/>
                <w:sz w:val="20"/>
                <w:szCs w:val="20"/>
              </w:rPr>
            </w:pPr>
            <w:r w:rsidRPr="0087647B">
              <w:rPr>
                <w:rFonts w:ascii="Arial Narrow" w:hAnsi="Arial Narrow"/>
                <w:b/>
                <w:bCs/>
                <w:sz w:val="20"/>
                <w:szCs w:val="20"/>
              </w:rPr>
              <w:t xml:space="preserve">Prescriber type: </w:t>
            </w:r>
            <w:r w:rsidRPr="0087647B">
              <w:rPr>
                <w:rFonts w:ascii="Arial Narrow" w:hAnsi="Arial Narrow"/>
                <w:sz w:val="20"/>
                <w:szCs w:val="20"/>
              </w:rPr>
              <w:fldChar w:fldCharType="begin" w:fldLock="1">
                <w:ffData>
                  <w:name w:val=""/>
                  <w:enabled/>
                  <w:calcOnExit w:val="0"/>
                  <w:checkBox>
                    <w:sizeAuto/>
                    <w:default w:val="1"/>
                  </w:checkBox>
                </w:ffData>
              </w:fldChar>
            </w:r>
            <w:r w:rsidRPr="0087647B">
              <w:rPr>
                <w:rFonts w:ascii="Arial Narrow" w:hAnsi="Arial Narrow"/>
                <w:sz w:val="20"/>
                <w:szCs w:val="20"/>
              </w:rPr>
              <w:instrText xml:space="preserve"> FORMCHECKBOX </w:instrText>
            </w:r>
            <w:r w:rsidRPr="0087647B">
              <w:rPr>
                <w:rFonts w:ascii="Arial Narrow" w:hAnsi="Arial Narrow"/>
                <w:sz w:val="20"/>
                <w:szCs w:val="20"/>
              </w:rPr>
            </w:r>
            <w:r w:rsidRPr="0087647B">
              <w:rPr>
                <w:rFonts w:ascii="Arial Narrow" w:hAnsi="Arial Narrow"/>
                <w:sz w:val="20"/>
                <w:szCs w:val="20"/>
              </w:rPr>
              <w:fldChar w:fldCharType="separate"/>
            </w:r>
            <w:r w:rsidRPr="0087647B">
              <w:rPr>
                <w:rFonts w:ascii="Arial Narrow" w:hAnsi="Arial Narrow"/>
                <w:sz w:val="20"/>
                <w:szCs w:val="20"/>
              </w:rPr>
              <w:fldChar w:fldCharType="end"/>
            </w:r>
            <w:r w:rsidRPr="0087647B">
              <w:rPr>
                <w:rFonts w:ascii="Arial Narrow" w:hAnsi="Arial Narrow"/>
                <w:sz w:val="20"/>
                <w:szCs w:val="20"/>
              </w:rPr>
              <w:t xml:space="preserve">Medical Practitioners </w:t>
            </w:r>
            <w:r w:rsidRPr="0055460A">
              <w:rPr>
                <w:rFonts w:ascii="Arial Narrow" w:hAnsi="Arial Narrow"/>
                <w:sz w:val="20"/>
                <w:szCs w:val="20"/>
              </w:rPr>
              <w:fldChar w:fldCharType="begin" w:fldLock="1">
                <w:ffData>
                  <w:name w:val=""/>
                  <w:enabled/>
                  <w:calcOnExit w:val="0"/>
                  <w:checkBox>
                    <w:sizeAuto/>
                    <w:default w:val="1"/>
                  </w:checkBox>
                </w:ffData>
              </w:fldChar>
            </w:r>
            <w:r w:rsidRPr="0055460A">
              <w:rPr>
                <w:rFonts w:ascii="Arial Narrow" w:hAnsi="Arial Narrow"/>
                <w:sz w:val="20"/>
                <w:szCs w:val="20"/>
              </w:rPr>
              <w:instrText xml:space="preserve"> FORMCHECKBOX </w:instrText>
            </w:r>
            <w:r w:rsidRPr="0055460A">
              <w:rPr>
                <w:rFonts w:ascii="Arial Narrow" w:hAnsi="Arial Narrow"/>
                <w:sz w:val="20"/>
                <w:szCs w:val="20"/>
              </w:rPr>
            </w:r>
            <w:r w:rsidRPr="0055460A">
              <w:rPr>
                <w:rFonts w:ascii="Arial Narrow" w:hAnsi="Arial Narrow"/>
                <w:sz w:val="20"/>
                <w:szCs w:val="20"/>
              </w:rPr>
              <w:fldChar w:fldCharType="separate"/>
            </w:r>
            <w:r w:rsidRPr="0055460A">
              <w:rPr>
                <w:rFonts w:ascii="Arial Narrow" w:hAnsi="Arial Narrow"/>
                <w:sz w:val="20"/>
                <w:szCs w:val="20"/>
              </w:rPr>
              <w:fldChar w:fldCharType="end"/>
            </w:r>
            <w:r w:rsidRPr="0055460A">
              <w:rPr>
                <w:rFonts w:ascii="Arial Narrow" w:hAnsi="Arial Narrow"/>
                <w:sz w:val="20"/>
                <w:szCs w:val="20"/>
              </w:rPr>
              <w:t>Nurse Practitioners</w:t>
            </w:r>
          </w:p>
        </w:tc>
      </w:tr>
      <w:tr w:rsidR="002A79E2" w:rsidRPr="00F93F3C" w14:paraId="75E6BD17" w14:textId="77777777">
        <w:trPr>
          <w:trHeight w:val="20"/>
        </w:trPr>
        <w:tc>
          <w:tcPr>
            <w:tcW w:w="1272" w:type="dxa"/>
            <w:gridSpan w:val="2"/>
            <w:vMerge/>
          </w:tcPr>
          <w:p w14:paraId="430347CD" w14:textId="77777777" w:rsidR="002A79E2" w:rsidRPr="0087647B" w:rsidRDefault="002A79E2">
            <w:pPr>
              <w:rPr>
                <w:rFonts w:ascii="Arial Narrow" w:hAnsi="Arial Narrow"/>
                <w:sz w:val="20"/>
                <w:szCs w:val="20"/>
              </w:rPr>
            </w:pPr>
          </w:p>
        </w:tc>
        <w:tc>
          <w:tcPr>
            <w:tcW w:w="7745" w:type="dxa"/>
            <w:gridSpan w:val="6"/>
          </w:tcPr>
          <w:p w14:paraId="6FE66CBF" w14:textId="2218B133" w:rsidR="002A79E2" w:rsidRPr="0087647B" w:rsidRDefault="002A79E2">
            <w:pPr>
              <w:keepLines/>
              <w:rPr>
                <w:rFonts w:ascii="Arial Narrow" w:eastAsia="Calibri" w:hAnsi="Arial Narrow"/>
                <w:sz w:val="20"/>
                <w:szCs w:val="20"/>
              </w:rPr>
            </w:pPr>
            <w:r w:rsidRPr="0087647B">
              <w:rPr>
                <w:rFonts w:ascii="Arial Narrow" w:hAnsi="Arial Narrow"/>
                <w:b/>
                <w:bCs/>
                <w:sz w:val="20"/>
                <w:szCs w:val="20"/>
              </w:rPr>
              <w:t xml:space="preserve">Restriction type: </w:t>
            </w:r>
            <w:r w:rsidRPr="0087647B">
              <w:rPr>
                <w:rFonts w:ascii="Arial Narrow" w:eastAsia="Calibri" w:hAnsi="Arial Narrow"/>
                <w:sz w:val="20"/>
                <w:szCs w:val="20"/>
              </w:rPr>
              <w:fldChar w:fldCharType="begin" w:fldLock="1">
                <w:ffData>
                  <w:name w:val=""/>
                  <w:enabled/>
                  <w:calcOnExit w:val="0"/>
                  <w:checkBox>
                    <w:sizeAuto/>
                    <w:default w:val="1"/>
                  </w:checkBox>
                </w:ffData>
              </w:fldChar>
            </w:r>
            <w:r w:rsidRPr="0087647B">
              <w:rPr>
                <w:rFonts w:ascii="Arial Narrow" w:eastAsia="Calibri" w:hAnsi="Arial Narrow"/>
                <w:sz w:val="20"/>
                <w:szCs w:val="20"/>
              </w:rPr>
              <w:instrText xml:space="preserve"> FORMCHECKBOX </w:instrText>
            </w:r>
            <w:r w:rsidRPr="0087647B">
              <w:rPr>
                <w:rFonts w:ascii="Arial Narrow" w:eastAsia="Calibri" w:hAnsi="Arial Narrow"/>
                <w:sz w:val="20"/>
                <w:szCs w:val="20"/>
              </w:rPr>
            </w:r>
            <w:r w:rsidRPr="0087647B">
              <w:rPr>
                <w:rFonts w:ascii="Arial Narrow" w:eastAsia="Calibri" w:hAnsi="Arial Narrow"/>
                <w:sz w:val="20"/>
                <w:szCs w:val="20"/>
              </w:rPr>
              <w:fldChar w:fldCharType="separate"/>
            </w:r>
            <w:r w:rsidRPr="0087647B">
              <w:rPr>
                <w:rFonts w:ascii="Arial Narrow" w:eastAsia="Calibri" w:hAnsi="Arial Narrow"/>
                <w:sz w:val="20"/>
                <w:szCs w:val="20"/>
              </w:rPr>
              <w:fldChar w:fldCharType="end"/>
            </w:r>
            <w:r w:rsidRPr="0087647B">
              <w:rPr>
                <w:rFonts w:ascii="Arial Narrow" w:eastAsia="Calibri" w:hAnsi="Arial Narrow"/>
                <w:sz w:val="20"/>
                <w:szCs w:val="20"/>
              </w:rPr>
              <w:t xml:space="preserve">Authority Required </w:t>
            </w:r>
            <w:r w:rsidR="00E86C9F">
              <w:rPr>
                <w:rFonts w:ascii="Arial Narrow" w:eastAsia="Calibri" w:hAnsi="Arial Narrow"/>
                <w:sz w:val="20"/>
                <w:szCs w:val="20"/>
              </w:rPr>
              <w:t>–</w:t>
            </w:r>
            <w:r w:rsidR="0055460A">
              <w:rPr>
                <w:rFonts w:ascii="Arial Narrow" w:eastAsia="Calibri" w:hAnsi="Arial Narrow"/>
                <w:sz w:val="20"/>
                <w:szCs w:val="20"/>
              </w:rPr>
              <w:t xml:space="preserve"> </w:t>
            </w:r>
            <w:r w:rsidR="00E86C9F">
              <w:rPr>
                <w:rFonts w:ascii="Arial Narrow" w:eastAsia="Calibri" w:hAnsi="Arial Narrow"/>
                <w:sz w:val="20"/>
                <w:szCs w:val="20"/>
              </w:rPr>
              <w:t>immediate assessment</w:t>
            </w:r>
            <w:r w:rsidRPr="0087647B">
              <w:rPr>
                <w:rFonts w:ascii="Arial Narrow" w:eastAsia="Calibri" w:hAnsi="Arial Narrow"/>
                <w:sz w:val="20"/>
                <w:szCs w:val="20"/>
              </w:rPr>
              <w:t xml:space="preserve"> (telephone/online)</w:t>
            </w:r>
            <w:r w:rsidR="00C269DA">
              <w:rPr>
                <w:rFonts w:ascii="Arial Narrow" w:eastAsia="Calibri" w:hAnsi="Arial Narrow"/>
                <w:sz w:val="20"/>
                <w:szCs w:val="20"/>
              </w:rPr>
              <w:t xml:space="preserve"> </w:t>
            </w:r>
          </w:p>
        </w:tc>
      </w:tr>
      <w:tr w:rsidR="002A79E2" w:rsidRPr="00F93F3C" w14:paraId="0DB21515" w14:textId="77777777">
        <w:trPr>
          <w:trHeight w:val="20"/>
        </w:trPr>
        <w:tc>
          <w:tcPr>
            <w:tcW w:w="488" w:type="dxa"/>
            <w:vMerge w:val="restart"/>
            <w:textDirection w:val="btLr"/>
          </w:tcPr>
          <w:p w14:paraId="2FF1162A" w14:textId="77777777" w:rsidR="002A79E2" w:rsidRPr="0087647B" w:rsidRDefault="002A79E2">
            <w:pPr>
              <w:jc w:val="center"/>
              <w:rPr>
                <w:rFonts w:ascii="Arial Narrow" w:hAnsi="Arial Narrow"/>
                <w:sz w:val="20"/>
                <w:szCs w:val="20"/>
              </w:rPr>
            </w:pPr>
            <w:r w:rsidRPr="0087647B">
              <w:rPr>
                <w:rFonts w:ascii="Arial Narrow" w:hAnsi="Arial Narrow"/>
                <w:sz w:val="20"/>
                <w:szCs w:val="20"/>
              </w:rPr>
              <w:t>Prescribing rule level</w:t>
            </w:r>
          </w:p>
        </w:tc>
        <w:tc>
          <w:tcPr>
            <w:tcW w:w="784" w:type="dxa"/>
          </w:tcPr>
          <w:p w14:paraId="4EEC1802" w14:textId="49BD6CE6" w:rsidR="002A79E2" w:rsidRPr="00860ABE" w:rsidRDefault="002A79E2">
            <w:pPr>
              <w:jc w:val="center"/>
              <w:rPr>
                <w:rFonts w:ascii="Arial Narrow" w:hAnsi="Arial Narrow" w:cs="Open Sans"/>
                <w:color w:val="333333"/>
                <w:sz w:val="20"/>
                <w:szCs w:val="20"/>
              </w:rPr>
            </w:pPr>
          </w:p>
        </w:tc>
        <w:tc>
          <w:tcPr>
            <w:tcW w:w="7745" w:type="dxa"/>
            <w:gridSpan w:val="6"/>
          </w:tcPr>
          <w:p w14:paraId="5261DAE5"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Caution:</w:t>
            </w:r>
          </w:p>
          <w:p w14:paraId="0F1758B0" w14:textId="77777777" w:rsidR="002A79E2" w:rsidRPr="00860ABE" w:rsidRDefault="002A79E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860ABE">
              <w:rPr>
                <w:rFonts w:ascii="Arial Narrow" w:hAnsi="Arial Narrow" w:cs="Open Sans"/>
                <w:color w:val="333333"/>
                <w:sz w:val="20"/>
                <w:szCs w:val="20"/>
              </w:rPr>
              <w:t>Hepatic decompensation and failure, in some cases fatal, have been reported in post-marketing reports in patients with moderate to severe hepatic impairment when dosed incorrectly.</w:t>
            </w:r>
          </w:p>
        </w:tc>
      </w:tr>
      <w:tr w:rsidR="002A79E2" w:rsidRPr="00F93F3C" w14:paraId="17031986" w14:textId="77777777">
        <w:trPr>
          <w:trHeight w:val="20"/>
        </w:trPr>
        <w:tc>
          <w:tcPr>
            <w:tcW w:w="488" w:type="dxa"/>
            <w:vMerge/>
            <w:textDirection w:val="btLr"/>
          </w:tcPr>
          <w:p w14:paraId="03DF8280" w14:textId="77777777" w:rsidR="002A79E2" w:rsidRPr="0087647B" w:rsidRDefault="002A79E2">
            <w:pPr>
              <w:jc w:val="center"/>
              <w:rPr>
                <w:rFonts w:ascii="Arial Narrow" w:hAnsi="Arial Narrow"/>
                <w:sz w:val="20"/>
                <w:szCs w:val="20"/>
              </w:rPr>
            </w:pPr>
          </w:p>
        </w:tc>
        <w:tc>
          <w:tcPr>
            <w:tcW w:w="784" w:type="dxa"/>
          </w:tcPr>
          <w:p w14:paraId="3D64AED4" w14:textId="030797AA" w:rsidR="002A79E2" w:rsidRPr="00860ABE" w:rsidRDefault="002A79E2" w:rsidP="00F96ADF">
            <w:pPr>
              <w:jc w:val="center"/>
              <w:rPr>
                <w:rFonts w:ascii="Arial Narrow" w:hAnsi="Arial Narrow" w:cs="Open Sans"/>
                <w:strike/>
                <w:color w:val="333333"/>
                <w:sz w:val="20"/>
                <w:szCs w:val="20"/>
              </w:rPr>
            </w:pPr>
          </w:p>
        </w:tc>
        <w:tc>
          <w:tcPr>
            <w:tcW w:w="7745" w:type="dxa"/>
            <w:gridSpan w:val="6"/>
          </w:tcPr>
          <w:p w14:paraId="5A93CCD6" w14:textId="77777777" w:rsidR="002A79E2" w:rsidRPr="00860ABE" w:rsidRDefault="002A79E2">
            <w:pPr>
              <w:pStyle w:val="NormalWeb"/>
              <w:shd w:val="clear" w:color="auto" w:fill="FFFFFF" w:themeFill="background1"/>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73261511" w14:textId="316232E9" w:rsidR="002A79E2" w:rsidRPr="0087647B" w:rsidRDefault="002A79E2">
            <w:pPr>
              <w:pStyle w:val="NormalWeb"/>
              <w:spacing w:before="0" w:after="0"/>
              <w:textAlignment w:val="baseline"/>
              <w:rPr>
                <w:rStyle w:val="Strong"/>
                <w:rFonts w:ascii="Arial Narrow" w:hAnsi="Arial Narrow"/>
                <w:b w:val="0"/>
                <w:bCs w:val="0"/>
                <w:sz w:val="20"/>
                <w:szCs w:val="20"/>
              </w:rPr>
            </w:pPr>
            <w:r w:rsidRPr="00860ABE">
              <w:rPr>
                <w:rFonts w:ascii="Arial Narrow" w:hAnsi="Arial Narrow"/>
                <w:sz w:val="20"/>
                <w:szCs w:val="20"/>
              </w:rPr>
              <w:t xml:space="preserve">Not for use in the treatment of sclerosing cholangitis </w:t>
            </w:r>
          </w:p>
        </w:tc>
      </w:tr>
      <w:tr w:rsidR="002A79E2" w:rsidRPr="00F93F3C" w14:paraId="0E508402" w14:textId="77777777">
        <w:trPr>
          <w:trHeight w:val="20"/>
        </w:trPr>
        <w:tc>
          <w:tcPr>
            <w:tcW w:w="488" w:type="dxa"/>
            <w:vMerge/>
            <w:textDirection w:val="btLr"/>
          </w:tcPr>
          <w:p w14:paraId="6CF6F654" w14:textId="77777777" w:rsidR="002A79E2" w:rsidRPr="0087647B" w:rsidRDefault="002A79E2">
            <w:pPr>
              <w:jc w:val="center"/>
              <w:rPr>
                <w:rFonts w:ascii="Arial Narrow" w:hAnsi="Arial Narrow"/>
                <w:sz w:val="20"/>
                <w:szCs w:val="20"/>
              </w:rPr>
            </w:pPr>
          </w:p>
        </w:tc>
        <w:tc>
          <w:tcPr>
            <w:tcW w:w="784" w:type="dxa"/>
          </w:tcPr>
          <w:p w14:paraId="5954EDC0" w14:textId="5551FBA5" w:rsidR="002A79E2" w:rsidRPr="00860ABE" w:rsidRDefault="002A79E2">
            <w:pPr>
              <w:jc w:val="center"/>
              <w:rPr>
                <w:rFonts w:ascii="Arial Narrow" w:hAnsi="Arial Narrow" w:cs="Open Sans"/>
                <w:color w:val="333333"/>
                <w:sz w:val="20"/>
                <w:szCs w:val="20"/>
              </w:rPr>
            </w:pPr>
          </w:p>
        </w:tc>
        <w:tc>
          <w:tcPr>
            <w:tcW w:w="7745" w:type="dxa"/>
            <w:gridSpan w:val="6"/>
          </w:tcPr>
          <w:p w14:paraId="2A31B4B2"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4FEDD140"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Fonts w:ascii="Arial Narrow" w:hAnsi="Arial Narrow" w:cs="Open Sans"/>
                <w:b/>
                <w:color w:val="333333"/>
                <w:sz w:val="20"/>
                <w:szCs w:val="20"/>
                <w:bdr w:val="none" w:sz="0" w:space="0" w:color="auto" w:frame="1"/>
              </w:rPr>
              <w:t>Continuing Therapy Only:</w:t>
            </w:r>
          </w:p>
          <w:p w14:paraId="7181741E" w14:textId="77777777" w:rsidR="002A79E2" w:rsidRPr="00860ABE" w:rsidRDefault="002A79E2">
            <w:pPr>
              <w:pStyle w:val="NormalWeb"/>
              <w:shd w:val="clear" w:color="auto" w:fill="FFFFFF" w:themeFill="background1"/>
              <w:spacing w:before="0" w:after="0"/>
              <w:textAlignment w:val="baseline"/>
              <w:rPr>
                <w:rStyle w:val="Strong"/>
                <w:rFonts w:ascii="Arial Narrow" w:eastAsiaTheme="majorEastAsia" w:hAnsi="Arial Narrow" w:cs="Open Sans"/>
                <w:color w:val="333333"/>
                <w:sz w:val="20"/>
                <w:szCs w:val="20"/>
                <w:bdr w:val="none" w:sz="0" w:space="0" w:color="auto" w:frame="1"/>
              </w:rPr>
            </w:pPr>
            <w:r w:rsidRPr="00860ABE">
              <w:rPr>
                <w:rFonts w:ascii="Arial Narrow" w:hAnsi="Arial Narrow" w:cs="Open San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A79E2" w:rsidRPr="00F93F3C" w14:paraId="6DAF95E6" w14:textId="77777777">
        <w:trPr>
          <w:trHeight w:val="20"/>
        </w:trPr>
        <w:tc>
          <w:tcPr>
            <w:tcW w:w="488" w:type="dxa"/>
            <w:vMerge/>
            <w:textDirection w:val="btLr"/>
          </w:tcPr>
          <w:p w14:paraId="41E503CA" w14:textId="77777777" w:rsidR="002A79E2" w:rsidRPr="0087647B" w:rsidRDefault="002A79E2">
            <w:pPr>
              <w:rPr>
                <w:rFonts w:ascii="Arial Narrow" w:hAnsi="Arial Narrow"/>
                <w:sz w:val="20"/>
                <w:szCs w:val="20"/>
              </w:rPr>
            </w:pPr>
          </w:p>
        </w:tc>
        <w:tc>
          <w:tcPr>
            <w:tcW w:w="784" w:type="dxa"/>
          </w:tcPr>
          <w:p w14:paraId="09CF25AB" w14:textId="452FCD33" w:rsidR="002A79E2" w:rsidRPr="00860ABE" w:rsidRDefault="002A79E2">
            <w:pPr>
              <w:jc w:val="center"/>
              <w:rPr>
                <w:rFonts w:ascii="Arial Narrow" w:hAnsi="Arial Narrow" w:cs="Open Sans"/>
                <w:color w:val="333333"/>
                <w:sz w:val="20"/>
                <w:szCs w:val="20"/>
              </w:rPr>
            </w:pPr>
          </w:p>
        </w:tc>
        <w:tc>
          <w:tcPr>
            <w:tcW w:w="7745" w:type="dxa"/>
            <w:gridSpan w:val="6"/>
          </w:tcPr>
          <w:p w14:paraId="6AE4B6F5" w14:textId="77777777" w:rsidR="002A79E2" w:rsidRPr="00860ABE" w:rsidRDefault="002A79E2">
            <w:pPr>
              <w:pStyle w:val="NormalWeb"/>
              <w:spacing w:before="0" w:after="0"/>
              <w:rPr>
                <w:rStyle w:val="Strong"/>
                <w:rFonts w:ascii="Arial Narrow" w:eastAsiaTheme="majorEastAsia" w:hAnsi="Arial Narrow" w:cs="Open Sans"/>
                <w:color w:val="333333"/>
                <w:sz w:val="20"/>
                <w:szCs w:val="20"/>
              </w:rPr>
            </w:pPr>
            <w:r w:rsidRPr="00860ABE">
              <w:rPr>
                <w:rStyle w:val="Strong"/>
                <w:rFonts w:ascii="Arial Narrow" w:eastAsiaTheme="majorEastAsia" w:hAnsi="Arial Narrow" w:cs="Open Sans"/>
                <w:color w:val="333333"/>
                <w:sz w:val="20"/>
                <w:szCs w:val="20"/>
              </w:rPr>
              <w:t>Administrative Advice:</w:t>
            </w:r>
          </w:p>
          <w:p w14:paraId="634BCACA" w14:textId="77777777" w:rsidR="002A79E2" w:rsidRPr="00860ABE" w:rsidRDefault="002A79E2">
            <w:pPr>
              <w:pStyle w:val="NormalWeb"/>
              <w:spacing w:before="0" w:after="0"/>
              <w:rPr>
                <w:rStyle w:val="Strong"/>
                <w:rFonts w:ascii="Arial Narrow" w:eastAsiaTheme="majorEastAsia" w:hAnsi="Arial Narrow" w:cs="Open Sans"/>
                <w:b w:val="0"/>
                <w:color w:val="333333"/>
                <w:sz w:val="20"/>
                <w:szCs w:val="20"/>
              </w:rPr>
            </w:pPr>
            <w:r w:rsidRPr="00860ABE">
              <w:rPr>
                <w:rStyle w:val="Strong"/>
                <w:rFonts w:ascii="Arial Narrow" w:eastAsiaTheme="majorEastAsia" w:hAnsi="Arial Narrow" w:cs="Open Sans"/>
                <w:b w:val="0"/>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A79E2" w:rsidRPr="00F93F3C" w14:paraId="2E58F51A" w14:textId="77777777">
        <w:trPr>
          <w:trHeight w:val="20"/>
        </w:trPr>
        <w:tc>
          <w:tcPr>
            <w:tcW w:w="488" w:type="dxa"/>
            <w:vMerge/>
            <w:textDirection w:val="btLr"/>
          </w:tcPr>
          <w:p w14:paraId="041695B0" w14:textId="77777777" w:rsidR="002A79E2" w:rsidRPr="0087647B" w:rsidRDefault="002A79E2">
            <w:pPr>
              <w:jc w:val="center"/>
              <w:rPr>
                <w:rFonts w:ascii="Arial Narrow" w:hAnsi="Arial Narrow"/>
                <w:sz w:val="20"/>
                <w:szCs w:val="20"/>
              </w:rPr>
            </w:pPr>
          </w:p>
        </w:tc>
        <w:tc>
          <w:tcPr>
            <w:tcW w:w="784" w:type="dxa"/>
          </w:tcPr>
          <w:p w14:paraId="71794199" w14:textId="55DFE95B" w:rsidR="002A79E2" w:rsidRPr="00860ABE" w:rsidRDefault="002A79E2">
            <w:pPr>
              <w:jc w:val="center"/>
              <w:rPr>
                <w:rFonts w:ascii="Arial Narrow" w:hAnsi="Arial Narrow"/>
                <w:color w:val="333333"/>
                <w:sz w:val="20"/>
                <w:szCs w:val="20"/>
              </w:rPr>
            </w:pPr>
          </w:p>
        </w:tc>
        <w:tc>
          <w:tcPr>
            <w:tcW w:w="7745" w:type="dxa"/>
            <w:gridSpan w:val="6"/>
          </w:tcPr>
          <w:p w14:paraId="53D6816B"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672FC301" w14:textId="77777777" w:rsidR="002A79E2" w:rsidRPr="00860ABE" w:rsidRDefault="002A79E2">
            <w:pPr>
              <w:rPr>
                <w:rFonts w:ascii="Arial Narrow" w:hAnsi="Arial Narrow"/>
                <w:color w:val="333333"/>
                <w:sz w:val="20"/>
                <w:szCs w:val="20"/>
              </w:rPr>
            </w:pPr>
            <w:r w:rsidRPr="00860ABE">
              <w:rPr>
                <w:rFonts w:ascii="Arial Narrow" w:hAnsi="Arial Narrow" w:cs="Open Sans"/>
                <w:color w:val="333333"/>
                <w:sz w:val="20"/>
                <w:szCs w:val="20"/>
              </w:rPr>
              <w:t>No increase in the maximum quantity or number of units may be authorised.</w:t>
            </w:r>
          </w:p>
        </w:tc>
      </w:tr>
      <w:tr w:rsidR="002A79E2" w:rsidRPr="00F93F3C" w14:paraId="545FA7D0" w14:textId="77777777">
        <w:trPr>
          <w:trHeight w:val="20"/>
        </w:trPr>
        <w:tc>
          <w:tcPr>
            <w:tcW w:w="488" w:type="dxa"/>
            <w:vMerge/>
          </w:tcPr>
          <w:p w14:paraId="25BFA3F7" w14:textId="77777777" w:rsidR="002A79E2" w:rsidRPr="0087647B" w:rsidRDefault="002A79E2">
            <w:pPr>
              <w:rPr>
                <w:rFonts w:ascii="Arial Narrow" w:hAnsi="Arial Narrow"/>
                <w:sz w:val="20"/>
                <w:szCs w:val="20"/>
              </w:rPr>
            </w:pPr>
          </w:p>
        </w:tc>
        <w:tc>
          <w:tcPr>
            <w:tcW w:w="784" w:type="dxa"/>
          </w:tcPr>
          <w:p w14:paraId="4401F314" w14:textId="0A081B02" w:rsidR="002A79E2" w:rsidRPr="00860ABE" w:rsidRDefault="002A79E2">
            <w:pPr>
              <w:jc w:val="center"/>
              <w:rPr>
                <w:rFonts w:ascii="Arial Narrow" w:hAnsi="Arial Narrow"/>
                <w:color w:val="333333"/>
                <w:sz w:val="20"/>
                <w:szCs w:val="20"/>
              </w:rPr>
            </w:pPr>
          </w:p>
        </w:tc>
        <w:tc>
          <w:tcPr>
            <w:tcW w:w="7745" w:type="dxa"/>
            <w:gridSpan w:val="6"/>
          </w:tcPr>
          <w:p w14:paraId="19D71086"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6AA19861" w14:textId="77777777" w:rsidR="002A79E2" w:rsidRPr="00860ABE" w:rsidRDefault="002A79E2">
            <w:pPr>
              <w:rPr>
                <w:rFonts w:ascii="Arial Narrow" w:hAnsi="Arial Narrow"/>
                <w:b/>
                <w:color w:val="333333"/>
                <w:sz w:val="20"/>
                <w:szCs w:val="20"/>
              </w:rPr>
            </w:pPr>
            <w:r w:rsidRPr="00860ABE">
              <w:rPr>
                <w:rFonts w:ascii="Arial Narrow" w:hAnsi="Arial Narrow" w:cs="Open Sans"/>
                <w:color w:val="333333"/>
                <w:sz w:val="20"/>
                <w:szCs w:val="20"/>
              </w:rPr>
              <w:t>No increase in the maximum number of repeats may be authorised.</w:t>
            </w:r>
          </w:p>
        </w:tc>
      </w:tr>
      <w:tr w:rsidR="002A79E2" w:rsidRPr="00F93F3C" w14:paraId="2D8AEE61" w14:textId="77777777">
        <w:trPr>
          <w:trHeight w:val="20"/>
        </w:trPr>
        <w:tc>
          <w:tcPr>
            <w:tcW w:w="488" w:type="dxa"/>
            <w:vMerge/>
          </w:tcPr>
          <w:p w14:paraId="74B5C9F3" w14:textId="77777777" w:rsidR="002A79E2" w:rsidRPr="0087647B" w:rsidRDefault="002A79E2">
            <w:pPr>
              <w:rPr>
                <w:rFonts w:ascii="Arial Narrow" w:hAnsi="Arial Narrow"/>
                <w:sz w:val="20"/>
                <w:szCs w:val="20"/>
              </w:rPr>
            </w:pPr>
          </w:p>
        </w:tc>
        <w:tc>
          <w:tcPr>
            <w:tcW w:w="784" w:type="dxa"/>
          </w:tcPr>
          <w:p w14:paraId="7D1164FC" w14:textId="7400D21F" w:rsidR="002A79E2" w:rsidRPr="00860ABE" w:rsidRDefault="002A79E2">
            <w:pPr>
              <w:jc w:val="center"/>
              <w:rPr>
                <w:rFonts w:ascii="Arial Narrow" w:hAnsi="Arial Narrow"/>
                <w:color w:val="333333"/>
                <w:sz w:val="20"/>
                <w:szCs w:val="20"/>
              </w:rPr>
            </w:pPr>
          </w:p>
        </w:tc>
        <w:tc>
          <w:tcPr>
            <w:tcW w:w="7745" w:type="dxa"/>
            <w:gridSpan w:val="6"/>
          </w:tcPr>
          <w:p w14:paraId="1F5C258A" w14:textId="77777777" w:rsidR="002A79E2" w:rsidRPr="00860ABE" w:rsidRDefault="002A79E2">
            <w:pPr>
              <w:pStyle w:val="NormalWeb"/>
              <w:spacing w:before="0" w:after="0"/>
              <w:textAlignment w:val="baseline"/>
              <w:rPr>
                <w:rFonts w:ascii="Arial Narrow" w:hAnsi="Arial Narrow" w:cs="Open Sans"/>
                <w:color w:val="333333"/>
                <w:sz w:val="20"/>
                <w:szCs w:val="20"/>
              </w:rPr>
            </w:pPr>
            <w:r w:rsidRPr="00860ABE">
              <w:rPr>
                <w:rStyle w:val="Strong"/>
                <w:rFonts w:ascii="Arial Narrow" w:eastAsiaTheme="majorEastAsia" w:hAnsi="Arial Narrow" w:cs="Open Sans"/>
                <w:color w:val="333333"/>
                <w:sz w:val="20"/>
                <w:szCs w:val="20"/>
                <w:bdr w:val="none" w:sz="0" w:space="0" w:color="auto" w:frame="1"/>
              </w:rPr>
              <w:t>Administrative Advice:</w:t>
            </w:r>
          </w:p>
          <w:p w14:paraId="2D18DAB4" w14:textId="77777777" w:rsidR="002A79E2" w:rsidRPr="00860ABE" w:rsidRDefault="002A79E2">
            <w:pPr>
              <w:rPr>
                <w:rFonts w:ascii="Arial Narrow" w:hAnsi="Arial Narrow"/>
                <w:b/>
                <w:color w:val="333333"/>
                <w:sz w:val="20"/>
                <w:szCs w:val="20"/>
              </w:rPr>
            </w:pPr>
            <w:r w:rsidRPr="00860ABE">
              <w:rPr>
                <w:rFonts w:ascii="Arial Narrow" w:hAnsi="Arial Narrow" w:cs="Open Sans"/>
                <w:color w:val="333333"/>
                <w:sz w:val="20"/>
                <w:szCs w:val="20"/>
              </w:rPr>
              <w:t>Special Pricing Arrangements apply.</w:t>
            </w:r>
          </w:p>
        </w:tc>
      </w:tr>
      <w:tr w:rsidR="002A79E2" w:rsidRPr="00F93F3C" w14:paraId="67CB8B77" w14:textId="77777777">
        <w:trPr>
          <w:trHeight w:val="20"/>
        </w:trPr>
        <w:tc>
          <w:tcPr>
            <w:tcW w:w="1272" w:type="dxa"/>
            <w:gridSpan w:val="2"/>
          </w:tcPr>
          <w:p w14:paraId="2546EBFA" w14:textId="5E89EA84" w:rsidR="002A79E2" w:rsidRPr="00860ABE" w:rsidRDefault="002A79E2">
            <w:pPr>
              <w:jc w:val="center"/>
              <w:rPr>
                <w:rFonts w:ascii="Arial Narrow" w:hAnsi="Arial Narrow"/>
                <w:color w:val="333333"/>
                <w:sz w:val="20"/>
                <w:szCs w:val="20"/>
              </w:rPr>
            </w:pPr>
          </w:p>
        </w:tc>
        <w:tc>
          <w:tcPr>
            <w:tcW w:w="7745" w:type="dxa"/>
            <w:gridSpan w:val="6"/>
          </w:tcPr>
          <w:p w14:paraId="2CD7A46C" w14:textId="77777777" w:rsidR="002A79E2" w:rsidRPr="0087647B" w:rsidRDefault="002A79E2">
            <w:pPr>
              <w:pStyle w:val="NormalWeb"/>
              <w:spacing w:before="0" w:after="0"/>
              <w:textAlignment w:val="baseline"/>
              <w:rPr>
                <w:rFonts w:ascii="Arial Narrow" w:hAnsi="Arial Narrow"/>
                <w:b/>
                <w:bCs/>
                <w:color w:val="333333"/>
                <w:sz w:val="20"/>
                <w:szCs w:val="20"/>
              </w:rPr>
            </w:pPr>
            <w:r w:rsidRPr="0087647B">
              <w:rPr>
                <w:rStyle w:val="Strong"/>
                <w:rFonts w:ascii="Arial Narrow" w:eastAsiaTheme="majorEastAsia" w:hAnsi="Arial Narrow" w:cs="Open Sans"/>
                <w:color w:val="333333"/>
                <w:sz w:val="20"/>
                <w:szCs w:val="20"/>
                <w:bdr w:val="none" w:sz="0" w:space="0" w:color="auto" w:frame="1"/>
              </w:rPr>
              <w:t xml:space="preserve">Indication: </w:t>
            </w:r>
            <w:r w:rsidRPr="0087647B">
              <w:rPr>
                <w:rFonts w:ascii="Arial Narrow" w:hAnsi="Arial Narrow" w:cs="Open Sans"/>
                <w:color w:val="333333"/>
                <w:sz w:val="20"/>
                <w:szCs w:val="20"/>
              </w:rPr>
              <w:t>Primary biliary cholangitis (previously known as Primary biliary cirrhosis)</w:t>
            </w:r>
          </w:p>
        </w:tc>
      </w:tr>
      <w:tr w:rsidR="002A79E2" w:rsidRPr="00F93F3C" w14:paraId="43798552" w14:textId="77777777">
        <w:trPr>
          <w:trHeight w:val="20"/>
        </w:trPr>
        <w:tc>
          <w:tcPr>
            <w:tcW w:w="1272" w:type="dxa"/>
            <w:gridSpan w:val="2"/>
          </w:tcPr>
          <w:p w14:paraId="06B231F8" w14:textId="77777777" w:rsidR="002A79E2" w:rsidRPr="00860ABE" w:rsidRDefault="002A79E2">
            <w:pPr>
              <w:jc w:val="center"/>
              <w:rPr>
                <w:rFonts w:ascii="Arial Narrow" w:hAnsi="Arial Narrow"/>
                <w:color w:val="333333"/>
                <w:sz w:val="20"/>
                <w:szCs w:val="20"/>
              </w:rPr>
            </w:pPr>
          </w:p>
        </w:tc>
        <w:tc>
          <w:tcPr>
            <w:tcW w:w="7745" w:type="dxa"/>
            <w:gridSpan w:val="6"/>
          </w:tcPr>
          <w:p w14:paraId="7D33B37C" w14:textId="77777777" w:rsidR="002A79E2" w:rsidRPr="0087647B" w:rsidRDefault="002A79E2">
            <w:pPr>
              <w:pStyle w:val="NormalWeb"/>
              <w:spacing w:before="0" w:after="0"/>
              <w:textAlignment w:val="baseline"/>
              <w:rPr>
                <w:rFonts w:ascii="Arial Narrow" w:hAnsi="Arial Narrow"/>
                <w:b/>
                <w:bCs/>
                <w:color w:val="333333"/>
                <w:sz w:val="20"/>
                <w:szCs w:val="20"/>
              </w:rPr>
            </w:pPr>
            <w:r w:rsidRPr="0087647B">
              <w:rPr>
                <w:rStyle w:val="Strong"/>
                <w:rFonts w:ascii="Arial Narrow" w:eastAsiaTheme="majorEastAsia" w:hAnsi="Arial Narrow" w:cs="Open Sans"/>
                <w:color w:val="333333"/>
                <w:sz w:val="20"/>
                <w:szCs w:val="20"/>
                <w:bdr w:val="none" w:sz="0" w:space="0" w:color="auto" w:frame="1"/>
              </w:rPr>
              <w:t xml:space="preserve">Treatment Phase: </w:t>
            </w:r>
            <w:r w:rsidRPr="0087647B">
              <w:rPr>
                <w:rFonts w:ascii="Arial Narrow" w:hAnsi="Arial Narrow" w:cs="Open Sans"/>
                <w:color w:val="333333"/>
                <w:sz w:val="20"/>
                <w:szCs w:val="20"/>
              </w:rPr>
              <w:t>Transitioning from non-PBS to PBS subsidised supply - Grandfather arrangements</w:t>
            </w:r>
          </w:p>
        </w:tc>
      </w:tr>
      <w:tr w:rsidR="002A79E2" w:rsidRPr="00F93F3C" w14:paraId="6F6DD4B1" w14:textId="77777777">
        <w:trPr>
          <w:trHeight w:val="20"/>
        </w:trPr>
        <w:tc>
          <w:tcPr>
            <w:tcW w:w="1272" w:type="dxa"/>
            <w:gridSpan w:val="2"/>
          </w:tcPr>
          <w:p w14:paraId="27FC7C93" w14:textId="79A29D6E" w:rsidR="002A79E2" w:rsidRPr="00860ABE" w:rsidRDefault="002A79E2">
            <w:pPr>
              <w:jc w:val="center"/>
              <w:rPr>
                <w:rFonts w:ascii="Arial Narrow" w:hAnsi="Arial Narrow" w:cs="Open Sans"/>
                <w:color w:val="333333"/>
                <w:sz w:val="20"/>
                <w:szCs w:val="20"/>
              </w:rPr>
            </w:pPr>
          </w:p>
        </w:tc>
        <w:tc>
          <w:tcPr>
            <w:tcW w:w="7745" w:type="dxa"/>
            <w:gridSpan w:val="6"/>
          </w:tcPr>
          <w:p w14:paraId="1C43C874" w14:textId="77777777" w:rsidR="002A79E2" w:rsidRPr="0087647B" w:rsidRDefault="002A79E2">
            <w:pPr>
              <w:rPr>
                <w:rStyle w:val="Strong"/>
                <w:rFonts w:ascii="Arial Narrow" w:hAnsi="Arial Narrow" w:cs="Open Sans"/>
                <w:color w:val="333333"/>
                <w:sz w:val="20"/>
                <w:szCs w:val="20"/>
                <w:bdr w:val="none" w:sz="0" w:space="0" w:color="auto" w:frame="1"/>
              </w:rPr>
            </w:pPr>
            <w:r w:rsidRPr="0087647B">
              <w:rPr>
                <w:rStyle w:val="normaltextrun"/>
                <w:rFonts w:ascii="Arial Narrow" w:hAnsi="Arial Narrow" w:cs="Segoe UI"/>
                <w:b/>
                <w:bCs/>
                <w:color w:val="333333"/>
                <w:sz w:val="20"/>
                <w:szCs w:val="20"/>
              </w:rPr>
              <w:t>Clinical criteria:</w:t>
            </w:r>
            <w:r w:rsidRPr="0087647B">
              <w:rPr>
                <w:rStyle w:val="eop"/>
                <w:rFonts w:ascii="Arial Narrow" w:hAnsi="Arial Narrow" w:cs="Segoe UI"/>
                <w:color w:val="333333"/>
                <w:sz w:val="20"/>
                <w:szCs w:val="20"/>
              </w:rPr>
              <w:t> </w:t>
            </w:r>
          </w:p>
        </w:tc>
      </w:tr>
      <w:tr w:rsidR="002A79E2" w:rsidRPr="00F93F3C" w14:paraId="68859DE1" w14:textId="77777777">
        <w:trPr>
          <w:trHeight w:val="20"/>
        </w:trPr>
        <w:tc>
          <w:tcPr>
            <w:tcW w:w="1272" w:type="dxa"/>
            <w:gridSpan w:val="2"/>
          </w:tcPr>
          <w:p w14:paraId="6385803C" w14:textId="32051D6B" w:rsidR="002A79E2" w:rsidRPr="00860ABE" w:rsidRDefault="002A79E2">
            <w:pPr>
              <w:jc w:val="center"/>
              <w:rPr>
                <w:rFonts w:ascii="Arial Narrow" w:hAnsi="Arial Narrow" w:cs="Open Sans"/>
                <w:color w:val="333333"/>
                <w:sz w:val="20"/>
                <w:szCs w:val="20"/>
              </w:rPr>
            </w:pPr>
          </w:p>
        </w:tc>
        <w:tc>
          <w:tcPr>
            <w:tcW w:w="7745" w:type="dxa"/>
            <w:gridSpan w:val="6"/>
          </w:tcPr>
          <w:p w14:paraId="13957A68" w14:textId="77777777" w:rsidR="002A79E2" w:rsidRPr="0087647B" w:rsidRDefault="002A79E2">
            <w:pPr>
              <w:rPr>
                <w:rStyle w:val="Strong"/>
                <w:rFonts w:ascii="Arial Narrow" w:hAnsi="Arial Narrow" w:cs="Open Sans"/>
                <w:color w:val="333333"/>
                <w:sz w:val="20"/>
                <w:szCs w:val="20"/>
                <w:bdr w:val="none" w:sz="0" w:space="0" w:color="auto" w:frame="1"/>
              </w:rPr>
            </w:pPr>
            <w:r w:rsidRPr="0087647B">
              <w:rPr>
                <w:rStyle w:val="normaltextrun"/>
                <w:rFonts w:ascii="Arial Narrow" w:hAnsi="Arial Narrow" w:cs="Segoe UI"/>
                <w:sz w:val="20"/>
                <w:szCs w:val="20"/>
              </w:rPr>
              <w:t xml:space="preserve">Patient must have received treatment with this drug for this PBS indication prior to </w:t>
            </w:r>
            <w:r w:rsidRPr="00860ABE">
              <w:rPr>
                <w:rStyle w:val="normaltextrun"/>
                <w:rFonts w:ascii="Arial Narrow" w:hAnsi="Arial Narrow" w:cs="Segoe UI"/>
                <w:sz w:val="20"/>
                <w:szCs w:val="20"/>
              </w:rPr>
              <w:t xml:space="preserve">[Date] </w:t>
            </w:r>
          </w:p>
        </w:tc>
      </w:tr>
      <w:tr w:rsidR="002A79E2" w:rsidRPr="00F93F3C" w14:paraId="44E9CAFC" w14:textId="77777777">
        <w:trPr>
          <w:trHeight w:val="20"/>
        </w:trPr>
        <w:tc>
          <w:tcPr>
            <w:tcW w:w="1272" w:type="dxa"/>
            <w:gridSpan w:val="2"/>
          </w:tcPr>
          <w:p w14:paraId="6906A01F" w14:textId="77777777" w:rsidR="002A79E2" w:rsidRPr="00860ABE" w:rsidRDefault="002A79E2">
            <w:pPr>
              <w:jc w:val="center"/>
              <w:rPr>
                <w:rFonts w:ascii="Arial Narrow" w:hAnsi="Arial Narrow" w:cs="Open Sans"/>
                <w:color w:val="333333"/>
                <w:sz w:val="20"/>
                <w:szCs w:val="20"/>
              </w:rPr>
            </w:pPr>
          </w:p>
        </w:tc>
        <w:tc>
          <w:tcPr>
            <w:tcW w:w="7745" w:type="dxa"/>
            <w:gridSpan w:val="6"/>
          </w:tcPr>
          <w:p w14:paraId="3E39A7DE" w14:textId="77777777" w:rsidR="002A79E2" w:rsidRPr="0087647B" w:rsidRDefault="002A79E2">
            <w:pPr>
              <w:rPr>
                <w:rStyle w:val="Strong"/>
                <w:rFonts w:ascii="Arial Narrow" w:hAnsi="Arial Narrow" w:cs="Open Sans"/>
                <w:color w:val="333333"/>
                <w:sz w:val="20"/>
                <w:szCs w:val="20"/>
                <w:bdr w:val="none" w:sz="0" w:space="0" w:color="auto" w:frame="1"/>
              </w:rPr>
            </w:pPr>
            <w:r w:rsidRPr="0087647B">
              <w:rPr>
                <w:rStyle w:val="Strong"/>
                <w:rFonts w:ascii="Arial Narrow" w:hAnsi="Arial Narrow" w:cs="Open Sans"/>
                <w:color w:val="333333"/>
                <w:sz w:val="20"/>
                <w:szCs w:val="20"/>
                <w:bdr w:val="none" w:sz="0" w:space="0" w:color="auto" w:frame="1"/>
              </w:rPr>
              <w:t>AND</w:t>
            </w:r>
          </w:p>
        </w:tc>
      </w:tr>
      <w:tr w:rsidR="002A79E2" w:rsidRPr="00F93F3C" w14:paraId="0425171A" w14:textId="77777777">
        <w:trPr>
          <w:trHeight w:val="20"/>
        </w:trPr>
        <w:tc>
          <w:tcPr>
            <w:tcW w:w="1272" w:type="dxa"/>
            <w:gridSpan w:val="2"/>
          </w:tcPr>
          <w:p w14:paraId="581D0F7F" w14:textId="0946505D" w:rsidR="002A79E2" w:rsidRPr="00860ABE" w:rsidRDefault="002A79E2">
            <w:pPr>
              <w:jc w:val="center"/>
              <w:rPr>
                <w:rFonts w:ascii="Arial Narrow" w:hAnsi="Arial Narrow" w:cs="Open Sans"/>
                <w:color w:val="333333"/>
                <w:sz w:val="20"/>
                <w:szCs w:val="20"/>
              </w:rPr>
            </w:pPr>
          </w:p>
        </w:tc>
        <w:tc>
          <w:tcPr>
            <w:tcW w:w="7745" w:type="dxa"/>
            <w:gridSpan w:val="6"/>
            <w:hideMark/>
          </w:tcPr>
          <w:p w14:paraId="6DE84ED4" w14:textId="77777777" w:rsidR="002A79E2" w:rsidRPr="0087647B" w:rsidRDefault="002A79E2">
            <w:pPr>
              <w:rPr>
                <w:rFonts w:ascii="Arial Narrow" w:hAnsi="Arial Narrow"/>
                <w:color w:val="333333"/>
                <w:sz w:val="20"/>
                <w:szCs w:val="20"/>
              </w:rPr>
            </w:pPr>
            <w:r w:rsidRPr="0087647B">
              <w:rPr>
                <w:rStyle w:val="Strong"/>
                <w:rFonts w:ascii="Arial Narrow" w:hAnsi="Arial Narrow" w:cs="Open Sans"/>
                <w:color w:val="333333"/>
                <w:sz w:val="20"/>
                <w:szCs w:val="20"/>
                <w:bdr w:val="none" w:sz="0" w:space="0" w:color="auto" w:frame="1"/>
              </w:rPr>
              <w:t>Treatment criteria:</w:t>
            </w:r>
          </w:p>
        </w:tc>
      </w:tr>
      <w:tr w:rsidR="002A79E2" w:rsidRPr="00F93F3C" w14:paraId="41ED488B" w14:textId="77777777" w:rsidTr="00781BFD">
        <w:trPr>
          <w:trHeight w:val="20"/>
        </w:trPr>
        <w:tc>
          <w:tcPr>
            <w:tcW w:w="1272" w:type="dxa"/>
            <w:gridSpan w:val="2"/>
          </w:tcPr>
          <w:p w14:paraId="1DF3EC22" w14:textId="6985C5FE" w:rsidR="002A79E2" w:rsidRPr="00860ABE" w:rsidRDefault="002A79E2">
            <w:pPr>
              <w:jc w:val="center"/>
              <w:rPr>
                <w:rFonts w:ascii="Arial Narrow" w:hAnsi="Arial Narrow"/>
                <w:color w:val="333333"/>
                <w:sz w:val="20"/>
                <w:szCs w:val="20"/>
              </w:rPr>
            </w:pPr>
          </w:p>
        </w:tc>
        <w:tc>
          <w:tcPr>
            <w:tcW w:w="7745" w:type="dxa"/>
            <w:gridSpan w:val="6"/>
            <w:hideMark/>
          </w:tcPr>
          <w:p w14:paraId="31B683DB" w14:textId="77777777" w:rsidR="002A79E2" w:rsidRPr="0087647B" w:rsidRDefault="002A79E2">
            <w:pPr>
              <w:rPr>
                <w:rFonts w:ascii="Arial Narrow" w:hAnsi="Arial Narrow"/>
                <w:color w:val="333333"/>
                <w:sz w:val="20"/>
                <w:szCs w:val="20"/>
              </w:rPr>
            </w:pPr>
            <w:r w:rsidRPr="0087647B">
              <w:rPr>
                <w:rFonts w:ascii="Arial Narrow" w:hAnsi="Arial Narrow" w:cs="Open Sans"/>
                <w:color w:val="333333"/>
                <w:sz w:val="20"/>
                <w:szCs w:val="20"/>
              </w:rPr>
              <w:t>Must be treated by a prescriber who is either: (</w:t>
            </w:r>
            <w:proofErr w:type="spellStart"/>
            <w:r w:rsidRPr="0087647B">
              <w:rPr>
                <w:rFonts w:ascii="Arial Narrow" w:hAnsi="Arial Narrow" w:cs="Open Sans"/>
                <w:color w:val="333333"/>
                <w:sz w:val="20"/>
                <w:szCs w:val="20"/>
              </w:rPr>
              <w:t>i</w:t>
            </w:r>
            <w:proofErr w:type="spellEnd"/>
            <w:r w:rsidRPr="0087647B">
              <w:rPr>
                <w:rFonts w:ascii="Arial Narrow" w:hAnsi="Arial Narrow" w:cs="Open Sans"/>
                <w:color w:val="333333"/>
                <w:sz w:val="20"/>
                <w:szCs w:val="20"/>
              </w:rPr>
              <w:t>) a gastroenterologist, (ii) a hepatologist; or</w:t>
            </w:r>
          </w:p>
        </w:tc>
      </w:tr>
      <w:tr w:rsidR="002A79E2" w:rsidRPr="00F93F3C" w14:paraId="5ADAC3C3" w14:textId="77777777">
        <w:trPr>
          <w:trHeight w:val="20"/>
        </w:trPr>
        <w:tc>
          <w:tcPr>
            <w:tcW w:w="1272" w:type="dxa"/>
            <w:gridSpan w:val="2"/>
          </w:tcPr>
          <w:p w14:paraId="0C32E839" w14:textId="77777777" w:rsidR="002A79E2" w:rsidRPr="00860ABE" w:rsidRDefault="002A79E2">
            <w:pPr>
              <w:jc w:val="center"/>
              <w:rPr>
                <w:rFonts w:ascii="Arial Narrow" w:hAnsi="Arial Narrow" w:cs="Open Sans"/>
                <w:strike/>
                <w:color w:val="333333"/>
                <w:sz w:val="20"/>
                <w:szCs w:val="20"/>
              </w:rPr>
            </w:pPr>
          </w:p>
        </w:tc>
        <w:tc>
          <w:tcPr>
            <w:tcW w:w="7745" w:type="dxa"/>
            <w:gridSpan w:val="6"/>
          </w:tcPr>
          <w:p w14:paraId="18038A3B" w14:textId="466E8C8D" w:rsidR="002A79E2" w:rsidRPr="0087647B" w:rsidRDefault="002A79E2">
            <w:pPr>
              <w:rPr>
                <w:rFonts w:ascii="Arial Narrow" w:hAnsi="Arial Narrow"/>
                <w:color w:val="333333"/>
                <w:sz w:val="20"/>
                <w:szCs w:val="20"/>
              </w:rPr>
            </w:pPr>
            <w:r w:rsidRPr="0087647B">
              <w:rPr>
                <w:rFonts w:ascii="Arial Narrow" w:hAnsi="Arial Narrow" w:cs="Open Sans"/>
                <w:color w:val="333333"/>
                <w:sz w:val="20"/>
                <w:szCs w:val="20"/>
              </w:rPr>
              <w:t>Must be treated by an eligible practitioner type who has consulted at least one of the above mentioned specialist types</w:t>
            </w:r>
          </w:p>
        </w:tc>
      </w:tr>
      <w:tr w:rsidR="002A79E2" w:rsidRPr="00F93F3C" w14:paraId="517F31FE" w14:textId="77777777">
        <w:trPr>
          <w:trHeight w:val="20"/>
        </w:trPr>
        <w:tc>
          <w:tcPr>
            <w:tcW w:w="1272" w:type="dxa"/>
            <w:gridSpan w:val="2"/>
          </w:tcPr>
          <w:p w14:paraId="1594F0E0" w14:textId="77777777" w:rsidR="002A79E2" w:rsidRPr="00860ABE" w:rsidRDefault="002A79E2">
            <w:pPr>
              <w:jc w:val="center"/>
              <w:rPr>
                <w:rFonts w:ascii="Arial Narrow" w:hAnsi="Arial Narrow"/>
                <w:color w:val="333333"/>
                <w:sz w:val="20"/>
                <w:szCs w:val="20"/>
              </w:rPr>
            </w:pPr>
          </w:p>
        </w:tc>
        <w:tc>
          <w:tcPr>
            <w:tcW w:w="7745" w:type="dxa"/>
            <w:gridSpan w:val="6"/>
          </w:tcPr>
          <w:p w14:paraId="0DE97D79" w14:textId="77777777" w:rsidR="002A79E2" w:rsidRPr="0087647B" w:rsidRDefault="002A79E2">
            <w:pPr>
              <w:rPr>
                <w:rFonts w:ascii="Arial Narrow" w:hAnsi="Arial Narrow"/>
                <w:color w:val="333333"/>
                <w:sz w:val="20"/>
                <w:szCs w:val="20"/>
              </w:rPr>
            </w:pPr>
            <w:r w:rsidRPr="0087647B">
              <w:rPr>
                <w:rStyle w:val="Strong"/>
                <w:rFonts w:ascii="Arial Narrow" w:hAnsi="Arial Narrow" w:cs="Open Sans"/>
                <w:color w:val="333333"/>
                <w:sz w:val="20"/>
                <w:szCs w:val="20"/>
                <w:bdr w:val="none" w:sz="0" w:space="0" w:color="auto" w:frame="1"/>
              </w:rPr>
              <w:t>AND</w:t>
            </w:r>
          </w:p>
        </w:tc>
      </w:tr>
      <w:tr w:rsidR="002A79E2" w:rsidRPr="00F93F3C" w14:paraId="5C712A1C" w14:textId="77777777">
        <w:trPr>
          <w:trHeight w:val="20"/>
        </w:trPr>
        <w:tc>
          <w:tcPr>
            <w:tcW w:w="1272" w:type="dxa"/>
            <w:gridSpan w:val="2"/>
          </w:tcPr>
          <w:p w14:paraId="17ADCF78" w14:textId="5C8DEFA5" w:rsidR="002A79E2" w:rsidRPr="00860ABE" w:rsidRDefault="002A79E2">
            <w:pPr>
              <w:jc w:val="center"/>
              <w:rPr>
                <w:rFonts w:ascii="Arial Narrow" w:hAnsi="Arial Narrow"/>
                <w:color w:val="333333"/>
                <w:sz w:val="20"/>
                <w:szCs w:val="20"/>
              </w:rPr>
            </w:pPr>
          </w:p>
        </w:tc>
        <w:tc>
          <w:tcPr>
            <w:tcW w:w="7745" w:type="dxa"/>
            <w:gridSpan w:val="6"/>
          </w:tcPr>
          <w:p w14:paraId="01FCDB2E" w14:textId="77777777" w:rsidR="002A79E2" w:rsidRPr="0087647B" w:rsidRDefault="002A79E2">
            <w:pPr>
              <w:rPr>
                <w:rFonts w:ascii="Arial Narrow" w:hAnsi="Arial Narrow"/>
                <w:color w:val="333333"/>
                <w:sz w:val="20"/>
                <w:szCs w:val="20"/>
              </w:rPr>
            </w:pPr>
            <w:r w:rsidRPr="0087647B">
              <w:rPr>
                <w:rStyle w:val="Strong"/>
                <w:rFonts w:ascii="Arial Narrow" w:hAnsi="Arial Narrow" w:cs="Open Sans"/>
                <w:color w:val="333333"/>
                <w:sz w:val="20"/>
                <w:szCs w:val="20"/>
                <w:bdr w:val="none" w:sz="0" w:space="0" w:color="auto" w:frame="1"/>
              </w:rPr>
              <w:t>Treatment criteria:</w:t>
            </w:r>
          </w:p>
        </w:tc>
      </w:tr>
      <w:tr w:rsidR="002A79E2" w:rsidRPr="00F93F3C" w14:paraId="47E625CE" w14:textId="77777777" w:rsidTr="00781BFD">
        <w:trPr>
          <w:trHeight w:val="20"/>
        </w:trPr>
        <w:tc>
          <w:tcPr>
            <w:tcW w:w="1272" w:type="dxa"/>
            <w:gridSpan w:val="2"/>
          </w:tcPr>
          <w:p w14:paraId="1BA32FD2" w14:textId="4C2F74B7" w:rsidR="002A79E2" w:rsidRPr="00860ABE" w:rsidRDefault="002A79E2" w:rsidP="00F96ADF">
            <w:pPr>
              <w:jc w:val="center"/>
              <w:rPr>
                <w:rFonts w:ascii="Arial Narrow" w:hAnsi="Arial Narrow" w:cs="Open Sans"/>
                <w:strike/>
                <w:color w:val="333333"/>
                <w:sz w:val="20"/>
                <w:szCs w:val="20"/>
              </w:rPr>
            </w:pPr>
          </w:p>
        </w:tc>
        <w:tc>
          <w:tcPr>
            <w:tcW w:w="7745" w:type="dxa"/>
            <w:gridSpan w:val="6"/>
            <w:hideMark/>
          </w:tcPr>
          <w:p w14:paraId="5E6E48A7" w14:textId="2A53DB5E" w:rsidR="002A79E2" w:rsidRPr="0087647B" w:rsidRDefault="002A79E2">
            <w:pPr>
              <w:rPr>
                <w:rFonts w:ascii="Arial Narrow" w:hAnsi="Arial Narrow"/>
                <w:sz w:val="20"/>
                <w:szCs w:val="20"/>
              </w:rPr>
            </w:pPr>
            <w:r w:rsidRPr="0087647B">
              <w:rPr>
                <w:rFonts w:ascii="Arial Narrow" w:hAnsi="Arial Narrow" w:cs="Open Sans"/>
                <w:color w:val="333333"/>
                <w:sz w:val="20"/>
                <w:szCs w:val="20"/>
              </w:rPr>
              <w:t>Patient must be undergoing concurrent treatment with ursodeoxycholic acid,</w:t>
            </w:r>
            <w:r w:rsidR="002F00C6">
              <w:rPr>
                <w:rFonts w:ascii="Arial Narrow" w:hAnsi="Arial Narrow" w:cs="Open Sans"/>
                <w:color w:val="333333"/>
                <w:sz w:val="20"/>
                <w:szCs w:val="20"/>
              </w:rPr>
              <w:t xml:space="preserve"> </w:t>
            </w:r>
            <w:r w:rsidRPr="0087647B">
              <w:rPr>
                <w:rFonts w:ascii="Arial Narrow" w:hAnsi="Arial Narrow" w:cs="Open Sans"/>
                <w:color w:val="333333"/>
                <w:sz w:val="20"/>
                <w:szCs w:val="20"/>
              </w:rPr>
              <w:t>or</w:t>
            </w:r>
          </w:p>
        </w:tc>
      </w:tr>
      <w:tr w:rsidR="002A79E2" w:rsidRPr="00F93F3C" w14:paraId="3A205DA5" w14:textId="77777777">
        <w:trPr>
          <w:trHeight w:val="20"/>
        </w:trPr>
        <w:tc>
          <w:tcPr>
            <w:tcW w:w="1272" w:type="dxa"/>
            <w:gridSpan w:val="2"/>
          </w:tcPr>
          <w:p w14:paraId="1905756C" w14:textId="539D8046" w:rsidR="002A79E2" w:rsidRPr="00860ABE" w:rsidRDefault="002A79E2" w:rsidP="00F96ADF">
            <w:pPr>
              <w:jc w:val="center"/>
              <w:rPr>
                <w:rFonts w:ascii="Arial Narrow" w:hAnsi="Arial Narrow" w:cs="Open Sans"/>
                <w:strike/>
                <w:color w:val="333333"/>
                <w:sz w:val="20"/>
                <w:szCs w:val="20"/>
              </w:rPr>
            </w:pPr>
          </w:p>
        </w:tc>
        <w:tc>
          <w:tcPr>
            <w:tcW w:w="7745" w:type="dxa"/>
            <w:gridSpan w:val="6"/>
          </w:tcPr>
          <w:p w14:paraId="01768030" w14:textId="320A464E" w:rsidR="002A79E2" w:rsidRPr="0087647B" w:rsidRDefault="002A79E2">
            <w:pPr>
              <w:rPr>
                <w:rFonts w:ascii="Arial Narrow" w:hAnsi="Arial Narrow"/>
                <w:color w:val="333333"/>
                <w:sz w:val="20"/>
                <w:szCs w:val="20"/>
              </w:rPr>
            </w:pPr>
            <w:r w:rsidRPr="0087647B">
              <w:rPr>
                <w:rFonts w:ascii="Arial Narrow" w:hAnsi="Arial Narrow" w:cs="Open Sans"/>
                <w:color w:val="333333"/>
                <w:sz w:val="20"/>
                <w:szCs w:val="20"/>
              </w:rPr>
              <w:t xml:space="preserve"> Patient must be undergoing treatment with this drug as monotherapy because treatment with ursodeoxycholic acid is not tolerated</w:t>
            </w:r>
            <w:r w:rsidR="006D5EFE" w:rsidRPr="00860ABE">
              <w:rPr>
                <w:rFonts w:ascii="Arial Narrow" w:hAnsi="Arial Narrow" w:cs="Open Sans"/>
                <w:color w:val="333333"/>
                <w:sz w:val="20"/>
                <w:szCs w:val="20"/>
              </w:rPr>
              <w:t>/contraindicated</w:t>
            </w:r>
          </w:p>
        </w:tc>
      </w:tr>
      <w:tr w:rsidR="002A79E2" w:rsidRPr="00F93F3C" w14:paraId="2E516CB7" w14:textId="77777777">
        <w:trPr>
          <w:trHeight w:val="20"/>
        </w:trPr>
        <w:tc>
          <w:tcPr>
            <w:tcW w:w="1272" w:type="dxa"/>
            <w:gridSpan w:val="2"/>
          </w:tcPr>
          <w:p w14:paraId="06B5633B" w14:textId="77777777" w:rsidR="002A79E2" w:rsidRPr="00860ABE" w:rsidRDefault="002A79E2">
            <w:pPr>
              <w:jc w:val="center"/>
              <w:rPr>
                <w:rFonts w:ascii="Arial Narrow" w:hAnsi="Arial Narrow" w:cs="Open Sans"/>
                <w:color w:val="333333"/>
                <w:sz w:val="20"/>
                <w:szCs w:val="20"/>
              </w:rPr>
            </w:pPr>
          </w:p>
        </w:tc>
        <w:tc>
          <w:tcPr>
            <w:tcW w:w="7745" w:type="dxa"/>
            <w:gridSpan w:val="6"/>
          </w:tcPr>
          <w:p w14:paraId="77AC76AB" w14:textId="77777777" w:rsidR="002A79E2" w:rsidRPr="00860ABE" w:rsidRDefault="002A79E2">
            <w:pPr>
              <w:rPr>
                <w:rFonts w:ascii="Arial Narrow" w:hAnsi="Arial Narrow" w:cs="Open Sans"/>
                <w:color w:val="333333"/>
                <w:sz w:val="20"/>
                <w:szCs w:val="20"/>
              </w:rPr>
            </w:pPr>
            <w:r w:rsidRPr="0087647B">
              <w:rPr>
                <w:rStyle w:val="Strong"/>
                <w:rFonts w:ascii="Arial Narrow" w:hAnsi="Arial Narrow" w:cs="Open Sans"/>
                <w:color w:val="333333"/>
                <w:sz w:val="20"/>
                <w:szCs w:val="20"/>
                <w:bdr w:val="none" w:sz="0" w:space="0" w:color="auto" w:frame="1"/>
              </w:rPr>
              <w:t>AND</w:t>
            </w:r>
          </w:p>
        </w:tc>
      </w:tr>
      <w:tr w:rsidR="002A79E2" w:rsidRPr="00F93F3C" w14:paraId="63D0EB92" w14:textId="77777777">
        <w:trPr>
          <w:trHeight w:val="20"/>
        </w:trPr>
        <w:tc>
          <w:tcPr>
            <w:tcW w:w="1272" w:type="dxa"/>
            <w:gridSpan w:val="2"/>
          </w:tcPr>
          <w:p w14:paraId="04C48638" w14:textId="57B0C338" w:rsidR="002A79E2" w:rsidRPr="00860ABE" w:rsidRDefault="002A79E2">
            <w:pPr>
              <w:jc w:val="center"/>
              <w:rPr>
                <w:rFonts w:ascii="Arial Narrow" w:hAnsi="Arial Narrow" w:cs="Open Sans"/>
                <w:color w:val="333333"/>
                <w:sz w:val="20"/>
                <w:szCs w:val="20"/>
              </w:rPr>
            </w:pPr>
          </w:p>
        </w:tc>
        <w:tc>
          <w:tcPr>
            <w:tcW w:w="7745" w:type="dxa"/>
            <w:gridSpan w:val="6"/>
          </w:tcPr>
          <w:p w14:paraId="025DCEBD" w14:textId="77777777" w:rsidR="002A79E2" w:rsidRPr="00860ABE" w:rsidRDefault="002A79E2">
            <w:pPr>
              <w:rPr>
                <w:rFonts w:ascii="Arial Narrow" w:hAnsi="Arial Narrow" w:cs="Open Sans"/>
                <w:color w:val="333333"/>
                <w:sz w:val="20"/>
                <w:szCs w:val="20"/>
              </w:rPr>
            </w:pPr>
            <w:r w:rsidRPr="0087647B">
              <w:rPr>
                <w:rStyle w:val="Strong"/>
                <w:rFonts w:ascii="Arial Narrow" w:hAnsi="Arial Narrow" w:cs="Open Sans"/>
                <w:color w:val="333333"/>
                <w:sz w:val="20"/>
                <w:szCs w:val="20"/>
                <w:bdr w:val="none" w:sz="0" w:space="0" w:color="auto" w:frame="1"/>
              </w:rPr>
              <w:t>Treatment criteria:</w:t>
            </w:r>
          </w:p>
        </w:tc>
      </w:tr>
      <w:tr w:rsidR="002A79E2" w:rsidRPr="00F93F3C" w14:paraId="34F0E25A" w14:textId="77777777">
        <w:trPr>
          <w:trHeight w:val="20"/>
        </w:trPr>
        <w:tc>
          <w:tcPr>
            <w:tcW w:w="1272" w:type="dxa"/>
            <w:gridSpan w:val="2"/>
          </w:tcPr>
          <w:p w14:paraId="60EA21BF" w14:textId="52F22E81" w:rsidR="002A79E2" w:rsidRPr="00860ABE" w:rsidRDefault="002A79E2">
            <w:pPr>
              <w:jc w:val="center"/>
              <w:rPr>
                <w:rFonts w:ascii="Arial Narrow" w:hAnsi="Arial Narrow" w:cs="Open Sans"/>
                <w:strike/>
                <w:color w:val="333333"/>
                <w:sz w:val="20"/>
                <w:szCs w:val="20"/>
              </w:rPr>
            </w:pPr>
          </w:p>
        </w:tc>
        <w:tc>
          <w:tcPr>
            <w:tcW w:w="7745" w:type="dxa"/>
            <w:gridSpan w:val="6"/>
          </w:tcPr>
          <w:p w14:paraId="111D87D6" w14:textId="5B3E1FA3" w:rsidR="002A79E2" w:rsidRPr="00860ABE" w:rsidRDefault="002A79E2">
            <w:pPr>
              <w:rPr>
                <w:rFonts w:ascii="Arial Narrow" w:hAnsi="Arial Narrow" w:cs="Open Sans"/>
                <w:color w:val="333333"/>
                <w:sz w:val="20"/>
                <w:szCs w:val="20"/>
              </w:rPr>
            </w:pPr>
            <w:r w:rsidRPr="00860ABE">
              <w:rPr>
                <w:rFonts w:ascii="Arial Narrow" w:hAnsi="Arial Narrow" w:cs="Open Sans"/>
                <w:color w:val="333333"/>
                <w:sz w:val="20"/>
                <w:szCs w:val="20"/>
              </w:rPr>
              <w:t xml:space="preserve">Patient must not be undergoing concurrent treatment with </w:t>
            </w:r>
            <w:proofErr w:type="spellStart"/>
            <w:r w:rsidRPr="00860ABE">
              <w:rPr>
                <w:rFonts w:ascii="Arial Narrow" w:hAnsi="Arial Narrow" w:cs="Open Sans"/>
                <w:color w:val="333333"/>
                <w:sz w:val="20"/>
                <w:szCs w:val="20"/>
              </w:rPr>
              <w:t>obeticholic</w:t>
            </w:r>
            <w:proofErr w:type="spellEnd"/>
            <w:r w:rsidRPr="00860ABE">
              <w:rPr>
                <w:rFonts w:ascii="Arial Narrow" w:hAnsi="Arial Narrow" w:cs="Open Sans"/>
                <w:color w:val="333333"/>
                <w:sz w:val="20"/>
                <w:szCs w:val="20"/>
              </w:rPr>
              <w:t xml:space="preserve"> acid. </w:t>
            </w:r>
          </w:p>
        </w:tc>
      </w:tr>
      <w:tr w:rsidR="002A79E2" w:rsidRPr="00F93F3C" w14:paraId="5DD8DDC3" w14:textId="77777777">
        <w:trPr>
          <w:trHeight w:val="20"/>
        </w:trPr>
        <w:tc>
          <w:tcPr>
            <w:tcW w:w="1272" w:type="dxa"/>
            <w:gridSpan w:val="2"/>
          </w:tcPr>
          <w:p w14:paraId="182866B9" w14:textId="77777777" w:rsidR="002A79E2" w:rsidRPr="00860ABE" w:rsidRDefault="002A79E2">
            <w:pPr>
              <w:jc w:val="center"/>
              <w:rPr>
                <w:rFonts w:ascii="Arial Narrow" w:hAnsi="Arial Narrow" w:cs="Open Sans"/>
                <w:color w:val="333333"/>
                <w:sz w:val="20"/>
                <w:szCs w:val="20"/>
              </w:rPr>
            </w:pPr>
          </w:p>
        </w:tc>
        <w:tc>
          <w:tcPr>
            <w:tcW w:w="7745" w:type="dxa"/>
            <w:gridSpan w:val="6"/>
          </w:tcPr>
          <w:p w14:paraId="60F97A62" w14:textId="77777777" w:rsidR="002A79E2" w:rsidRPr="0087647B" w:rsidRDefault="002A79E2">
            <w:pPr>
              <w:rPr>
                <w:rFonts w:ascii="Arial Narrow" w:hAnsi="Arial Narrow" w:cs="Open Sans"/>
                <w:b/>
                <w:bCs/>
                <w:color w:val="333333"/>
                <w:sz w:val="20"/>
                <w:szCs w:val="20"/>
              </w:rPr>
            </w:pPr>
            <w:r w:rsidRPr="0087647B">
              <w:rPr>
                <w:rFonts w:ascii="Arial Narrow" w:hAnsi="Arial Narrow" w:cs="Open Sans"/>
                <w:b/>
                <w:bCs/>
                <w:color w:val="333333"/>
                <w:sz w:val="20"/>
                <w:szCs w:val="20"/>
              </w:rPr>
              <w:t>AND</w:t>
            </w:r>
          </w:p>
        </w:tc>
      </w:tr>
      <w:tr w:rsidR="002A79E2" w:rsidRPr="00F93F3C" w14:paraId="273A8318" w14:textId="77777777">
        <w:trPr>
          <w:trHeight w:val="20"/>
        </w:trPr>
        <w:tc>
          <w:tcPr>
            <w:tcW w:w="1272" w:type="dxa"/>
            <w:gridSpan w:val="2"/>
          </w:tcPr>
          <w:p w14:paraId="63C06BB6" w14:textId="2FEEF796" w:rsidR="002A79E2" w:rsidRPr="00860ABE" w:rsidRDefault="002A79E2">
            <w:pPr>
              <w:jc w:val="center"/>
              <w:rPr>
                <w:rFonts w:ascii="Arial Narrow" w:hAnsi="Arial Narrow"/>
                <w:color w:val="333333"/>
                <w:sz w:val="20"/>
                <w:szCs w:val="20"/>
              </w:rPr>
            </w:pPr>
          </w:p>
        </w:tc>
        <w:tc>
          <w:tcPr>
            <w:tcW w:w="7745" w:type="dxa"/>
            <w:gridSpan w:val="6"/>
          </w:tcPr>
          <w:p w14:paraId="67F11834" w14:textId="77777777" w:rsidR="002A79E2" w:rsidRPr="0087647B" w:rsidRDefault="002A79E2">
            <w:pPr>
              <w:rPr>
                <w:rFonts w:ascii="Arial Narrow" w:hAnsi="Arial Narrow"/>
                <w:color w:val="333333"/>
                <w:sz w:val="20"/>
                <w:szCs w:val="20"/>
              </w:rPr>
            </w:pPr>
            <w:r w:rsidRPr="0087647B">
              <w:rPr>
                <w:rStyle w:val="Strong"/>
                <w:rFonts w:ascii="Arial Narrow" w:hAnsi="Arial Narrow" w:cs="Open Sans"/>
                <w:color w:val="333333"/>
                <w:sz w:val="20"/>
                <w:szCs w:val="20"/>
                <w:bdr w:val="none" w:sz="0" w:space="0" w:color="auto" w:frame="1"/>
              </w:rPr>
              <w:t>Clinical criteria:</w:t>
            </w:r>
          </w:p>
        </w:tc>
      </w:tr>
      <w:tr w:rsidR="002A79E2" w:rsidRPr="00F93F3C" w14:paraId="7D848B11" w14:textId="77777777">
        <w:trPr>
          <w:trHeight w:val="20"/>
        </w:trPr>
        <w:tc>
          <w:tcPr>
            <w:tcW w:w="1272" w:type="dxa"/>
            <w:gridSpan w:val="2"/>
          </w:tcPr>
          <w:p w14:paraId="0AC40165" w14:textId="7D9CFE78" w:rsidR="002A79E2" w:rsidRPr="00860ABE" w:rsidRDefault="002A79E2">
            <w:pPr>
              <w:jc w:val="center"/>
              <w:rPr>
                <w:rFonts w:ascii="Arial Narrow" w:hAnsi="Arial Narrow"/>
                <w:color w:val="333333"/>
                <w:sz w:val="20"/>
                <w:szCs w:val="20"/>
              </w:rPr>
            </w:pPr>
          </w:p>
        </w:tc>
        <w:tc>
          <w:tcPr>
            <w:tcW w:w="7745" w:type="dxa"/>
            <w:gridSpan w:val="6"/>
          </w:tcPr>
          <w:p w14:paraId="1C7632B8" w14:textId="113F7C7B"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Patient must have experienced an inadequate response</w:t>
            </w:r>
            <w:r w:rsidR="006D5EFE">
              <w:rPr>
                <w:rFonts w:ascii="Arial Narrow" w:hAnsi="Arial Narrow" w:cs="Open Sans"/>
                <w:color w:val="333333"/>
                <w:sz w:val="20"/>
                <w:szCs w:val="20"/>
              </w:rPr>
              <w:t xml:space="preserve"> </w:t>
            </w:r>
            <w:r w:rsidRPr="0087647B">
              <w:rPr>
                <w:rFonts w:ascii="Arial Narrow" w:hAnsi="Arial Narrow" w:cs="Open Sans"/>
                <w:color w:val="333333"/>
                <w:sz w:val="20"/>
                <w:szCs w:val="20"/>
              </w:rPr>
              <w:t>to ursodeoxycholic acid, despite treatment with ursodeoxycholic acid for at least 52 weeks at a therapeutic dose, prior to initiating treatment with this drug; or</w:t>
            </w:r>
          </w:p>
        </w:tc>
      </w:tr>
      <w:tr w:rsidR="002A79E2" w:rsidRPr="00F93F3C" w14:paraId="46883576" w14:textId="77777777">
        <w:trPr>
          <w:trHeight w:val="20"/>
        </w:trPr>
        <w:tc>
          <w:tcPr>
            <w:tcW w:w="1272" w:type="dxa"/>
            <w:gridSpan w:val="2"/>
            <w:tcBorders>
              <w:bottom w:val="single" w:sz="4" w:space="0" w:color="auto"/>
            </w:tcBorders>
          </w:tcPr>
          <w:p w14:paraId="60D7FD4A" w14:textId="0ADB3EA7" w:rsidR="002A79E2" w:rsidRPr="00860ABE" w:rsidRDefault="002A79E2">
            <w:pPr>
              <w:jc w:val="center"/>
              <w:rPr>
                <w:rFonts w:ascii="Arial Narrow" w:hAnsi="Arial Narrow"/>
                <w:color w:val="333333"/>
                <w:sz w:val="20"/>
                <w:szCs w:val="20"/>
              </w:rPr>
            </w:pPr>
          </w:p>
        </w:tc>
        <w:tc>
          <w:tcPr>
            <w:tcW w:w="7745" w:type="dxa"/>
            <w:gridSpan w:val="6"/>
            <w:tcBorders>
              <w:bottom w:val="single" w:sz="4" w:space="0" w:color="auto"/>
            </w:tcBorders>
          </w:tcPr>
          <w:p w14:paraId="591CF24C" w14:textId="0F052448"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Patient must have experienced an intolerance</w:t>
            </w:r>
            <w:r w:rsidR="006D5EFE" w:rsidRPr="00860ABE">
              <w:rPr>
                <w:rFonts w:ascii="Arial Narrow" w:hAnsi="Arial Narrow" w:cs="Open Sans"/>
                <w:color w:val="333333"/>
                <w:sz w:val="20"/>
                <w:szCs w:val="20"/>
              </w:rPr>
              <w:t>/contraindication</w:t>
            </w:r>
            <w:r w:rsidRPr="0087647B">
              <w:rPr>
                <w:rFonts w:ascii="Arial Narrow" w:hAnsi="Arial Narrow" w:cs="Open Sans"/>
                <w:color w:val="333333"/>
                <w:sz w:val="20"/>
                <w:szCs w:val="20"/>
              </w:rPr>
              <w:t xml:space="preserve"> to ursodeoxycholic acid of a severity requiring permanent treatment discontinuation, prior to initiating treatment with this drug</w:t>
            </w:r>
          </w:p>
        </w:tc>
      </w:tr>
      <w:tr w:rsidR="002A79E2" w:rsidRPr="00F93F3C" w14:paraId="662F6EC3" w14:textId="77777777">
        <w:trPr>
          <w:trHeight w:val="20"/>
        </w:trPr>
        <w:tc>
          <w:tcPr>
            <w:tcW w:w="1272" w:type="dxa"/>
            <w:gridSpan w:val="2"/>
          </w:tcPr>
          <w:p w14:paraId="7277C043" w14:textId="77777777" w:rsidR="002A79E2" w:rsidRPr="00860ABE" w:rsidRDefault="002A79E2">
            <w:pPr>
              <w:jc w:val="center"/>
              <w:rPr>
                <w:rFonts w:ascii="Arial Narrow" w:hAnsi="Arial Narrow" w:cs="Open Sans"/>
                <w:color w:val="333333"/>
                <w:sz w:val="20"/>
                <w:szCs w:val="20"/>
              </w:rPr>
            </w:pPr>
          </w:p>
        </w:tc>
        <w:tc>
          <w:tcPr>
            <w:tcW w:w="7745" w:type="dxa"/>
            <w:gridSpan w:val="6"/>
          </w:tcPr>
          <w:p w14:paraId="7717C6B8" w14:textId="77777777" w:rsidR="002A79E2" w:rsidRPr="00860ABE" w:rsidRDefault="002A79E2">
            <w:pPr>
              <w:rPr>
                <w:rFonts w:ascii="Arial Narrow" w:hAnsi="Arial Narrow" w:cs="Open Sans"/>
                <w:b/>
                <w:color w:val="333333"/>
                <w:sz w:val="20"/>
                <w:szCs w:val="20"/>
              </w:rPr>
            </w:pPr>
            <w:r w:rsidRPr="00860ABE">
              <w:rPr>
                <w:rFonts w:ascii="Arial Narrow" w:hAnsi="Arial Narrow" w:cs="Open Sans"/>
                <w:b/>
                <w:color w:val="333333"/>
                <w:sz w:val="20"/>
                <w:szCs w:val="20"/>
              </w:rPr>
              <w:t>AND</w:t>
            </w:r>
          </w:p>
        </w:tc>
      </w:tr>
      <w:tr w:rsidR="002A79E2" w:rsidRPr="00F93F3C" w14:paraId="285A1940" w14:textId="77777777">
        <w:trPr>
          <w:trHeight w:val="20"/>
        </w:trPr>
        <w:tc>
          <w:tcPr>
            <w:tcW w:w="1272" w:type="dxa"/>
            <w:gridSpan w:val="2"/>
            <w:tcBorders>
              <w:top w:val="single" w:sz="4" w:space="0" w:color="auto"/>
              <w:left w:val="single" w:sz="4" w:space="0" w:color="auto"/>
              <w:bottom w:val="single" w:sz="4" w:space="0" w:color="auto"/>
              <w:right w:val="single" w:sz="4" w:space="0" w:color="auto"/>
            </w:tcBorders>
            <w:shd w:val="clear" w:color="auto" w:fill="auto"/>
          </w:tcPr>
          <w:p w14:paraId="44B91AA9" w14:textId="17FF464A" w:rsidR="002A79E2" w:rsidRPr="00860ABE" w:rsidRDefault="002A79E2">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C40ADD9" w14:textId="77777777" w:rsidR="002A79E2" w:rsidRPr="00860ABE" w:rsidRDefault="002A79E2">
            <w:pPr>
              <w:rPr>
                <w:rFonts w:ascii="Arial Narrow" w:hAnsi="Arial Narrow" w:cs="Open Sans"/>
                <w:color w:val="333333"/>
                <w:sz w:val="20"/>
                <w:szCs w:val="20"/>
              </w:rPr>
            </w:pPr>
            <w:r w:rsidRPr="00860ABE">
              <w:rPr>
                <w:rStyle w:val="Strong"/>
                <w:rFonts w:ascii="Arial Narrow" w:hAnsi="Arial Narrow" w:cs="Open Sans"/>
                <w:color w:val="333333"/>
                <w:sz w:val="20"/>
                <w:szCs w:val="20"/>
                <w:bdr w:val="none" w:sz="0" w:space="0" w:color="auto" w:frame="1"/>
              </w:rPr>
              <w:t>Clinical criteria:</w:t>
            </w:r>
          </w:p>
        </w:tc>
      </w:tr>
      <w:tr w:rsidR="002A79E2" w:rsidRPr="00F93F3C" w14:paraId="532B7FA3" w14:textId="77777777">
        <w:trPr>
          <w:trHeight w:val="20"/>
        </w:trPr>
        <w:tc>
          <w:tcPr>
            <w:tcW w:w="1272" w:type="dxa"/>
            <w:gridSpan w:val="2"/>
            <w:tcBorders>
              <w:top w:val="single" w:sz="4" w:space="0" w:color="auto"/>
              <w:left w:val="single" w:sz="4" w:space="0" w:color="auto"/>
              <w:bottom w:val="single" w:sz="4" w:space="0" w:color="auto"/>
              <w:right w:val="single" w:sz="4" w:space="0" w:color="auto"/>
            </w:tcBorders>
            <w:shd w:val="clear" w:color="auto" w:fill="auto"/>
          </w:tcPr>
          <w:p w14:paraId="238787AA" w14:textId="37385282" w:rsidR="002A79E2" w:rsidRPr="00860ABE" w:rsidRDefault="002A79E2">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16C4F50" w14:textId="77777777" w:rsidR="002A79E2" w:rsidRPr="00860ABE" w:rsidRDefault="002A79E2">
            <w:pPr>
              <w:rPr>
                <w:rFonts w:ascii="Arial Narrow" w:hAnsi="Arial Narrow" w:cs="Open Sans"/>
                <w:color w:val="333333"/>
                <w:sz w:val="20"/>
                <w:szCs w:val="20"/>
              </w:rPr>
            </w:pPr>
            <w:r w:rsidRPr="00860ABE">
              <w:rPr>
                <w:rFonts w:ascii="Arial Narrow" w:hAnsi="Arial Narrow" w:cs="Open Sans"/>
                <w:color w:val="333333"/>
                <w:sz w:val="20"/>
                <w:szCs w:val="20"/>
              </w:rPr>
              <w:t>Patient must not have/be each of: (</w:t>
            </w:r>
            <w:proofErr w:type="spellStart"/>
            <w:r w:rsidRPr="00860ABE">
              <w:rPr>
                <w:rFonts w:ascii="Arial Narrow" w:hAnsi="Arial Narrow" w:cs="Open Sans"/>
                <w:color w:val="333333"/>
                <w:sz w:val="20"/>
                <w:szCs w:val="20"/>
              </w:rPr>
              <w:t>i</w:t>
            </w:r>
            <w:proofErr w:type="spellEnd"/>
            <w:r w:rsidRPr="00860ABE">
              <w:rPr>
                <w:rFonts w:ascii="Arial Narrow" w:hAnsi="Arial Narrow" w:cs="Open Sans"/>
                <w:color w:val="333333"/>
                <w:sz w:val="20"/>
                <w:szCs w:val="20"/>
              </w:rPr>
              <w:t>) severe liver disease, (ii) immunocompromised</w:t>
            </w:r>
          </w:p>
        </w:tc>
      </w:tr>
      <w:tr w:rsidR="002A79E2" w:rsidRPr="00F93F3C" w14:paraId="33517955" w14:textId="77777777">
        <w:trPr>
          <w:trHeight w:val="20"/>
        </w:trPr>
        <w:tc>
          <w:tcPr>
            <w:tcW w:w="1272" w:type="dxa"/>
            <w:gridSpan w:val="2"/>
            <w:tcBorders>
              <w:top w:val="single" w:sz="4" w:space="0" w:color="auto"/>
            </w:tcBorders>
          </w:tcPr>
          <w:p w14:paraId="46CC664F" w14:textId="77777777" w:rsidR="002A79E2" w:rsidRPr="00860ABE" w:rsidRDefault="002A79E2">
            <w:pPr>
              <w:jc w:val="center"/>
              <w:rPr>
                <w:rFonts w:ascii="Arial Narrow" w:hAnsi="Arial Narrow"/>
                <w:color w:val="333333"/>
                <w:sz w:val="20"/>
                <w:szCs w:val="20"/>
              </w:rPr>
            </w:pPr>
          </w:p>
        </w:tc>
        <w:tc>
          <w:tcPr>
            <w:tcW w:w="7745" w:type="dxa"/>
            <w:gridSpan w:val="6"/>
            <w:tcBorders>
              <w:top w:val="single" w:sz="4" w:space="0" w:color="auto"/>
            </w:tcBorders>
          </w:tcPr>
          <w:p w14:paraId="2A7DB33A" w14:textId="77777777" w:rsidR="002A79E2" w:rsidRPr="0087647B" w:rsidRDefault="002A79E2">
            <w:pPr>
              <w:rPr>
                <w:rFonts w:ascii="Arial Narrow" w:hAnsi="Arial Narrow"/>
                <w:b/>
                <w:bCs/>
                <w:color w:val="333333"/>
                <w:sz w:val="20"/>
                <w:szCs w:val="20"/>
              </w:rPr>
            </w:pPr>
            <w:r w:rsidRPr="0087647B">
              <w:rPr>
                <w:rStyle w:val="Strong"/>
                <w:rFonts w:ascii="Arial Narrow" w:hAnsi="Arial Narrow" w:cs="Open Sans"/>
                <w:color w:val="333333"/>
                <w:sz w:val="20"/>
                <w:szCs w:val="20"/>
                <w:bdr w:val="none" w:sz="0" w:space="0" w:color="auto" w:frame="1"/>
              </w:rPr>
              <w:t>AND</w:t>
            </w:r>
          </w:p>
        </w:tc>
      </w:tr>
      <w:tr w:rsidR="002A79E2" w:rsidRPr="00F93F3C" w14:paraId="06075AA6" w14:textId="77777777">
        <w:trPr>
          <w:trHeight w:val="20"/>
        </w:trPr>
        <w:tc>
          <w:tcPr>
            <w:tcW w:w="1272" w:type="dxa"/>
            <w:gridSpan w:val="2"/>
          </w:tcPr>
          <w:p w14:paraId="57A893BC" w14:textId="06C225F6" w:rsidR="002A79E2" w:rsidRPr="00860ABE" w:rsidRDefault="002A79E2">
            <w:pPr>
              <w:jc w:val="center"/>
              <w:rPr>
                <w:rFonts w:ascii="Arial Narrow" w:hAnsi="Arial Narrow"/>
                <w:color w:val="333333"/>
                <w:sz w:val="20"/>
                <w:szCs w:val="20"/>
              </w:rPr>
            </w:pPr>
          </w:p>
        </w:tc>
        <w:tc>
          <w:tcPr>
            <w:tcW w:w="7745" w:type="dxa"/>
            <w:gridSpan w:val="6"/>
          </w:tcPr>
          <w:p w14:paraId="793875AD" w14:textId="77777777" w:rsidR="002A79E2" w:rsidRPr="0087647B" w:rsidRDefault="002A79E2">
            <w:pPr>
              <w:rPr>
                <w:rFonts w:ascii="Arial Narrow" w:hAnsi="Arial Narrow"/>
                <w:b/>
                <w:bCs/>
                <w:color w:val="333333"/>
                <w:sz w:val="20"/>
                <w:szCs w:val="20"/>
              </w:rPr>
            </w:pPr>
            <w:r w:rsidRPr="0087647B">
              <w:rPr>
                <w:rStyle w:val="Strong"/>
                <w:rFonts w:ascii="Arial Narrow" w:hAnsi="Arial Narrow" w:cs="Open Sans"/>
                <w:color w:val="333333"/>
                <w:sz w:val="20"/>
                <w:szCs w:val="20"/>
                <w:bdr w:val="none" w:sz="0" w:space="0" w:color="auto" w:frame="1"/>
              </w:rPr>
              <w:t>Clinical criteria:</w:t>
            </w:r>
          </w:p>
        </w:tc>
      </w:tr>
      <w:tr w:rsidR="002A79E2" w:rsidRPr="00F93F3C" w14:paraId="3CCE6557" w14:textId="77777777">
        <w:trPr>
          <w:trHeight w:val="20"/>
        </w:trPr>
        <w:tc>
          <w:tcPr>
            <w:tcW w:w="1272" w:type="dxa"/>
            <w:gridSpan w:val="2"/>
          </w:tcPr>
          <w:p w14:paraId="632D3BE3" w14:textId="613714F3" w:rsidR="002A79E2" w:rsidRPr="00F23836" w:rsidRDefault="002A79E2">
            <w:pPr>
              <w:jc w:val="center"/>
              <w:rPr>
                <w:rFonts w:ascii="Arial Narrow" w:hAnsi="Arial Narrow"/>
                <w:color w:val="333333"/>
                <w:sz w:val="20"/>
                <w:szCs w:val="20"/>
              </w:rPr>
            </w:pPr>
          </w:p>
        </w:tc>
        <w:tc>
          <w:tcPr>
            <w:tcW w:w="7745" w:type="dxa"/>
            <w:gridSpan w:val="6"/>
          </w:tcPr>
          <w:p w14:paraId="595F6C66" w14:textId="77777777"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Patient must have had, prior to initiating treatment with this drug, an alkaline phosphatase (ALP) level of at least 1.67 times the upper limit of normal (ULN) having accounted for each of: (</w:t>
            </w:r>
            <w:proofErr w:type="spellStart"/>
            <w:r w:rsidRPr="0087647B">
              <w:rPr>
                <w:rFonts w:ascii="Arial Narrow" w:hAnsi="Arial Narrow" w:cs="Open Sans"/>
                <w:color w:val="333333"/>
                <w:sz w:val="20"/>
                <w:szCs w:val="20"/>
              </w:rPr>
              <w:t>i</w:t>
            </w:r>
            <w:proofErr w:type="spellEnd"/>
            <w:r w:rsidRPr="0087647B">
              <w:rPr>
                <w:rFonts w:ascii="Arial Narrow" w:hAnsi="Arial Narrow" w:cs="Open Sans"/>
                <w:color w:val="333333"/>
                <w:sz w:val="20"/>
                <w:szCs w:val="20"/>
              </w:rPr>
              <w:t>) age, (ii) gender, (iii) laboratory to laboratory variances in the definition of ‘normal’, despite treatment with ursodeoxycholic acid for at least 52 cumulative weeks; or</w:t>
            </w:r>
          </w:p>
        </w:tc>
      </w:tr>
      <w:tr w:rsidR="002A79E2" w:rsidRPr="00F93F3C" w14:paraId="4EB9EF83" w14:textId="77777777">
        <w:trPr>
          <w:trHeight w:val="20"/>
        </w:trPr>
        <w:tc>
          <w:tcPr>
            <w:tcW w:w="1272" w:type="dxa"/>
            <w:gridSpan w:val="2"/>
          </w:tcPr>
          <w:p w14:paraId="55127DBE" w14:textId="192B8C2A" w:rsidR="002A79E2" w:rsidRPr="00F23836" w:rsidRDefault="002A79E2">
            <w:pPr>
              <w:jc w:val="center"/>
              <w:rPr>
                <w:rFonts w:ascii="Arial Narrow" w:hAnsi="Arial Narrow"/>
                <w:color w:val="333333"/>
                <w:sz w:val="20"/>
                <w:szCs w:val="20"/>
              </w:rPr>
            </w:pPr>
          </w:p>
        </w:tc>
        <w:tc>
          <w:tcPr>
            <w:tcW w:w="7745" w:type="dxa"/>
            <w:gridSpan w:val="6"/>
          </w:tcPr>
          <w:p w14:paraId="416EB246" w14:textId="21F17E01"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 xml:space="preserve"> Patient must have had, prior to initiating treatment with this drug, a total bilirubin level </w:t>
            </w:r>
            <w:r w:rsidRPr="0087647B">
              <w:rPr>
                <w:rFonts w:ascii="Arial Narrow" w:hAnsi="Arial Narrow" w:cs="Open Sans"/>
                <w:i/>
                <w:iCs/>
                <w:color w:val="333333"/>
                <w:sz w:val="20"/>
                <w:szCs w:val="20"/>
              </w:rPr>
              <w:t>between 1 to 2 times</w:t>
            </w:r>
            <w:r w:rsidRPr="0087647B">
              <w:rPr>
                <w:rFonts w:ascii="Arial Narrow" w:hAnsi="Arial Narrow" w:cs="Open Sans"/>
                <w:color w:val="333333"/>
                <w:sz w:val="20"/>
                <w:szCs w:val="20"/>
              </w:rPr>
              <w:t xml:space="preserve"> the ULN, despite treatment with ursodeoxycholic acid for at least 52 cumulative weeks; or</w:t>
            </w:r>
          </w:p>
        </w:tc>
      </w:tr>
      <w:tr w:rsidR="002A79E2" w:rsidRPr="00F93F3C" w14:paraId="6B05E9E4" w14:textId="77777777">
        <w:trPr>
          <w:trHeight w:val="20"/>
        </w:trPr>
        <w:tc>
          <w:tcPr>
            <w:tcW w:w="1272" w:type="dxa"/>
            <w:gridSpan w:val="2"/>
          </w:tcPr>
          <w:p w14:paraId="4E264463" w14:textId="36ACF196" w:rsidR="002A79E2" w:rsidRPr="00F23836" w:rsidRDefault="002A79E2">
            <w:pPr>
              <w:jc w:val="center"/>
              <w:rPr>
                <w:rFonts w:ascii="Arial Narrow" w:hAnsi="Arial Narrow"/>
                <w:color w:val="333333"/>
                <w:sz w:val="20"/>
                <w:szCs w:val="20"/>
              </w:rPr>
            </w:pPr>
          </w:p>
        </w:tc>
        <w:tc>
          <w:tcPr>
            <w:tcW w:w="7745" w:type="dxa"/>
            <w:gridSpan w:val="6"/>
          </w:tcPr>
          <w:p w14:paraId="2D1A74F7" w14:textId="77777777"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Patient must have had, prior to initiating treatment with this drug</w:t>
            </w:r>
            <w:r w:rsidRPr="0087647B">
              <w:rPr>
                <w:rFonts w:ascii="Arial Narrow" w:hAnsi="Arial Narrow" w:cs="Open Sans"/>
                <w:i/>
                <w:iCs/>
                <w:color w:val="333333"/>
                <w:sz w:val="20"/>
                <w:szCs w:val="20"/>
              </w:rPr>
              <w:t>,</w:t>
            </w:r>
            <w:r w:rsidRPr="0087647B">
              <w:rPr>
                <w:rFonts w:ascii="Arial Narrow" w:hAnsi="Arial Narrow" w:cs="Open Sans"/>
                <w:color w:val="333333"/>
                <w:sz w:val="20"/>
                <w:szCs w:val="20"/>
              </w:rPr>
              <w:t xml:space="preserve"> abnormal readings of at least one of: (</w:t>
            </w:r>
            <w:proofErr w:type="spellStart"/>
            <w:r w:rsidRPr="0087647B">
              <w:rPr>
                <w:rFonts w:ascii="Arial Narrow" w:hAnsi="Arial Narrow" w:cs="Open Sans"/>
                <w:color w:val="333333"/>
                <w:sz w:val="20"/>
                <w:szCs w:val="20"/>
              </w:rPr>
              <w:t>i</w:t>
            </w:r>
            <w:proofErr w:type="spellEnd"/>
            <w:r w:rsidRPr="0087647B">
              <w:rPr>
                <w:rFonts w:ascii="Arial Narrow" w:hAnsi="Arial Narrow" w:cs="Open Sans"/>
                <w:color w:val="333333"/>
                <w:sz w:val="20"/>
                <w:szCs w:val="20"/>
              </w:rPr>
              <w:t>) alkaline phosphatase (ii) total bilirubin, in the presence of an intolerance of a severity requiring treatment discontinuation with ursodeoxycholic acid</w:t>
            </w:r>
          </w:p>
        </w:tc>
      </w:tr>
      <w:tr w:rsidR="002A79E2" w:rsidRPr="00F93F3C" w14:paraId="2FAE131F" w14:textId="77777777">
        <w:trPr>
          <w:trHeight w:val="20"/>
        </w:trPr>
        <w:tc>
          <w:tcPr>
            <w:tcW w:w="1272" w:type="dxa"/>
            <w:gridSpan w:val="2"/>
          </w:tcPr>
          <w:p w14:paraId="5CEAB894" w14:textId="23BCE887" w:rsidR="002A79E2" w:rsidRPr="00F23836" w:rsidRDefault="002A79E2">
            <w:pPr>
              <w:jc w:val="center"/>
              <w:rPr>
                <w:rFonts w:ascii="Arial Narrow" w:hAnsi="Arial Narrow"/>
                <w:color w:val="333333"/>
                <w:sz w:val="20"/>
                <w:szCs w:val="20"/>
              </w:rPr>
            </w:pPr>
          </w:p>
        </w:tc>
        <w:tc>
          <w:tcPr>
            <w:tcW w:w="7745" w:type="dxa"/>
            <w:gridSpan w:val="6"/>
          </w:tcPr>
          <w:p w14:paraId="33B7DD35" w14:textId="77777777" w:rsidR="002A79E2" w:rsidRPr="0087647B" w:rsidRDefault="002A79E2">
            <w:pPr>
              <w:rPr>
                <w:rFonts w:ascii="Arial Narrow" w:hAnsi="Arial Narrow"/>
                <w:b/>
                <w:bCs/>
                <w:color w:val="333333"/>
                <w:sz w:val="20"/>
                <w:szCs w:val="20"/>
              </w:rPr>
            </w:pPr>
            <w:r w:rsidRPr="0087647B">
              <w:rPr>
                <w:rStyle w:val="Strong"/>
                <w:rFonts w:ascii="Arial Narrow" w:hAnsi="Arial Narrow" w:cs="Open Sans"/>
                <w:color w:val="333333"/>
                <w:sz w:val="20"/>
                <w:szCs w:val="20"/>
                <w:bdr w:val="none" w:sz="0" w:space="0" w:color="auto" w:frame="1"/>
              </w:rPr>
              <w:t>Population criteria:</w:t>
            </w:r>
          </w:p>
        </w:tc>
      </w:tr>
      <w:tr w:rsidR="002A79E2" w:rsidRPr="00F93F3C" w14:paraId="492E4D6F" w14:textId="77777777">
        <w:trPr>
          <w:trHeight w:val="20"/>
        </w:trPr>
        <w:tc>
          <w:tcPr>
            <w:tcW w:w="1272" w:type="dxa"/>
            <w:gridSpan w:val="2"/>
          </w:tcPr>
          <w:p w14:paraId="44205012" w14:textId="21313F23" w:rsidR="002A79E2" w:rsidRPr="00F23836" w:rsidRDefault="002A79E2">
            <w:pPr>
              <w:jc w:val="center"/>
              <w:rPr>
                <w:rFonts w:ascii="Arial Narrow" w:hAnsi="Arial Narrow"/>
                <w:color w:val="333333"/>
                <w:sz w:val="20"/>
                <w:szCs w:val="20"/>
              </w:rPr>
            </w:pPr>
          </w:p>
        </w:tc>
        <w:tc>
          <w:tcPr>
            <w:tcW w:w="7745" w:type="dxa"/>
            <w:gridSpan w:val="6"/>
          </w:tcPr>
          <w:p w14:paraId="26ACAB24" w14:textId="77777777"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Patient must be at least 18 years of age</w:t>
            </w:r>
          </w:p>
        </w:tc>
      </w:tr>
      <w:tr w:rsidR="002A79E2" w:rsidRPr="00F93F3C" w14:paraId="0F9F7361" w14:textId="77777777">
        <w:trPr>
          <w:trHeight w:val="20"/>
        </w:trPr>
        <w:tc>
          <w:tcPr>
            <w:tcW w:w="1272" w:type="dxa"/>
            <w:gridSpan w:val="2"/>
          </w:tcPr>
          <w:p w14:paraId="105D6E7F" w14:textId="794FEF1D" w:rsidR="002A79E2" w:rsidRPr="00F23836" w:rsidRDefault="002A79E2">
            <w:pPr>
              <w:jc w:val="center"/>
              <w:rPr>
                <w:rFonts w:ascii="Arial Narrow" w:hAnsi="Arial Narrow"/>
                <w:color w:val="333333"/>
                <w:sz w:val="20"/>
                <w:szCs w:val="20"/>
              </w:rPr>
            </w:pPr>
          </w:p>
        </w:tc>
        <w:tc>
          <w:tcPr>
            <w:tcW w:w="7745" w:type="dxa"/>
            <w:gridSpan w:val="6"/>
          </w:tcPr>
          <w:p w14:paraId="6B64C970" w14:textId="77777777" w:rsidR="002A79E2" w:rsidRPr="0087647B" w:rsidRDefault="002A79E2">
            <w:pPr>
              <w:pStyle w:val="NormalWeb"/>
              <w:spacing w:before="0" w:after="0"/>
              <w:textAlignment w:val="baseline"/>
              <w:rPr>
                <w:rFonts w:ascii="Arial Narrow" w:hAnsi="Arial Narrow" w:cs="Open Sans"/>
                <w:color w:val="333333"/>
                <w:sz w:val="20"/>
                <w:szCs w:val="20"/>
              </w:rPr>
            </w:pPr>
            <w:r w:rsidRPr="0087647B">
              <w:rPr>
                <w:rStyle w:val="Strong"/>
                <w:rFonts w:ascii="Arial Narrow" w:eastAsiaTheme="majorEastAsia" w:hAnsi="Arial Narrow" w:cs="Open Sans"/>
                <w:color w:val="333333"/>
                <w:sz w:val="20"/>
                <w:szCs w:val="20"/>
                <w:bdr w:val="none" w:sz="0" w:space="0" w:color="auto" w:frame="1"/>
              </w:rPr>
              <w:t>Prescribing Instructions:</w:t>
            </w:r>
          </w:p>
          <w:p w14:paraId="1490BC96" w14:textId="77777777" w:rsidR="002A79E2" w:rsidRPr="0087647B" w:rsidRDefault="002A79E2">
            <w:pPr>
              <w:rPr>
                <w:rFonts w:ascii="Arial Narrow" w:hAnsi="Arial Narrow"/>
                <w:b/>
                <w:bCs/>
                <w:color w:val="333333"/>
                <w:sz w:val="20"/>
                <w:szCs w:val="20"/>
              </w:rPr>
            </w:pPr>
            <w:r w:rsidRPr="0087647B">
              <w:rPr>
                <w:rFonts w:ascii="Arial Narrow" w:hAnsi="Arial Narrow" w:cs="Open Sans"/>
                <w:color w:val="333333"/>
                <w:sz w:val="20"/>
                <w:szCs w:val="20"/>
              </w:rPr>
              <w:t>Document and retain in the patient's medical records the qualifying baseline laboratory reading for the purpose of assessing response to treatment under the 'Continuing treatment' restriction.</w:t>
            </w:r>
          </w:p>
        </w:tc>
      </w:tr>
      <w:tr w:rsidR="002A79E2" w:rsidRPr="00F93F3C" w14:paraId="3F528191" w14:textId="77777777">
        <w:tc>
          <w:tcPr>
            <w:tcW w:w="1272" w:type="dxa"/>
            <w:gridSpan w:val="2"/>
          </w:tcPr>
          <w:p w14:paraId="7319FC25" w14:textId="0A951DBB" w:rsidR="002A79E2" w:rsidRPr="00F23836" w:rsidRDefault="002A79E2">
            <w:pPr>
              <w:jc w:val="center"/>
              <w:textAlignment w:val="baseline"/>
              <w:rPr>
                <w:rFonts w:ascii="Arial Narrow" w:hAnsi="Arial Narrow" w:cs="Open Sans"/>
                <w:color w:val="333333"/>
                <w:sz w:val="20"/>
                <w:szCs w:val="20"/>
              </w:rPr>
            </w:pPr>
          </w:p>
        </w:tc>
        <w:tc>
          <w:tcPr>
            <w:tcW w:w="7745" w:type="dxa"/>
            <w:gridSpan w:val="6"/>
          </w:tcPr>
          <w:p w14:paraId="46EB0237" w14:textId="77777777" w:rsidR="002A79E2" w:rsidRPr="00F23836" w:rsidRDefault="002A79E2">
            <w:pPr>
              <w:textAlignment w:val="baseline"/>
              <w:rPr>
                <w:rFonts w:ascii="Arial Narrow" w:hAnsi="Arial Narrow" w:cs="Open Sans"/>
                <w:color w:val="333333"/>
                <w:sz w:val="20"/>
                <w:szCs w:val="20"/>
              </w:rPr>
            </w:pPr>
            <w:r w:rsidRPr="00F23836">
              <w:rPr>
                <w:rFonts w:ascii="Arial Narrow" w:hAnsi="Arial Narrow" w:cs="Open Sans"/>
                <w:b/>
                <w:color w:val="333333"/>
                <w:sz w:val="20"/>
                <w:szCs w:val="20"/>
                <w:bdr w:val="none" w:sz="0" w:space="0" w:color="auto" w:frame="1"/>
              </w:rPr>
              <w:t>Administrative Advice:</w:t>
            </w:r>
          </w:p>
          <w:p w14:paraId="40C0CBAD" w14:textId="77777777" w:rsidR="002A79E2" w:rsidRPr="00F23836" w:rsidRDefault="002A79E2">
            <w:pPr>
              <w:textAlignment w:val="baseline"/>
              <w:rPr>
                <w:rFonts w:ascii="Arial Narrow" w:hAnsi="Arial Narrow" w:cs="Open Sans"/>
                <w:b/>
                <w:color w:val="333333"/>
                <w:sz w:val="20"/>
                <w:szCs w:val="20"/>
                <w:bdr w:val="none" w:sz="0" w:space="0" w:color="auto" w:frame="1"/>
              </w:rPr>
            </w:pPr>
            <w:r w:rsidRPr="0087647B">
              <w:rPr>
                <w:rStyle w:val="normaltextrun"/>
                <w:rFonts w:ascii="Arial Narrow" w:hAnsi="Arial Narrow" w:cs="Segoe UI"/>
                <w:color w:val="333333"/>
                <w:sz w:val="20"/>
                <w:szCs w:val="20"/>
              </w:rPr>
              <w:t>Patients may qualify for PBS-subsidised treatment under this restriction once only. For continuing PBS-subsidised treatment, a 'Grandfathered' patient must qualify under the 'Continuing treatment' criteria.</w:t>
            </w:r>
            <w:r w:rsidRPr="0087647B">
              <w:rPr>
                <w:rStyle w:val="eop"/>
                <w:rFonts w:ascii="Arial Narrow" w:hAnsi="Arial Narrow" w:cs="Segoe UI"/>
                <w:color w:val="333333"/>
                <w:sz w:val="20"/>
                <w:szCs w:val="20"/>
              </w:rPr>
              <w:t> </w:t>
            </w:r>
          </w:p>
        </w:tc>
      </w:tr>
      <w:tr w:rsidR="002A79E2" w:rsidRPr="00F93F3C" w14:paraId="27EEFE2B" w14:textId="77777777">
        <w:tc>
          <w:tcPr>
            <w:tcW w:w="1272" w:type="dxa"/>
            <w:gridSpan w:val="2"/>
          </w:tcPr>
          <w:p w14:paraId="5B4169B9" w14:textId="15A23B85" w:rsidR="002A79E2" w:rsidRPr="00F23836" w:rsidRDefault="002A79E2">
            <w:pPr>
              <w:jc w:val="center"/>
              <w:textAlignment w:val="baseline"/>
              <w:rPr>
                <w:rFonts w:ascii="Arial Narrow" w:hAnsi="Arial Narrow" w:cs="Open Sans"/>
                <w:color w:val="333333"/>
                <w:sz w:val="20"/>
                <w:szCs w:val="20"/>
              </w:rPr>
            </w:pPr>
          </w:p>
        </w:tc>
        <w:tc>
          <w:tcPr>
            <w:tcW w:w="7745" w:type="dxa"/>
            <w:gridSpan w:val="6"/>
          </w:tcPr>
          <w:p w14:paraId="7781B412" w14:textId="77777777" w:rsidR="002A79E2" w:rsidRPr="00F23836" w:rsidRDefault="002A79E2">
            <w:pPr>
              <w:textAlignment w:val="baseline"/>
              <w:rPr>
                <w:rFonts w:ascii="Arial Narrow" w:hAnsi="Arial Narrow" w:cs="Open Sans"/>
                <w:color w:val="333333"/>
                <w:sz w:val="20"/>
                <w:szCs w:val="20"/>
              </w:rPr>
            </w:pPr>
            <w:r w:rsidRPr="00F23836">
              <w:rPr>
                <w:rFonts w:ascii="Arial Narrow" w:hAnsi="Arial Narrow" w:cs="Open Sans"/>
                <w:b/>
                <w:color w:val="333333"/>
                <w:sz w:val="20"/>
                <w:szCs w:val="20"/>
                <w:bdr w:val="none" w:sz="0" w:space="0" w:color="auto" w:frame="1"/>
              </w:rPr>
              <w:t>Administrative Advice:</w:t>
            </w:r>
          </w:p>
          <w:p w14:paraId="45E61CE3" w14:textId="77777777" w:rsidR="002A79E2" w:rsidRPr="00F23836" w:rsidRDefault="002A79E2">
            <w:pPr>
              <w:textAlignment w:val="baseline"/>
              <w:rPr>
                <w:rFonts w:ascii="Arial Narrow" w:hAnsi="Arial Narrow" w:cs="Open Sans"/>
                <w:b/>
                <w:color w:val="333333"/>
                <w:sz w:val="20"/>
                <w:szCs w:val="20"/>
                <w:bdr w:val="none" w:sz="0" w:space="0" w:color="auto" w:frame="1"/>
              </w:rPr>
            </w:pPr>
            <w:r w:rsidRPr="0087647B">
              <w:rPr>
                <w:rStyle w:val="normaltextrun"/>
                <w:rFonts w:ascii="Arial Narrow" w:hAnsi="Arial Narrow" w:cs="Segoe UI"/>
                <w:color w:val="333333"/>
                <w:sz w:val="20"/>
                <w:szCs w:val="20"/>
              </w:rPr>
              <w:t>This grandfather restriction will cease to operate from 12 months after the date specified in the clinical criteria.</w:t>
            </w:r>
            <w:r w:rsidRPr="0087647B">
              <w:rPr>
                <w:rStyle w:val="eop"/>
                <w:rFonts w:ascii="Arial Narrow" w:hAnsi="Arial Narrow" w:cs="Segoe UI"/>
                <w:color w:val="333333"/>
                <w:sz w:val="20"/>
                <w:szCs w:val="20"/>
              </w:rPr>
              <w:t> </w:t>
            </w:r>
          </w:p>
        </w:tc>
      </w:tr>
    </w:tbl>
    <w:p w14:paraId="169978F6" w14:textId="77777777" w:rsidR="002A79E2" w:rsidRDefault="002A79E2" w:rsidP="002A79E2">
      <w:pPr>
        <w:jc w:val="left"/>
        <w:rPr>
          <w:rFonts w:asciiTheme="minorHAnsi" w:hAnsiTheme="minorHAnsi"/>
          <w:b/>
          <w:snapToGrid w:val="0"/>
          <w:sz w:val="32"/>
          <w:szCs w:val="32"/>
        </w:rPr>
      </w:pPr>
    </w:p>
    <w:p w14:paraId="7698D099" w14:textId="0A6AB12C" w:rsidR="002A79E2" w:rsidRPr="00403441" w:rsidRDefault="00F96ADF" w:rsidP="00385FBB">
      <w:pPr>
        <w:pStyle w:val="3-BodyText"/>
      </w:pPr>
      <w:bookmarkStart w:id="86" w:name="_Hlk192588376"/>
      <w:bookmarkEnd w:id="86"/>
      <w:r>
        <w:t>Amend</w:t>
      </w:r>
      <w:r w:rsidR="00385FBB">
        <w:t xml:space="preserve"> the existing </w:t>
      </w:r>
      <w:proofErr w:type="spellStart"/>
      <w:r w:rsidR="00385FBB">
        <w:t>obeticholic</w:t>
      </w:r>
      <w:proofErr w:type="spellEnd"/>
      <w:r w:rsidR="00385FBB">
        <w:t xml:space="preserve"> acid restrictions as follows:</w:t>
      </w:r>
      <w:r w:rsidR="00C269DA">
        <w:t xml:space="preserve"> </w:t>
      </w:r>
    </w:p>
    <w:p w14:paraId="5F877072" w14:textId="487BB4E5" w:rsidR="002A79E2" w:rsidRDefault="002A79E2" w:rsidP="00385FBB">
      <w:pPr>
        <w:pStyle w:val="ListParagraph"/>
        <w:numPr>
          <w:ilvl w:val="0"/>
          <w:numId w:val="33"/>
        </w:numPr>
        <w:jc w:val="both"/>
      </w:pPr>
      <w:r>
        <w:t xml:space="preserve">Add new concept to OCA to exclude </w:t>
      </w:r>
      <w:r w:rsidR="00385FBB">
        <w:t>concomitant</w:t>
      </w:r>
      <w:r>
        <w:t xml:space="preserve"> treatment with </w:t>
      </w:r>
      <w:proofErr w:type="spellStart"/>
      <w:r>
        <w:t>elafibranor</w:t>
      </w:r>
      <w:proofErr w:type="spellEnd"/>
      <w:r w:rsidR="00385FBB">
        <w:t>:</w:t>
      </w:r>
    </w:p>
    <w:p w14:paraId="69F1B0C9" w14:textId="77777777" w:rsidR="002A79E2" w:rsidRPr="005B4935" w:rsidRDefault="002A79E2" w:rsidP="002A79E2">
      <w:pPr>
        <w:pStyle w:val="ListParagraph"/>
      </w:pPr>
      <w:r w:rsidRPr="005B4935">
        <w:t xml:space="preserve">12640G / </w:t>
      </w:r>
      <w:proofErr w:type="spellStart"/>
      <w:r w:rsidRPr="005B4935">
        <w:t>obeticholic</w:t>
      </w:r>
      <w:proofErr w:type="spellEnd"/>
      <w:r w:rsidRPr="005B4935">
        <w:t xml:space="preserve"> acid 10 mg tablet, 30 (continuing treatment)</w:t>
      </w:r>
    </w:p>
    <w:p w14:paraId="7817F405" w14:textId="1053FD05" w:rsidR="002A79E2" w:rsidRPr="005B4935" w:rsidRDefault="002A79E2" w:rsidP="002A79E2">
      <w:pPr>
        <w:pStyle w:val="ListParagraph"/>
      </w:pPr>
      <w:r w:rsidRPr="005B4935">
        <w:t xml:space="preserve">12630R / </w:t>
      </w:r>
      <w:proofErr w:type="spellStart"/>
      <w:r w:rsidRPr="005B4935">
        <w:t>obeticholic</w:t>
      </w:r>
      <w:proofErr w:type="spellEnd"/>
      <w:r w:rsidRPr="005B4935">
        <w:t xml:space="preserve"> acid 5 mg tablet, 30</w:t>
      </w:r>
      <w:r w:rsidR="005B4935" w:rsidRPr="005B4935">
        <w:t xml:space="preserve"> </w:t>
      </w:r>
      <w:r w:rsidRPr="005B4935">
        <w:t>(continuing treatment)</w:t>
      </w:r>
    </w:p>
    <w:p w14:paraId="49F95E53" w14:textId="77777777" w:rsidR="002A79E2" w:rsidRPr="005B4935" w:rsidRDefault="002A79E2" w:rsidP="002A79E2">
      <w:pPr>
        <w:pStyle w:val="ListParagraph"/>
      </w:pPr>
      <w:r w:rsidRPr="005B4935">
        <w:t xml:space="preserve">12623J / </w:t>
      </w:r>
      <w:proofErr w:type="spellStart"/>
      <w:r w:rsidRPr="005B4935">
        <w:t>obeticholic</w:t>
      </w:r>
      <w:proofErr w:type="spellEnd"/>
      <w:r w:rsidRPr="005B4935">
        <w:t xml:space="preserve"> acid 5 mg tablet, 30 (initial treatment)</w:t>
      </w:r>
    </w:p>
    <w:p w14:paraId="7EA46F63" w14:textId="77777777" w:rsidR="002A79E2" w:rsidRPr="005B4935" w:rsidRDefault="002A79E2" w:rsidP="002A79E2">
      <w:pPr>
        <w:pStyle w:val="ListParagraph"/>
      </w:pPr>
      <w:r w:rsidRPr="005B4935">
        <w:t xml:space="preserve">12645M / </w:t>
      </w:r>
      <w:proofErr w:type="spellStart"/>
      <w:r w:rsidRPr="005B4935">
        <w:t>obeticholic</w:t>
      </w:r>
      <w:proofErr w:type="spellEnd"/>
      <w:r w:rsidRPr="005B4935">
        <w:t xml:space="preserve"> acid 5 mg tablet, 30 (Grandfather arrangements - Supply Only)</w:t>
      </w:r>
    </w:p>
    <w:p w14:paraId="055235FC" w14:textId="56E10EA1" w:rsidR="002A79E2" w:rsidRPr="005B4935" w:rsidRDefault="002A79E2" w:rsidP="002A79E2">
      <w:pPr>
        <w:pStyle w:val="ListParagraph"/>
      </w:pPr>
      <w:r w:rsidRPr="005B4935">
        <w:t xml:space="preserve">12631T / </w:t>
      </w:r>
      <w:proofErr w:type="spellStart"/>
      <w:r w:rsidRPr="005B4935">
        <w:t>obeticholic</w:t>
      </w:r>
      <w:proofErr w:type="spellEnd"/>
      <w:r w:rsidRPr="005B4935">
        <w:t xml:space="preserve"> acid 10 mg tablet, 30</w:t>
      </w:r>
      <w:r w:rsidR="00CD3897">
        <w:t xml:space="preserve"> </w:t>
      </w:r>
      <w:r w:rsidRPr="005B4935">
        <w:t>(Grandfather arrangements - Supply Only)</w:t>
      </w:r>
    </w:p>
    <w:tbl>
      <w:tblPr>
        <w:tblStyle w:val="TableGrid"/>
        <w:tblW w:w="5000" w:type="pct"/>
        <w:tblLayout w:type="fixed"/>
        <w:tblLook w:val="0000" w:firstRow="0" w:lastRow="0" w:firstColumn="0" w:lastColumn="0" w:noHBand="0" w:noVBand="0"/>
      </w:tblPr>
      <w:tblGrid>
        <w:gridCol w:w="1272"/>
        <w:gridCol w:w="7745"/>
      </w:tblGrid>
      <w:tr w:rsidR="002A79E2" w:rsidRPr="00385FBB" w14:paraId="23E907E5" w14:textId="77777777">
        <w:trPr>
          <w:trHeight w:val="20"/>
        </w:trPr>
        <w:tc>
          <w:tcPr>
            <w:tcW w:w="1272" w:type="dxa"/>
          </w:tcPr>
          <w:p w14:paraId="3DEDB254" w14:textId="154B2861" w:rsidR="002A79E2" w:rsidRPr="00385FBB" w:rsidRDefault="002A79E2">
            <w:pPr>
              <w:jc w:val="center"/>
              <w:rPr>
                <w:rFonts w:ascii="Arial Narrow" w:hAnsi="Arial Narrow" w:cs="Open Sans"/>
                <w:i/>
                <w:iCs/>
                <w:color w:val="333333"/>
                <w:sz w:val="20"/>
                <w:szCs w:val="20"/>
              </w:rPr>
            </w:pPr>
          </w:p>
        </w:tc>
        <w:tc>
          <w:tcPr>
            <w:tcW w:w="7745" w:type="dxa"/>
          </w:tcPr>
          <w:p w14:paraId="62DF19AE" w14:textId="77777777" w:rsidR="002A79E2" w:rsidRPr="00385FBB" w:rsidRDefault="002A79E2">
            <w:pPr>
              <w:rPr>
                <w:rFonts w:ascii="Arial Narrow" w:hAnsi="Arial Narrow" w:cs="Open Sans"/>
                <w:b/>
                <w:bCs/>
                <w:strike/>
                <w:color w:val="333333"/>
                <w:sz w:val="20"/>
                <w:szCs w:val="20"/>
              </w:rPr>
            </w:pPr>
            <w:r w:rsidRPr="00385FBB">
              <w:rPr>
                <w:rFonts w:ascii="Arial Narrow" w:hAnsi="Arial Narrow" w:cs="Open Sans"/>
                <w:b/>
                <w:bCs/>
                <w:strike/>
                <w:color w:val="333333"/>
                <w:sz w:val="20"/>
                <w:szCs w:val="20"/>
              </w:rPr>
              <w:t>Clinical criteria:</w:t>
            </w:r>
            <w:r w:rsidRPr="00385FBB">
              <w:rPr>
                <w:rFonts w:ascii="Arial Narrow" w:hAnsi="Arial Narrow" w:cs="Open Sans"/>
                <w:b/>
                <w:bCs/>
                <w:color w:val="333333"/>
                <w:sz w:val="20"/>
                <w:szCs w:val="20"/>
              </w:rPr>
              <w:t xml:space="preserve"> </w:t>
            </w:r>
            <w:r w:rsidRPr="00385FBB">
              <w:rPr>
                <w:rFonts w:ascii="Arial Narrow" w:hAnsi="Arial Narrow" w:cs="Open Sans"/>
                <w:b/>
                <w:bCs/>
                <w:i/>
                <w:iCs/>
                <w:color w:val="333333"/>
                <w:sz w:val="20"/>
                <w:szCs w:val="20"/>
              </w:rPr>
              <w:t>Treatment criteria:</w:t>
            </w:r>
          </w:p>
        </w:tc>
      </w:tr>
      <w:tr w:rsidR="002A79E2" w:rsidRPr="00385FBB" w14:paraId="614BDDAB" w14:textId="77777777">
        <w:trPr>
          <w:trHeight w:val="20"/>
        </w:trPr>
        <w:tc>
          <w:tcPr>
            <w:tcW w:w="1272" w:type="dxa"/>
          </w:tcPr>
          <w:p w14:paraId="3DE0B44F" w14:textId="0A575F7A" w:rsidR="002A79E2" w:rsidRPr="00385FBB" w:rsidRDefault="002A79E2">
            <w:pPr>
              <w:jc w:val="center"/>
              <w:rPr>
                <w:rFonts w:ascii="Arial Narrow" w:hAnsi="Arial Narrow" w:cs="Open Sans"/>
                <w:i/>
                <w:iCs/>
                <w:color w:val="333333"/>
                <w:sz w:val="20"/>
                <w:szCs w:val="20"/>
              </w:rPr>
            </w:pPr>
          </w:p>
        </w:tc>
        <w:tc>
          <w:tcPr>
            <w:tcW w:w="7745" w:type="dxa"/>
          </w:tcPr>
          <w:p w14:paraId="7072058D" w14:textId="4C742326" w:rsidR="002A79E2" w:rsidRPr="00385FBB" w:rsidRDefault="002A79E2">
            <w:pPr>
              <w:rPr>
                <w:rFonts w:ascii="Arial Narrow" w:hAnsi="Arial Narrow" w:cs="Open Sans"/>
                <w:i/>
                <w:iCs/>
                <w:color w:val="333333"/>
                <w:sz w:val="20"/>
                <w:szCs w:val="20"/>
              </w:rPr>
            </w:pPr>
            <w:r w:rsidRPr="00385FBB">
              <w:rPr>
                <w:rFonts w:ascii="Arial Narrow" w:hAnsi="Arial Narrow" w:cs="Open Sans"/>
                <w:i/>
                <w:iCs/>
                <w:color w:val="333333"/>
                <w:sz w:val="20"/>
                <w:szCs w:val="20"/>
              </w:rPr>
              <w:t xml:space="preserve">Patient must not be undergoing concurrent treatment with </w:t>
            </w:r>
            <w:proofErr w:type="spellStart"/>
            <w:r w:rsidRPr="00385FBB">
              <w:rPr>
                <w:rFonts w:ascii="Arial Narrow" w:hAnsi="Arial Narrow" w:cs="Open Sans"/>
                <w:i/>
                <w:iCs/>
                <w:color w:val="333333"/>
                <w:sz w:val="20"/>
                <w:szCs w:val="20"/>
              </w:rPr>
              <w:t>elafibranor</w:t>
            </w:r>
            <w:proofErr w:type="spellEnd"/>
            <w:r w:rsidRPr="00385FBB">
              <w:rPr>
                <w:rFonts w:ascii="Arial Narrow" w:hAnsi="Arial Narrow" w:cs="Open Sans"/>
                <w:i/>
                <w:iCs/>
                <w:color w:val="333333"/>
                <w:sz w:val="20"/>
                <w:szCs w:val="20"/>
              </w:rPr>
              <w:t>. </w:t>
            </w:r>
          </w:p>
        </w:tc>
      </w:tr>
    </w:tbl>
    <w:p w14:paraId="7A98897B" w14:textId="77777777" w:rsidR="002A79E2" w:rsidRDefault="002A79E2" w:rsidP="005B4935">
      <w:pPr>
        <w:pStyle w:val="ListParagraph"/>
        <w:numPr>
          <w:ilvl w:val="0"/>
          <w:numId w:val="0"/>
        </w:numPr>
        <w:ind w:left="1440"/>
      </w:pPr>
    </w:p>
    <w:p w14:paraId="48DF2B58" w14:textId="77777777" w:rsidR="002A79E2" w:rsidRDefault="002A79E2" w:rsidP="005B4935">
      <w:pPr>
        <w:pStyle w:val="ListParagraph"/>
        <w:numPr>
          <w:ilvl w:val="0"/>
          <w:numId w:val="33"/>
        </w:numPr>
        <w:jc w:val="both"/>
      </w:pPr>
      <w:r>
        <w:lastRenderedPageBreak/>
        <w:t xml:space="preserve">Update to concept 13395 (removal of word ‘cholelithiasis’) to be flowed on to OCA only for PBS item codes: </w:t>
      </w:r>
    </w:p>
    <w:p w14:paraId="348EABF5" w14:textId="77777777" w:rsidR="002A79E2" w:rsidRPr="005B4935" w:rsidRDefault="002A79E2" w:rsidP="002A79E2">
      <w:pPr>
        <w:pStyle w:val="ListParagraph"/>
      </w:pPr>
      <w:r w:rsidRPr="005B4935">
        <w:t xml:space="preserve">12640G / </w:t>
      </w:r>
      <w:proofErr w:type="spellStart"/>
      <w:r w:rsidRPr="005B4935">
        <w:t>obeticholic</w:t>
      </w:r>
      <w:proofErr w:type="spellEnd"/>
      <w:r w:rsidRPr="005B4935">
        <w:t xml:space="preserve"> acid 10 mg tablet, 30 (continuing treatment)</w:t>
      </w:r>
    </w:p>
    <w:p w14:paraId="60679970" w14:textId="20F273DF" w:rsidR="002A79E2" w:rsidRPr="005B4935" w:rsidRDefault="002A79E2" w:rsidP="002A79E2">
      <w:pPr>
        <w:pStyle w:val="ListParagraph"/>
      </w:pPr>
      <w:r w:rsidRPr="005B4935">
        <w:t xml:space="preserve">12630R / </w:t>
      </w:r>
      <w:proofErr w:type="spellStart"/>
      <w:r w:rsidRPr="005B4935">
        <w:t>obeticholic</w:t>
      </w:r>
      <w:proofErr w:type="spellEnd"/>
      <w:r w:rsidRPr="005B4935">
        <w:t xml:space="preserve"> acid 5 mg tablet, 30</w:t>
      </w:r>
      <w:r w:rsidR="005B4935" w:rsidRPr="005B4935">
        <w:t xml:space="preserve"> </w:t>
      </w:r>
      <w:r w:rsidRPr="005B4935">
        <w:t>(continuing treatment)</w:t>
      </w:r>
    </w:p>
    <w:p w14:paraId="017649D0" w14:textId="77777777" w:rsidR="002A79E2" w:rsidRPr="005B4935" w:rsidRDefault="002A79E2" w:rsidP="002A79E2">
      <w:pPr>
        <w:pStyle w:val="ListParagraph"/>
      </w:pPr>
      <w:r w:rsidRPr="005B4935">
        <w:t xml:space="preserve">12623J / </w:t>
      </w:r>
      <w:proofErr w:type="spellStart"/>
      <w:r w:rsidRPr="005B4935">
        <w:t>obeticholic</w:t>
      </w:r>
      <w:proofErr w:type="spellEnd"/>
      <w:r w:rsidRPr="005B4935">
        <w:t xml:space="preserve"> acid 5 mg tablet, 30 (initial treatment)</w:t>
      </w:r>
    </w:p>
    <w:p w14:paraId="31FA6829" w14:textId="77777777" w:rsidR="002A79E2" w:rsidRPr="005B4935" w:rsidRDefault="002A79E2" w:rsidP="002A79E2">
      <w:pPr>
        <w:pStyle w:val="ListParagraph"/>
      </w:pPr>
      <w:r w:rsidRPr="005B4935">
        <w:t xml:space="preserve">12645M / </w:t>
      </w:r>
      <w:proofErr w:type="spellStart"/>
      <w:r w:rsidRPr="005B4935">
        <w:t>obeticholic</w:t>
      </w:r>
      <w:proofErr w:type="spellEnd"/>
      <w:r w:rsidRPr="005B4935">
        <w:t xml:space="preserve"> acid 5 mg tablet, 30 (Grandfather arrangements - Supply Only)</w:t>
      </w:r>
    </w:p>
    <w:p w14:paraId="6E7ABE31" w14:textId="74D03863" w:rsidR="002A79E2" w:rsidRPr="005B4935" w:rsidRDefault="002A79E2" w:rsidP="002A79E2">
      <w:pPr>
        <w:pStyle w:val="ListParagraph"/>
      </w:pPr>
      <w:r w:rsidRPr="005B4935">
        <w:t xml:space="preserve">12631T / </w:t>
      </w:r>
      <w:proofErr w:type="spellStart"/>
      <w:r w:rsidRPr="005B4935">
        <w:t>obeticholic</w:t>
      </w:r>
      <w:proofErr w:type="spellEnd"/>
      <w:r w:rsidRPr="005B4935">
        <w:t xml:space="preserve"> acid 10 mg tablet, 30</w:t>
      </w:r>
      <w:r w:rsidR="00CD3897">
        <w:t xml:space="preserve"> </w:t>
      </w:r>
      <w:r w:rsidRPr="005B4935">
        <w:t>(Grandfather arrangements - Supply Only)</w:t>
      </w:r>
    </w:p>
    <w:tbl>
      <w:tblPr>
        <w:tblStyle w:val="TableGrid"/>
        <w:tblW w:w="5000" w:type="pct"/>
        <w:tblLayout w:type="fixed"/>
        <w:tblLook w:val="0000" w:firstRow="0" w:lastRow="0" w:firstColumn="0" w:lastColumn="0" w:noHBand="0" w:noVBand="0"/>
      </w:tblPr>
      <w:tblGrid>
        <w:gridCol w:w="829"/>
        <w:gridCol w:w="8188"/>
      </w:tblGrid>
      <w:tr w:rsidR="002A79E2" w:rsidRPr="005B4935" w14:paraId="0A93EADB" w14:textId="77777777">
        <w:trPr>
          <w:trHeight w:val="20"/>
        </w:trPr>
        <w:tc>
          <w:tcPr>
            <w:tcW w:w="829" w:type="dxa"/>
            <w:tcBorders>
              <w:top w:val="single" w:sz="4" w:space="0" w:color="auto"/>
              <w:left w:val="single" w:sz="4" w:space="0" w:color="auto"/>
              <w:bottom w:val="single" w:sz="4" w:space="0" w:color="auto"/>
              <w:right w:val="single" w:sz="4" w:space="0" w:color="auto"/>
            </w:tcBorders>
            <w:shd w:val="clear" w:color="auto" w:fill="auto"/>
          </w:tcPr>
          <w:p w14:paraId="11957723" w14:textId="2CE24BFC" w:rsidR="002A79E2" w:rsidRPr="005B4935" w:rsidRDefault="002A79E2" w:rsidP="005B4935">
            <w:pPr>
              <w:jc w:val="center"/>
              <w:rPr>
                <w:rFonts w:ascii="Arial Narrow" w:hAnsi="Arial Narrow" w:cs="Open Sans"/>
                <w:i/>
                <w:iCs/>
                <w:color w:val="333333"/>
                <w:sz w:val="20"/>
                <w:szCs w:val="20"/>
              </w:rPr>
            </w:pPr>
          </w:p>
        </w:tc>
        <w:tc>
          <w:tcPr>
            <w:tcW w:w="8193" w:type="dxa"/>
            <w:tcBorders>
              <w:top w:val="single" w:sz="4" w:space="0" w:color="auto"/>
              <w:left w:val="single" w:sz="4" w:space="0" w:color="auto"/>
              <w:bottom w:val="single" w:sz="4" w:space="0" w:color="auto"/>
              <w:right w:val="single" w:sz="4" w:space="0" w:color="auto"/>
            </w:tcBorders>
            <w:shd w:val="clear" w:color="auto" w:fill="auto"/>
          </w:tcPr>
          <w:p w14:paraId="2E083463" w14:textId="77777777" w:rsidR="002A79E2" w:rsidRPr="005B4935" w:rsidRDefault="002A79E2">
            <w:pPr>
              <w:pStyle w:val="NormalWeb"/>
              <w:spacing w:before="0" w:after="0"/>
              <w:textAlignment w:val="baseline"/>
              <w:rPr>
                <w:rFonts w:ascii="Arial Narrow" w:hAnsi="Arial Narrow" w:cs="Open Sans"/>
                <w:i/>
                <w:iCs/>
                <w:color w:val="333333"/>
                <w:sz w:val="20"/>
                <w:szCs w:val="20"/>
              </w:rPr>
            </w:pPr>
            <w:r w:rsidRPr="005B4935">
              <w:rPr>
                <w:rStyle w:val="Strong"/>
                <w:rFonts w:ascii="Arial Narrow" w:eastAsiaTheme="majorEastAsia" w:hAnsi="Arial Narrow" w:cs="Open Sans"/>
                <w:i/>
                <w:iCs/>
                <w:color w:val="333333"/>
                <w:sz w:val="20"/>
                <w:szCs w:val="20"/>
                <w:bdr w:val="none" w:sz="0" w:space="0" w:color="auto" w:frame="1"/>
              </w:rPr>
              <w:t>Administrative Advice:</w:t>
            </w:r>
          </w:p>
          <w:p w14:paraId="0BCE7610" w14:textId="77777777" w:rsidR="002A79E2" w:rsidRPr="005B4935" w:rsidRDefault="002A79E2">
            <w:pPr>
              <w:pStyle w:val="NormalWeb"/>
              <w:spacing w:before="0" w:after="0"/>
              <w:textAlignment w:val="baseline"/>
              <w:rPr>
                <w:rStyle w:val="Strong"/>
                <w:rFonts w:ascii="Arial Narrow" w:eastAsiaTheme="majorEastAsia" w:hAnsi="Arial Narrow" w:cs="Open Sans"/>
                <w:i/>
                <w:iCs/>
                <w:color w:val="333333"/>
                <w:sz w:val="20"/>
                <w:szCs w:val="20"/>
                <w:bdr w:val="none" w:sz="0" w:space="0" w:color="auto" w:frame="1"/>
              </w:rPr>
            </w:pPr>
            <w:r w:rsidRPr="005B4935">
              <w:rPr>
                <w:rFonts w:ascii="Arial Narrow" w:hAnsi="Arial Narrow" w:cs="Open Sans"/>
                <w:i/>
                <w:iCs/>
                <w:color w:val="333333"/>
                <w:sz w:val="20"/>
                <w:szCs w:val="20"/>
              </w:rPr>
              <w:t xml:space="preserve">Not for use in the treatment of sclerosing cholangitis </w:t>
            </w:r>
            <w:r w:rsidRPr="005B4935">
              <w:rPr>
                <w:rFonts w:ascii="Arial Narrow" w:hAnsi="Arial Narrow" w:cs="Open Sans"/>
                <w:i/>
                <w:iCs/>
                <w:strike/>
                <w:color w:val="333333"/>
                <w:sz w:val="20"/>
                <w:szCs w:val="20"/>
              </w:rPr>
              <w:t>or cholelithiasis.</w:t>
            </w:r>
          </w:p>
        </w:tc>
      </w:tr>
    </w:tbl>
    <w:p w14:paraId="67A57905" w14:textId="77777777" w:rsidR="002A79E2" w:rsidRDefault="002A79E2" w:rsidP="002A79E2"/>
    <w:p w14:paraId="5220AE20" w14:textId="466AD5C2" w:rsidR="002A79E2" w:rsidRDefault="002A79E2" w:rsidP="005B4935">
      <w:pPr>
        <w:pStyle w:val="ListParagraph"/>
        <w:numPr>
          <w:ilvl w:val="0"/>
          <w:numId w:val="33"/>
        </w:numPr>
        <w:jc w:val="both"/>
      </w:pPr>
      <w:r>
        <w:t>Update to concept 27503 (removal of words from concept 27502 ‘</w:t>
      </w:r>
      <w:r w:rsidRPr="0016637D">
        <w:t>with agreement reached that the patient should be treated with this pharmaceutical benefit on this occasion</w:t>
      </w:r>
      <w:r>
        <w:t>’</w:t>
      </w:r>
      <w:r w:rsidR="005B4935">
        <w:t>)</w:t>
      </w:r>
      <w:r>
        <w:t xml:space="preserve"> to be flowed on to OCA only for PBS item codes: </w:t>
      </w:r>
    </w:p>
    <w:p w14:paraId="7D9450DB" w14:textId="2812890D" w:rsidR="002A79E2" w:rsidRPr="005B4935" w:rsidRDefault="002A79E2" w:rsidP="005B4935">
      <w:pPr>
        <w:pStyle w:val="ListParagraph"/>
      </w:pPr>
      <w:r w:rsidRPr="005B4935">
        <w:t xml:space="preserve">12623J / </w:t>
      </w:r>
      <w:proofErr w:type="spellStart"/>
      <w:r w:rsidRPr="005B4935">
        <w:t>obeticholic</w:t>
      </w:r>
      <w:proofErr w:type="spellEnd"/>
      <w:r w:rsidRPr="005B4935">
        <w:t xml:space="preserve"> acid 5 mg tablet, 30 (initial treatment)</w:t>
      </w:r>
    </w:p>
    <w:tbl>
      <w:tblPr>
        <w:tblStyle w:val="TableGrid"/>
        <w:tblW w:w="5000" w:type="pct"/>
        <w:tblLayout w:type="fixed"/>
        <w:tblLook w:val="0000" w:firstRow="0" w:lastRow="0" w:firstColumn="0" w:lastColumn="0" w:noHBand="0" w:noVBand="0"/>
      </w:tblPr>
      <w:tblGrid>
        <w:gridCol w:w="1272"/>
        <w:gridCol w:w="7745"/>
      </w:tblGrid>
      <w:tr w:rsidR="002A79E2" w:rsidRPr="005B4935" w14:paraId="34392B3E" w14:textId="77777777">
        <w:trPr>
          <w:trHeight w:val="20"/>
        </w:trPr>
        <w:tc>
          <w:tcPr>
            <w:tcW w:w="1272" w:type="dxa"/>
          </w:tcPr>
          <w:p w14:paraId="3DEEDA0B" w14:textId="7084793E" w:rsidR="002A79E2" w:rsidRPr="005B4935" w:rsidRDefault="002A79E2">
            <w:pPr>
              <w:jc w:val="center"/>
              <w:rPr>
                <w:rFonts w:ascii="Arial Narrow" w:hAnsi="Arial Narrow"/>
                <w:strike/>
                <w:color w:val="333333"/>
                <w:sz w:val="20"/>
                <w:szCs w:val="20"/>
              </w:rPr>
            </w:pPr>
          </w:p>
        </w:tc>
        <w:tc>
          <w:tcPr>
            <w:tcW w:w="7745" w:type="dxa"/>
            <w:hideMark/>
          </w:tcPr>
          <w:p w14:paraId="0F2FB4D6" w14:textId="77777777" w:rsidR="002A79E2" w:rsidRPr="005B4935" w:rsidRDefault="002A79E2">
            <w:pPr>
              <w:rPr>
                <w:rFonts w:ascii="Arial Narrow" w:hAnsi="Arial Narrow"/>
                <w:color w:val="333333"/>
                <w:sz w:val="20"/>
                <w:szCs w:val="20"/>
              </w:rPr>
            </w:pPr>
            <w:r w:rsidRPr="005B4935">
              <w:rPr>
                <w:rStyle w:val="Strong"/>
                <w:rFonts w:ascii="Arial Narrow" w:hAnsi="Arial Narrow" w:cs="Open Sans"/>
                <w:color w:val="333333"/>
                <w:sz w:val="20"/>
                <w:szCs w:val="20"/>
                <w:bdr w:val="none" w:sz="0" w:space="0" w:color="auto" w:frame="1"/>
              </w:rPr>
              <w:t>Treatment criteria:</w:t>
            </w:r>
          </w:p>
        </w:tc>
      </w:tr>
      <w:tr w:rsidR="002A79E2" w:rsidRPr="005B4935" w14:paraId="75B33F2A" w14:textId="77777777" w:rsidTr="00781BFD">
        <w:trPr>
          <w:trHeight w:val="20"/>
        </w:trPr>
        <w:tc>
          <w:tcPr>
            <w:tcW w:w="1272" w:type="dxa"/>
          </w:tcPr>
          <w:p w14:paraId="103CB787" w14:textId="252C39F5" w:rsidR="002A79E2" w:rsidRPr="005B4935" w:rsidRDefault="002A79E2">
            <w:pPr>
              <w:jc w:val="center"/>
              <w:rPr>
                <w:rFonts w:ascii="Arial Narrow" w:hAnsi="Arial Narrow"/>
                <w:color w:val="333333"/>
                <w:sz w:val="20"/>
                <w:szCs w:val="20"/>
              </w:rPr>
            </w:pPr>
          </w:p>
        </w:tc>
        <w:tc>
          <w:tcPr>
            <w:tcW w:w="7745" w:type="dxa"/>
            <w:hideMark/>
          </w:tcPr>
          <w:p w14:paraId="04596CE5" w14:textId="77777777" w:rsidR="002A79E2" w:rsidRPr="005B4935" w:rsidRDefault="002A79E2">
            <w:pPr>
              <w:rPr>
                <w:rFonts w:ascii="Arial Narrow" w:hAnsi="Arial Narrow"/>
                <w:color w:val="333333"/>
                <w:sz w:val="20"/>
                <w:szCs w:val="20"/>
              </w:rPr>
            </w:pPr>
            <w:r w:rsidRPr="005B4935">
              <w:rPr>
                <w:rFonts w:ascii="Arial Narrow" w:hAnsi="Arial Narrow" w:cs="Open Sans"/>
                <w:color w:val="333333"/>
                <w:sz w:val="20"/>
                <w:szCs w:val="20"/>
              </w:rPr>
              <w:t>Must be treated by a prescriber who is either: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a gastroenterologist, (ii) a hepatologist; or</w:t>
            </w:r>
          </w:p>
        </w:tc>
      </w:tr>
      <w:tr w:rsidR="002A79E2" w:rsidRPr="005B4935" w14:paraId="218FC794" w14:textId="77777777">
        <w:trPr>
          <w:trHeight w:val="20"/>
        </w:trPr>
        <w:tc>
          <w:tcPr>
            <w:tcW w:w="1272" w:type="dxa"/>
          </w:tcPr>
          <w:p w14:paraId="0F654C7A" w14:textId="1390048C" w:rsidR="002A79E2" w:rsidRPr="00E427EA" w:rsidRDefault="002A79E2">
            <w:pPr>
              <w:jc w:val="center"/>
              <w:rPr>
                <w:rFonts w:ascii="Arial Narrow" w:hAnsi="Arial Narrow" w:cs="Open Sans"/>
                <w:i/>
                <w:color w:val="333333"/>
                <w:sz w:val="20"/>
                <w:szCs w:val="20"/>
              </w:rPr>
            </w:pPr>
          </w:p>
        </w:tc>
        <w:tc>
          <w:tcPr>
            <w:tcW w:w="7745" w:type="dxa"/>
          </w:tcPr>
          <w:p w14:paraId="3C3392B4" w14:textId="77777777" w:rsidR="002A79E2" w:rsidRPr="005B4935" w:rsidRDefault="002A79E2">
            <w:pPr>
              <w:rPr>
                <w:rFonts w:ascii="Arial Narrow" w:hAnsi="Arial Narrow"/>
                <w:color w:val="333333"/>
                <w:sz w:val="20"/>
                <w:szCs w:val="20"/>
              </w:rPr>
            </w:pPr>
            <w:r w:rsidRPr="005B4935">
              <w:rPr>
                <w:rFonts w:ascii="Arial Narrow" w:hAnsi="Arial Narrow" w:cs="Open Sans"/>
                <w:color w:val="333333"/>
                <w:sz w:val="20"/>
                <w:szCs w:val="20"/>
              </w:rPr>
              <w:t xml:space="preserve">Must be treated by a medical practitioner who has consulted at least one of the above mentioned specialist types, </w:t>
            </w:r>
            <w:r w:rsidRPr="005B4935">
              <w:rPr>
                <w:rFonts w:ascii="Arial Narrow" w:hAnsi="Arial Narrow" w:cs="Open Sans"/>
                <w:strike/>
                <w:color w:val="333333"/>
                <w:sz w:val="20"/>
                <w:szCs w:val="20"/>
              </w:rPr>
              <w:t>with agreement reached that the patient should be treated with this pharmaceutical benefit on this occasion</w:t>
            </w:r>
          </w:p>
        </w:tc>
      </w:tr>
    </w:tbl>
    <w:p w14:paraId="537A4990" w14:textId="77777777" w:rsidR="005B4935" w:rsidRDefault="005B4935" w:rsidP="005B4935">
      <w:pPr>
        <w:pStyle w:val="ListParagraph"/>
        <w:numPr>
          <w:ilvl w:val="0"/>
          <w:numId w:val="0"/>
        </w:numPr>
        <w:spacing w:after="0"/>
        <w:ind w:left="1080"/>
        <w:contextualSpacing/>
        <w:jc w:val="both"/>
      </w:pPr>
    </w:p>
    <w:p w14:paraId="23E8377C" w14:textId="2B64AF92" w:rsidR="002A79E2" w:rsidRDefault="002A79E2" w:rsidP="005B4935">
      <w:pPr>
        <w:pStyle w:val="ListParagraph"/>
        <w:numPr>
          <w:ilvl w:val="0"/>
          <w:numId w:val="33"/>
        </w:numPr>
        <w:jc w:val="both"/>
      </w:pPr>
      <w:r>
        <w:t>Update to concept 27495 (removal of words ‘following this authority application’ from concept 27494 and 27493; removal of ‘combination’ from concept 27494</w:t>
      </w:r>
      <w:r w:rsidR="000D50B0">
        <w:t xml:space="preserve">; and addition of </w:t>
      </w:r>
      <w:r w:rsidR="004C0A13">
        <w:t>‘</w:t>
      </w:r>
      <w:r w:rsidR="00B86464">
        <w:t>/contraindicated</w:t>
      </w:r>
      <w:r w:rsidR="004C0A13">
        <w:t>’</w:t>
      </w:r>
      <w:r>
        <w:t xml:space="preserve">) to be flowed on to OCA only for PBS item codes: </w:t>
      </w:r>
    </w:p>
    <w:p w14:paraId="1EA544CC" w14:textId="77777777" w:rsidR="002A79E2" w:rsidRPr="005B4935" w:rsidRDefault="002A79E2" w:rsidP="005B4935">
      <w:pPr>
        <w:pStyle w:val="ListParagraph"/>
        <w:numPr>
          <w:ilvl w:val="0"/>
          <w:numId w:val="34"/>
        </w:numPr>
      </w:pPr>
      <w:r w:rsidRPr="005B4935">
        <w:t xml:space="preserve">12640G / </w:t>
      </w:r>
      <w:proofErr w:type="spellStart"/>
      <w:r w:rsidRPr="005B4935">
        <w:t>obeticholic</w:t>
      </w:r>
      <w:proofErr w:type="spellEnd"/>
      <w:r w:rsidRPr="005B4935">
        <w:t xml:space="preserve"> acid 10 mg tablet, 30 (continuing treatment)</w:t>
      </w:r>
    </w:p>
    <w:p w14:paraId="454D1B27" w14:textId="77777777" w:rsidR="002A79E2" w:rsidRPr="005B4935" w:rsidRDefault="002A79E2" w:rsidP="005B4935">
      <w:pPr>
        <w:pStyle w:val="ListParagraph"/>
        <w:numPr>
          <w:ilvl w:val="0"/>
          <w:numId w:val="34"/>
        </w:numPr>
      </w:pPr>
      <w:r w:rsidRPr="005B4935">
        <w:t xml:space="preserve">12630R / </w:t>
      </w:r>
      <w:proofErr w:type="spellStart"/>
      <w:r w:rsidRPr="005B4935">
        <w:t>obeticholic</w:t>
      </w:r>
      <w:proofErr w:type="spellEnd"/>
      <w:r w:rsidRPr="005B4935">
        <w:t xml:space="preserve"> acid 5 mg tablet, 30 (continuing treatment)</w:t>
      </w:r>
    </w:p>
    <w:p w14:paraId="3A17873A" w14:textId="77777777" w:rsidR="002A79E2" w:rsidRPr="005B4935" w:rsidRDefault="002A79E2" w:rsidP="005B4935">
      <w:pPr>
        <w:pStyle w:val="ListParagraph"/>
        <w:numPr>
          <w:ilvl w:val="0"/>
          <w:numId w:val="34"/>
        </w:numPr>
      </w:pPr>
      <w:r w:rsidRPr="005B4935">
        <w:t xml:space="preserve">12623J / </w:t>
      </w:r>
      <w:proofErr w:type="spellStart"/>
      <w:r w:rsidRPr="005B4935">
        <w:t>obeticholic</w:t>
      </w:r>
      <w:proofErr w:type="spellEnd"/>
      <w:r w:rsidRPr="005B4935">
        <w:t xml:space="preserve"> acid 5 mg tablet, 30 (initial treatment) </w:t>
      </w:r>
    </w:p>
    <w:p w14:paraId="33AB90AA" w14:textId="77777777" w:rsidR="002A79E2" w:rsidRPr="005B4935" w:rsidRDefault="002A79E2" w:rsidP="005B4935">
      <w:pPr>
        <w:pStyle w:val="ListParagraph"/>
        <w:numPr>
          <w:ilvl w:val="0"/>
          <w:numId w:val="34"/>
        </w:numPr>
      </w:pPr>
      <w:r w:rsidRPr="005B4935">
        <w:t xml:space="preserve">12645M / </w:t>
      </w:r>
      <w:proofErr w:type="spellStart"/>
      <w:r w:rsidRPr="005B4935">
        <w:t>obeticholic</w:t>
      </w:r>
      <w:proofErr w:type="spellEnd"/>
      <w:r w:rsidRPr="005B4935">
        <w:t xml:space="preserve"> acid 5 mg tablet, 30 (Supply Only GF restriction)</w:t>
      </w:r>
    </w:p>
    <w:p w14:paraId="57D9A65E" w14:textId="77777777" w:rsidR="002A79E2" w:rsidRPr="005B4935" w:rsidRDefault="002A79E2" w:rsidP="005B4935">
      <w:pPr>
        <w:pStyle w:val="ListParagraph"/>
        <w:numPr>
          <w:ilvl w:val="0"/>
          <w:numId w:val="34"/>
        </w:numPr>
      </w:pPr>
      <w:r w:rsidRPr="005B4935">
        <w:t xml:space="preserve">12631T / </w:t>
      </w:r>
      <w:proofErr w:type="spellStart"/>
      <w:r w:rsidRPr="005B4935">
        <w:t>obeticholic</w:t>
      </w:r>
      <w:proofErr w:type="spellEnd"/>
      <w:r w:rsidRPr="005B4935">
        <w:t xml:space="preserve"> acid 10 mg tablet, 30 (Supply Only GF restriction)</w:t>
      </w:r>
    </w:p>
    <w:tbl>
      <w:tblPr>
        <w:tblStyle w:val="TableGrid"/>
        <w:tblW w:w="5000" w:type="pct"/>
        <w:tblLayout w:type="fixed"/>
        <w:tblLook w:val="0000" w:firstRow="0" w:lastRow="0" w:firstColumn="0" w:lastColumn="0" w:noHBand="0" w:noVBand="0"/>
      </w:tblPr>
      <w:tblGrid>
        <w:gridCol w:w="1272"/>
        <w:gridCol w:w="7745"/>
      </w:tblGrid>
      <w:tr w:rsidR="002A79E2" w:rsidRPr="005B4935" w14:paraId="76B48E55" w14:textId="77777777">
        <w:trPr>
          <w:trHeight w:val="20"/>
        </w:trPr>
        <w:tc>
          <w:tcPr>
            <w:tcW w:w="1272" w:type="dxa"/>
          </w:tcPr>
          <w:p w14:paraId="79D242F4" w14:textId="170B1B25" w:rsidR="002A79E2" w:rsidRPr="005B4935" w:rsidRDefault="002A79E2">
            <w:pPr>
              <w:jc w:val="center"/>
              <w:rPr>
                <w:rFonts w:ascii="Arial Narrow" w:hAnsi="Arial Narrow"/>
                <w:color w:val="333333"/>
                <w:sz w:val="20"/>
                <w:szCs w:val="20"/>
              </w:rPr>
            </w:pPr>
          </w:p>
        </w:tc>
        <w:tc>
          <w:tcPr>
            <w:tcW w:w="7745" w:type="dxa"/>
          </w:tcPr>
          <w:p w14:paraId="125F8D18" w14:textId="77777777" w:rsidR="002A79E2" w:rsidRPr="005B4935" w:rsidRDefault="002A79E2">
            <w:pPr>
              <w:rPr>
                <w:rFonts w:ascii="Arial Narrow" w:hAnsi="Arial Narrow"/>
                <w:color w:val="333333"/>
                <w:sz w:val="20"/>
                <w:szCs w:val="20"/>
              </w:rPr>
            </w:pPr>
            <w:r w:rsidRPr="005B4935">
              <w:rPr>
                <w:rStyle w:val="Strong"/>
                <w:rFonts w:ascii="Arial Narrow" w:hAnsi="Arial Narrow" w:cs="Open Sans"/>
                <w:color w:val="333333"/>
                <w:sz w:val="20"/>
                <w:szCs w:val="20"/>
                <w:bdr w:val="none" w:sz="0" w:space="0" w:color="auto" w:frame="1"/>
              </w:rPr>
              <w:t>Treatment criteria:</w:t>
            </w:r>
          </w:p>
        </w:tc>
      </w:tr>
      <w:tr w:rsidR="002A79E2" w:rsidRPr="005B4935" w14:paraId="4332CD89" w14:textId="77777777" w:rsidTr="00781BFD">
        <w:trPr>
          <w:trHeight w:val="20"/>
        </w:trPr>
        <w:tc>
          <w:tcPr>
            <w:tcW w:w="1272" w:type="dxa"/>
          </w:tcPr>
          <w:p w14:paraId="37C381CB" w14:textId="74AB2D7B" w:rsidR="002A79E2" w:rsidRPr="009E09BB" w:rsidRDefault="002A79E2">
            <w:pPr>
              <w:jc w:val="center"/>
              <w:rPr>
                <w:rFonts w:ascii="Arial Narrow" w:hAnsi="Arial Narrow" w:cs="Open Sans"/>
                <w:i/>
                <w:color w:val="333333"/>
                <w:sz w:val="20"/>
                <w:szCs w:val="20"/>
              </w:rPr>
            </w:pPr>
          </w:p>
        </w:tc>
        <w:tc>
          <w:tcPr>
            <w:tcW w:w="7745" w:type="dxa"/>
            <w:hideMark/>
          </w:tcPr>
          <w:p w14:paraId="62571E50" w14:textId="77777777" w:rsidR="002A79E2" w:rsidRPr="005B4935" w:rsidRDefault="002A79E2">
            <w:pPr>
              <w:rPr>
                <w:rFonts w:ascii="Arial Narrow" w:hAnsi="Arial Narrow"/>
                <w:sz w:val="20"/>
                <w:szCs w:val="20"/>
              </w:rPr>
            </w:pPr>
            <w:r w:rsidRPr="005B4935">
              <w:rPr>
                <w:rFonts w:ascii="Arial Narrow" w:hAnsi="Arial Narrow" w:cs="Open Sans"/>
                <w:color w:val="333333"/>
                <w:sz w:val="20"/>
                <w:szCs w:val="20"/>
              </w:rPr>
              <w:t xml:space="preserve">Patient must be undergoing concurrent treatment with ursodeoxycholic acid, </w:t>
            </w:r>
            <w:r w:rsidRPr="005B4935">
              <w:rPr>
                <w:rFonts w:ascii="Arial Narrow" w:hAnsi="Arial Narrow" w:cs="Open Sans"/>
                <w:strike/>
                <w:color w:val="333333"/>
                <w:sz w:val="20"/>
                <w:szCs w:val="20"/>
              </w:rPr>
              <w:t>following this authority application;</w:t>
            </w:r>
            <w:r w:rsidRPr="005B4935">
              <w:rPr>
                <w:rFonts w:ascii="Arial Narrow" w:hAnsi="Arial Narrow" w:cs="Open Sans"/>
                <w:color w:val="333333"/>
                <w:sz w:val="20"/>
                <w:szCs w:val="20"/>
              </w:rPr>
              <w:t xml:space="preserve"> or</w:t>
            </w:r>
          </w:p>
        </w:tc>
      </w:tr>
      <w:tr w:rsidR="002A79E2" w:rsidRPr="005B4935" w14:paraId="5E9C3C34" w14:textId="77777777" w:rsidTr="00781BFD">
        <w:trPr>
          <w:trHeight w:val="20"/>
        </w:trPr>
        <w:tc>
          <w:tcPr>
            <w:tcW w:w="1272" w:type="dxa"/>
          </w:tcPr>
          <w:p w14:paraId="228A3CF9" w14:textId="64A093B3" w:rsidR="002A79E2" w:rsidRPr="009E09BB" w:rsidRDefault="002A79E2">
            <w:pPr>
              <w:jc w:val="center"/>
              <w:rPr>
                <w:rFonts w:ascii="Arial Narrow" w:hAnsi="Arial Narrow" w:cs="Open Sans"/>
                <w:i/>
                <w:color w:val="333333"/>
                <w:sz w:val="20"/>
                <w:szCs w:val="20"/>
              </w:rPr>
            </w:pPr>
          </w:p>
        </w:tc>
        <w:tc>
          <w:tcPr>
            <w:tcW w:w="7745" w:type="dxa"/>
            <w:hideMark/>
          </w:tcPr>
          <w:p w14:paraId="2C51F121" w14:textId="4B850BC6" w:rsidR="002A79E2" w:rsidRPr="005B4935" w:rsidRDefault="002A79E2">
            <w:pPr>
              <w:rPr>
                <w:rFonts w:ascii="Arial Narrow" w:hAnsi="Arial Narrow"/>
                <w:color w:val="333333"/>
                <w:sz w:val="20"/>
                <w:szCs w:val="20"/>
              </w:rPr>
            </w:pPr>
            <w:r w:rsidRPr="005B4935">
              <w:rPr>
                <w:rFonts w:ascii="Arial Narrow" w:hAnsi="Arial Narrow" w:cs="Open Sans"/>
                <w:color w:val="333333"/>
                <w:sz w:val="20"/>
                <w:szCs w:val="20"/>
              </w:rPr>
              <w:t xml:space="preserve">Patient must be undergoing treatment with this drug as monotherapy </w:t>
            </w:r>
            <w:r w:rsidRPr="005B4935">
              <w:rPr>
                <w:rFonts w:ascii="Arial Narrow" w:hAnsi="Arial Narrow" w:cs="Open Sans"/>
                <w:strike/>
                <w:color w:val="333333"/>
                <w:sz w:val="20"/>
                <w:szCs w:val="20"/>
              </w:rPr>
              <w:t>following this authority application</w:t>
            </w:r>
            <w:r w:rsidRPr="005B4935">
              <w:rPr>
                <w:rFonts w:ascii="Arial Narrow" w:hAnsi="Arial Narrow" w:cs="Open Sans"/>
                <w:color w:val="333333"/>
                <w:sz w:val="20"/>
                <w:szCs w:val="20"/>
              </w:rPr>
              <w:t xml:space="preserve">, because </w:t>
            </w:r>
            <w:r w:rsidRPr="005B4935">
              <w:rPr>
                <w:rFonts w:ascii="Arial Narrow" w:hAnsi="Arial Narrow" w:cs="Open Sans"/>
                <w:strike/>
                <w:color w:val="333333"/>
                <w:sz w:val="20"/>
                <w:szCs w:val="20"/>
              </w:rPr>
              <w:t>combination</w:t>
            </w:r>
            <w:r w:rsidRPr="005B4935">
              <w:rPr>
                <w:rFonts w:ascii="Arial Narrow" w:hAnsi="Arial Narrow" w:cs="Open Sans"/>
                <w:color w:val="333333"/>
                <w:sz w:val="20"/>
                <w:szCs w:val="20"/>
              </w:rPr>
              <w:t xml:space="preserve"> treatment with ursodeoxycholic acid is not tolerated</w:t>
            </w:r>
            <w:r w:rsidR="003C643F" w:rsidRPr="002D7ACC">
              <w:rPr>
                <w:rFonts w:ascii="Arial Narrow" w:hAnsi="Arial Narrow" w:cs="Open Sans"/>
                <w:i/>
                <w:color w:val="333333"/>
                <w:sz w:val="20"/>
                <w:szCs w:val="20"/>
              </w:rPr>
              <w:t>/contraindicated</w:t>
            </w:r>
          </w:p>
        </w:tc>
      </w:tr>
    </w:tbl>
    <w:p w14:paraId="2ABE8017" w14:textId="77777777" w:rsidR="002A79E2" w:rsidRDefault="002A79E2" w:rsidP="002A79E2"/>
    <w:p w14:paraId="6944CD17" w14:textId="358E1554" w:rsidR="002A79E2" w:rsidRDefault="002A79E2" w:rsidP="005B4935">
      <w:pPr>
        <w:pStyle w:val="ListParagraph"/>
        <w:numPr>
          <w:ilvl w:val="0"/>
          <w:numId w:val="33"/>
        </w:numPr>
        <w:jc w:val="both"/>
      </w:pPr>
      <w:r>
        <w:t>Update to concept 27490 (removal of words from concept 27489 ‘</w:t>
      </w:r>
      <w:r w:rsidRPr="0016637D">
        <w:t>with agreement reached that the patient should be treated with this pharmaceutical benefit on this occasion</w:t>
      </w:r>
      <w:r>
        <w:t>’</w:t>
      </w:r>
      <w:r w:rsidR="005B4935">
        <w:t>)</w:t>
      </w:r>
      <w:r>
        <w:t xml:space="preserve"> to be flowed on to OCA only for PBS item codes: </w:t>
      </w:r>
    </w:p>
    <w:p w14:paraId="4302C2B4" w14:textId="77777777" w:rsidR="009B1404" w:rsidRDefault="009B1404" w:rsidP="009B1404">
      <w:pPr>
        <w:pStyle w:val="ListParagraph"/>
        <w:numPr>
          <w:ilvl w:val="0"/>
          <w:numId w:val="36"/>
        </w:numPr>
      </w:pPr>
      <w:r>
        <w:lastRenderedPageBreak/>
        <w:t xml:space="preserve">12640G / </w:t>
      </w:r>
      <w:proofErr w:type="spellStart"/>
      <w:r>
        <w:t>obeticholic</w:t>
      </w:r>
      <w:proofErr w:type="spellEnd"/>
      <w:r>
        <w:t xml:space="preserve"> acid 10 mg tablet (Continuing treatment)</w:t>
      </w:r>
      <w:r>
        <w:tab/>
      </w:r>
    </w:p>
    <w:p w14:paraId="5BF44CA1" w14:textId="77777777" w:rsidR="009B1404" w:rsidRDefault="009B1404" w:rsidP="009B1404">
      <w:pPr>
        <w:pStyle w:val="ListParagraph"/>
        <w:numPr>
          <w:ilvl w:val="0"/>
          <w:numId w:val="36"/>
        </w:numPr>
      </w:pPr>
      <w:r>
        <w:t xml:space="preserve">12630R / </w:t>
      </w:r>
      <w:proofErr w:type="spellStart"/>
      <w:r>
        <w:t>obeticholic</w:t>
      </w:r>
      <w:proofErr w:type="spellEnd"/>
      <w:r>
        <w:t xml:space="preserve"> acid 5 mg tablet, (Continuing treatment)</w:t>
      </w:r>
    </w:p>
    <w:p w14:paraId="462CA324" w14:textId="77777777" w:rsidR="009B1404" w:rsidRDefault="009B1404" w:rsidP="009B1404">
      <w:pPr>
        <w:pStyle w:val="ListParagraph"/>
        <w:numPr>
          <w:ilvl w:val="0"/>
          <w:numId w:val="36"/>
        </w:numPr>
      </w:pPr>
      <w:r>
        <w:t xml:space="preserve">12645M / </w:t>
      </w:r>
      <w:proofErr w:type="spellStart"/>
      <w:r>
        <w:t>obeticholic</w:t>
      </w:r>
      <w:proofErr w:type="spellEnd"/>
      <w:r>
        <w:t xml:space="preserve"> acid 5 mg tablet, 30 (Grandfather arrangements - Supply Only)</w:t>
      </w:r>
    </w:p>
    <w:p w14:paraId="397B7013" w14:textId="77777777" w:rsidR="009B1404" w:rsidRDefault="009B1404" w:rsidP="009B1404">
      <w:pPr>
        <w:pStyle w:val="ListParagraph"/>
        <w:numPr>
          <w:ilvl w:val="0"/>
          <w:numId w:val="36"/>
        </w:numPr>
      </w:pPr>
      <w:r>
        <w:t xml:space="preserve">12631T / </w:t>
      </w:r>
      <w:proofErr w:type="spellStart"/>
      <w:r>
        <w:t>obeticholic</w:t>
      </w:r>
      <w:proofErr w:type="spellEnd"/>
      <w:r>
        <w:t xml:space="preserve"> acid 10 mg tablet, 30 (Grandfather arrangements - Supply Only)</w:t>
      </w:r>
    </w:p>
    <w:tbl>
      <w:tblPr>
        <w:tblStyle w:val="TableGrid"/>
        <w:tblW w:w="5000" w:type="pct"/>
        <w:tblLayout w:type="fixed"/>
        <w:tblLook w:val="04A0" w:firstRow="1" w:lastRow="0" w:firstColumn="1" w:lastColumn="0" w:noHBand="0" w:noVBand="1"/>
      </w:tblPr>
      <w:tblGrid>
        <w:gridCol w:w="1272"/>
        <w:gridCol w:w="7745"/>
      </w:tblGrid>
      <w:tr w:rsidR="009B1404" w:rsidRPr="005B4935" w14:paraId="1D26B160" w14:textId="77777777" w:rsidTr="00781BFD">
        <w:tc>
          <w:tcPr>
            <w:tcW w:w="1272" w:type="dxa"/>
          </w:tcPr>
          <w:p w14:paraId="4F875421" w14:textId="45463D07" w:rsidR="009B1404" w:rsidRPr="005B4935" w:rsidRDefault="009B1404">
            <w:pPr>
              <w:jc w:val="center"/>
              <w:textAlignment w:val="baseline"/>
              <w:rPr>
                <w:rFonts w:ascii="Arial Narrow" w:hAnsi="Arial Narrow" w:cs="Open Sans"/>
                <w:i/>
                <w:iCs/>
                <w:color w:val="333333"/>
                <w:sz w:val="20"/>
                <w:szCs w:val="20"/>
              </w:rPr>
            </w:pPr>
          </w:p>
        </w:tc>
        <w:tc>
          <w:tcPr>
            <w:tcW w:w="7745" w:type="dxa"/>
            <w:hideMark/>
          </w:tcPr>
          <w:p w14:paraId="15B35DEB" w14:textId="77777777" w:rsidR="009B1404" w:rsidRPr="005B4935" w:rsidRDefault="009B1404">
            <w:pPr>
              <w:textAlignment w:val="baseline"/>
              <w:rPr>
                <w:rFonts w:ascii="Arial Narrow" w:hAnsi="Arial Narrow" w:cs="Open Sans"/>
                <w:color w:val="333333"/>
                <w:sz w:val="20"/>
                <w:szCs w:val="20"/>
              </w:rPr>
            </w:pPr>
            <w:r w:rsidRPr="005B4935">
              <w:rPr>
                <w:rFonts w:ascii="Arial Narrow" w:hAnsi="Arial Narrow" w:cs="Open Sans"/>
                <w:b/>
                <w:bCs/>
                <w:color w:val="333333"/>
                <w:sz w:val="20"/>
                <w:szCs w:val="20"/>
                <w:bdr w:val="none" w:sz="0" w:space="0" w:color="auto" w:frame="1"/>
              </w:rPr>
              <w:t>Treatment criteria:</w:t>
            </w:r>
          </w:p>
        </w:tc>
      </w:tr>
      <w:tr w:rsidR="009B1404" w:rsidRPr="005B4935" w14:paraId="1F74F026" w14:textId="77777777" w:rsidTr="00781BFD">
        <w:tc>
          <w:tcPr>
            <w:tcW w:w="1272" w:type="dxa"/>
          </w:tcPr>
          <w:p w14:paraId="706F81C5" w14:textId="32A0039F" w:rsidR="009B1404" w:rsidRPr="005B4935" w:rsidRDefault="009B1404">
            <w:pPr>
              <w:jc w:val="center"/>
              <w:textAlignment w:val="baseline"/>
              <w:rPr>
                <w:rFonts w:ascii="Arial Narrow" w:hAnsi="Arial Narrow" w:cs="Open Sans"/>
                <w:i/>
                <w:iCs/>
                <w:color w:val="333333"/>
                <w:sz w:val="20"/>
                <w:szCs w:val="20"/>
              </w:rPr>
            </w:pPr>
          </w:p>
        </w:tc>
        <w:tc>
          <w:tcPr>
            <w:tcW w:w="7745" w:type="dxa"/>
            <w:hideMark/>
          </w:tcPr>
          <w:p w14:paraId="00D250DD" w14:textId="77777777" w:rsidR="009B1404" w:rsidRPr="005B4935" w:rsidRDefault="009B1404">
            <w:pPr>
              <w:rPr>
                <w:rFonts w:ascii="Arial Narrow" w:hAnsi="Arial Narrow" w:cs="Open Sans"/>
                <w:color w:val="333333"/>
                <w:sz w:val="20"/>
                <w:szCs w:val="20"/>
              </w:rPr>
            </w:pPr>
            <w:r w:rsidRPr="005B4935">
              <w:rPr>
                <w:rFonts w:ascii="Arial Narrow" w:hAnsi="Arial Narrow" w:cs="Open Sans"/>
                <w:color w:val="333333"/>
                <w:sz w:val="20"/>
                <w:szCs w:val="20"/>
              </w:rPr>
              <w:t>Must be treated by a prescriber who is either: (</w:t>
            </w:r>
            <w:proofErr w:type="spellStart"/>
            <w:r w:rsidRPr="005B4935">
              <w:rPr>
                <w:rFonts w:ascii="Arial Narrow" w:hAnsi="Arial Narrow" w:cs="Open Sans"/>
                <w:color w:val="333333"/>
                <w:sz w:val="20"/>
                <w:szCs w:val="20"/>
              </w:rPr>
              <w:t>i</w:t>
            </w:r>
            <w:proofErr w:type="spellEnd"/>
            <w:r w:rsidRPr="005B4935">
              <w:rPr>
                <w:rFonts w:ascii="Arial Narrow" w:hAnsi="Arial Narrow" w:cs="Open Sans"/>
                <w:color w:val="333333"/>
                <w:sz w:val="20"/>
                <w:szCs w:val="20"/>
              </w:rPr>
              <w:t>) a gastroenterologist, (ii) a hepatologist; or</w:t>
            </w:r>
          </w:p>
        </w:tc>
      </w:tr>
      <w:tr w:rsidR="009B1404" w:rsidRPr="005B4935" w14:paraId="76845F86" w14:textId="77777777" w:rsidTr="00781BFD">
        <w:tc>
          <w:tcPr>
            <w:tcW w:w="1272" w:type="dxa"/>
          </w:tcPr>
          <w:p w14:paraId="642DAEAE" w14:textId="03CB09FD" w:rsidR="009B1404" w:rsidRPr="005B4935" w:rsidRDefault="009B1404">
            <w:pPr>
              <w:jc w:val="center"/>
              <w:textAlignment w:val="baseline"/>
              <w:rPr>
                <w:rFonts w:ascii="Arial Narrow" w:hAnsi="Arial Narrow" w:cs="Open Sans"/>
                <w:i/>
                <w:iCs/>
                <w:strike/>
                <w:color w:val="333333"/>
                <w:sz w:val="20"/>
                <w:szCs w:val="20"/>
              </w:rPr>
            </w:pPr>
          </w:p>
        </w:tc>
        <w:tc>
          <w:tcPr>
            <w:tcW w:w="7745" w:type="dxa"/>
            <w:hideMark/>
          </w:tcPr>
          <w:p w14:paraId="47933C7D" w14:textId="77777777" w:rsidR="009B1404" w:rsidRPr="005B4935" w:rsidRDefault="009B1404">
            <w:pPr>
              <w:rPr>
                <w:rFonts w:ascii="Arial Narrow" w:hAnsi="Arial Narrow" w:cs="Open Sans"/>
                <w:color w:val="333333"/>
                <w:sz w:val="20"/>
                <w:szCs w:val="20"/>
              </w:rPr>
            </w:pPr>
            <w:r w:rsidRPr="005B4935">
              <w:rPr>
                <w:rFonts w:ascii="Arial Narrow" w:hAnsi="Arial Narrow" w:cs="Open Sans"/>
                <w:color w:val="333333"/>
                <w:sz w:val="20"/>
                <w:szCs w:val="20"/>
              </w:rPr>
              <w:t xml:space="preserve">Must be treated by an eligible practitioner type who has consulted at least one of the above mentioned specialist types, </w:t>
            </w:r>
            <w:r w:rsidRPr="005B4935">
              <w:rPr>
                <w:rFonts w:ascii="Arial Narrow" w:hAnsi="Arial Narrow" w:cs="Open Sans"/>
                <w:strike/>
                <w:color w:val="333333"/>
                <w:sz w:val="20"/>
                <w:szCs w:val="20"/>
              </w:rPr>
              <w:t>with agreement reached that the patient should be treated with this pharmaceutical benefit on this occasion</w:t>
            </w:r>
          </w:p>
        </w:tc>
      </w:tr>
    </w:tbl>
    <w:p w14:paraId="4F5188E5" w14:textId="77777777" w:rsidR="009B1404" w:rsidRDefault="009B1404" w:rsidP="009B1404"/>
    <w:p w14:paraId="76671071" w14:textId="5D80AB49" w:rsidR="0051635E" w:rsidRDefault="0051635E" w:rsidP="005B4935">
      <w:pPr>
        <w:pStyle w:val="ListParagraph"/>
        <w:numPr>
          <w:ilvl w:val="0"/>
          <w:numId w:val="33"/>
        </w:numPr>
        <w:jc w:val="both"/>
      </w:pPr>
      <w:r>
        <w:t>Update con</w:t>
      </w:r>
      <w:r w:rsidR="00BB4985">
        <w:t xml:space="preserve">cept </w:t>
      </w:r>
      <w:r w:rsidR="00A45A0F">
        <w:t>27505</w:t>
      </w:r>
      <w:r w:rsidR="009B1404">
        <w:t xml:space="preserve"> (addition of </w:t>
      </w:r>
      <w:r w:rsidR="00F8330D">
        <w:t>‘</w:t>
      </w:r>
      <w:r w:rsidR="009B1404">
        <w:t>/contraindication</w:t>
      </w:r>
      <w:r w:rsidR="00F8330D">
        <w:t>’</w:t>
      </w:r>
      <w:r w:rsidR="009B1404">
        <w:t>) to be flowed on to OCA only for PBS items codes:</w:t>
      </w:r>
    </w:p>
    <w:p w14:paraId="63A4E84F" w14:textId="77777777" w:rsidR="007044BF" w:rsidRPr="005B4935" w:rsidRDefault="007044BF" w:rsidP="007044BF">
      <w:pPr>
        <w:pStyle w:val="ListParagraph"/>
        <w:numPr>
          <w:ilvl w:val="0"/>
          <w:numId w:val="38"/>
        </w:numPr>
      </w:pPr>
      <w:r w:rsidRPr="005B4935">
        <w:t xml:space="preserve">12623J / </w:t>
      </w:r>
      <w:proofErr w:type="spellStart"/>
      <w:r w:rsidRPr="005B4935">
        <w:t>obeticholic</w:t>
      </w:r>
      <w:proofErr w:type="spellEnd"/>
      <w:r w:rsidRPr="005B4935">
        <w:t xml:space="preserve"> acid 5 mg tablet, 30 (initial treatment)</w:t>
      </w:r>
    </w:p>
    <w:p w14:paraId="03599B32" w14:textId="77777777" w:rsidR="00326601" w:rsidRDefault="00326601" w:rsidP="00326601">
      <w:pPr>
        <w:pStyle w:val="ListParagraph"/>
        <w:numPr>
          <w:ilvl w:val="0"/>
          <w:numId w:val="37"/>
        </w:numPr>
      </w:pPr>
      <w:r>
        <w:t xml:space="preserve">12645M / </w:t>
      </w:r>
      <w:proofErr w:type="spellStart"/>
      <w:r>
        <w:t>obeticholic</w:t>
      </w:r>
      <w:proofErr w:type="spellEnd"/>
      <w:r>
        <w:t xml:space="preserve"> acid 5 mg tablet, 30 (Grandfather arrangements - Supply Only)</w:t>
      </w:r>
    </w:p>
    <w:p w14:paraId="1FA36DAF" w14:textId="77777777" w:rsidR="00326601" w:rsidRDefault="00326601" w:rsidP="00326601">
      <w:pPr>
        <w:pStyle w:val="ListParagraph"/>
        <w:numPr>
          <w:ilvl w:val="0"/>
          <w:numId w:val="37"/>
        </w:numPr>
      </w:pPr>
      <w:r>
        <w:t xml:space="preserve">12631T / </w:t>
      </w:r>
      <w:proofErr w:type="spellStart"/>
      <w:r>
        <w:t>obeticholic</w:t>
      </w:r>
      <w:proofErr w:type="spellEnd"/>
      <w:r>
        <w:t xml:space="preserve"> acid 10 mg tablet, 30 (Grandfather arrangements - Supply Only)</w:t>
      </w:r>
    </w:p>
    <w:tbl>
      <w:tblPr>
        <w:tblStyle w:val="TableGrid"/>
        <w:tblW w:w="5000" w:type="pct"/>
        <w:tblLayout w:type="fixed"/>
        <w:tblLook w:val="04A0" w:firstRow="1" w:lastRow="0" w:firstColumn="1" w:lastColumn="0" w:noHBand="0" w:noVBand="1"/>
      </w:tblPr>
      <w:tblGrid>
        <w:gridCol w:w="1272"/>
        <w:gridCol w:w="7745"/>
      </w:tblGrid>
      <w:tr w:rsidR="001E49B5" w:rsidRPr="00F93F3C" w14:paraId="217C7652" w14:textId="77777777" w:rsidTr="00BF23AA">
        <w:trPr>
          <w:trHeight w:val="20"/>
        </w:trPr>
        <w:tc>
          <w:tcPr>
            <w:tcW w:w="1272" w:type="dxa"/>
          </w:tcPr>
          <w:p w14:paraId="60516963" w14:textId="1F4AE8AF" w:rsidR="00BF23AA" w:rsidRPr="0087647B" w:rsidRDefault="00BF23AA">
            <w:pPr>
              <w:jc w:val="center"/>
              <w:rPr>
                <w:rFonts w:ascii="Arial Narrow" w:hAnsi="Arial Narrow"/>
                <w:i/>
                <w:iCs/>
                <w:color w:val="333333"/>
                <w:sz w:val="20"/>
                <w:szCs w:val="20"/>
              </w:rPr>
            </w:pPr>
          </w:p>
        </w:tc>
        <w:tc>
          <w:tcPr>
            <w:tcW w:w="7745" w:type="dxa"/>
          </w:tcPr>
          <w:p w14:paraId="2E44D3C2" w14:textId="77777777" w:rsidR="00BF23AA" w:rsidRPr="0087647B" w:rsidRDefault="00BF23AA">
            <w:pPr>
              <w:rPr>
                <w:rFonts w:ascii="Arial Narrow" w:hAnsi="Arial Narrow"/>
                <w:color w:val="333333"/>
                <w:sz w:val="20"/>
                <w:szCs w:val="20"/>
              </w:rPr>
            </w:pPr>
            <w:r w:rsidRPr="0087647B">
              <w:rPr>
                <w:rStyle w:val="Strong"/>
                <w:rFonts w:ascii="Arial Narrow" w:hAnsi="Arial Narrow" w:cs="Open Sans"/>
                <w:color w:val="333333"/>
                <w:sz w:val="20"/>
                <w:szCs w:val="20"/>
                <w:bdr w:val="none" w:sz="0" w:space="0" w:color="auto" w:frame="1"/>
              </w:rPr>
              <w:t>Clinical criteria:</w:t>
            </w:r>
          </w:p>
        </w:tc>
      </w:tr>
      <w:tr w:rsidR="001E49B5" w:rsidRPr="00F93F3C" w14:paraId="136337E8" w14:textId="77777777">
        <w:tblPrEx>
          <w:tblLook w:val="0000" w:firstRow="0" w:lastRow="0" w:firstColumn="0" w:lastColumn="0" w:noHBand="0" w:noVBand="0"/>
        </w:tblPrEx>
        <w:trPr>
          <w:trHeight w:val="20"/>
        </w:trPr>
        <w:tc>
          <w:tcPr>
            <w:tcW w:w="1272" w:type="dxa"/>
            <w:tcBorders>
              <w:bottom w:val="single" w:sz="4" w:space="0" w:color="auto"/>
            </w:tcBorders>
          </w:tcPr>
          <w:p w14:paraId="7D6BB4AF" w14:textId="17CD36C7" w:rsidR="00BF23AA" w:rsidRPr="0087647B" w:rsidRDefault="00BF23AA">
            <w:pPr>
              <w:jc w:val="center"/>
              <w:rPr>
                <w:rFonts w:ascii="Arial Narrow" w:hAnsi="Arial Narrow"/>
                <w:i/>
                <w:iCs/>
                <w:color w:val="333333"/>
                <w:sz w:val="20"/>
                <w:szCs w:val="20"/>
              </w:rPr>
            </w:pPr>
          </w:p>
        </w:tc>
        <w:tc>
          <w:tcPr>
            <w:tcW w:w="7745" w:type="dxa"/>
            <w:tcBorders>
              <w:bottom w:val="single" w:sz="4" w:space="0" w:color="auto"/>
            </w:tcBorders>
          </w:tcPr>
          <w:p w14:paraId="27FF977C" w14:textId="77777777" w:rsidR="00BF23AA" w:rsidRPr="0087647B" w:rsidRDefault="00BF23AA">
            <w:pPr>
              <w:rPr>
                <w:rFonts w:ascii="Arial Narrow" w:hAnsi="Arial Narrow"/>
                <w:b/>
                <w:bCs/>
                <w:color w:val="333333"/>
                <w:sz w:val="20"/>
                <w:szCs w:val="20"/>
              </w:rPr>
            </w:pPr>
            <w:r w:rsidRPr="0087647B">
              <w:rPr>
                <w:rFonts w:ascii="Arial Narrow" w:hAnsi="Arial Narrow" w:cs="Open Sans"/>
                <w:color w:val="333333"/>
                <w:sz w:val="20"/>
                <w:szCs w:val="20"/>
              </w:rPr>
              <w:t>Patient must have experienced an intolerance</w:t>
            </w:r>
            <w:r w:rsidRPr="006D5EFE">
              <w:rPr>
                <w:rFonts w:ascii="Arial Narrow" w:hAnsi="Arial Narrow" w:cs="Open Sans"/>
                <w:i/>
                <w:iCs/>
                <w:color w:val="333333"/>
                <w:sz w:val="20"/>
                <w:szCs w:val="20"/>
              </w:rPr>
              <w:t>/contraindication</w:t>
            </w:r>
            <w:r w:rsidRPr="0087647B">
              <w:rPr>
                <w:rFonts w:ascii="Arial Narrow" w:hAnsi="Arial Narrow" w:cs="Open Sans"/>
                <w:color w:val="333333"/>
                <w:sz w:val="20"/>
                <w:szCs w:val="20"/>
              </w:rPr>
              <w:t xml:space="preserve"> to ursodeoxycholic acid of a severity requiring permanent treatment discontinuation, prior to initiating treatment with this drug</w:t>
            </w:r>
          </w:p>
        </w:tc>
      </w:tr>
    </w:tbl>
    <w:p w14:paraId="3FAF7E9D" w14:textId="77777777" w:rsidR="00326601" w:rsidRDefault="00326601" w:rsidP="00BF23AA"/>
    <w:p w14:paraId="176FE889" w14:textId="471EE962" w:rsidR="007F37F5" w:rsidRDefault="004A6A25" w:rsidP="00B76341">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84"/>
    </w:p>
    <w:p w14:paraId="1C101D45" w14:textId="77777777" w:rsidR="002105E5" w:rsidRPr="002105E5" w:rsidRDefault="002105E5" w:rsidP="002105E5">
      <w:pPr>
        <w:keepNext/>
        <w:numPr>
          <w:ilvl w:val="0"/>
          <w:numId w:val="1"/>
        </w:numPr>
        <w:spacing w:before="240" w:after="120"/>
        <w:jc w:val="left"/>
        <w:outlineLvl w:val="0"/>
        <w:rPr>
          <w:b/>
          <w:snapToGrid w:val="0"/>
          <w:sz w:val="32"/>
          <w:szCs w:val="32"/>
        </w:rPr>
      </w:pPr>
      <w:r w:rsidRPr="002105E5">
        <w:rPr>
          <w:b/>
          <w:snapToGrid w:val="0"/>
          <w:sz w:val="32"/>
          <w:szCs w:val="32"/>
        </w:rPr>
        <w:t>Context for Decision</w:t>
      </w:r>
    </w:p>
    <w:p w14:paraId="313F8E60" w14:textId="77777777" w:rsidR="002105E5" w:rsidRPr="002105E5" w:rsidRDefault="002105E5" w:rsidP="002105E5">
      <w:pPr>
        <w:spacing w:after="120"/>
        <w:ind w:left="720"/>
        <w:rPr>
          <w:bCs/>
          <w:lang w:val="en-GB"/>
        </w:rPr>
      </w:pPr>
      <w:r w:rsidRPr="002105E5">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E45B617" w14:textId="77777777" w:rsidR="002105E5" w:rsidRPr="002105E5" w:rsidRDefault="002105E5" w:rsidP="002105E5">
      <w:pPr>
        <w:keepNext/>
        <w:numPr>
          <w:ilvl w:val="0"/>
          <w:numId w:val="1"/>
        </w:numPr>
        <w:spacing w:before="240" w:after="120"/>
        <w:jc w:val="left"/>
        <w:outlineLvl w:val="0"/>
        <w:rPr>
          <w:b/>
          <w:snapToGrid w:val="0"/>
          <w:sz w:val="32"/>
          <w:szCs w:val="32"/>
        </w:rPr>
      </w:pPr>
      <w:r w:rsidRPr="002105E5">
        <w:rPr>
          <w:b/>
          <w:snapToGrid w:val="0"/>
          <w:sz w:val="32"/>
          <w:szCs w:val="32"/>
        </w:rPr>
        <w:t>Sponsor’s Comment</w:t>
      </w:r>
    </w:p>
    <w:p w14:paraId="33AF1753" w14:textId="77777777" w:rsidR="002105E5" w:rsidRPr="002105E5" w:rsidRDefault="002105E5" w:rsidP="002105E5">
      <w:pPr>
        <w:spacing w:after="120" w:line="276" w:lineRule="auto"/>
        <w:ind w:left="720"/>
        <w:rPr>
          <w:rFonts w:eastAsia="Calibri"/>
          <w:bCs/>
          <w:szCs w:val="22"/>
          <w:lang w:eastAsia="en-US"/>
        </w:rPr>
      </w:pPr>
      <w:r w:rsidRPr="002105E5">
        <w:rPr>
          <w:rFonts w:eastAsia="Calibri"/>
          <w:bCs/>
          <w:szCs w:val="22"/>
          <w:lang w:eastAsia="en-US"/>
        </w:rPr>
        <w:t>The sponsor had no comment.</w:t>
      </w:r>
    </w:p>
    <w:p w14:paraId="72F08D69" w14:textId="77777777" w:rsidR="002105E5" w:rsidRPr="00B76341" w:rsidRDefault="002105E5" w:rsidP="00B76341">
      <w:pPr>
        <w:spacing w:before="120"/>
        <w:rPr>
          <w:rFonts w:asciiTheme="minorHAnsi" w:hAnsiTheme="minorHAnsi"/>
          <w:b/>
          <w:i/>
          <w:iCs/>
          <w:snapToGrid w:val="0"/>
          <w:lang w:val="en-GB"/>
        </w:rPr>
      </w:pPr>
    </w:p>
    <w:sectPr w:rsidR="002105E5" w:rsidRPr="00B76341" w:rsidSect="00AF0C96">
      <w:headerReference w:type="default" r:id="rId10"/>
      <w:footerReference w:type="default" r:id="rId1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BBBA" w14:textId="77777777" w:rsidR="00D43D3C" w:rsidRDefault="00D43D3C" w:rsidP="00124A51">
      <w:r>
        <w:separator/>
      </w:r>
    </w:p>
    <w:p w14:paraId="7076B8F7" w14:textId="77777777" w:rsidR="00D43D3C" w:rsidRDefault="00D43D3C"/>
  </w:endnote>
  <w:endnote w:type="continuationSeparator" w:id="0">
    <w:p w14:paraId="2374B63B" w14:textId="77777777" w:rsidR="00D43D3C" w:rsidRDefault="00D43D3C" w:rsidP="00124A51">
      <w:r>
        <w:continuationSeparator/>
      </w:r>
    </w:p>
    <w:p w14:paraId="4F7FAA55" w14:textId="77777777" w:rsidR="00D43D3C" w:rsidRDefault="00D43D3C"/>
  </w:endnote>
  <w:endnote w:type="continuationNotice" w:id="1">
    <w:p w14:paraId="42D50CBD" w14:textId="77777777" w:rsidR="00D43D3C" w:rsidRDefault="00D43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B24F" w14:textId="77777777" w:rsidR="00352E53" w:rsidRDefault="00352E53">
    <w:pPr>
      <w:pStyle w:val="Footer"/>
      <w:jc w:val="center"/>
    </w:pPr>
  </w:p>
  <w:sdt>
    <w:sdtPr>
      <w:rPr>
        <w:b/>
        <w:bCs/>
      </w:rPr>
      <w:id w:val="-328991160"/>
      <w:docPartObj>
        <w:docPartGallery w:val="Page Numbers (Bottom of Page)"/>
        <w:docPartUnique/>
      </w:docPartObj>
    </w:sdtPr>
    <w:sdtEndPr>
      <w:rPr>
        <w:noProof/>
      </w:rPr>
    </w:sdtEndPr>
    <w:sdtContent>
      <w:p w14:paraId="2B9B3C35" w14:textId="16587AFD" w:rsidR="00352E53" w:rsidRDefault="00352E53" w:rsidP="00C14E77">
        <w:pPr>
          <w:pStyle w:val="Footer"/>
          <w:jc w:val="center"/>
        </w:pPr>
        <w:r w:rsidRPr="00352E53">
          <w:rPr>
            <w:b/>
            <w:bCs/>
          </w:rPr>
          <w:fldChar w:fldCharType="begin"/>
        </w:r>
        <w:r w:rsidRPr="00352E53">
          <w:rPr>
            <w:b/>
            <w:bCs/>
          </w:rPr>
          <w:instrText xml:space="preserve"> PAGE   \* MERGEFORMAT </w:instrText>
        </w:r>
        <w:r w:rsidRPr="00352E53">
          <w:rPr>
            <w:b/>
            <w:bCs/>
          </w:rPr>
          <w:fldChar w:fldCharType="separate"/>
        </w:r>
        <w:r w:rsidRPr="00352E53">
          <w:rPr>
            <w:b/>
            <w:bCs/>
            <w:noProof/>
          </w:rPr>
          <w:t>2</w:t>
        </w:r>
        <w:r w:rsidRPr="00352E53">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241E" w14:textId="77777777" w:rsidR="00D43D3C" w:rsidRDefault="00D43D3C" w:rsidP="00124A51">
      <w:r>
        <w:separator/>
      </w:r>
    </w:p>
    <w:p w14:paraId="6C5779D9" w14:textId="77777777" w:rsidR="00D43D3C" w:rsidRDefault="00D43D3C"/>
  </w:footnote>
  <w:footnote w:type="continuationSeparator" w:id="0">
    <w:p w14:paraId="25E5D936" w14:textId="77777777" w:rsidR="00D43D3C" w:rsidRDefault="00D43D3C" w:rsidP="00124A51">
      <w:r>
        <w:continuationSeparator/>
      </w:r>
    </w:p>
    <w:p w14:paraId="7DCAB6B8" w14:textId="77777777" w:rsidR="00D43D3C" w:rsidRDefault="00D43D3C"/>
  </w:footnote>
  <w:footnote w:type="continuationNotice" w:id="1">
    <w:p w14:paraId="3316E2B3" w14:textId="77777777" w:rsidR="00D43D3C" w:rsidRDefault="00D43D3C"/>
  </w:footnote>
  <w:footnote w:id="2">
    <w:p w14:paraId="6691EA4A" w14:textId="77777777" w:rsidR="00B1784A" w:rsidRPr="00AF3772" w:rsidRDefault="00B1784A" w:rsidP="00B1784A">
      <w:pPr>
        <w:pStyle w:val="FootnoteText"/>
        <w:rPr>
          <w:lang w:val="en-US"/>
        </w:rPr>
      </w:pPr>
      <w:r>
        <w:rPr>
          <w:rStyle w:val="FootnoteReference"/>
        </w:rPr>
        <w:footnoteRef/>
      </w:r>
      <w:r>
        <w:t xml:space="preserve"> US Food and Drug Administration (6 October 2024) </w:t>
      </w:r>
      <w:r w:rsidRPr="004551D5">
        <w:t>NDA 218860</w:t>
      </w:r>
      <w:r>
        <w:t xml:space="preserve">. Available: </w:t>
      </w:r>
      <w:r w:rsidRPr="00AF3772">
        <w:t>https://www.accessdata.fda.gov/drugsatfda_docs/appletter/2024/218860Orig1s000ltr.pdf</w:t>
      </w:r>
    </w:p>
  </w:footnote>
  <w:footnote w:id="3">
    <w:p w14:paraId="06D60768" w14:textId="77777777" w:rsidR="00B1784A" w:rsidRPr="00B94BCB" w:rsidRDefault="00B1784A" w:rsidP="00B1784A">
      <w:pPr>
        <w:pStyle w:val="FootnoteText"/>
      </w:pPr>
      <w:r>
        <w:rPr>
          <w:rStyle w:val="FootnoteReference"/>
        </w:rPr>
        <w:footnoteRef/>
      </w:r>
      <w:r>
        <w:t xml:space="preserve"> European Medicines Agency (2024) </w:t>
      </w:r>
      <w:r w:rsidRPr="00B94BCB">
        <w:t>Meeting highlights from the Committee for Medicinal Products for Human Use (CHMP) 22-25 July 2024</w:t>
      </w:r>
      <w:r>
        <w:t xml:space="preserve">, Available: </w:t>
      </w:r>
      <w:r w:rsidRPr="00B94BCB">
        <w:t>https://www.ema.europa.eu/en/news/meeting-highlights-committee-medicinal-products-human-use-chmp-22-25-july-2024</w:t>
      </w:r>
      <w:r>
        <w:t xml:space="preserve">, and European Medicines Agency (2024) </w:t>
      </w:r>
    </w:p>
    <w:p w14:paraId="5BE6D12F" w14:textId="77777777" w:rsidR="00B1784A" w:rsidRPr="006B1F30" w:rsidRDefault="00B1784A" w:rsidP="00B1784A">
      <w:pPr>
        <w:pStyle w:val="FootnoteText"/>
        <w:rPr>
          <w:lang w:val="en-US"/>
        </w:rPr>
      </w:pPr>
      <w:r>
        <w:t xml:space="preserve">Annex I: Summary of Product Characteristics, Available: </w:t>
      </w:r>
      <w:r w:rsidRPr="00B94BCB">
        <w:t>https://www.ema.europa.eu/en/documents/product-information/iqirvo-epar-product-information_en.pdf</w:t>
      </w:r>
    </w:p>
  </w:footnote>
  <w:footnote w:id="4">
    <w:p w14:paraId="6FC0E4D8" w14:textId="77777777" w:rsidR="00A36403" w:rsidRPr="005A3773" w:rsidRDefault="00A36403" w:rsidP="00A36403">
      <w:pPr>
        <w:pStyle w:val="FootnoteText"/>
        <w:rPr>
          <w:lang w:val="en-US"/>
        </w:rPr>
      </w:pPr>
      <w:r w:rsidRPr="005A3773">
        <w:rPr>
          <w:rStyle w:val="FootnoteReference"/>
        </w:rPr>
        <w:footnoteRef/>
      </w:r>
      <w:r w:rsidRPr="005A3773">
        <w:t xml:space="preserve"> Jung et al. 2012. 'Prognostic indicators in primary biliary cirrhosis: significance of revised IAHG (International Autoimmune Hepatitis Group) score', </w:t>
      </w:r>
      <w:r w:rsidRPr="00BC3AE9">
        <w:rPr>
          <w:i/>
        </w:rPr>
        <w:t>Clin Mol Hepatol,</w:t>
      </w:r>
      <w:r w:rsidRPr="005A3773">
        <w:t xml:space="preserve"> 18: 375-82.</w:t>
      </w:r>
    </w:p>
  </w:footnote>
  <w:footnote w:id="5">
    <w:p w14:paraId="5618307F" w14:textId="77777777" w:rsidR="00A36403" w:rsidRPr="005A3773" w:rsidRDefault="00A36403" w:rsidP="00A36403">
      <w:pPr>
        <w:pStyle w:val="FootnoteText"/>
        <w:rPr>
          <w:lang w:val="en-US"/>
        </w:rPr>
      </w:pPr>
      <w:r w:rsidRPr="005A3773">
        <w:rPr>
          <w:rStyle w:val="FootnoteReference"/>
        </w:rPr>
        <w:footnoteRef/>
      </w:r>
      <w:r w:rsidRPr="005A3773">
        <w:t xml:space="preserve"> </w:t>
      </w:r>
      <w:r w:rsidRPr="005A3773">
        <w:rPr>
          <w:noProof/>
        </w:rPr>
        <w:t xml:space="preserve">Milovanovic et al. 2020. 'Quality of Life in Patients with Primary Biliary Cholangitis: A Single-Center Experience in Serbia', </w:t>
      </w:r>
      <w:r w:rsidRPr="00BC3AE9">
        <w:rPr>
          <w:i/>
        </w:rPr>
        <w:t>Dig Dis,</w:t>
      </w:r>
      <w:r w:rsidRPr="005A3773">
        <w:rPr>
          <w:noProof/>
        </w:rPr>
        <w:t xml:space="preserve"> 38: 515-21.</w:t>
      </w:r>
    </w:p>
  </w:footnote>
  <w:footnote w:id="6">
    <w:p w14:paraId="7909660E" w14:textId="77777777" w:rsidR="00A36403" w:rsidRPr="005A3773" w:rsidRDefault="00A36403" w:rsidP="00A36403">
      <w:pPr>
        <w:pStyle w:val="EndNoteBibliography"/>
        <w:spacing w:after="0"/>
        <w:rPr>
          <w:rFonts w:ascii="Calibri" w:eastAsia="Times New Roman" w:hAnsi="Calibri" w:cs="Arial"/>
          <w:noProof/>
          <w:sz w:val="20"/>
          <w:szCs w:val="20"/>
          <w:lang w:eastAsia="en-AU" w:bidi="ar-SA"/>
        </w:rPr>
      </w:pPr>
      <w:r w:rsidRPr="005A3773">
        <w:rPr>
          <w:rFonts w:ascii="Calibri" w:eastAsia="Times New Roman" w:hAnsi="Calibri" w:cs="Arial"/>
          <w:noProof/>
          <w:sz w:val="20"/>
          <w:szCs w:val="20"/>
          <w:vertAlign w:val="superscript"/>
          <w:lang w:eastAsia="en-AU" w:bidi="ar-SA"/>
        </w:rPr>
        <w:footnoteRef/>
      </w:r>
      <w:r w:rsidRPr="005A3773">
        <w:rPr>
          <w:rFonts w:ascii="Calibri" w:eastAsia="Times New Roman" w:hAnsi="Calibri" w:cs="Arial"/>
          <w:noProof/>
          <w:sz w:val="20"/>
          <w:szCs w:val="20"/>
          <w:lang w:eastAsia="en-AU" w:bidi="ar-SA"/>
        </w:rPr>
        <w:t xml:space="preserve"> Oeda et al. 2018. 'Prevalence of pruritus in patients with chronic liver disease: A multicenter study', </w:t>
      </w:r>
      <w:r w:rsidRPr="00BC3AE9">
        <w:rPr>
          <w:rFonts w:ascii="Calibri" w:eastAsia="Times New Roman" w:hAnsi="Calibri" w:cs="Arial"/>
          <w:i/>
          <w:sz w:val="20"/>
          <w:szCs w:val="20"/>
          <w:lang w:eastAsia="en-AU" w:bidi="ar-SA"/>
        </w:rPr>
        <w:t>Hepatol Res,</w:t>
      </w:r>
      <w:r w:rsidRPr="005A3773">
        <w:rPr>
          <w:rFonts w:ascii="Calibri" w:eastAsia="Times New Roman" w:hAnsi="Calibri" w:cs="Arial"/>
          <w:noProof/>
          <w:sz w:val="20"/>
          <w:szCs w:val="20"/>
          <w:lang w:eastAsia="en-AU" w:bidi="ar-SA"/>
        </w:rPr>
        <w:t xml:space="preserve"> 48: E252-e62.</w:t>
      </w:r>
    </w:p>
  </w:footnote>
  <w:footnote w:id="7">
    <w:p w14:paraId="789D12D4" w14:textId="77777777" w:rsidR="00A36403" w:rsidRPr="005A3773" w:rsidRDefault="00A36403" w:rsidP="00A36403">
      <w:pPr>
        <w:pStyle w:val="FootnoteText"/>
        <w:rPr>
          <w:lang w:val="en-US"/>
        </w:rPr>
      </w:pPr>
      <w:r w:rsidRPr="005A3773">
        <w:rPr>
          <w:rStyle w:val="FootnoteReference"/>
        </w:rPr>
        <w:footnoteRef/>
      </w:r>
      <w:r w:rsidRPr="005A3773">
        <w:t xml:space="preserve"> Hirschfield et al. 2021b. 'A consensus integrated care pathway for patients with primary biliary cholangitis: a guideline-based approach to clinical care of patients', </w:t>
      </w:r>
      <w:r w:rsidRPr="00BC3AE9">
        <w:rPr>
          <w:i/>
        </w:rPr>
        <w:t>Expert Rev Gastroenterol Hepatol,</w:t>
      </w:r>
      <w:r w:rsidRPr="005A3773">
        <w:t xml:space="preserve"> 15: 929-39.</w:t>
      </w:r>
    </w:p>
  </w:footnote>
  <w:footnote w:id="8">
    <w:p w14:paraId="3CE85703" w14:textId="77777777" w:rsidR="00A36403" w:rsidRPr="005A3773" w:rsidRDefault="00A36403" w:rsidP="00A36403">
      <w:pPr>
        <w:pStyle w:val="FootnoteText"/>
        <w:rPr>
          <w:lang w:val="en-US"/>
        </w:rPr>
      </w:pPr>
      <w:r w:rsidRPr="005A3773">
        <w:rPr>
          <w:rStyle w:val="FootnoteReference"/>
        </w:rPr>
        <w:footnoteRef/>
      </w:r>
      <w:r w:rsidRPr="005A3773">
        <w:t xml:space="preserve"> </w:t>
      </w:r>
      <w:proofErr w:type="spellStart"/>
      <w:r w:rsidRPr="005A3773">
        <w:t>Parés</w:t>
      </w:r>
      <w:proofErr w:type="spellEnd"/>
      <w:r w:rsidRPr="005A3773">
        <w:t xml:space="preserve"> et al. 'Primary biliary cholangitis in Spain. Results of a Delphi study of epidemiology, diagnosis, follow-up and treatment', </w:t>
      </w:r>
      <w:r w:rsidRPr="00BC3AE9">
        <w:rPr>
          <w:i/>
        </w:rPr>
        <w:t xml:space="preserve">Rev Esp </w:t>
      </w:r>
      <w:proofErr w:type="spellStart"/>
      <w:r w:rsidRPr="00BC3AE9">
        <w:rPr>
          <w:i/>
        </w:rPr>
        <w:t>Enferm</w:t>
      </w:r>
      <w:proofErr w:type="spellEnd"/>
      <w:r w:rsidRPr="00BC3AE9">
        <w:rPr>
          <w:i/>
        </w:rPr>
        <w:t xml:space="preserve"> Dig,</w:t>
      </w:r>
      <w:r w:rsidRPr="005A3773">
        <w:t xml:space="preserve"> 110: 641-49.</w:t>
      </w:r>
    </w:p>
  </w:footnote>
  <w:footnote w:id="9">
    <w:p w14:paraId="385EDBA4" w14:textId="77777777" w:rsidR="00A36403" w:rsidRPr="005A3773" w:rsidRDefault="00A36403" w:rsidP="00A36403">
      <w:pPr>
        <w:pStyle w:val="FootnoteText"/>
        <w:rPr>
          <w:lang w:val="en-US"/>
        </w:rPr>
      </w:pPr>
      <w:r w:rsidRPr="005A3773">
        <w:rPr>
          <w:rStyle w:val="FootnoteReference"/>
        </w:rPr>
        <w:footnoteRef/>
      </w:r>
      <w:r w:rsidRPr="005A3773">
        <w:t xml:space="preserve"> Liu et al. 'Clinical Characteristics and Prognosis of Concomitant Primary Biliary Cholangitis and Autoimmune Diseases: A Retrospective Study', </w:t>
      </w:r>
      <w:r w:rsidRPr="00BC3AE9">
        <w:rPr>
          <w:i/>
        </w:rPr>
        <w:t>Can J Gastroenterol Hepatol,</w:t>
      </w:r>
      <w:r w:rsidRPr="005A3773">
        <w:t xml:space="preserve"> 2021: 5557814.</w:t>
      </w:r>
    </w:p>
  </w:footnote>
  <w:footnote w:id="10">
    <w:p w14:paraId="7B454217" w14:textId="77777777" w:rsidR="003000E0" w:rsidRPr="00807FD7" w:rsidRDefault="003000E0" w:rsidP="00AE01F1">
      <w:pPr>
        <w:pStyle w:val="FootnoteText"/>
        <w:rPr>
          <w:lang w:val="it-IT"/>
        </w:rPr>
      </w:pPr>
      <w:r w:rsidRPr="005A3773">
        <w:rPr>
          <w:rStyle w:val="FootnoteReference"/>
        </w:rPr>
        <w:footnoteRef/>
      </w:r>
      <w:r w:rsidRPr="00807FD7">
        <w:rPr>
          <w:rStyle w:val="FootnoteReference"/>
          <w:lang w:val="it-IT"/>
        </w:rPr>
        <w:t xml:space="preserve"> </w:t>
      </w:r>
      <w:r w:rsidRPr="00807FD7">
        <w:rPr>
          <w:rStyle w:val="FootnoteReference"/>
          <w:vertAlign w:val="baseline"/>
          <w:lang w:val="it-IT"/>
        </w:rPr>
        <w:t>Laschtowitz</w:t>
      </w:r>
      <w:r w:rsidRPr="00807FD7">
        <w:rPr>
          <w:lang w:val="it-IT"/>
        </w:rPr>
        <w:t xml:space="preserve"> </w:t>
      </w:r>
      <w:r w:rsidRPr="00807FD7">
        <w:rPr>
          <w:lang w:val="it-IT"/>
        </w:rPr>
        <w:t>e</w:t>
      </w:r>
      <w:r w:rsidRPr="00807FD7">
        <w:rPr>
          <w:rStyle w:val="FootnoteReference"/>
          <w:vertAlign w:val="baseline"/>
          <w:lang w:val="it-IT"/>
        </w:rPr>
        <w:t>t</w:t>
      </w:r>
      <w:r w:rsidRPr="00807FD7">
        <w:rPr>
          <w:lang w:val="it-IT"/>
        </w:rPr>
        <w:t xml:space="preserve"> al</w:t>
      </w:r>
      <w:r w:rsidRPr="00807FD7">
        <w:rPr>
          <w:rStyle w:val="FootnoteReference"/>
          <w:vertAlign w:val="baseline"/>
          <w:lang w:val="it-IT"/>
        </w:rPr>
        <w:t xml:space="preserve">. 2020. 'Diagnosis and treatment of primary biliary cholangitis', </w:t>
      </w:r>
      <w:r w:rsidRPr="00807FD7">
        <w:rPr>
          <w:rStyle w:val="FootnoteReference"/>
          <w:i/>
          <w:vertAlign w:val="baseline"/>
          <w:lang w:val="it-IT"/>
        </w:rPr>
        <w:t>United European Gastroenterol J,</w:t>
      </w:r>
      <w:r w:rsidRPr="00807FD7">
        <w:rPr>
          <w:rStyle w:val="FootnoteReference"/>
          <w:vertAlign w:val="baseline"/>
          <w:lang w:val="it-IT"/>
        </w:rPr>
        <w:t xml:space="preserve"> 8: 667-74.</w:t>
      </w:r>
    </w:p>
  </w:footnote>
  <w:footnote w:id="11">
    <w:p w14:paraId="2B057015" w14:textId="77777777" w:rsidR="003000E0" w:rsidRPr="005A3773" w:rsidRDefault="003000E0" w:rsidP="00AE01F1">
      <w:pPr>
        <w:pStyle w:val="FootnoteText"/>
        <w:rPr>
          <w:lang w:val="en-US"/>
        </w:rPr>
      </w:pPr>
      <w:r w:rsidRPr="005A3773">
        <w:rPr>
          <w:rStyle w:val="FootnoteReference"/>
          <w:vertAlign w:val="baseline"/>
        </w:rPr>
        <w:footnoteRef/>
      </w:r>
      <w:r w:rsidRPr="005A3773">
        <w:rPr>
          <w:rStyle w:val="FootnoteReference"/>
          <w:vertAlign w:val="baseline"/>
        </w:rPr>
        <w:t xml:space="preserve"> Harms et al. 2018. 'Major Hepatic Complications in Ursodeoxycholic Acid-Treated Patients With Primary Biliary Cholangitis: Risk Factors and Time Trends in Incidence and Outcome', </w:t>
      </w:r>
      <w:r w:rsidRPr="00BC3AE9">
        <w:rPr>
          <w:rStyle w:val="FootnoteReference"/>
          <w:i/>
          <w:vertAlign w:val="baseline"/>
        </w:rPr>
        <w:t>Am J Gastroenterol,</w:t>
      </w:r>
      <w:r w:rsidRPr="005A3773">
        <w:rPr>
          <w:rStyle w:val="FootnoteReference"/>
          <w:vertAlign w:val="baseline"/>
        </w:rPr>
        <w:t xml:space="preserve"> 113: 254-64</w:t>
      </w:r>
    </w:p>
  </w:footnote>
  <w:footnote w:id="12">
    <w:p w14:paraId="0AA995B2" w14:textId="77777777" w:rsidR="003000E0" w:rsidRPr="005A3773" w:rsidRDefault="003000E0" w:rsidP="003000E0">
      <w:pPr>
        <w:pStyle w:val="FootnoteText"/>
        <w:rPr>
          <w:lang w:val="en-US"/>
        </w:rPr>
      </w:pPr>
      <w:r w:rsidRPr="005A3773">
        <w:rPr>
          <w:rStyle w:val="FootnoteReference"/>
        </w:rPr>
        <w:footnoteRef/>
      </w:r>
      <w:r w:rsidRPr="005A3773">
        <w:t xml:space="preserve"> Axley et al. 2018. 'Patients with stage 3 compared to stage 4 liver fibrosis have lower frequency of and longer time to liver disease complications', </w:t>
      </w:r>
      <w:proofErr w:type="spellStart"/>
      <w:r w:rsidRPr="00BC3AE9">
        <w:rPr>
          <w:i/>
        </w:rPr>
        <w:t>PLoS</w:t>
      </w:r>
      <w:proofErr w:type="spellEnd"/>
      <w:r w:rsidRPr="00BC3AE9">
        <w:rPr>
          <w:i/>
        </w:rPr>
        <w:t xml:space="preserve"> One,</w:t>
      </w:r>
      <w:r w:rsidRPr="005A3773">
        <w:t xml:space="preserve"> 13: e0197117.</w:t>
      </w:r>
    </w:p>
  </w:footnote>
  <w:footnote w:id="13">
    <w:p w14:paraId="26E08CC1" w14:textId="77777777" w:rsidR="003000E0" w:rsidRPr="005A3773" w:rsidRDefault="003000E0" w:rsidP="003000E0">
      <w:pPr>
        <w:pStyle w:val="FootnoteText"/>
      </w:pPr>
      <w:r w:rsidRPr="005A3773">
        <w:rPr>
          <w:rStyle w:val="FootnoteReference"/>
        </w:rPr>
        <w:footnoteRef/>
      </w:r>
      <w:r w:rsidRPr="005A3773">
        <w:rPr>
          <w:rStyle w:val="FootnoteReference"/>
        </w:rPr>
        <w:t xml:space="preserve"> </w:t>
      </w:r>
      <w:r w:rsidRPr="005A3773">
        <w:t xml:space="preserve">Natarajan et al. 2021. 'Incidence of Hepatocellular Carcinoma in Primary Biliary Cholangitis: A Systematic Review and Meta-Analysis', </w:t>
      </w:r>
      <w:r w:rsidRPr="00BC3AE9">
        <w:rPr>
          <w:i/>
        </w:rPr>
        <w:t xml:space="preserve">Dig Dis Sci, </w:t>
      </w:r>
      <w:r w:rsidRPr="005A3773">
        <w:t>66: 2439-51.</w:t>
      </w:r>
    </w:p>
  </w:footnote>
  <w:footnote w:id="14">
    <w:p w14:paraId="0F849FB5" w14:textId="77777777" w:rsidR="003000E0" w:rsidRPr="005A3773" w:rsidRDefault="003000E0" w:rsidP="003000E0">
      <w:pPr>
        <w:pStyle w:val="FootnoteText"/>
        <w:rPr>
          <w:lang w:val="en-US"/>
        </w:rPr>
      </w:pPr>
      <w:r w:rsidRPr="005A3773">
        <w:rPr>
          <w:rStyle w:val="FootnoteReference"/>
        </w:rPr>
        <w:footnoteRef/>
      </w:r>
      <w:r w:rsidRPr="005A3773">
        <w:t xml:space="preserve"> Rong et al. 2015. 'Incidence and risk factors for hepatocellular carcinoma in primary biliary cirrhosis', </w:t>
      </w:r>
      <w:r w:rsidRPr="00BC3AE9">
        <w:rPr>
          <w:i/>
        </w:rPr>
        <w:t>Clin Rev Allergy Immunol,</w:t>
      </w:r>
      <w:r w:rsidRPr="005A3773">
        <w:t xml:space="preserve"> 48: 132-41.</w:t>
      </w:r>
    </w:p>
  </w:footnote>
  <w:footnote w:id="15">
    <w:p w14:paraId="7589D74F" w14:textId="77777777" w:rsidR="0009193A" w:rsidRPr="00E77EE5" w:rsidRDefault="0009193A" w:rsidP="0009193A">
      <w:pPr>
        <w:pStyle w:val="FootnoteText"/>
        <w:rPr>
          <w:lang w:val="en-US"/>
        </w:rPr>
      </w:pPr>
      <w:r w:rsidRPr="005A3773">
        <w:rPr>
          <w:rStyle w:val="FootnoteReference"/>
        </w:rPr>
        <w:footnoteRef/>
      </w:r>
      <w:r w:rsidRPr="005A3773">
        <w:t xml:space="preserve"> French et al.  2020. 'Increasing prevalence of primary biliary cholangitis in Victoria, Australia', </w:t>
      </w:r>
      <w:r w:rsidRPr="00BC3AE9">
        <w:rPr>
          <w:i/>
        </w:rPr>
        <w:t>J Gastroenterol Hepatol,</w:t>
      </w:r>
      <w:r w:rsidRPr="005A3773">
        <w:t xml:space="preserve"> 35: 673-79.</w:t>
      </w:r>
    </w:p>
  </w:footnote>
  <w:footnote w:id="16">
    <w:p w14:paraId="7E1733F6" w14:textId="752FB65F" w:rsidR="00DB5B37" w:rsidRPr="00C7399A" w:rsidRDefault="00DB5B37" w:rsidP="00DB5B37">
      <w:pPr>
        <w:pStyle w:val="FootnoteText"/>
        <w:rPr>
          <w:rFonts w:ascii="Arial" w:hAnsi="Arial"/>
          <w:sz w:val="18"/>
          <w:szCs w:val="18"/>
        </w:rPr>
      </w:pPr>
      <w:r w:rsidRPr="00806AC3">
        <w:rPr>
          <w:rFonts w:ascii="Arial" w:hAnsi="Arial"/>
          <w:sz w:val="18"/>
          <w:szCs w:val="18"/>
          <w:vertAlign w:val="superscript"/>
        </w:rPr>
        <w:footnoteRef/>
      </w:r>
      <w:r w:rsidRPr="00C7399A">
        <w:rPr>
          <w:rFonts w:ascii="Arial" w:hAnsi="Arial"/>
          <w:sz w:val="18"/>
          <w:szCs w:val="18"/>
        </w:rPr>
        <w:t xml:space="preserve"> </w:t>
      </w:r>
      <w:r w:rsidRPr="00BC3AE9">
        <w:t xml:space="preserve">EMA (2024) EMA recommends revoking conditional marketing authorisation for Ocaliva. Available: </w:t>
      </w:r>
      <w:hyperlink r:id="rId1" w:history="1">
        <w:r w:rsidRPr="00BC3AE9">
          <w:t>https://www.ema.europa.eu/en/news/ema-recommends-revoking-conditional-marketing-authorisation-ocaliva</w:t>
        </w:r>
      </w:hyperlink>
      <w:r>
        <w:rPr>
          <w:rFonts w:ascii="Arial" w:hAnsi="Arial"/>
          <w:sz w:val="18"/>
          <w:szCs w:val="18"/>
        </w:rPr>
        <w:t xml:space="preserve"> </w:t>
      </w:r>
    </w:p>
  </w:footnote>
  <w:footnote w:id="17">
    <w:p w14:paraId="5B315163" w14:textId="77777777" w:rsidR="00DB5B37" w:rsidRPr="00A660CB" w:rsidRDefault="00DB5B37" w:rsidP="00A660CB">
      <w:pPr>
        <w:pStyle w:val="FootnoteText"/>
      </w:pPr>
      <w:r w:rsidRPr="00A660CB">
        <w:rPr>
          <w:vertAlign w:val="superscript"/>
        </w:rPr>
        <w:footnoteRef/>
      </w:r>
      <w:r w:rsidRPr="00A660CB">
        <w:t xml:space="preserve"> The FDA currently has a box warning for OCA regarding: hepatic decompensation and failure, sometimes fatal or resulting in liver transplant, have been reported with OCA treatment in PBC patients with either compensated or decompensated cirrhosis; OCA is contraindicated in PBC patients with decompensated cirrhosis, a prior decompensation event, or with compensated cirrhosis who have evidence of portal hypertension; and permanently discontinue OCA in patients who develop laboratory or clinical evidence of hepatic decompensation, have compensated cirrhosis and develop evidence of portal hypertension, or experience clinically significant hepatic adverse reactions while on treatment. </w:t>
      </w:r>
    </w:p>
  </w:footnote>
  <w:footnote w:id="18">
    <w:p w14:paraId="0E0C27E6" w14:textId="77777777" w:rsidR="00DB5B37" w:rsidRPr="00A660CB" w:rsidRDefault="00DB5B37" w:rsidP="00A660CB">
      <w:pPr>
        <w:pStyle w:val="FootnoteText"/>
      </w:pPr>
      <w:r w:rsidRPr="00A660CB">
        <w:rPr>
          <w:vertAlign w:val="superscript"/>
        </w:rPr>
        <w:footnoteRef/>
      </w:r>
      <w:r w:rsidRPr="00A660CB">
        <w:rPr>
          <w:vertAlign w:val="superscript"/>
        </w:rPr>
        <w:t xml:space="preserve"> </w:t>
      </w:r>
      <w:r w:rsidRPr="00A660CB">
        <w:t xml:space="preserve">FDA (2024) Food and Drug Administration, </w:t>
      </w:r>
      <w:proofErr w:type="spellStart"/>
      <w:r w:rsidRPr="00A660CB">
        <w:t>Center</w:t>
      </w:r>
      <w:proofErr w:type="spellEnd"/>
      <w:r w:rsidRPr="00A660CB">
        <w:t xml:space="preserve"> for Drug Evaluation and Research, Final Summary Minutes of the Gastrointestinal Drugs Advisory Committee Meeting, September 12</w:t>
      </w:r>
      <w:proofErr w:type="gramStart"/>
      <w:r w:rsidRPr="00A660CB">
        <w:t xml:space="preserve"> 2024</w:t>
      </w:r>
      <w:proofErr w:type="gramEnd"/>
    </w:p>
  </w:footnote>
  <w:footnote w:id="19">
    <w:p w14:paraId="0363495F" w14:textId="051F2C5A" w:rsidR="00DB5B37" w:rsidRPr="00A660CB" w:rsidRDefault="00DB5B37" w:rsidP="00A660CB">
      <w:pPr>
        <w:pStyle w:val="FootnoteText"/>
      </w:pPr>
      <w:r w:rsidRPr="00A660CB">
        <w:rPr>
          <w:rStyle w:val="FootnoteReference"/>
        </w:rPr>
        <w:footnoteRef/>
      </w:r>
      <w:r w:rsidRPr="00A660CB">
        <w:t xml:space="preserve"> National Institute of Health (2024) Phase 4 Study of </w:t>
      </w:r>
      <w:proofErr w:type="spellStart"/>
      <w:r w:rsidRPr="00A660CB">
        <w:t>Obeticholic</w:t>
      </w:r>
      <w:proofErr w:type="spellEnd"/>
      <w:r w:rsidRPr="00A660CB">
        <w:t xml:space="preserve"> Acid Evaluating Clinical Outcomes in Patients with Primary Biliary Cholangitis (COBALT). Available: </w:t>
      </w:r>
      <w:hyperlink r:id="rId2" w:history="1">
        <w:r w:rsidRPr="00A660CB">
          <w:rPr>
            <w:rStyle w:val="Hyperlink"/>
            <w:color w:val="auto"/>
            <w:u w:val="none"/>
          </w:rPr>
          <w:t>https://clinicaltrials.gov/study/NCT02308111</w:t>
        </w:r>
      </w:hyperlink>
      <w:r w:rsidRPr="00A660CB">
        <w:t xml:space="preserve"> </w:t>
      </w:r>
    </w:p>
  </w:footnote>
  <w:footnote w:id="20">
    <w:p w14:paraId="13027870" w14:textId="77777777" w:rsidR="00DB5B37" w:rsidRPr="00A660CB" w:rsidRDefault="00DB5B37" w:rsidP="00A660CB">
      <w:pPr>
        <w:pStyle w:val="FootnoteText"/>
      </w:pPr>
      <w:r w:rsidRPr="00A660CB">
        <w:rPr>
          <w:rStyle w:val="FootnoteReference"/>
        </w:rPr>
        <w:footnoteRef/>
      </w:r>
      <w:r w:rsidRPr="00A660CB">
        <w:t xml:space="preserve"> </w:t>
      </w:r>
      <w:proofErr w:type="spellStart"/>
      <w:r w:rsidRPr="00A660CB">
        <w:t>Kowdley</w:t>
      </w:r>
      <w:proofErr w:type="spellEnd"/>
      <w:r w:rsidRPr="00A660CB">
        <w:t xml:space="preserve"> et al. (2024) COBALT: A Confirmatory Trial of </w:t>
      </w:r>
      <w:proofErr w:type="spellStart"/>
      <w:r w:rsidRPr="00A660CB">
        <w:t>Obeticholic</w:t>
      </w:r>
      <w:proofErr w:type="spellEnd"/>
      <w:r w:rsidRPr="00A660CB">
        <w:t xml:space="preserve"> Acid in Primary Biliary Cholangitis with Placebo and External Controls. Am J Gastroenterol. 2024 Aug 14. </w:t>
      </w:r>
      <w:proofErr w:type="spellStart"/>
      <w:r w:rsidRPr="00A660CB">
        <w:t>doi</w:t>
      </w:r>
      <w:proofErr w:type="spellEnd"/>
      <w:r w:rsidRPr="00A660CB">
        <w:t>: 10.14309/ajg.0000000000003029.</w:t>
      </w:r>
    </w:p>
  </w:footnote>
  <w:footnote w:id="21">
    <w:p w14:paraId="4B8CC973" w14:textId="1E0590B1" w:rsidR="00F42B76" w:rsidRPr="00273A28" w:rsidRDefault="00F42B76">
      <w:pPr>
        <w:pStyle w:val="FootnoteText"/>
        <w:rPr>
          <w:lang w:val="en-US"/>
        </w:rPr>
      </w:pPr>
      <w:r w:rsidRPr="00273A28">
        <w:rPr>
          <w:rStyle w:val="FootnoteReference"/>
        </w:rPr>
        <w:footnoteRef/>
      </w:r>
      <w:r w:rsidRPr="00273A28">
        <w:t xml:space="preserve"> </w:t>
      </w:r>
      <w:r w:rsidRPr="00273A28">
        <w:rPr>
          <w:lang w:val="en-US"/>
        </w:rPr>
        <w:t>Up to 7 years follow-up.</w:t>
      </w:r>
    </w:p>
  </w:footnote>
  <w:footnote w:id="22">
    <w:p w14:paraId="531BE63E" w14:textId="77777777" w:rsidR="00A67860" w:rsidRPr="00A660CB" w:rsidRDefault="00A67860" w:rsidP="00A67860">
      <w:pPr>
        <w:pStyle w:val="FootnoteText"/>
      </w:pPr>
      <w:r w:rsidRPr="00A660CB">
        <w:rPr>
          <w:rStyle w:val="FootnoteReference"/>
        </w:rPr>
        <w:footnoteRef/>
      </w:r>
      <w:r w:rsidRPr="00A660CB">
        <w:t xml:space="preserve"> </w:t>
      </w:r>
      <w:proofErr w:type="spellStart"/>
      <w:r w:rsidRPr="00A660CB">
        <w:t>Kowdley</w:t>
      </w:r>
      <w:proofErr w:type="spellEnd"/>
      <w:r w:rsidRPr="00A660CB">
        <w:t xml:space="preserve"> et al. (2024) COBALT: A Confirmatory Trial of </w:t>
      </w:r>
      <w:proofErr w:type="spellStart"/>
      <w:r w:rsidRPr="00A660CB">
        <w:t>Obeticholic</w:t>
      </w:r>
      <w:proofErr w:type="spellEnd"/>
      <w:r w:rsidRPr="00A660CB">
        <w:t xml:space="preserve"> Acid in Primary Biliary Cholangitis with Placebo and External Controls. Am J Gastroenterol. 2024 Aug 14. </w:t>
      </w:r>
      <w:proofErr w:type="spellStart"/>
      <w:r w:rsidRPr="00A660CB">
        <w:t>doi</w:t>
      </w:r>
      <w:proofErr w:type="spellEnd"/>
      <w:r w:rsidRPr="00A660CB">
        <w:t>: 10.14309/ajg.0000000000003029.</w:t>
      </w:r>
    </w:p>
  </w:footnote>
  <w:footnote w:id="23">
    <w:p w14:paraId="43E82A9B" w14:textId="335EC926" w:rsidR="007214DE" w:rsidRPr="0086623F" w:rsidRDefault="007214DE" w:rsidP="0086623F">
      <w:pPr>
        <w:pStyle w:val="FootnoteText"/>
      </w:pPr>
      <w:r w:rsidRPr="0086623F">
        <w:rPr>
          <w:rStyle w:val="FootnoteReference"/>
        </w:rPr>
        <w:footnoteRef/>
      </w:r>
      <w:r w:rsidRPr="0086623F">
        <w:t xml:space="preserve"> National Institute of Health (2024) A Long-Term Study of </w:t>
      </w:r>
      <w:proofErr w:type="spellStart"/>
      <w:r w:rsidRPr="0086623F">
        <w:t>Elafibranor</w:t>
      </w:r>
      <w:proofErr w:type="spellEnd"/>
      <w:r w:rsidRPr="0086623F">
        <w:t xml:space="preserve"> in Adult Participants With Primary Biliary Cholangitis (ELFIDENCE). Available: </w:t>
      </w:r>
      <w:hyperlink r:id="rId3" w:history="1">
        <w:r w:rsidRPr="0086623F">
          <w:rPr>
            <w:rStyle w:val="Hyperlink"/>
            <w:color w:val="auto"/>
            <w:u w:val="none"/>
          </w:rPr>
          <w:t>https://clinicaltrials.gov/study/NCT06016842</w:t>
        </w:r>
      </w:hyperlink>
      <w:r w:rsidRPr="0086623F">
        <w:t xml:space="preserve"> </w:t>
      </w:r>
    </w:p>
  </w:footnote>
  <w:footnote w:id="24">
    <w:p w14:paraId="7A8E8057" w14:textId="77777777" w:rsidR="00FD5098" w:rsidRDefault="00235178" w:rsidP="00235178">
      <w:pPr>
        <w:pStyle w:val="FootnoteText"/>
      </w:pPr>
      <w:r w:rsidRPr="0086623F">
        <w:rPr>
          <w:rStyle w:val="FootnoteReference"/>
        </w:rPr>
        <w:footnoteRef/>
      </w:r>
      <w:r w:rsidRPr="0086623F">
        <w:rPr>
          <w:rStyle w:val="FootnoteReference"/>
          <w:vertAlign w:val="baseline"/>
        </w:rPr>
        <w:t xml:space="preserve"> </w:t>
      </w:r>
      <w:r w:rsidRPr="0086623F">
        <w:t xml:space="preserve">This differs from the conditions of the FDA accelerated approval, where efficacy must be demonstrated using a composite endpoint of all-cause mortality, liver transplant, hepatic decompensation, change in Model for End-Stage Liver Disease (MELD) 3.0 to ≥15 in </w:t>
      </w:r>
      <w:r w:rsidR="00675D40">
        <w:t>patients</w:t>
      </w:r>
      <w:r w:rsidRPr="0086623F">
        <w:t xml:space="preserve"> with baseline MELD ≤12, and development of HCC. US Food and Drug Administration (6 October 2024) NDA 218860. </w:t>
      </w:r>
    </w:p>
    <w:p w14:paraId="3333B295" w14:textId="5DD61FCA" w:rsidR="00235178" w:rsidRPr="0086623F" w:rsidRDefault="00235178" w:rsidP="00235178">
      <w:pPr>
        <w:pStyle w:val="FootnoteText"/>
      </w:pPr>
      <w:r w:rsidRPr="0086623F">
        <w:t xml:space="preserve">Available: </w:t>
      </w:r>
      <w:hyperlink r:id="rId4" w:history="1">
        <w:r w:rsidRPr="0086623F">
          <w:t>https://www.accessdata.fda.gov/drugsatfda_docs/appletter/2024/218860Orig1s000ltr.pdf</w:t>
        </w:r>
      </w:hyperlink>
    </w:p>
  </w:footnote>
  <w:footnote w:id="25">
    <w:p w14:paraId="490CD54E" w14:textId="77777777" w:rsidR="00352E53" w:rsidRDefault="00184638" w:rsidP="00184638">
      <w:pPr>
        <w:pStyle w:val="FootnoteText"/>
        <w:rPr>
          <w:noProof/>
        </w:rPr>
      </w:pPr>
      <w:r>
        <w:rPr>
          <w:rStyle w:val="FootnoteReference"/>
        </w:rPr>
        <w:footnoteRef/>
      </w:r>
      <w:r>
        <w:t xml:space="preserve"> US </w:t>
      </w:r>
      <w:r w:rsidRPr="00AD14F2">
        <w:rPr>
          <w:noProof/>
        </w:rPr>
        <w:t>FDA</w:t>
      </w:r>
      <w:r>
        <w:rPr>
          <w:noProof/>
        </w:rPr>
        <w:t xml:space="preserve"> (2016)</w:t>
      </w:r>
      <w:r w:rsidRPr="00AD14F2">
        <w:rPr>
          <w:noProof/>
        </w:rPr>
        <w:t xml:space="preserve"> 'FDA approves Ocaliva for rare, chronic liver disease</w:t>
      </w:r>
      <w:r>
        <w:rPr>
          <w:noProof/>
        </w:rPr>
        <w:t>’</w:t>
      </w:r>
      <w:r w:rsidRPr="00AD14F2">
        <w:rPr>
          <w:noProof/>
        </w:rPr>
        <w:t xml:space="preserve">. Available at: </w:t>
      </w:r>
    </w:p>
    <w:p w14:paraId="01FC3465" w14:textId="0899FA76" w:rsidR="00184638" w:rsidRPr="00E46136" w:rsidRDefault="00352E53" w:rsidP="00184638">
      <w:pPr>
        <w:pStyle w:val="FootnoteText"/>
        <w:rPr>
          <w:lang w:val="en-US"/>
        </w:rPr>
      </w:pPr>
      <w:hyperlink r:id="rId5" w:history="1">
        <w:r w:rsidRPr="003E13BD">
          <w:rPr>
            <w:rStyle w:val="Hyperlink"/>
            <w:noProof/>
          </w:rPr>
          <w:t>https://www.fda.gov/news-events/press-announcements/fda-approves-ocaliva-rare-chronic-liver-disease</w:t>
        </w:r>
      </w:hyperlink>
    </w:p>
  </w:footnote>
  <w:footnote w:id="26">
    <w:p w14:paraId="201621AF" w14:textId="77777777" w:rsidR="00352E53" w:rsidRDefault="00184638" w:rsidP="00184638">
      <w:pPr>
        <w:pStyle w:val="FootnoteText"/>
      </w:pPr>
      <w:r w:rsidRPr="00E43DC3">
        <w:rPr>
          <w:rStyle w:val="FootnoteReference"/>
        </w:rPr>
        <w:footnoteRef/>
      </w:r>
      <w:r w:rsidRPr="00B74C16">
        <w:t xml:space="preserve"> </w:t>
      </w:r>
      <w:r w:rsidRPr="00CD56DA">
        <w:t>US FDA (6 October 2024) NDA 218860, Accelerated Approval. Available</w:t>
      </w:r>
      <w:r w:rsidR="00352E53">
        <w:t xml:space="preserve"> at</w:t>
      </w:r>
      <w:r w:rsidRPr="00CD56DA">
        <w:t>:</w:t>
      </w:r>
    </w:p>
    <w:p w14:paraId="74DADBA9" w14:textId="65FB9369" w:rsidR="00352E53" w:rsidRPr="00B74C16" w:rsidRDefault="00184638" w:rsidP="00184638">
      <w:pPr>
        <w:pStyle w:val="FootnoteText"/>
      </w:pPr>
      <w:r w:rsidRPr="00CD56DA">
        <w:t xml:space="preserve"> </w:t>
      </w:r>
      <w:hyperlink r:id="rId6" w:history="1">
        <w:r w:rsidRPr="00CD56DA">
          <w:t>https://www.accessdata.fda.gov/drugsatfda_docs/appletter/2024/218860Orig1s000ltr.pdf</w:t>
        </w:r>
      </w:hyperlink>
    </w:p>
  </w:footnote>
  <w:footnote w:id="27">
    <w:p w14:paraId="34FCAB81" w14:textId="0A6ACE0A" w:rsidR="005D34CF" w:rsidRPr="005D34CF" w:rsidRDefault="005D34CF">
      <w:pPr>
        <w:pStyle w:val="FootnoteText"/>
        <w:rPr>
          <w:lang w:val="en-US"/>
        </w:rPr>
      </w:pPr>
      <w:r>
        <w:rPr>
          <w:rStyle w:val="FootnoteReference"/>
        </w:rPr>
        <w:footnoteRef/>
      </w:r>
      <w:r>
        <w:t xml:space="preserve"> </w:t>
      </w:r>
      <w:r>
        <w:rPr>
          <w:lang w:val="en-US"/>
        </w:rPr>
        <w:t>Calculated during the evaluation.</w:t>
      </w:r>
    </w:p>
  </w:footnote>
  <w:footnote w:id="28">
    <w:p w14:paraId="2E069D60" w14:textId="77777777" w:rsidR="002368F6" w:rsidRPr="005D34CF" w:rsidRDefault="002368F6" w:rsidP="002368F6">
      <w:pPr>
        <w:pStyle w:val="FootnoteText"/>
        <w:rPr>
          <w:lang w:val="en-US"/>
        </w:rPr>
      </w:pPr>
      <w:r>
        <w:rPr>
          <w:rStyle w:val="FootnoteReference"/>
        </w:rPr>
        <w:footnoteRef/>
      </w:r>
      <w:r>
        <w:t xml:space="preserve"> </w:t>
      </w:r>
      <w:r>
        <w:rPr>
          <w:lang w:val="en-US"/>
        </w:rPr>
        <w:t>Calculated during the evaluation.</w:t>
      </w:r>
    </w:p>
  </w:footnote>
  <w:footnote w:id="29">
    <w:p w14:paraId="21013075" w14:textId="7DC47552" w:rsidR="00184638" w:rsidRPr="001A7BB6" w:rsidRDefault="00184638" w:rsidP="00184638">
      <w:pPr>
        <w:pStyle w:val="FootnoteText"/>
      </w:pPr>
      <w:r w:rsidRPr="001A7BB6">
        <w:rPr>
          <w:rStyle w:val="FootnoteReference"/>
        </w:rPr>
        <w:footnoteRef/>
      </w:r>
      <w:r w:rsidRPr="001A7BB6">
        <w:t xml:space="preserve"> National Institute of Health (2024) Phase 4 Study of </w:t>
      </w:r>
      <w:proofErr w:type="spellStart"/>
      <w:r w:rsidRPr="001A7BB6">
        <w:t>Obeticholic</w:t>
      </w:r>
      <w:proofErr w:type="spellEnd"/>
      <w:r w:rsidRPr="001A7BB6">
        <w:t xml:space="preserve"> Acid Evaluating Clinical Outcomes in Patients with Primary Biliary Cholangitis (COBALT). Available: </w:t>
      </w:r>
      <w:hyperlink r:id="rId7" w:history="1">
        <w:r w:rsidRPr="001A7BB6">
          <w:rPr>
            <w:rStyle w:val="Hyperlink"/>
            <w:color w:val="auto"/>
            <w:u w:val="none"/>
          </w:rPr>
          <w:t>https://clinicaltrials.gov/study/NCT02308111</w:t>
        </w:r>
      </w:hyperlink>
      <w:r w:rsidRPr="001A7BB6">
        <w:t xml:space="preserve"> </w:t>
      </w:r>
    </w:p>
  </w:footnote>
  <w:footnote w:id="30">
    <w:p w14:paraId="45ACB199" w14:textId="77777777" w:rsidR="00184638" w:rsidRPr="004C68AD" w:rsidRDefault="00184638" w:rsidP="00184638">
      <w:pPr>
        <w:pStyle w:val="FootnoteText"/>
        <w:rPr>
          <w:rFonts w:ascii="Arial" w:hAnsi="Arial"/>
          <w:sz w:val="18"/>
          <w:szCs w:val="18"/>
          <w:lang w:val="en-US"/>
        </w:rPr>
      </w:pPr>
      <w:r w:rsidRPr="004C68AD">
        <w:rPr>
          <w:rStyle w:val="FootnoteReference"/>
          <w:rFonts w:ascii="Arial" w:hAnsi="Arial"/>
          <w:sz w:val="18"/>
          <w:szCs w:val="18"/>
        </w:rPr>
        <w:footnoteRef/>
      </w:r>
      <w:r w:rsidRPr="004C68AD">
        <w:rPr>
          <w:rFonts w:ascii="Arial" w:hAnsi="Arial"/>
          <w:sz w:val="18"/>
          <w:szCs w:val="18"/>
        </w:rPr>
        <w:t xml:space="preserve"> </w:t>
      </w:r>
      <w:proofErr w:type="spellStart"/>
      <w:r w:rsidRPr="00B50308">
        <w:t>Kowdley</w:t>
      </w:r>
      <w:proofErr w:type="spellEnd"/>
      <w:r w:rsidRPr="00B50308">
        <w:t xml:space="preserve"> et al. (2024) COBALT: A Confirmatory Trial of </w:t>
      </w:r>
      <w:proofErr w:type="spellStart"/>
      <w:r w:rsidRPr="00B50308">
        <w:t>Obeticholic</w:t>
      </w:r>
      <w:proofErr w:type="spellEnd"/>
      <w:r w:rsidRPr="00B50308">
        <w:t xml:space="preserve"> Acid in Primary Biliary Cholangitis with Placebo and External Controls. </w:t>
      </w:r>
      <w:r w:rsidRPr="00AA433A">
        <w:rPr>
          <w:i/>
        </w:rPr>
        <w:t>Am J Gastroenterol.</w:t>
      </w:r>
      <w:r w:rsidRPr="00B50308">
        <w:t xml:space="preserve"> 2024 Aug 14.</w:t>
      </w:r>
    </w:p>
  </w:footnote>
  <w:footnote w:id="31">
    <w:p w14:paraId="567A7945" w14:textId="77777777" w:rsidR="00DF505F" w:rsidRPr="004C68AD" w:rsidRDefault="00DF505F" w:rsidP="00DF505F">
      <w:pPr>
        <w:pStyle w:val="FootnoteText"/>
        <w:rPr>
          <w:rFonts w:ascii="Arial" w:hAnsi="Arial"/>
          <w:sz w:val="18"/>
          <w:szCs w:val="18"/>
          <w:lang w:val="en-US"/>
        </w:rPr>
      </w:pPr>
      <w:r w:rsidRPr="004C68AD">
        <w:rPr>
          <w:rStyle w:val="FootnoteReference"/>
          <w:rFonts w:ascii="Arial" w:hAnsi="Arial"/>
          <w:sz w:val="18"/>
          <w:szCs w:val="18"/>
        </w:rPr>
        <w:footnoteRef/>
      </w:r>
      <w:r w:rsidRPr="004C68AD">
        <w:rPr>
          <w:rFonts w:ascii="Arial" w:hAnsi="Arial"/>
          <w:sz w:val="18"/>
          <w:szCs w:val="18"/>
        </w:rPr>
        <w:t xml:space="preserve"> </w:t>
      </w:r>
      <w:r w:rsidRPr="00DF505F">
        <w:t>Jones</w:t>
      </w:r>
      <w:r>
        <w:t xml:space="preserve"> et al. (2024)</w:t>
      </w:r>
      <w:r w:rsidRPr="00DF505F">
        <w:t xml:space="preserve"> Primary biliary cholangitis drug evaluation and regulatory approval: Where do we go from here?. Hepatology 80(5):p 1291-1300</w:t>
      </w:r>
      <w:r>
        <w:t>.</w:t>
      </w:r>
    </w:p>
  </w:footnote>
  <w:footnote w:id="32">
    <w:p w14:paraId="6B8ADCB5" w14:textId="224805F5" w:rsidR="00FB6A7A" w:rsidRPr="00FB6A7A" w:rsidRDefault="00FB6A7A">
      <w:pPr>
        <w:pStyle w:val="FootnoteText"/>
        <w:rPr>
          <w:lang w:val="en-US"/>
        </w:rPr>
      </w:pPr>
      <w:r>
        <w:rPr>
          <w:rStyle w:val="FootnoteReference"/>
        </w:rPr>
        <w:footnoteRef/>
      </w:r>
      <w:r>
        <w:t xml:space="preserve"> </w:t>
      </w:r>
      <w:r w:rsidRPr="00FB6A7A">
        <w:t xml:space="preserve">Brookhart </w:t>
      </w:r>
      <w:r>
        <w:t>et al. (2024)</w:t>
      </w:r>
      <w:r w:rsidRPr="00FB6A7A">
        <w:t xml:space="preserve"> Hepatic real-world outcomes with </w:t>
      </w:r>
      <w:proofErr w:type="spellStart"/>
      <w:r w:rsidRPr="00FB6A7A">
        <w:t>obeticholic</w:t>
      </w:r>
      <w:proofErr w:type="spellEnd"/>
      <w:r w:rsidRPr="00FB6A7A">
        <w:t xml:space="preserve"> acid in primary biliary cholangitis (HEROES): A trial emulation study design. Hepatology.</w:t>
      </w:r>
    </w:p>
  </w:footnote>
  <w:footnote w:id="33">
    <w:p w14:paraId="3A54B213" w14:textId="77777777" w:rsidR="006D0AB0" w:rsidRPr="005D5A52" w:rsidRDefault="006D0AB0" w:rsidP="006D0AB0">
      <w:pPr>
        <w:pStyle w:val="FootnoteText"/>
      </w:pPr>
      <w:r w:rsidRPr="005D5A52">
        <w:rPr>
          <w:vertAlign w:val="superscript"/>
        </w:rPr>
        <w:footnoteRef/>
      </w:r>
      <w:r w:rsidRPr="005D5A52">
        <w:rPr>
          <w:vertAlign w:val="superscript"/>
        </w:rPr>
        <w:t xml:space="preserve"> </w:t>
      </w:r>
      <w:r w:rsidRPr="005D5A52">
        <w:t xml:space="preserve">FDA (2024) Food and Drug Administration, </w:t>
      </w:r>
      <w:proofErr w:type="spellStart"/>
      <w:r w:rsidRPr="005D5A52">
        <w:t>Center</w:t>
      </w:r>
      <w:proofErr w:type="spellEnd"/>
      <w:r w:rsidRPr="005D5A52">
        <w:t xml:space="preserve"> for Drug Evaluation and Research, Final Summary Minutes of the Gastrointestinal Drugs Advisory Committee Meeting, September 13</w:t>
      </w:r>
      <w:proofErr w:type="gramStart"/>
      <w:r w:rsidRPr="005D5A52">
        <w:t xml:space="preserve"> 2024</w:t>
      </w:r>
      <w:proofErr w:type="gramEnd"/>
    </w:p>
  </w:footnote>
  <w:footnote w:id="34">
    <w:p w14:paraId="2DA06BF5" w14:textId="77777777" w:rsidR="00A97247" w:rsidRPr="00E43DC3" w:rsidRDefault="00A97247" w:rsidP="00A97247">
      <w:pPr>
        <w:pStyle w:val="FootnoteText"/>
      </w:pPr>
      <w:r w:rsidRPr="00E43DC3">
        <w:rPr>
          <w:rStyle w:val="FootnoteReference"/>
        </w:rPr>
        <w:footnoteRef/>
      </w:r>
      <w:r w:rsidRPr="00E43DC3">
        <w:rPr>
          <w:vertAlign w:val="superscript"/>
        </w:rPr>
        <w:t xml:space="preserve"> </w:t>
      </w:r>
      <w:r w:rsidRPr="00E43DC3">
        <w:t>Vernon</w:t>
      </w:r>
      <w:r>
        <w:t xml:space="preserve"> et al. (2021) </w:t>
      </w:r>
      <w:r w:rsidRPr="00E43DC3">
        <w:t xml:space="preserve">Psychometric validation and meaningful change thresholds of the Worst Itching Intensity Numerical Rating Scale for assessing itch in patients with chronic kidney disease-associated pruritus. </w:t>
      </w:r>
      <w:r w:rsidRPr="00AA433A">
        <w:rPr>
          <w:i/>
        </w:rPr>
        <w:t>J Patient Rep Outcomes.</w:t>
      </w:r>
      <w:r w:rsidRPr="00E43DC3">
        <w:t xml:space="preserve"> 5</w:t>
      </w:r>
      <w:r>
        <w:t>:</w:t>
      </w:r>
      <w:r w:rsidRPr="00E43DC3">
        <w:t xml:space="preserve"> 134</w:t>
      </w:r>
      <w:r>
        <w:t>.</w:t>
      </w:r>
    </w:p>
  </w:footnote>
  <w:footnote w:id="35">
    <w:p w14:paraId="1926E35E" w14:textId="77777777" w:rsidR="003D1574" w:rsidRPr="00B06D63" w:rsidRDefault="003D1574" w:rsidP="003D1574">
      <w:pPr>
        <w:pStyle w:val="FootnoteText"/>
        <w:rPr>
          <w:lang w:val="en-US"/>
        </w:rPr>
      </w:pPr>
      <w:r>
        <w:rPr>
          <w:rStyle w:val="FootnoteReference"/>
        </w:rPr>
        <w:footnoteRef/>
      </w:r>
      <w:r>
        <w:t xml:space="preserve"> </w:t>
      </w:r>
      <w:r>
        <w:rPr>
          <w:lang w:val="en-US"/>
        </w:rPr>
        <w:t>Kraft et al (2023) C</w:t>
      </w:r>
      <w:r w:rsidRPr="00B06D63">
        <w:rPr>
          <w:lang w:val="en-US"/>
        </w:rPr>
        <w:t>linically meaningful improvement in quality of life accompanies itch relief in patients with chronic kidney disease associated pruritus</w:t>
      </w:r>
      <w:r>
        <w:rPr>
          <w:lang w:val="en-US"/>
        </w:rPr>
        <w:t xml:space="preserve">. </w:t>
      </w:r>
      <w:r w:rsidRPr="00AA433A">
        <w:rPr>
          <w:i/>
          <w:lang w:val="en-US"/>
        </w:rPr>
        <w:t>Nephrology Dialysis Transplantation</w:t>
      </w:r>
      <w:r w:rsidRPr="00404E9B">
        <w:rPr>
          <w:lang w:val="en-US"/>
        </w:rPr>
        <w:t>, Volume 38, Issue Supplement_1</w:t>
      </w:r>
    </w:p>
  </w:footnote>
  <w:footnote w:id="36">
    <w:p w14:paraId="5986B80E" w14:textId="77777777" w:rsidR="00CB4B04" w:rsidRPr="00E43DC3" w:rsidRDefault="00CB4B04" w:rsidP="00CB4B04">
      <w:pPr>
        <w:pStyle w:val="FootnoteText"/>
      </w:pPr>
      <w:r w:rsidRPr="00E43DC3">
        <w:rPr>
          <w:rStyle w:val="FootnoteReference"/>
        </w:rPr>
        <w:footnoteRef/>
      </w:r>
      <w:r w:rsidRPr="00E43DC3">
        <w:rPr>
          <w:vertAlign w:val="superscript"/>
        </w:rPr>
        <w:t xml:space="preserve"> </w:t>
      </w:r>
      <w:r w:rsidRPr="00E43DC3">
        <w:t>Vernon</w:t>
      </w:r>
      <w:r>
        <w:t xml:space="preserve"> et al. (2021) </w:t>
      </w:r>
      <w:r w:rsidRPr="00E43DC3">
        <w:t xml:space="preserve">Psychometric validation and meaningful change thresholds of the Worst Itching Intensity Numerical Rating Scale for assessing itch in patients with chronic kidney disease-associated pruritus. </w:t>
      </w:r>
      <w:r w:rsidRPr="00AA433A">
        <w:rPr>
          <w:i/>
        </w:rPr>
        <w:t>J Patient Rep Outcomes.</w:t>
      </w:r>
      <w:r w:rsidRPr="00E43DC3">
        <w:t xml:space="preserve"> 5</w:t>
      </w:r>
      <w:r>
        <w:t>:</w:t>
      </w:r>
      <w:r w:rsidRPr="00E43DC3">
        <w:t xml:space="preserve"> 134</w:t>
      </w:r>
      <w:r>
        <w:t>.</w:t>
      </w:r>
    </w:p>
  </w:footnote>
  <w:footnote w:id="37">
    <w:p w14:paraId="47BCB18A" w14:textId="77777777" w:rsidR="00A943EB" w:rsidRPr="00B06D63" w:rsidRDefault="00A943EB" w:rsidP="00A943EB">
      <w:pPr>
        <w:pStyle w:val="FootnoteText"/>
        <w:rPr>
          <w:lang w:val="en-US"/>
        </w:rPr>
      </w:pPr>
      <w:r>
        <w:rPr>
          <w:rStyle w:val="FootnoteReference"/>
        </w:rPr>
        <w:footnoteRef/>
      </w:r>
      <w:r>
        <w:t xml:space="preserve"> </w:t>
      </w:r>
      <w:r>
        <w:rPr>
          <w:lang w:val="en-US"/>
        </w:rPr>
        <w:t>Kraft et al (2023) C</w:t>
      </w:r>
      <w:r w:rsidRPr="00B06D63">
        <w:rPr>
          <w:lang w:val="en-US"/>
        </w:rPr>
        <w:t>linically meaningful improvement in quality of life accompanies itch relief in patients with chronic kidney disease associated pruritus</w:t>
      </w:r>
      <w:r>
        <w:rPr>
          <w:lang w:val="en-US"/>
        </w:rPr>
        <w:t xml:space="preserve">. </w:t>
      </w:r>
      <w:r w:rsidRPr="00AA433A">
        <w:rPr>
          <w:i/>
          <w:lang w:val="en-US"/>
        </w:rPr>
        <w:t>Nephrology Dialysis Transplantation,</w:t>
      </w:r>
      <w:r w:rsidRPr="00404E9B">
        <w:rPr>
          <w:lang w:val="en-US"/>
        </w:rPr>
        <w:t xml:space="preserve"> Volume 38, Issue Supplement_1</w:t>
      </w:r>
    </w:p>
  </w:footnote>
  <w:footnote w:id="38">
    <w:p w14:paraId="31ADB8F8" w14:textId="77777777" w:rsidR="00C3729B" w:rsidRPr="00E43DC3" w:rsidRDefault="00C3729B" w:rsidP="00C3729B">
      <w:pPr>
        <w:pStyle w:val="FootnoteText"/>
      </w:pPr>
      <w:r w:rsidRPr="00E43DC3">
        <w:rPr>
          <w:rStyle w:val="FootnoteReference"/>
        </w:rPr>
        <w:footnoteRef/>
      </w:r>
      <w:r w:rsidRPr="00E43DC3">
        <w:rPr>
          <w:vertAlign w:val="superscript"/>
        </w:rPr>
        <w:t xml:space="preserve"> </w:t>
      </w:r>
      <w:r w:rsidRPr="00E43DC3">
        <w:t>Vernon</w:t>
      </w:r>
      <w:r>
        <w:t xml:space="preserve"> et al. (2021) </w:t>
      </w:r>
      <w:r w:rsidRPr="00E43DC3">
        <w:t>Psychometric validation and meaningful change thresholds of the Worst Itching Intensity Numerical Rating Scale for assessing itch in patients with chronic kidney disease-associated pruritus.</w:t>
      </w:r>
      <w:r w:rsidRPr="00AA433A">
        <w:rPr>
          <w:i/>
        </w:rPr>
        <w:t xml:space="preserve"> J Patient Rep Outcomes. </w:t>
      </w:r>
      <w:r w:rsidRPr="00E43DC3">
        <w:t>5</w:t>
      </w:r>
      <w:r>
        <w:t>:</w:t>
      </w:r>
      <w:r w:rsidRPr="00E43DC3">
        <w:t xml:space="preserve"> 134</w:t>
      </w:r>
      <w:r>
        <w:t>.</w:t>
      </w:r>
    </w:p>
  </w:footnote>
  <w:footnote w:id="39">
    <w:p w14:paraId="76A1EF05" w14:textId="77777777" w:rsidR="00B21DDE" w:rsidRPr="003F242F" w:rsidRDefault="00B21DDE" w:rsidP="00B21DDE">
      <w:pPr>
        <w:pStyle w:val="FootnoteText"/>
        <w:rPr>
          <w:lang w:val="en-US"/>
        </w:rPr>
      </w:pPr>
      <w:r>
        <w:rPr>
          <w:rStyle w:val="FootnoteReference"/>
        </w:rPr>
        <w:footnoteRef/>
      </w:r>
      <w:r>
        <w:t xml:space="preserve"> </w:t>
      </w:r>
      <w:r w:rsidRPr="00864758">
        <w:t xml:space="preserve">Wright et al. Health benefits of antiviral therapy for mild chronic hepatitis C: randomised controlled trial and economic evaluation. </w:t>
      </w:r>
      <w:r w:rsidRPr="00AA433A">
        <w:rPr>
          <w:i/>
        </w:rPr>
        <w:t>Health Technol Assess.</w:t>
      </w:r>
      <w:r w:rsidRPr="00864758">
        <w:t xml:space="preserve"> 2006 Jul;10(21):1-113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6588" w14:textId="4DB0754C" w:rsidR="00EF5E3B" w:rsidRPr="00195452" w:rsidRDefault="00E84A12" w:rsidP="00D822E2">
    <w:pPr>
      <w:pStyle w:val="Header"/>
      <w:rPr>
        <w:rFonts w:asciiTheme="minorHAnsi" w:hAnsiTheme="minorHAnsi"/>
        <w:i w:val="0"/>
        <w:color w:val="808080"/>
      </w:rPr>
    </w:pPr>
    <w:r w:rsidRPr="00E84A12">
      <w:rPr>
        <w:rFonts w:asciiTheme="minorHAnsi" w:hAnsiTheme="minorHAnsi"/>
        <w:color w:val="808080"/>
      </w:rPr>
      <w:t xml:space="preserve">Public Summary Document </w:t>
    </w:r>
    <w:r w:rsidR="003615DA">
      <w:rPr>
        <w:rFonts w:asciiTheme="minorHAnsi" w:hAnsiTheme="minorHAnsi"/>
        <w:color w:val="808080"/>
      </w:rPr>
      <w:t xml:space="preserve">- </w:t>
    </w:r>
    <w:r w:rsidR="00EF5E3B">
      <w:rPr>
        <w:rFonts w:asciiTheme="minorHAnsi" w:hAnsiTheme="minorHAnsi"/>
        <w:color w:val="808080"/>
      </w:rPr>
      <w:t xml:space="preserve">March 2025 </w:t>
    </w:r>
    <w:r w:rsidR="00EF5E3B" w:rsidRPr="00195452">
      <w:rPr>
        <w:rFonts w:asciiTheme="minorHAnsi" w:hAnsiTheme="minorHAnsi"/>
        <w:color w:val="808080"/>
      </w:rPr>
      <w:t>PBAC Meeting</w:t>
    </w:r>
  </w:p>
  <w:p w14:paraId="25181332" w14:textId="77777777" w:rsidR="00EF5E3B" w:rsidRPr="008C7ECB" w:rsidRDefault="00EF5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F078C"/>
    <w:multiLevelType w:val="hybridMultilevel"/>
    <w:tmpl w:val="8C10CFBA"/>
    <w:lvl w:ilvl="0" w:tplc="0C4E4756">
      <w:start w:val="1"/>
      <w:numFmt w:val="lowerLetter"/>
      <w:pStyle w:val="Normal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94025"/>
    <w:multiLevelType w:val="hybridMultilevel"/>
    <w:tmpl w:val="FCC014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597E2A"/>
    <w:multiLevelType w:val="hybridMultilevel"/>
    <w:tmpl w:val="7A8CC31A"/>
    <w:lvl w:ilvl="0" w:tplc="795E86F0">
      <w:start w:val="1"/>
      <w:numFmt w:val="lowerLetter"/>
      <w:lvlText w:val="%1)"/>
      <w:lvlJc w:val="left"/>
      <w:pPr>
        <w:ind w:left="829" w:hanging="360"/>
      </w:pPr>
      <w:rPr>
        <w:i w:val="0"/>
        <w:iCs/>
        <w:color w:val="auto"/>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7" w15:restartNumberingAfterBreak="0">
    <w:nsid w:val="17210157"/>
    <w:multiLevelType w:val="multilevel"/>
    <w:tmpl w:val="87A07594"/>
    <w:lvl w:ilvl="0">
      <w:start w:val="1"/>
      <w:numFmt w:val="decimal"/>
      <w:lvlText w:val="%1"/>
      <w:lvlJc w:val="left"/>
      <w:pPr>
        <w:ind w:left="720" w:hanging="720"/>
      </w:pPr>
      <w:rPr>
        <w:rFonts w:hint="default"/>
        <w:b/>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61563"/>
    <w:multiLevelType w:val="multilevel"/>
    <w:tmpl w:val="FCC603A0"/>
    <w:lvl w:ilvl="0">
      <w:start w:val="1"/>
      <w:numFmt w:val="decimal"/>
      <w:lvlText w:val="%1"/>
      <w:lvlJc w:val="left"/>
      <w:pPr>
        <w:ind w:left="720" w:hanging="720"/>
      </w:pPr>
      <w:rPr>
        <w:rFonts w:hint="default"/>
        <w:b/>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663C7F"/>
    <w:multiLevelType w:val="hybridMultilevel"/>
    <w:tmpl w:val="20801C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055ADD"/>
    <w:multiLevelType w:val="hybridMultilevel"/>
    <w:tmpl w:val="5F965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470C04"/>
    <w:multiLevelType w:val="hybridMultilevel"/>
    <w:tmpl w:val="5C12A816"/>
    <w:lvl w:ilvl="0" w:tplc="0C09000F">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EB87D36"/>
    <w:multiLevelType w:val="hybridMultilevel"/>
    <w:tmpl w:val="97CA9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BE4A26"/>
    <w:multiLevelType w:val="hybridMultilevel"/>
    <w:tmpl w:val="BD144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3B2C93F0"/>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259DC"/>
    <w:multiLevelType w:val="hybridMultilevel"/>
    <w:tmpl w:val="22628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A4C7C5F"/>
    <w:multiLevelType w:val="hybridMultilevel"/>
    <w:tmpl w:val="D3061218"/>
    <w:lvl w:ilvl="0" w:tplc="8A74E8EA">
      <w:start w:val="1"/>
      <w:numFmt w:val="bullet"/>
      <w:pStyle w:val="1BulletPoints"/>
      <w:lvlText w:val=""/>
      <w:lvlJc w:val="left"/>
      <w:pPr>
        <w:ind w:left="360" w:hanging="360"/>
      </w:pPr>
      <w:rPr>
        <w:rFonts w:ascii="Symbol" w:hAnsi="Symbol" w:hint="default"/>
        <w:b w:val="0"/>
        <w:i w:val="0"/>
        <w:color w:val="9BBB59" w:themeColor="accent3"/>
        <w:w w:val="110"/>
        <w:position w:val="0"/>
        <w:sz w:val="20"/>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4F4E1B02"/>
    <w:multiLevelType w:val="hybridMultilevel"/>
    <w:tmpl w:val="B9BE4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C91A63"/>
    <w:multiLevelType w:val="hybridMultilevel"/>
    <w:tmpl w:val="D81E8744"/>
    <w:lvl w:ilvl="0" w:tplc="C0AC04A0">
      <w:start w:val="1"/>
      <w:numFmt w:val="bullet"/>
      <w:lvlText w:val=""/>
      <w:lvlJc w:val="left"/>
      <w:pPr>
        <w:ind w:left="1020" w:hanging="360"/>
      </w:pPr>
      <w:rPr>
        <w:rFonts w:ascii="Symbol" w:hAnsi="Symbol"/>
      </w:rPr>
    </w:lvl>
    <w:lvl w:ilvl="1" w:tplc="E3189FA2">
      <w:start w:val="1"/>
      <w:numFmt w:val="bullet"/>
      <w:lvlText w:val=""/>
      <w:lvlJc w:val="left"/>
      <w:pPr>
        <w:ind w:left="1020" w:hanging="360"/>
      </w:pPr>
      <w:rPr>
        <w:rFonts w:ascii="Symbol" w:hAnsi="Symbol"/>
      </w:rPr>
    </w:lvl>
    <w:lvl w:ilvl="2" w:tplc="8D4AD63C">
      <w:start w:val="1"/>
      <w:numFmt w:val="bullet"/>
      <w:lvlText w:val=""/>
      <w:lvlJc w:val="left"/>
      <w:pPr>
        <w:ind w:left="1020" w:hanging="360"/>
      </w:pPr>
      <w:rPr>
        <w:rFonts w:ascii="Symbol" w:hAnsi="Symbol"/>
      </w:rPr>
    </w:lvl>
    <w:lvl w:ilvl="3" w:tplc="393C327C">
      <w:start w:val="1"/>
      <w:numFmt w:val="bullet"/>
      <w:lvlText w:val=""/>
      <w:lvlJc w:val="left"/>
      <w:pPr>
        <w:ind w:left="1020" w:hanging="360"/>
      </w:pPr>
      <w:rPr>
        <w:rFonts w:ascii="Symbol" w:hAnsi="Symbol"/>
      </w:rPr>
    </w:lvl>
    <w:lvl w:ilvl="4" w:tplc="136A3B9C">
      <w:start w:val="1"/>
      <w:numFmt w:val="bullet"/>
      <w:lvlText w:val=""/>
      <w:lvlJc w:val="left"/>
      <w:pPr>
        <w:ind w:left="1020" w:hanging="360"/>
      </w:pPr>
      <w:rPr>
        <w:rFonts w:ascii="Symbol" w:hAnsi="Symbol"/>
      </w:rPr>
    </w:lvl>
    <w:lvl w:ilvl="5" w:tplc="2318D712">
      <w:start w:val="1"/>
      <w:numFmt w:val="bullet"/>
      <w:lvlText w:val=""/>
      <w:lvlJc w:val="left"/>
      <w:pPr>
        <w:ind w:left="1020" w:hanging="360"/>
      </w:pPr>
      <w:rPr>
        <w:rFonts w:ascii="Symbol" w:hAnsi="Symbol"/>
      </w:rPr>
    </w:lvl>
    <w:lvl w:ilvl="6" w:tplc="76AE8158">
      <w:start w:val="1"/>
      <w:numFmt w:val="bullet"/>
      <w:lvlText w:val=""/>
      <w:lvlJc w:val="left"/>
      <w:pPr>
        <w:ind w:left="1020" w:hanging="360"/>
      </w:pPr>
      <w:rPr>
        <w:rFonts w:ascii="Symbol" w:hAnsi="Symbol"/>
      </w:rPr>
    </w:lvl>
    <w:lvl w:ilvl="7" w:tplc="B0EE0BBE">
      <w:start w:val="1"/>
      <w:numFmt w:val="bullet"/>
      <w:lvlText w:val=""/>
      <w:lvlJc w:val="left"/>
      <w:pPr>
        <w:ind w:left="1020" w:hanging="360"/>
      </w:pPr>
      <w:rPr>
        <w:rFonts w:ascii="Symbol" w:hAnsi="Symbol"/>
      </w:rPr>
    </w:lvl>
    <w:lvl w:ilvl="8" w:tplc="F7CCE63E">
      <w:start w:val="1"/>
      <w:numFmt w:val="bullet"/>
      <w:lvlText w:val=""/>
      <w:lvlJc w:val="left"/>
      <w:pPr>
        <w:ind w:left="1020" w:hanging="360"/>
      </w:pPr>
      <w:rPr>
        <w:rFonts w:ascii="Symbol" w:hAnsi="Symbol"/>
      </w:rPr>
    </w:lvl>
  </w:abstractNum>
  <w:abstractNum w:abstractNumId="23" w15:restartNumberingAfterBreak="0">
    <w:nsid w:val="54074B7E"/>
    <w:multiLevelType w:val="hybridMultilevel"/>
    <w:tmpl w:val="FDAC4624"/>
    <w:lvl w:ilvl="0" w:tplc="51AA5F1A">
      <w:start w:val="1"/>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05F5E"/>
    <w:multiLevelType w:val="hybridMultilevel"/>
    <w:tmpl w:val="C2F830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A594316"/>
    <w:multiLevelType w:val="hybridMultilevel"/>
    <w:tmpl w:val="B7966B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5210DA"/>
    <w:multiLevelType w:val="hybridMultilevel"/>
    <w:tmpl w:val="91306196"/>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3700D60"/>
    <w:multiLevelType w:val="hybridMultilevel"/>
    <w:tmpl w:val="B5446F12"/>
    <w:lvl w:ilvl="0" w:tplc="ED5441A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111E9D"/>
    <w:multiLevelType w:val="hybridMultilevel"/>
    <w:tmpl w:val="A2B47284"/>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50D422F"/>
    <w:multiLevelType w:val="hybridMultilevel"/>
    <w:tmpl w:val="9F62E412"/>
    <w:lvl w:ilvl="0" w:tplc="4934E4EA">
      <w:start w:val="1"/>
      <w:numFmt w:val="bullet"/>
      <w:lvlText w:val=""/>
      <w:lvlJc w:val="left"/>
      <w:pPr>
        <w:ind w:left="1020" w:hanging="360"/>
      </w:pPr>
      <w:rPr>
        <w:rFonts w:ascii="Symbol" w:hAnsi="Symbol"/>
      </w:rPr>
    </w:lvl>
    <w:lvl w:ilvl="1" w:tplc="7108C962">
      <w:start w:val="1"/>
      <w:numFmt w:val="bullet"/>
      <w:lvlText w:val=""/>
      <w:lvlJc w:val="left"/>
      <w:pPr>
        <w:ind w:left="1020" w:hanging="360"/>
      </w:pPr>
      <w:rPr>
        <w:rFonts w:ascii="Symbol" w:hAnsi="Symbol"/>
      </w:rPr>
    </w:lvl>
    <w:lvl w:ilvl="2" w:tplc="404C1C18">
      <w:start w:val="1"/>
      <w:numFmt w:val="bullet"/>
      <w:lvlText w:val=""/>
      <w:lvlJc w:val="left"/>
      <w:pPr>
        <w:ind w:left="1020" w:hanging="360"/>
      </w:pPr>
      <w:rPr>
        <w:rFonts w:ascii="Symbol" w:hAnsi="Symbol"/>
      </w:rPr>
    </w:lvl>
    <w:lvl w:ilvl="3" w:tplc="3394022E">
      <w:start w:val="1"/>
      <w:numFmt w:val="bullet"/>
      <w:lvlText w:val=""/>
      <w:lvlJc w:val="left"/>
      <w:pPr>
        <w:ind w:left="1020" w:hanging="360"/>
      </w:pPr>
      <w:rPr>
        <w:rFonts w:ascii="Symbol" w:hAnsi="Symbol"/>
      </w:rPr>
    </w:lvl>
    <w:lvl w:ilvl="4" w:tplc="DD0CC2F2">
      <w:start w:val="1"/>
      <w:numFmt w:val="bullet"/>
      <w:lvlText w:val=""/>
      <w:lvlJc w:val="left"/>
      <w:pPr>
        <w:ind w:left="1020" w:hanging="360"/>
      </w:pPr>
      <w:rPr>
        <w:rFonts w:ascii="Symbol" w:hAnsi="Symbol"/>
      </w:rPr>
    </w:lvl>
    <w:lvl w:ilvl="5" w:tplc="354ADFDE">
      <w:start w:val="1"/>
      <w:numFmt w:val="bullet"/>
      <w:lvlText w:val=""/>
      <w:lvlJc w:val="left"/>
      <w:pPr>
        <w:ind w:left="1020" w:hanging="360"/>
      </w:pPr>
      <w:rPr>
        <w:rFonts w:ascii="Symbol" w:hAnsi="Symbol"/>
      </w:rPr>
    </w:lvl>
    <w:lvl w:ilvl="6" w:tplc="F6F26648">
      <w:start w:val="1"/>
      <w:numFmt w:val="bullet"/>
      <w:lvlText w:val=""/>
      <w:lvlJc w:val="left"/>
      <w:pPr>
        <w:ind w:left="1020" w:hanging="360"/>
      </w:pPr>
      <w:rPr>
        <w:rFonts w:ascii="Symbol" w:hAnsi="Symbol"/>
      </w:rPr>
    </w:lvl>
    <w:lvl w:ilvl="7" w:tplc="71CAC1F8">
      <w:start w:val="1"/>
      <w:numFmt w:val="bullet"/>
      <w:lvlText w:val=""/>
      <w:lvlJc w:val="left"/>
      <w:pPr>
        <w:ind w:left="1020" w:hanging="360"/>
      </w:pPr>
      <w:rPr>
        <w:rFonts w:ascii="Symbol" w:hAnsi="Symbol"/>
      </w:rPr>
    </w:lvl>
    <w:lvl w:ilvl="8" w:tplc="E7C62A60">
      <w:start w:val="1"/>
      <w:numFmt w:val="bullet"/>
      <w:lvlText w:val=""/>
      <w:lvlJc w:val="left"/>
      <w:pPr>
        <w:ind w:left="1020" w:hanging="360"/>
      </w:pPr>
      <w:rPr>
        <w:rFonts w:ascii="Symbol" w:hAnsi="Symbol"/>
      </w:rPr>
    </w:lvl>
  </w:abstractNum>
  <w:abstractNum w:abstractNumId="35"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43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D3AA6"/>
    <w:multiLevelType w:val="hybridMultilevel"/>
    <w:tmpl w:val="27E260E8"/>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DA742C3"/>
    <w:multiLevelType w:val="hybridMultilevel"/>
    <w:tmpl w:val="A314D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6186631">
    <w:abstractNumId w:val="35"/>
  </w:num>
  <w:num w:numId="2" w16cid:durableId="917793048">
    <w:abstractNumId w:val="18"/>
  </w:num>
  <w:num w:numId="3" w16cid:durableId="263461728">
    <w:abstractNumId w:val="0"/>
  </w:num>
  <w:num w:numId="4" w16cid:durableId="220360847">
    <w:abstractNumId w:val="31"/>
  </w:num>
  <w:num w:numId="5" w16cid:durableId="268196418">
    <w:abstractNumId w:val="17"/>
  </w:num>
  <w:num w:numId="6" w16cid:durableId="1048839230">
    <w:abstractNumId w:val="35"/>
  </w:num>
  <w:num w:numId="7" w16cid:durableId="785854809">
    <w:abstractNumId w:val="19"/>
  </w:num>
  <w:num w:numId="8" w16cid:durableId="1095520815">
    <w:abstractNumId w:val="11"/>
  </w:num>
  <w:num w:numId="9" w16cid:durableId="1099448050">
    <w:abstractNumId w:val="35"/>
  </w:num>
  <w:num w:numId="10" w16cid:durableId="1069303206">
    <w:abstractNumId w:val="16"/>
  </w:num>
  <w:num w:numId="11" w16cid:durableId="8920019">
    <w:abstractNumId w:val="15"/>
  </w:num>
  <w:num w:numId="12" w16cid:durableId="1118794237">
    <w:abstractNumId w:val="37"/>
  </w:num>
  <w:num w:numId="13" w16cid:durableId="1809741429">
    <w:abstractNumId w:val="23"/>
  </w:num>
  <w:num w:numId="14" w16cid:durableId="998532742">
    <w:abstractNumId w:val="20"/>
  </w:num>
  <w:num w:numId="15" w16cid:durableId="1121727902">
    <w:abstractNumId w:val="2"/>
  </w:num>
  <w:num w:numId="16" w16cid:durableId="1578053519">
    <w:abstractNumId w:val="5"/>
  </w:num>
  <w:num w:numId="17" w16cid:durableId="738796251">
    <w:abstractNumId w:val="27"/>
  </w:num>
  <w:num w:numId="18" w16cid:durableId="1598636096">
    <w:abstractNumId w:val="6"/>
  </w:num>
  <w:num w:numId="19" w16cid:durableId="1541237665">
    <w:abstractNumId w:val="21"/>
  </w:num>
  <w:num w:numId="20" w16cid:durableId="460198245">
    <w:abstractNumId w:val="8"/>
  </w:num>
  <w:num w:numId="21" w16cid:durableId="1768302878">
    <w:abstractNumId w:val="14"/>
  </w:num>
  <w:num w:numId="22" w16cid:durableId="426077021">
    <w:abstractNumId w:val="13"/>
  </w:num>
  <w:num w:numId="23" w16cid:durableId="1216627219">
    <w:abstractNumId w:val="4"/>
  </w:num>
  <w:num w:numId="24" w16cid:durableId="1573005167">
    <w:abstractNumId w:val="24"/>
  </w:num>
  <w:num w:numId="25" w16cid:durableId="408699874">
    <w:abstractNumId w:val="25"/>
  </w:num>
  <w:num w:numId="26" w16cid:durableId="1569418770">
    <w:abstractNumId w:val="3"/>
  </w:num>
  <w:num w:numId="27" w16cid:durableId="705176722">
    <w:abstractNumId w:val="1"/>
  </w:num>
  <w:num w:numId="28" w16cid:durableId="1926569401">
    <w:abstractNumId w:val="10"/>
  </w:num>
  <w:num w:numId="29" w16cid:durableId="1979457665">
    <w:abstractNumId w:val="12"/>
  </w:num>
  <w:num w:numId="30" w16cid:durableId="2038313566">
    <w:abstractNumId w:val="9"/>
  </w:num>
  <w:num w:numId="31" w16cid:durableId="12974431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32"/>
  </w:num>
  <w:num w:numId="33" w16cid:durableId="1323663190">
    <w:abstractNumId w:val="30"/>
  </w:num>
  <w:num w:numId="34" w16cid:durableId="1542597666">
    <w:abstractNumId w:val="26"/>
  </w:num>
  <w:num w:numId="35" w16cid:durableId="548110195">
    <w:abstractNumId w:val="7"/>
  </w:num>
  <w:num w:numId="36" w16cid:durableId="498925572">
    <w:abstractNumId w:val="33"/>
  </w:num>
  <w:num w:numId="37" w16cid:durableId="835609738">
    <w:abstractNumId w:val="28"/>
  </w:num>
  <w:num w:numId="38" w16cid:durableId="634023409">
    <w:abstractNumId w:val="36"/>
  </w:num>
  <w:num w:numId="39" w16cid:durableId="1512817">
    <w:abstractNumId w:val="34"/>
  </w:num>
  <w:num w:numId="40" w16cid:durableId="116793596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MDIyNzUxsDA1MTFS0lEKTi0uzszPAykwMqgFAEcOxiwtAAAA"/>
  </w:docVars>
  <w:rsids>
    <w:rsidRoot w:val="00E65E79"/>
    <w:rsid w:val="00000148"/>
    <w:rsid w:val="000005F1"/>
    <w:rsid w:val="00000692"/>
    <w:rsid w:val="00000790"/>
    <w:rsid w:val="0000110B"/>
    <w:rsid w:val="00001156"/>
    <w:rsid w:val="000026C8"/>
    <w:rsid w:val="00003499"/>
    <w:rsid w:val="00003563"/>
    <w:rsid w:val="000035FA"/>
    <w:rsid w:val="00003617"/>
    <w:rsid w:val="000036ED"/>
    <w:rsid w:val="000039B7"/>
    <w:rsid w:val="00004134"/>
    <w:rsid w:val="000041A7"/>
    <w:rsid w:val="00004716"/>
    <w:rsid w:val="00004DCA"/>
    <w:rsid w:val="00004FD6"/>
    <w:rsid w:val="00005155"/>
    <w:rsid w:val="0000548F"/>
    <w:rsid w:val="000054F0"/>
    <w:rsid w:val="000056B9"/>
    <w:rsid w:val="00006035"/>
    <w:rsid w:val="000061A6"/>
    <w:rsid w:val="0000639A"/>
    <w:rsid w:val="000069DD"/>
    <w:rsid w:val="00006E13"/>
    <w:rsid w:val="00006FA5"/>
    <w:rsid w:val="00007265"/>
    <w:rsid w:val="000075B2"/>
    <w:rsid w:val="0000766B"/>
    <w:rsid w:val="00007755"/>
    <w:rsid w:val="00007FE1"/>
    <w:rsid w:val="0001048E"/>
    <w:rsid w:val="00010799"/>
    <w:rsid w:val="000107E1"/>
    <w:rsid w:val="00010B8B"/>
    <w:rsid w:val="00011985"/>
    <w:rsid w:val="00011A78"/>
    <w:rsid w:val="00011B0A"/>
    <w:rsid w:val="00011DFC"/>
    <w:rsid w:val="00012B70"/>
    <w:rsid w:val="00012C43"/>
    <w:rsid w:val="00012D5E"/>
    <w:rsid w:val="00012D70"/>
    <w:rsid w:val="00012F80"/>
    <w:rsid w:val="00012FD4"/>
    <w:rsid w:val="000130DE"/>
    <w:rsid w:val="00013109"/>
    <w:rsid w:val="00013247"/>
    <w:rsid w:val="000135C5"/>
    <w:rsid w:val="00014015"/>
    <w:rsid w:val="0001493E"/>
    <w:rsid w:val="00014E30"/>
    <w:rsid w:val="000150AD"/>
    <w:rsid w:val="000152C0"/>
    <w:rsid w:val="0001538D"/>
    <w:rsid w:val="00015886"/>
    <w:rsid w:val="000158D5"/>
    <w:rsid w:val="00015BBB"/>
    <w:rsid w:val="00016260"/>
    <w:rsid w:val="000162EF"/>
    <w:rsid w:val="0001638F"/>
    <w:rsid w:val="000163D1"/>
    <w:rsid w:val="0001659B"/>
    <w:rsid w:val="0001675B"/>
    <w:rsid w:val="00016994"/>
    <w:rsid w:val="00016CF0"/>
    <w:rsid w:val="00016D70"/>
    <w:rsid w:val="00017943"/>
    <w:rsid w:val="000205DA"/>
    <w:rsid w:val="000206D6"/>
    <w:rsid w:val="000207C9"/>
    <w:rsid w:val="00020B5A"/>
    <w:rsid w:val="00021163"/>
    <w:rsid w:val="00021530"/>
    <w:rsid w:val="00021C27"/>
    <w:rsid w:val="00021DE8"/>
    <w:rsid w:val="0002206C"/>
    <w:rsid w:val="0002225F"/>
    <w:rsid w:val="0002234E"/>
    <w:rsid w:val="00022356"/>
    <w:rsid w:val="00022EC2"/>
    <w:rsid w:val="00023763"/>
    <w:rsid w:val="000237C3"/>
    <w:rsid w:val="00023E5B"/>
    <w:rsid w:val="00024373"/>
    <w:rsid w:val="00024A78"/>
    <w:rsid w:val="00024B4C"/>
    <w:rsid w:val="00024D6B"/>
    <w:rsid w:val="00024EB5"/>
    <w:rsid w:val="0002536D"/>
    <w:rsid w:val="000253A3"/>
    <w:rsid w:val="000256C4"/>
    <w:rsid w:val="00025E39"/>
    <w:rsid w:val="00026E04"/>
    <w:rsid w:val="0002714A"/>
    <w:rsid w:val="000274B8"/>
    <w:rsid w:val="00027502"/>
    <w:rsid w:val="000307D7"/>
    <w:rsid w:val="000309AF"/>
    <w:rsid w:val="00030DD7"/>
    <w:rsid w:val="0003193F"/>
    <w:rsid w:val="00031BB9"/>
    <w:rsid w:val="00031C31"/>
    <w:rsid w:val="00032404"/>
    <w:rsid w:val="00032670"/>
    <w:rsid w:val="00032AAE"/>
    <w:rsid w:val="00032C78"/>
    <w:rsid w:val="0003337A"/>
    <w:rsid w:val="000335DD"/>
    <w:rsid w:val="000336A8"/>
    <w:rsid w:val="00033863"/>
    <w:rsid w:val="000339F6"/>
    <w:rsid w:val="00033AE2"/>
    <w:rsid w:val="00033C42"/>
    <w:rsid w:val="00033E3C"/>
    <w:rsid w:val="00033E81"/>
    <w:rsid w:val="000345CC"/>
    <w:rsid w:val="00034884"/>
    <w:rsid w:val="000350ED"/>
    <w:rsid w:val="0003568F"/>
    <w:rsid w:val="00035726"/>
    <w:rsid w:val="0003572C"/>
    <w:rsid w:val="00035A50"/>
    <w:rsid w:val="00035DC0"/>
    <w:rsid w:val="00036010"/>
    <w:rsid w:val="000361DE"/>
    <w:rsid w:val="000365BE"/>
    <w:rsid w:val="00036829"/>
    <w:rsid w:val="000369DD"/>
    <w:rsid w:val="00036B2A"/>
    <w:rsid w:val="0003754A"/>
    <w:rsid w:val="00037881"/>
    <w:rsid w:val="000379C7"/>
    <w:rsid w:val="00037A71"/>
    <w:rsid w:val="00037C2B"/>
    <w:rsid w:val="000400A2"/>
    <w:rsid w:val="00040895"/>
    <w:rsid w:val="000410A0"/>
    <w:rsid w:val="000411D3"/>
    <w:rsid w:val="00041372"/>
    <w:rsid w:val="000416B8"/>
    <w:rsid w:val="000416E9"/>
    <w:rsid w:val="000417BF"/>
    <w:rsid w:val="00041CB9"/>
    <w:rsid w:val="00042228"/>
    <w:rsid w:val="00042A70"/>
    <w:rsid w:val="00042B78"/>
    <w:rsid w:val="0004324A"/>
    <w:rsid w:val="000435EE"/>
    <w:rsid w:val="000436AB"/>
    <w:rsid w:val="000436FC"/>
    <w:rsid w:val="000437F1"/>
    <w:rsid w:val="000438A5"/>
    <w:rsid w:val="00043BF6"/>
    <w:rsid w:val="00043C37"/>
    <w:rsid w:val="000441A5"/>
    <w:rsid w:val="00044A73"/>
    <w:rsid w:val="00045017"/>
    <w:rsid w:val="000451A3"/>
    <w:rsid w:val="000452B8"/>
    <w:rsid w:val="00045347"/>
    <w:rsid w:val="000458E7"/>
    <w:rsid w:val="00045A2B"/>
    <w:rsid w:val="00045AEB"/>
    <w:rsid w:val="0004698F"/>
    <w:rsid w:val="00046D64"/>
    <w:rsid w:val="00047193"/>
    <w:rsid w:val="000506B2"/>
    <w:rsid w:val="000508C2"/>
    <w:rsid w:val="00050BD3"/>
    <w:rsid w:val="00050C00"/>
    <w:rsid w:val="000510D9"/>
    <w:rsid w:val="0005135B"/>
    <w:rsid w:val="00051493"/>
    <w:rsid w:val="00051720"/>
    <w:rsid w:val="000517B3"/>
    <w:rsid w:val="00051A25"/>
    <w:rsid w:val="000521FF"/>
    <w:rsid w:val="00052388"/>
    <w:rsid w:val="00052528"/>
    <w:rsid w:val="00052567"/>
    <w:rsid w:val="00052F0E"/>
    <w:rsid w:val="0005306B"/>
    <w:rsid w:val="00053289"/>
    <w:rsid w:val="000535F7"/>
    <w:rsid w:val="000539D0"/>
    <w:rsid w:val="00053A6B"/>
    <w:rsid w:val="00053ABD"/>
    <w:rsid w:val="000542CC"/>
    <w:rsid w:val="00054621"/>
    <w:rsid w:val="000546D7"/>
    <w:rsid w:val="000547CE"/>
    <w:rsid w:val="0005490D"/>
    <w:rsid w:val="00054A8D"/>
    <w:rsid w:val="000551B2"/>
    <w:rsid w:val="000551C1"/>
    <w:rsid w:val="000558E5"/>
    <w:rsid w:val="00055C06"/>
    <w:rsid w:val="000563AF"/>
    <w:rsid w:val="000565C7"/>
    <w:rsid w:val="00056A2F"/>
    <w:rsid w:val="00056B8E"/>
    <w:rsid w:val="00056ECF"/>
    <w:rsid w:val="0005735F"/>
    <w:rsid w:val="00057771"/>
    <w:rsid w:val="0005784C"/>
    <w:rsid w:val="00057884"/>
    <w:rsid w:val="00057B2A"/>
    <w:rsid w:val="00057E55"/>
    <w:rsid w:val="00057EF3"/>
    <w:rsid w:val="00060081"/>
    <w:rsid w:val="000604DF"/>
    <w:rsid w:val="00061831"/>
    <w:rsid w:val="00061EE3"/>
    <w:rsid w:val="00062324"/>
    <w:rsid w:val="00062F40"/>
    <w:rsid w:val="0006339E"/>
    <w:rsid w:val="00063D6A"/>
    <w:rsid w:val="00064344"/>
    <w:rsid w:val="00064EBB"/>
    <w:rsid w:val="000653B5"/>
    <w:rsid w:val="0006545A"/>
    <w:rsid w:val="0006561C"/>
    <w:rsid w:val="000658B7"/>
    <w:rsid w:val="00065BD7"/>
    <w:rsid w:val="00066360"/>
    <w:rsid w:val="00066884"/>
    <w:rsid w:val="00066AF8"/>
    <w:rsid w:val="0006718E"/>
    <w:rsid w:val="00067568"/>
    <w:rsid w:val="000676AC"/>
    <w:rsid w:val="00067CE5"/>
    <w:rsid w:val="00067E2C"/>
    <w:rsid w:val="0007022E"/>
    <w:rsid w:val="00070295"/>
    <w:rsid w:val="00070605"/>
    <w:rsid w:val="00070707"/>
    <w:rsid w:val="00070A7D"/>
    <w:rsid w:val="00070B7D"/>
    <w:rsid w:val="000710EE"/>
    <w:rsid w:val="00071248"/>
    <w:rsid w:val="00071927"/>
    <w:rsid w:val="00071BAE"/>
    <w:rsid w:val="000720B9"/>
    <w:rsid w:val="0007267F"/>
    <w:rsid w:val="00072883"/>
    <w:rsid w:val="000729DD"/>
    <w:rsid w:val="00073197"/>
    <w:rsid w:val="000737F7"/>
    <w:rsid w:val="0007433D"/>
    <w:rsid w:val="00074503"/>
    <w:rsid w:val="00074817"/>
    <w:rsid w:val="0007489B"/>
    <w:rsid w:val="00074A28"/>
    <w:rsid w:val="00074D48"/>
    <w:rsid w:val="00074EF6"/>
    <w:rsid w:val="000750BD"/>
    <w:rsid w:val="0007524D"/>
    <w:rsid w:val="00075995"/>
    <w:rsid w:val="000764DB"/>
    <w:rsid w:val="0007672F"/>
    <w:rsid w:val="00076B54"/>
    <w:rsid w:val="00076D18"/>
    <w:rsid w:val="00076ED9"/>
    <w:rsid w:val="00077342"/>
    <w:rsid w:val="000774F0"/>
    <w:rsid w:val="00077F21"/>
    <w:rsid w:val="00080051"/>
    <w:rsid w:val="000802BC"/>
    <w:rsid w:val="0008085F"/>
    <w:rsid w:val="00080909"/>
    <w:rsid w:val="00080D4C"/>
    <w:rsid w:val="00080E17"/>
    <w:rsid w:val="000812CA"/>
    <w:rsid w:val="000816BB"/>
    <w:rsid w:val="000816D9"/>
    <w:rsid w:val="00081E63"/>
    <w:rsid w:val="0008258D"/>
    <w:rsid w:val="00082A2A"/>
    <w:rsid w:val="00082BE8"/>
    <w:rsid w:val="00082C23"/>
    <w:rsid w:val="00082D03"/>
    <w:rsid w:val="00083E99"/>
    <w:rsid w:val="0008424F"/>
    <w:rsid w:val="00084FA8"/>
    <w:rsid w:val="000856BD"/>
    <w:rsid w:val="000856C5"/>
    <w:rsid w:val="0008571D"/>
    <w:rsid w:val="00085918"/>
    <w:rsid w:val="00085C31"/>
    <w:rsid w:val="00085C83"/>
    <w:rsid w:val="00085C96"/>
    <w:rsid w:val="00085ECF"/>
    <w:rsid w:val="00086397"/>
    <w:rsid w:val="00086596"/>
    <w:rsid w:val="00086C25"/>
    <w:rsid w:val="00086D04"/>
    <w:rsid w:val="00086E56"/>
    <w:rsid w:val="00086FCE"/>
    <w:rsid w:val="000879DA"/>
    <w:rsid w:val="00087D74"/>
    <w:rsid w:val="00087DDC"/>
    <w:rsid w:val="000902D9"/>
    <w:rsid w:val="0009078B"/>
    <w:rsid w:val="000909F1"/>
    <w:rsid w:val="00090C7E"/>
    <w:rsid w:val="000911AC"/>
    <w:rsid w:val="0009142F"/>
    <w:rsid w:val="00091483"/>
    <w:rsid w:val="0009193A"/>
    <w:rsid w:val="00091980"/>
    <w:rsid w:val="00091B30"/>
    <w:rsid w:val="00091FBA"/>
    <w:rsid w:val="0009247D"/>
    <w:rsid w:val="000925B4"/>
    <w:rsid w:val="00092600"/>
    <w:rsid w:val="0009262B"/>
    <w:rsid w:val="00092861"/>
    <w:rsid w:val="00093310"/>
    <w:rsid w:val="00093349"/>
    <w:rsid w:val="0009408B"/>
    <w:rsid w:val="0009445C"/>
    <w:rsid w:val="00094AB1"/>
    <w:rsid w:val="00094D7E"/>
    <w:rsid w:val="00095200"/>
    <w:rsid w:val="000953AA"/>
    <w:rsid w:val="000956FA"/>
    <w:rsid w:val="00095BAE"/>
    <w:rsid w:val="00095FE5"/>
    <w:rsid w:val="000960B1"/>
    <w:rsid w:val="00096284"/>
    <w:rsid w:val="00096606"/>
    <w:rsid w:val="00096714"/>
    <w:rsid w:val="0009728D"/>
    <w:rsid w:val="000976D2"/>
    <w:rsid w:val="000976F2"/>
    <w:rsid w:val="00097738"/>
    <w:rsid w:val="00097FE8"/>
    <w:rsid w:val="000A005C"/>
    <w:rsid w:val="000A0844"/>
    <w:rsid w:val="000A0955"/>
    <w:rsid w:val="000A0CDE"/>
    <w:rsid w:val="000A0E25"/>
    <w:rsid w:val="000A0E70"/>
    <w:rsid w:val="000A12CF"/>
    <w:rsid w:val="000A14C4"/>
    <w:rsid w:val="000A182D"/>
    <w:rsid w:val="000A1BC0"/>
    <w:rsid w:val="000A1FB5"/>
    <w:rsid w:val="000A2AE0"/>
    <w:rsid w:val="000A2F9E"/>
    <w:rsid w:val="000A302E"/>
    <w:rsid w:val="000A30BA"/>
    <w:rsid w:val="000A366F"/>
    <w:rsid w:val="000A36D8"/>
    <w:rsid w:val="000A3DAC"/>
    <w:rsid w:val="000A3E47"/>
    <w:rsid w:val="000A4A3A"/>
    <w:rsid w:val="000A4A44"/>
    <w:rsid w:val="000A4F09"/>
    <w:rsid w:val="000A5224"/>
    <w:rsid w:val="000A522B"/>
    <w:rsid w:val="000A528A"/>
    <w:rsid w:val="000A53FA"/>
    <w:rsid w:val="000A59BD"/>
    <w:rsid w:val="000A5C3A"/>
    <w:rsid w:val="000A6039"/>
    <w:rsid w:val="000A6466"/>
    <w:rsid w:val="000A6A35"/>
    <w:rsid w:val="000A7144"/>
    <w:rsid w:val="000A717E"/>
    <w:rsid w:val="000A7345"/>
    <w:rsid w:val="000A7453"/>
    <w:rsid w:val="000A7B62"/>
    <w:rsid w:val="000A7D08"/>
    <w:rsid w:val="000B0121"/>
    <w:rsid w:val="000B01B7"/>
    <w:rsid w:val="000B0670"/>
    <w:rsid w:val="000B0E75"/>
    <w:rsid w:val="000B0F63"/>
    <w:rsid w:val="000B100F"/>
    <w:rsid w:val="000B18A1"/>
    <w:rsid w:val="000B1C00"/>
    <w:rsid w:val="000B208C"/>
    <w:rsid w:val="000B2207"/>
    <w:rsid w:val="000B24DB"/>
    <w:rsid w:val="000B2DCB"/>
    <w:rsid w:val="000B2E13"/>
    <w:rsid w:val="000B319E"/>
    <w:rsid w:val="000B334C"/>
    <w:rsid w:val="000B347C"/>
    <w:rsid w:val="000B350B"/>
    <w:rsid w:val="000B3B06"/>
    <w:rsid w:val="000B3C3E"/>
    <w:rsid w:val="000B3DB5"/>
    <w:rsid w:val="000B3EC6"/>
    <w:rsid w:val="000B4607"/>
    <w:rsid w:val="000B47D7"/>
    <w:rsid w:val="000B4EED"/>
    <w:rsid w:val="000B5168"/>
    <w:rsid w:val="000B57EA"/>
    <w:rsid w:val="000B5CE0"/>
    <w:rsid w:val="000B6A4C"/>
    <w:rsid w:val="000B6CAC"/>
    <w:rsid w:val="000B74C7"/>
    <w:rsid w:val="000B757A"/>
    <w:rsid w:val="000B7612"/>
    <w:rsid w:val="000B77AA"/>
    <w:rsid w:val="000B78AE"/>
    <w:rsid w:val="000B799A"/>
    <w:rsid w:val="000B7D4C"/>
    <w:rsid w:val="000C04D6"/>
    <w:rsid w:val="000C07B9"/>
    <w:rsid w:val="000C089E"/>
    <w:rsid w:val="000C0ECC"/>
    <w:rsid w:val="000C1231"/>
    <w:rsid w:val="000C1778"/>
    <w:rsid w:val="000C1784"/>
    <w:rsid w:val="000C1AAC"/>
    <w:rsid w:val="000C1AD7"/>
    <w:rsid w:val="000C1DDD"/>
    <w:rsid w:val="000C2281"/>
    <w:rsid w:val="000C2447"/>
    <w:rsid w:val="000C27E9"/>
    <w:rsid w:val="000C30F5"/>
    <w:rsid w:val="000C3DEB"/>
    <w:rsid w:val="000C3DF9"/>
    <w:rsid w:val="000C3FBF"/>
    <w:rsid w:val="000C4214"/>
    <w:rsid w:val="000C43D5"/>
    <w:rsid w:val="000C4CF2"/>
    <w:rsid w:val="000C4D13"/>
    <w:rsid w:val="000C4E23"/>
    <w:rsid w:val="000C572D"/>
    <w:rsid w:val="000C5B0A"/>
    <w:rsid w:val="000C5DA1"/>
    <w:rsid w:val="000C613C"/>
    <w:rsid w:val="000C6713"/>
    <w:rsid w:val="000C6849"/>
    <w:rsid w:val="000C6A3D"/>
    <w:rsid w:val="000C6B9C"/>
    <w:rsid w:val="000C6F37"/>
    <w:rsid w:val="000C7618"/>
    <w:rsid w:val="000C7AF9"/>
    <w:rsid w:val="000C7C02"/>
    <w:rsid w:val="000C7C50"/>
    <w:rsid w:val="000D01CF"/>
    <w:rsid w:val="000D029A"/>
    <w:rsid w:val="000D05FD"/>
    <w:rsid w:val="000D0D07"/>
    <w:rsid w:val="000D1BFC"/>
    <w:rsid w:val="000D1D5D"/>
    <w:rsid w:val="000D1F1C"/>
    <w:rsid w:val="000D229D"/>
    <w:rsid w:val="000D253B"/>
    <w:rsid w:val="000D25BB"/>
    <w:rsid w:val="000D266D"/>
    <w:rsid w:val="000D281A"/>
    <w:rsid w:val="000D2848"/>
    <w:rsid w:val="000D2B25"/>
    <w:rsid w:val="000D2CDA"/>
    <w:rsid w:val="000D326A"/>
    <w:rsid w:val="000D3610"/>
    <w:rsid w:val="000D3BC5"/>
    <w:rsid w:val="000D409A"/>
    <w:rsid w:val="000D4BDF"/>
    <w:rsid w:val="000D50A9"/>
    <w:rsid w:val="000D50B0"/>
    <w:rsid w:val="000D51FB"/>
    <w:rsid w:val="000D540C"/>
    <w:rsid w:val="000D60AE"/>
    <w:rsid w:val="000D6218"/>
    <w:rsid w:val="000D6928"/>
    <w:rsid w:val="000D6F8F"/>
    <w:rsid w:val="000D7248"/>
    <w:rsid w:val="000D75A7"/>
    <w:rsid w:val="000D7889"/>
    <w:rsid w:val="000D7A9B"/>
    <w:rsid w:val="000E00AD"/>
    <w:rsid w:val="000E048B"/>
    <w:rsid w:val="000E058E"/>
    <w:rsid w:val="000E0640"/>
    <w:rsid w:val="000E08A2"/>
    <w:rsid w:val="000E0DDB"/>
    <w:rsid w:val="000E0EFB"/>
    <w:rsid w:val="000E0F83"/>
    <w:rsid w:val="000E126E"/>
    <w:rsid w:val="000E135D"/>
    <w:rsid w:val="000E1829"/>
    <w:rsid w:val="000E19AE"/>
    <w:rsid w:val="000E23FA"/>
    <w:rsid w:val="000E2EC1"/>
    <w:rsid w:val="000E2F7C"/>
    <w:rsid w:val="000E32A1"/>
    <w:rsid w:val="000E38C9"/>
    <w:rsid w:val="000E3CA5"/>
    <w:rsid w:val="000E3DD0"/>
    <w:rsid w:val="000E40A4"/>
    <w:rsid w:val="000E4DB6"/>
    <w:rsid w:val="000E4DCC"/>
    <w:rsid w:val="000E50A2"/>
    <w:rsid w:val="000E5308"/>
    <w:rsid w:val="000E5365"/>
    <w:rsid w:val="000E56C5"/>
    <w:rsid w:val="000E5A5A"/>
    <w:rsid w:val="000E6433"/>
    <w:rsid w:val="000E6881"/>
    <w:rsid w:val="000E68B8"/>
    <w:rsid w:val="000E68F9"/>
    <w:rsid w:val="000E6990"/>
    <w:rsid w:val="000E6C81"/>
    <w:rsid w:val="000E711D"/>
    <w:rsid w:val="000E74B2"/>
    <w:rsid w:val="000E77BB"/>
    <w:rsid w:val="000E7815"/>
    <w:rsid w:val="000E7A5E"/>
    <w:rsid w:val="000F00BA"/>
    <w:rsid w:val="000F05EE"/>
    <w:rsid w:val="000F06E3"/>
    <w:rsid w:val="000F0D70"/>
    <w:rsid w:val="000F1379"/>
    <w:rsid w:val="000F1F15"/>
    <w:rsid w:val="000F316A"/>
    <w:rsid w:val="000F32CA"/>
    <w:rsid w:val="000F3496"/>
    <w:rsid w:val="000F3BDF"/>
    <w:rsid w:val="000F3C74"/>
    <w:rsid w:val="000F4138"/>
    <w:rsid w:val="000F4276"/>
    <w:rsid w:val="000F46A8"/>
    <w:rsid w:val="000F4BB8"/>
    <w:rsid w:val="000F4FA9"/>
    <w:rsid w:val="000F53FB"/>
    <w:rsid w:val="000F55E7"/>
    <w:rsid w:val="000F588F"/>
    <w:rsid w:val="000F59C6"/>
    <w:rsid w:val="000F5A2D"/>
    <w:rsid w:val="000F5D60"/>
    <w:rsid w:val="000F5E96"/>
    <w:rsid w:val="000F6304"/>
    <w:rsid w:val="000F63D6"/>
    <w:rsid w:val="000F64BA"/>
    <w:rsid w:val="000F657F"/>
    <w:rsid w:val="000F687C"/>
    <w:rsid w:val="000F7127"/>
    <w:rsid w:val="000F72AB"/>
    <w:rsid w:val="000F7404"/>
    <w:rsid w:val="000F783F"/>
    <w:rsid w:val="000F7B54"/>
    <w:rsid w:val="000F7C62"/>
    <w:rsid w:val="001000B3"/>
    <w:rsid w:val="0010048F"/>
    <w:rsid w:val="00100B98"/>
    <w:rsid w:val="00100B9F"/>
    <w:rsid w:val="00100D6C"/>
    <w:rsid w:val="00100E72"/>
    <w:rsid w:val="00100F8A"/>
    <w:rsid w:val="00101FB8"/>
    <w:rsid w:val="00102F67"/>
    <w:rsid w:val="001031EF"/>
    <w:rsid w:val="0010385E"/>
    <w:rsid w:val="00103D22"/>
    <w:rsid w:val="0010452E"/>
    <w:rsid w:val="00104E50"/>
    <w:rsid w:val="001057F7"/>
    <w:rsid w:val="00105A9C"/>
    <w:rsid w:val="00105AE2"/>
    <w:rsid w:val="001060C6"/>
    <w:rsid w:val="001063CB"/>
    <w:rsid w:val="00106B80"/>
    <w:rsid w:val="0010705D"/>
    <w:rsid w:val="00107895"/>
    <w:rsid w:val="00107958"/>
    <w:rsid w:val="00107A0A"/>
    <w:rsid w:val="00107A56"/>
    <w:rsid w:val="0011029D"/>
    <w:rsid w:val="0011032E"/>
    <w:rsid w:val="0011079E"/>
    <w:rsid w:val="00110827"/>
    <w:rsid w:val="00110832"/>
    <w:rsid w:val="00111377"/>
    <w:rsid w:val="00111F6B"/>
    <w:rsid w:val="00112F72"/>
    <w:rsid w:val="00113058"/>
    <w:rsid w:val="0011336A"/>
    <w:rsid w:val="0011348B"/>
    <w:rsid w:val="001139BC"/>
    <w:rsid w:val="00113B00"/>
    <w:rsid w:val="00113BD2"/>
    <w:rsid w:val="00113E78"/>
    <w:rsid w:val="00114558"/>
    <w:rsid w:val="00114595"/>
    <w:rsid w:val="00115982"/>
    <w:rsid w:val="00115CD4"/>
    <w:rsid w:val="00115DD0"/>
    <w:rsid w:val="0011674D"/>
    <w:rsid w:val="00116C53"/>
    <w:rsid w:val="0011767F"/>
    <w:rsid w:val="00117A9F"/>
    <w:rsid w:val="001208CF"/>
    <w:rsid w:val="00120A0F"/>
    <w:rsid w:val="00120B90"/>
    <w:rsid w:val="00121356"/>
    <w:rsid w:val="00121551"/>
    <w:rsid w:val="00121799"/>
    <w:rsid w:val="0012184D"/>
    <w:rsid w:val="00121D05"/>
    <w:rsid w:val="001222FC"/>
    <w:rsid w:val="00122459"/>
    <w:rsid w:val="00122C66"/>
    <w:rsid w:val="00122E9E"/>
    <w:rsid w:val="001230AF"/>
    <w:rsid w:val="00123902"/>
    <w:rsid w:val="001242E0"/>
    <w:rsid w:val="00124A51"/>
    <w:rsid w:val="00124E12"/>
    <w:rsid w:val="00124FDF"/>
    <w:rsid w:val="001252A7"/>
    <w:rsid w:val="00125349"/>
    <w:rsid w:val="0012539A"/>
    <w:rsid w:val="0012591D"/>
    <w:rsid w:val="00125DB6"/>
    <w:rsid w:val="00126621"/>
    <w:rsid w:val="0012664A"/>
    <w:rsid w:val="00126989"/>
    <w:rsid w:val="00126B1D"/>
    <w:rsid w:val="00126C7B"/>
    <w:rsid w:val="00126CE1"/>
    <w:rsid w:val="00126D1C"/>
    <w:rsid w:val="00127030"/>
    <w:rsid w:val="001272BA"/>
    <w:rsid w:val="00127405"/>
    <w:rsid w:val="00127423"/>
    <w:rsid w:val="0012751F"/>
    <w:rsid w:val="00127D6A"/>
    <w:rsid w:val="001301E9"/>
    <w:rsid w:val="00130411"/>
    <w:rsid w:val="00130586"/>
    <w:rsid w:val="00130831"/>
    <w:rsid w:val="00130F86"/>
    <w:rsid w:val="0013181D"/>
    <w:rsid w:val="0013196A"/>
    <w:rsid w:val="00131CA3"/>
    <w:rsid w:val="00131D82"/>
    <w:rsid w:val="00131D99"/>
    <w:rsid w:val="00132AA7"/>
    <w:rsid w:val="00132B22"/>
    <w:rsid w:val="00132E4C"/>
    <w:rsid w:val="00133620"/>
    <w:rsid w:val="00133760"/>
    <w:rsid w:val="00133762"/>
    <w:rsid w:val="00133D36"/>
    <w:rsid w:val="00134904"/>
    <w:rsid w:val="00134FDB"/>
    <w:rsid w:val="00135171"/>
    <w:rsid w:val="00135455"/>
    <w:rsid w:val="00135576"/>
    <w:rsid w:val="001357D9"/>
    <w:rsid w:val="00135BBB"/>
    <w:rsid w:val="0013607D"/>
    <w:rsid w:val="00136F3B"/>
    <w:rsid w:val="00136F47"/>
    <w:rsid w:val="001370A7"/>
    <w:rsid w:val="00137128"/>
    <w:rsid w:val="00137645"/>
    <w:rsid w:val="0013781D"/>
    <w:rsid w:val="00137836"/>
    <w:rsid w:val="00137DFF"/>
    <w:rsid w:val="0014015A"/>
    <w:rsid w:val="00140230"/>
    <w:rsid w:val="00140390"/>
    <w:rsid w:val="001404A2"/>
    <w:rsid w:val="001408A6"/>
    <w:rsid w:val="00140E99"/>
    <w:rsid w:val="0014147E"/>
    <w:rsid w:val="001426D0"/>
    <w:rsid w:val="00142A1F"/>
    <w:rsid w:val="001433D7"/>
    <w:rsid w:val="0014397B"/>
    <w:rsid w:val="00143F13"/>
    <w:rsid w:val="00143F67"/>
    <w:rsid w:val="001442E5"/>
    <w:rsid w:val="00144D1A"/>
    <w:rsid w:val="00145086"/>
    <w:rsid w:val="00145234"/>
    <w:rsid w:val="00145540"/>
    <w:rsid w:val="001456B0"/>
    <w:rsid w:val="001458AE"/>
    <w:rsid w:val="00146A0B"/>
    <w:rsid w:val="001472D7"/>
    <w:rsid w:val="001476B6"/>
    <w:rsid w:val="001506F9"/>
    <w:rsid w:val="0015072D"/>
    <w:rsid w:val="001508B3"/>
    <w:rsid w:val="00150C84"/>
    <w:rsid w:val="00151235"/>
    <w:rsid w:val="00151708"/>
    <w:rsid w:val="00151F0F"/>
    <w:rsid w:val="00152E5F"/>
    <w:rsid w:val="0015384D"/>
    <w:rsid w:val="001541E8"/>
    <w:rsid w:val="001547AB"/>
    <w:rsid w:val="00154E5F"/>
    <w:rsid w:val="00155556"/>
    <w:rsid w:val="001555A7"/>
    <w:rsid w:val="0015579C"/>
    <w:rsid w:val="00155942"/>
    <w:rsid w:val="00155B88"/>
    <w:rsid w:val="00156609"/>
    <w:rsid w:val="001569FA"/>
    <w:rsid w:val="00156A6B"/>
    <w:rsid w:val="00156F8F"/>
    <w:rsid w:val="00157130"/>
    <w:rsid w:val="001572E7"/>
    <w:rsid w:val="001576B1"/>
    <w:rsid w:val="0016047B"/>
    <w:rsid w:val="0016060C"/>
    <w:rsid w:val="00160A4C"/>
    <w:rsid w:val="00160E0D"/>
    <w:rsid w:val="001611D8"/>
    <w:rsid w:val="001616B9"/>
    <w:rsid w:val="001617C9"/>
    <w:rsid w:val="001625D7"/>
    <w:rsid w:val="00162913"/>
    <w:rsid w:val="0016299F"/>
    <w:rsid w:val="00162C61"/>
    <w:rsid w:val="00162E5A"/>
    <w:rsid w:val="0016328E"/>
    <w:rsid w:val="00163B2D"/>
    <w:rsid w:val="00163C9A"/>
    <w:rsid w:val="00163EFF"/>
    <w:rsid w:val="00163F66"/>
    <w:rsid w:val="00164049"/>
    <w:rsid w:val="0016478E"/>
    <w:rsid w:val="00164A95"/>
    <w:rsid w:val="00165094"/>
    <w:rsid w:val="001650A0"/>
    <w:rsid w:val="001651E8"/>
    <w:rsid w:val="0016534D"/>
    <w:rsid w:val="001658BC"/>
    <w:rsid w:val="00165EC4"/>
    <w:rsid w:val="00165FFA"/>
    <w:rsid w:val="001661FB"/>
    <w:rsid w:val="00166B6C"/>
    <w:rsid w:val="00166D73"/>
    <w:rsid w:val="001671A0"/>
    <w:rsid w:val="0016767F"/>
    <w:rsid w:val="001677E9"/>
    <w:rsid w:val="00167E5E"/>
    <w:rsid w:val="0017044E"/>
    <w:rsid w:val="001704FF"/>
    <w:rsid w:val="0017060A"/>
    <w:rsid w:val="001714C6"/>
    <w:rsid w:val="00171532"/>
    <w:rsid w:val="001716DA"/>
    <w:rsid w:val="00172348"/>
    <w:rsid w:val="00172C8E"/>
    <w:rsid w:val="00173565"/>
    <w:rsid w:val="00173707"/>
    <w:rsid w:val="00173A07"/>
    <w:rsid w:val="00173B07"/>
    <w:rsid w:val="00173E4D"/>
    <w:rsid w:val="00174B4A"/>
    <w:rsid w:val="00174F62"/>
    <w:rsid w:val="001751FA"/>
    <w:rsid w:val="001753EB"/>
    <w:rsid w:val="00175B79"/>
    <w:rsid w:val="0017799D"/>
    <w:rsid w:val="00177EE1"/>
    <w:rsid w:val="001801A7"/>
    <w:rsid w:val="001802A0"/>
    <w:rsid w:val="00180C9B"/>
    <w:rsid w:val="00180CCC"/>
    <w:rsid w:val="00180CCF"/>
    <w:rsid w:val="00181800"/>
    <w:rsid w:val="00181C10"/>
    <w:rsid w:val="00181D9C"/>
    <w:rsid w:val="00181E82"/>
    <w:rsid w:val="0018217B"/>
    <w:rsid w:val="00182695"/>
    <w:rsid w:val="00182892"/>
    <w:rsid w:val="00183384"/>
    <w:rsid w:val="001833D9"/>
    <w:rsid w:val="00183421"/>
    <w:rsid w:val="00183699"/>
    <w:rsid w:val="001836D1"/>
    <w:rsid w:val="001837FF"/>
    <w:rsid w:val="00183AD2"/>
    <w:rsid w:val="00183BC3"/>
    <w:rsid w:val="0018430C"/>
    <w:rsid w:val="0018436A"/>
    <w:rsid w:val="00184638"/>
    <w:rsid w:val="00184B0E"/>
    <w:rsid w:val="00184FAC"/>
    <w:rsid w:val="0018512D"/>
    <w:rsid w:val="001852E1"/>
    <w:rsid w:val="00185B2C"/>
    <w:rsid w:val="00185C5B"/>
    <w:rsid w:val="0018667B"/>
    <w:rsid w:val="00186F0B"/>
    <w:rsid w:val="0018752F"/>
    <w:rsid w:val="00187612"/>
    <w:rsid w:val="00187811"/>
    <w:rsid w:val="00187830"/>
    <w:rsid w:val="00187E69"/>
    <w:rsid w:val="00190870"/>
    <w:rsid w:val="001908A1"/>
    <w:rsid w:val="00190C1B"/>
    <w:rsid w:val="001912D8"/>
    <w:rsid w:val="0019163C"/>
    <w:rsid w:val="0019165F"/>
    <w:rsid w:val="00191AC3"/>
    <w:rsid w:val="00191C12"/>
    <w:rsid w:val="00191E30"/>
    <w:rsid w:val="0019239B"/>
    <w:rsid w:val="00192946"/>
    <w:rsid w:val="001929B7"/>
    <w:rsid w:val="00193110"/>
    <w:rsid w:val="001937D2"/>
    <w:rsid w:val="00193838"/>
    <w:rsid w:val="00193884"/>
    <w:rsid w:val="00193B1A"/>
    <w:rsid w:val="00193E66"/>
    <w:rsid w:val="001949F1"/>
    <w:rsid w:val="00194A23"/>
    <w:rsid w:val="00194A58"/>
    <w:rsid w:val="00194AD8"/>
    <w:rsid w:val="00194B20"/>
    <w:rsid w:val="00194B9D"/>
    <w:rsid w:val="00194DE8"/>
    <w:rsid w:val="00195222"/>
    <w:rsid w:val="00195452"/>
    <w:rsid w:val="00195EF6"/>
    <w:rsid w:val="00196051"/>
    <w:rsid w:val="00196179"/>
    <w:rsid w:val="00196C8F"/>
    <w:rsid w:val="00196E4B"/>
    <w:rsid w:val="0019738C"/>
    <w:rsid w:val="001975D2"/>
    <w:rsid w:val="001975D8"/>
    <w:rsid w:val="00197639"/>
    <w:rsid w:val="001976AF"/>
    <w:rsid w:val="001A0CEE"/>
    <w:rsid w:val="001A1204"/>
    <w:rsid w:val="001A178E"/>
    <w:rsid w:val="001A1DC2"/>
    <w:rsid w:val="001A1F65"/>
    <w:rsid w:val="001A1F77"/>
    <w:rsid w:val="001A2049"/>
    <w:rsid w:val="001A2083"/>
    <w:rsid w:val="001A2322"/>
    <w:rsid w:val="001A2383"/>
    <w:rsid w:val="001A23E0"/>
    <w:rsid w:val="001A27A3"/>
    <w:rsid w:val="001A2B0D"/>
    <w:rsid w:val="001A2B83"/>
    <w:rsid w:val="001A315C"/>
    <w:rsid w:val="001A3215"/>
    <w:rsid w:val="001A32C4"/>
    <w:rsid w:val="001A3A06"/>
    <w:rsid w:val="001A3B1F"/>
    <w:rsid w:val="001A3B31"/>
    <w:rsid w:val="001A3BCD"/>
    <w:rsid w:val="001A3F59"/>
    <w:rsid w:val="001A43FA"/>
    <w:rsid w:val="001A47C5"/>
    <w:rsid w:val="001A4A0F"/>
    <w:rsid w:val="001A4F31"/>
    <w:rsid w:val="001A5223"/>
    <w:rsid w:val="001A52EF"/>
    <w:rsid w:val="001A5546"/>
    <w:rsid w:val="001A59C7"/>
    <w:rsid w:val="001A59D6"/>
    <w:rsid w:val="001A59FB"/>
    <w:rsid w:val="001A5C83"/>
    <w:rsid w:val="001A5E9E"/>
    <w:rsid w:val="001A62DF"/>
    <w:rsid w:val="001A6354"/>
    <w:rsid w:val="001A6366"/>
    <w:rsid w:val="001A63EB"/>
    <w:rsid w:val="001A646F"/>
    <w:rsid w:val="001A68C7"/>
    <w:rsid w:val="001A71DF"/>
    <w:rsid w:val="001A737F"/>
    <w:rsid w:val="001A7786"/>
    <w:rsid w:val="001A7A93"/>
    <w:rsid w:val="001A7AE8"/>
    <w:rsid w:val="001A7CEC"/>
    <w:rsid w:val="001A7D78"/>
    <w:rsid w:val="001B08C1"/>
    <w:rsid w:val="001B0A09"/>
    <w:rsid w:val="001B0C26"/>
    <w:rsid w:val="001B0F48"/>
    <w:rsid w:val="001B13DD"/>
    <w:rsid w:val="001B1E96"/>
    <w:rsid w:val="001B204E"/>
    <w:rsid w:val="001B2372"/>
    <w:rsid w:val="001B23B8"/>
    <w:rsid w:val="001B23E4"/>
    <w:rsid w:val="001B2521"/>
    <w:rsid w:val="001B33A3"/>
    <w:rsid w:val="001B3443"/>
    <w:rsid w:val="001B3BD2"/>
    <w:rsid w:val="001B3E9A"/>
    <w:rsid w:val="001B4491"/>
    <w:rsid w:val="001B4685"/>
    <w:rsid w:val="001B4D20"/>
    <w:rsid w:val="001B5066"/>
    <w:rsid w:val="001B55E0"/>
    <w:rsid w:val="001B5AD5"/>
    <w:rsid w:val="001B688C"/>
    <w:rsid w:val="001B6EBA"/>
    <w:rsid w:val="001B73F3"/>
    <w:rsid w:val="001B7F84"/>
    <w:rsid w:val="001C0048"/>
    <w:rsid w:val="001C0319"/>
    <w:rsid w:val="001C094B"/>
    <w:rsid w:val="001C0A23"/>
    <w:rsid w:val="001C0B2A"/>
    <w:rsid w:val="001C1227"/>
    <w:rsid w:val="001C12FD"/>
    <w:rsid w:val="001C14E7"/>
    <w:rsid w:val="001C15AD"/>
    <w:rsid w:val="001C1986"/>
    <w:rsid w:val="001C23A2"/>
    <w:rsid w:val="001C2529"/>
    <w:rsid w:val="001C2A9B"/>
    <w:rsid w:val="001C2BD4"/>
    <w:rsid w:val="001C31F3"/>
    <w:rsid w:val="001C3590"/>
    <w:rsid w:val="001C378A"/>
    <w:rsid w:val="001C3C4F"/>
    <w:rsid w:val="001C3DD6"/>
    <w:rsid w:val="001C3FAE"/>
    <w:rsid w:val="001C3FBD"/>
    <w:rsid w:val="001C4299"/>
    <w:rsid w:val="001C42AC"/>
    <w:rsid w:val="001C4661"/>
    <w:rsid w:val="001C4874"/>
    <w:rsid w:val="001C4E4D"/>
    <w:rsid w:val="001C513B"/>
    <w:rsid w:val="001C5390"/>
    <w:rsid w:val="001C53D6"/>
    <w:rsid w:val="001C59F2"/>
    <w:rsid w:val="001C5ACE"/>
    <w:rsid w:val="001C5F94"/>
    <w:rsid w:val="001C5FEF"/>
    <w:rsid w:val="001C6056"/>
    <w:rsid w:val="001C6E66"/>
    <w:rsid w:val="001C7C75"/>
    <w:rsid w:val="001C7F93"/>
    <w:rsid w:val="001D02E5"/>
    <w:rsid w:val="001D1100"/>
    <w:rsid w:val="001D115F"/>
    <w:rsid w:val="001D1391"/>
    <w:rsid w:val="001D18C1"/>
    <w:rsid w:val="001D1A2C"/>
    <w:rsid w:val="001D1CB4"/>
    <w:rsid w:val="001D202F"/>
    <w:rsid w:val="001D20FF"/>
    <w:rsid w:val="001D22FD"/>
    <w:rsid w:val="001D25D7"/>
    <w:rsid w:val="001D28EB"/>
    <w:rsid w:val="001D2971"/>
    <w:rsid w:val="001D3DC9"/>
    <w:rsid w:val="001D447E"/>
    <w:rsid w:val="001D4A75"/>
    <w:rsid w:val="001D4C75"/>
    <w:rsid w:val="001D4E16"/>
    <w:rsid w:val="001D4FC4"/>
    <w:rsid w:val="001D50B2"/>
    <w:rsid w:val="001D51E2"/>
    <w:rsid w:val="001D5F45"/>
    <w:rsid w:val="001D6099"/>
    <w:rsid w:val="001D60C3"/>
    <w:rsid w:val="001D6403"/>
    <w:rsid w:val="001D6493"/>
    <w:rsid w:val="001D64C4"/>
    <w:rsid w:val="001D6A0A"/>
    <w:rsid w:val="001D6B9F"/>
    <w:rsid w:val="001D6BCC"/>
    <w:rsid w:val="001D71EF"/>
    <w:rsid w:val="001D71F4"/>
    <w:rsid w:val="001D7645"/>
    <w:rsid w:val="001D79E0"/>
    <w:rsid w:val="001D7D0D"/>
    <w:rsid w:val="001E0438"/>
    <w:rsid w:val="001E048D"/>
    <w:rsid w:val="001E0800"/>
    <w:rsid w:val="001E0968"/>
    <w:rsid w:val="001E0A70"/>
    <w:rsid w:val="001E0DDF"/>
    <w:rsid w:val="001E0F22"/>
    <w:rsid w:val="001E1510"/>
    <w:rsid w:val="001E1979"/>
    <w:rsid w:val="001E1A53"/>
    <w:rsid w:val="001E1C07"/>
    <w:rsid w:val="001E1E86"/>
    <w:rsid w:val="001E238E"/>
    <w:rsid w:val="001E2483"/>
    <w:rsid w:val="001E2B1E"/>
    <w:rsid w:val="001E2B34"/>
    <w:rsid w:val="001E2CFF"/>
    <w:rsid w:val="001E2F24"/>
    <w:rsid w:val="001E3075"/>
    <w:rsid w:val="001E30D4"/>
    <w:rsid w:val="001E3352"/>
    <w:rsid w:val="001E34DF"/>
    <w:rsid w:val="001E3950"/>
    <w:rsid w:val="001E3B1A"/>
    <w:rsid w:val="001E4105"/>
    <w:rsid w:val="001E429D"/>
    <w:rsid w:val="001E49B5"/>
    <w:rsid w:val="001E4A95"/>
    <w:rsid w:val="001E4C7F"/>
    <w:rsid w:val="001E5136"/>
    <w:rsid w:val="001E52DE"/>
    <w:rsid w:val="001E52EB"/>
    <w:rsid w:val="001E55C8"/>
    <w:rsid w:val="001E564E"/>
    <w:rsid w:val="001E5D8E"/>
    <w:rsid w:val="001E5E22"/>
    <w:rsid w:val="001E5ED7"/>
    <w:rsid w:val="001E61D2"/>
    <w:rsid w:val="001E660C"/>
    <w:rsid w:val="001E6875"/>
    <w:rsid w:val="001E740C"/>
    <w:rsid w:val="001E768E"/>
    <w:rsid w:val="001E76EC"/>
    <w:rsid w:val="001E7F49"/>
    <w:rsid w:val="001F01D5"/>
    <w:rsid w:val="001F0AA0"/>
    <w:rsid w:val="001F1098"/>
    <w:rsid w:val="001F1235"/>
    <w:rsid w:val="001F12E7"/>
    <w:rsid w:val="001F1CB3"/>
    <w:rsid w:val="001F23C3"/>
    <w:rsid w:val="001F2654"/>
    <w:rsid w:val="001F2AF7"/>
    <w:rsid w:val="001F3214"/>
    <w:rsid w:val="001F3394"/>
    <w:rsid w:val="001F3860"/>
    <w:rsid w:val="001F38B5"/>
    <w:rsid w:val="001F3EE4"/>
    <w:rsid w:val="001F3F5D"/>
    <w:rsid w:val="001F4081"/>
    <w:rsid w:val="001F4B22"/>
    <w:rsid w:val="001F4C10"/>
    <w:rsid w:val="001F54DB"/>
    <w:rsid w:val="001F57EA"/>
    <w:rsid w:val="001F5BF0"/>
    <w:rsid w:val="001F6253"/>
    <w:rsid w:val="001F626A"/>
    <w:rsid w:val="001F6812"/>
    <w:rsid w:val="001F6ED2"/>
    <w:rsid w:val="001F7151"/>
    <w:rsid w:val="001F725C"/>
    <w:rsid w:val="001F7361"/>
    <w:rsid w:val="001F736E"/>
    <w:rsid w:val="001F777E"/>
    <w:rsid w:val="001F7D05"/>
    <w:rsid w:val="002006C9"/>
    <w:rsid w:val="00200C4A"/>
    <w:rsid w:val="002011B0"/>
    <w:rsid w:val="002018AD"/>
    <w:rsid w:val="0020191D"/>
    <w:rsid w:val="0020291B"/>
    <w:rsid w:val="00202E28"/>
    <w:rsid w:val="00202F0D"/>
    <w:rsid w:val="00202FCD"/>
    <w:rsid w:val="00203181"/>
    <w:rsid w:val="002035A8"/>
    <w:rsid w:val="00203783"/>
    <w:rsid w:val="0020385F"/>
    <w:rsid w:val="00203F2D"/>
    <w:rsid w:val="0020403E"/>
    <w:rsid w:val="00204EAE"/>
    <w:rsid w:val="002050FB"/>
    <w:rsid w:val="002051FA"/>
    <w:rsid w:val="00205220"/>
    <w:rsid w:val="00205343"/>
    <w:rsid w:val="0020539F"/>
    <w:rsid w:val="002054B8"/>
    <w:rsid w:val="00205E44"/>
    <w:rsid w:val="00206237"/>
    <w:rsid w:val="0020666A"/>
    <w:rsid w:val="002068A0"/>
    <w:rsid w:val="00206A0B"/>
    <w:rsid w:val="00206FDD"/>
    <w:rsid w:val="00207021"/>
    <w:rsid w:val="0020732F"/>
    <w:rsid w:val="00207C37"/>
    <w:rsid w:val="00207D00"/>
    <w:rsid w:val="00207DE3"/>
    <w:rsid w:val="002105C1"/>
    <w:rsid w:val="002105E5"/>
    <w:rsid w:val="00211485"/>
    <w:rsid w:val="002116FD"/>
    <w:rsid w:val="00211804"/>
    <w:rsid w:val="00211DD2"/>
    <w:rsid w:val="00211F41"/>
    <w:rsid w:val="002124FE"/>
    <w:rsid w:val="0021269B"/>
    <w:rsid w:val="00212BBF"/>
    <w:rsid w:val="00213629"/>
    <w:rsid w:val="00213704"/>
    <w:rsid w:val="002139E2"/>
    <w:rsid w:val="00213EF5"/>
    <w:rsid w:val="0021411E"/>
    <w:rsid w:val="0021445B"/>
    <w:rsid w:val="00214613"/>
    <w:rsid w:val="002146E4"/>
    <w:rsid w:val="0021470B"/>
    <w:rsid w:val="0021490D"/>
    <w:rsid w:val="00214D50"/>
    <w:rsid w:val="00215861"/>
    <w:rsid w:val="00215C4F"/>
    <w:rsid w:val="00215E26"/>
    <w:rsid w:val="00216A06"/>
    <w:rsid w:val="00216BF5"/>
    <w:rsid w:val="00216E5D"/>
    <w:rsid w:val="002170A7"/>
    <w:rsid w:val="00217149"/>
    <w:rsid w:val="002171CB"/>
    <w:rsid w:val="002172DD"/>
    <w:rsid w:val="00217B6B"/>
    <w:rsid w:val="00217D37"/>
    <w:rsid w:val="00217E33"/>
    <w:rsid w:val="00217EB9"/>
    <w:rsid w:val="00217ECF"/>
    <w:rsid w:val="0022018E"/>
    <w:rsid w:val="00220329"/>
    <w:rsid w:val="0022091C"/>
    <w:rsid w:val="00220AC6"/>
    <w:rsid w:val="00220B64"/>
    <w:rsid w:val="00221E1A"/>
    <w:rsid w:val="0022204C"/>
    <w:rsid w:val="0022231A"/>
    <w:rsid w:val="00222374"/>
    <w:rsid w:val="002224BB"/>
    <w:rsid w:val="00222EE2"/>
    <w:rsid w:val="00222FA1"/>
    <w:rsid w:val="0022366B"/>
    <w:rsid w:val="00223B49"/>
    <w:rsid w:val="00223D5A"/>
    <w:rsid w:val="00224884"/>
    <w:rsid w:val="0022489F"/>
    <w:rsid w:val="00224DD4"/>
    <w:rsid w:val="00224ED4"/>
    <w:rsid w:val="002259BF"/>
    <w:rsid w:val="00225E11"/>
    <w:rsid w:val="0022603B"/>
    <w:rsid w:val="0022609E"/>
    <w:rsid w:val="00226296"/>
    <w:rsid w:val="002262A9"/>
    <w:rsid w:val="002266B3"/>
    <w:rsid w:val="0022686A"/>
    <w:rsid w:val="002269ED"/>
    <w:rsid w:val="00226ADA"/>
    <w:rsid w:val="00226E15"/>
    <w:rsid w:val="00227213"/>
    <w:rsid w:val="0022722F"/>
    <w:rsid w:val="0022743B"/>
    <w:rsid w:val="002278A0"/>
    <w:rsid w:val="00227E27"/>
    <w:rsid w:val="002301E2"/>
    <w:rsid w:val="0023052D"/>
    <w:rsid w:val="002309CC"/>
    <w:rsid w:val="00230B06"/>
    <w:rsid w:val="00230B3C"/>
    <w:rsid w:val="00230EAD"/>
    <w:rsid w:val="00231211"/>
    <w:rsid w:val="0023136E"/>
    <w:rsid w:val="00231484"/>
    <w:rsid w:val="002315E0"/>
    <w:rsid w:val="00231BA9"/>
    <w:rsid w:val="0023202F"/>
    <w:rsid w:val="0023209F"/>
    <w:rsid w:val="002321F7"/>
    <w:rsid w:val="002322AE"/>
    <w:rsid w:val="00232580"/>
    <w:rsid w:val="00232E78"/>
    <w:rsid w:val="0023308E"/>
    <w:rsid w:val="00233822"/>
    <w:rsid w:val="00233C01"/>
    <w:rsid w:val="00233C46"/>
    <w:rsid w:val="00233E99"/>
    <w:rsid w:val="0023413C"/>
    <w:rsid w:val="00234537"/>
    <w:rsid w:val="00234551"/>
    <w:rsid w:val="002346F0"/>
    <w:rsid w:val="00234E1B"/>
    <w:rsid w:val="00235032"/>
    <w:rsid w:val="00235178"/>
    <w:rsid w:val="00235180"/>
    <w:rsid w:val="002355F6"/>
    <w:rsid w:val="0023629D"/>
    <w:rsid w:val="00236695"/>
    <w:rsid w:val="002368F6"/>
    <w:rsid w:val="00236AF3"/>
    <w:rsid w:val="00237255"/>
    <w:rsid w:val="00237574"/>
    <w:rsid w:val="00237598"/>
    <w:rsid w:val="00237CB2"/>
    <w:rsid w:val="00237D0C"/>
    <w:rsid w:val="00237F46"/>
    <w:rsid w:val="00240244"/>
    <w:rsid w:val="002402E8"/>
    <w:rsid w:val="002403EA"/>
    <w:rsid w:val="00240534"/>
    <w:rsid w:val="0024095F"/>
    <w:rsid w:val="00241D59"/>
    <w:rsid w:val="002424AF"/>
    <w:rsid w:val="002435B4"/>
    <w:rsid w:val="002438B1"/>
    <w:rsid w:val="0024399D"/>
    <w:rsid w:val="002439DC"/>
    <w:rsid w:val="002441D2"/>
    <w:rsid w:val="00244D4B"/>
    <w:rsid w:val="00244DC8"/>
    <w:rsid w:val="002455FE"/>
    <w:rsid w:val="002458BA"/>
    <w:rsid w:val="002458C5"/>
    <w:rsid w:val="00245BB6"/>
    <w:rsid w:val="00245CE9"/>
    <w:rsid w:val="00245D86"/>
    <w:rsid w:val="00245FE2"/>
    <w:rsid w:val="0024636C"/>
    <w:rsid w:val="002465E7"/>
    <w:rsid w:val="002467F6"/>
    <w:rsid w:val="00246E1E"/>
    <w:rsid w:val="002470AE"/>
    <w:rsid w:val="0024744D"/>
    <w:rsid w:val="0024750A"/>
    <w:rsid w:val="00247925"/>
    <w:rsid w:val="0025032A"/>
    <w:rsid w:val="00250C88"/>
    <w:rsid w:val="00251006"/>
    <w:rsid w:val="00251976"/>
    <w:rsid w:val="00251D84"/>
    <w:rsid w:val="00251ECE"/>
    <w:rsid w:val="002520DE"/>
    <w:rsid w:val="0025240A"/>
    <w:rsid w:val="002524D5"/>
    <w:rsid w:val="002529DB"/>
    <w:rsid w:val="00252BB6"/>
    <w:rsid w:val="00252C52"/>
    <w:rsid w:val="00252DD2"/>
    <w:rsid w:val="00253542"/>
    <w:rsid w:val="00253B1D"/>
    <w:rsid w:val="00253B6A"/>
    <w:rsid w:val="00254701"/>
    <w:rsid w:val="00254768"/>
    <w:rsid w:val="00254858"/>
    <w:rsid w:val="00254907"/>
    <w:rsid w:val="00254945"/>
    <w:rsid w:val="00254B0E"/>
    <w:rsid w:val="00254DCF"/>
    <w:rsid w:val="0025534B"/>
    <w:rsid w:val="00255BB7"/>
    <w:rsid w:val="002561EA"/>
    <w:rsid w:val="00256342"/>
    <w:rsid w:val="00256538"/>
    <w:rsid w:val="002566CC"/>
    <w:rsid w:val="002568E2"/>
    <w:rsid w:val="0025692D"/>
    <w:rsid w:val="0025716B"/>
    <w:rsid w:val="00257541"/>
    <w:rsid w:val="002576AD"/>
    <w:rsid w:val="00257A39"/>
    <w:rsid w:val="00257AC4"/>
    <w:rsid w:val="00257BBE"/>
    <w:rsid w:val="00257F4E"/>
    <w:rsid w:val="00257FE4"/>
    <w:rsid w:val="0026067B"/>
    <w:rsid w:val="00260730"/>
    <w:rsid w:val="00260FA6"/>
    <w:rsid w:val="00261492"/>
    <w:rsid w:val="00261AAC"/>
    <w:rsid w:val="00261E71"/>
    <w:rsid w:val="00261EEF"/>
    <w:rsid w:val="002622CD"/>
    <w:rsid w:val="00262A1A"/>
    <w:rsid w:val="00262A87"/>
    <w:rsid w:val="0026338A"/>
    <w:rsid w:val="00263BF1"/>
    <w:rsid w:val="0026445C"/>
    <w:rsid w:val="00264740"/>
    <w:rsid w:val="00264937"/>
    <w:rsid w:val="00264D26"/>
    <w:rsid w:val="00265008"/>
    <w:rsid w:val="002655F1"/>
    <w:rsid w:val="002657FA"/>
    <w:rsid w:val="00265917"/>
    <w:rsid w:val="002664DA"/>
    <w:rsid w:val="002667B0"/>
    <w:rsid w:val="0026694C"/>
    <w:rsid w:val="00267003"/>
    <w:rsid w:val="00267642"/>
    <w:rsid w:val="0026781F"/>
    <w:rsid w:val="002678C3"/>
    <w:rsid w:val="00267AEA"/>
    <w:rsid w:val="002700E6"/>
    <w:rsid w:val="00270558"/>
    <w:rsid w:val="00270AFB"/>
    <w:rsid w:val="0027122F"/>
    <w:rsid w:val="002715C0"/>
    <w:rsid w:val="00271F83"/>
    <w:rsid w:val="0027294B"/>
    <w:rsid w:val="0027296D"/>
    <w:rsid w:val="00272E3C"/>
    <w:rsid w:val="00272EBB"/>
    <w:rsid w:val="00272EEE"/>
    <w:rsid w:val="0027300F"/>
    <w:rsid w:val="002735BD"/>
    <w:rsid w:val="00273A28"/>
    <w:rsid w:val="00273E4D"/>
    <w:rsid w:val="00273EA7"/>
    <w:rsid w:val="00273EB4"/>
    <w:rsid w:val="002742C1"/>
    <w:rsid w:val="0027444A"/>
    <w:rsid w:val="00274682"/>
    <w:rsid w:val="00274727"/>
    <w:rsid w:val="00274A00"/>
    <w:rsid w:val="00274C22"/>
    <w:rsid w:val="00274FAB"/>
    <w:rsid w:val="00275158"/>
    <w:rsid w:val="0027517E"/>
    <w:rsid w:val="0027525D"/>
    <w:rsid w:val="002753A1"/>
    <w:rsid w:val="00275C5A"/>
    <w:rsid w:val="00276468"/>
    <w:rsid w:val="002773FB"/>
    <w:rsid w:val="00277B26"/>
    <w:rsid w:val="00277B68"/>
    <w:rsid w:val="00280062"/>
    <w:rsid w:val="002801AB"/>
    <w:rsid w:val="002801FB"/>
    <w:rsid w:val="002802B8"/>
    <w:rsid w:val="00280C10"/>
    <w:rsid w:val="00280E29"/>
    <w:rsid w:val="00281014"/>
    <w:rsid w:val="002812C5"/>
    <w:rsid w:val="00281BEC"/>
    <w:rsid w:val="00281D1E"/>
    <w:rsid w:val="00281DE4"/>
    <w:rsid w:val="00282036"/>
    <w:rsid w:val="00282368"/>
    <w:rsid w:val="0028256F"/>
    <w:rsid w:val="002827B8"/>
    <w:rsid w:val="00282D27"/>
    <w:rsid w:val="00282F5A"/>
    <w:rsid w:val="002831F3"/>
    <w:rsid w:val="00283D8B"/>
    <w:rsid w:val="00283ED5"/>
    <w:rsid w:val="002842C8"/>
    <w:rsid w:val="0028431B"/>
    <w:rsid w:val="002848DA"/>
    <w:rsid w:val="00284BF8"/>
    <w:rsid w:val="00284C16"/>
    <w:rsid w:val="00284E02"/>
    <w:rsid w:val="00285BCE"/>
    <w:rsid w:val="00285F5D"/>
    <w:rsid w:val="0028665D"/>
    <w:rsid w:val="00286C75"/>
    <w:rsid w:val="00286D53"/>
    <w:rsid w:val="00287809"/>
    <w:rsid w:val="002879AE"/>
    <w:rsid w:val="00287BA7"/>
    <w:rsid w:val="002902C5"/>
    <w:rsid w:val="002905ED"/>
    <w:rsid w:val="002907DD"/>
    <w:rsid w:val="00290B72"/>
    <w:rsid w:val="00290E18"/>
    <w:rsid w:val="00291639"/>
    <w:rsid w:val="002917E1"/>
    <w:rsid w:val="00291A39"/>
    <w:rsid w:val="00291F33"/>
    <w:rsid w:val="002920A3"/>
    <w:rsid w:val="00292224"/>
    <w:rsid w:val="00292411"/>
    <w:rsid w:val="00292AAA"/>
    <w:rsid w:val="002930EE"/>
    <w:rsid w:val="00293263"/>
    <w:rsid w:val="00293A0C"/>
    <w:rsid w:val="00293A64"/>
    <w:rsid w:val="00293C97"/>
    <w:rsid w:val="00294166"/>
    <w:rsid w:val="0029417A"/>
    <w:rsid w:val="00294192"/>
    <w:rsid w:val="00294826"/>
    <w:rsid w:val="00294FCE"/>
    <w:rsid w:val="00294FD0"/>
    <w:rsid w:val="00295068"/>
    <w:rsid w:val="00295085"/>
    <w:rsid w:val="0029516E"/>
    <w:rsid w:val="00295337"/>
    <w:rsid w:val="00295542"/>
    <w:rsid w:val="00295548"/>
    <w:rsid w:val="002958C1"/>
    <w:rsid w:val="00295D06"/>
    <w:rsid w:val="00295E2A"/>
    <w:rsid w:val="002965E9"/>
    <w:rsid w:val="00297001"/>
    <w:rsid w:val="00297042"/>
    <w:rsid w:val="002977C3"/>
    <w:rsid w:val="00297812"/>
    <w:rsid w:val="00297AA2"/>
    <w:rsid w:val="002A043E"/>
    <w:rsid w:val="002A04D7"/>
    <w:rsid w:val="002A0624"/>
    <w:rsid w:val="002A0806"/>
    <w:rsid w:val="002A0EF5"/>
    <w:rsid w:val="002A0F5A"/>
    <w:rsid w:val="002A14AB"/>
    <w:rsid w:val="002A1BEF"/>
    <w:rsid w:val="002A2ADE"/>
    <w:rsid w:val="002A2C98"/>
    <w:rsid w:val="002A2F50"/>
    <w:rsid w:val="002A3485"/>
    <w:rsid w:val="002A35D4"/>
    <w:rsid w:val="002A35FE"/>
    <w:rsid w:val="002A364E"/>
    <w:rsid w:val="002A3687"/>
    <w:rsid w:val="002A36B3"/>
    <w:rsid w:val="002A3947"/>
    <w:rsid w:val="002A4020"/>
    <w:rsid w:val="002A4241"/>
    <w:rsid w:val="002A4A94"/>
    <w:rsid w:val="002A4B1C"/>
    <w:rsid w:val="002A4DD8"/>
    <w:rsid w:val="002A540A"/>
    <w:rsid w:val="002A589B"/>
    <w:rsid w:val="002A60B3"/>
    <w:rsid w:val="002A6261"/>
    <w:rsid w:val="002A6301"/>
    <w:rsid w:val="002A6596"/>
    <w:rsid w:val="002A65AD"/>
    <w:rsid w:val="002A6816"/>
    <w:rsid w:val="002A6889"/>
    <w:rsid w:val="002A7409"/>
    <w:rsid w:val="002A755C"/>
    <w:rsid w:val="002A7943"/>
    <w:rsid w:val="002A79E2"/>
    <w:rsid w:val="002A7F7C"/>
    <w:rsid w:val="002B05A1"/>
    <w:rsid w:val="002B06CA"/>
    <w:rsid w:val="002B0841"/>
    <w:rsid w:val="002B09A4"/>
    <w:rsid w:val="002B0F57"/>
    <w:rsid w:val="002B1546"/>
    <w:rsid w:val="002B1C1F"/>
    <w:rsid w:val="002B1CCF"/>
    <w:rsid w:val="002B2175"/>
    <w:rsid w:val="002B21C5"/>
    <w:rsid w:val="002B2211"/>
    <w:rsid w:val="002B23E0"/>
    <w:rsid w:val="002B23E9"/>
    <w:rsid w:val="002B2594"/>
    <w:rsid w:val="002B29E9"/>
    <w:rsid w:val="002B2BAC"/>
    <w:rsid w:val="002B3034"/>
    <w:rsid w:val="002B37DB"/>
    <w:rsid w:val="002B3BE9"/>
    <w:rsid w:val="002B3D32"/>
    <w:rsid w:val="002B3FE6"/>
    <w:rsid w:val="002B432F"/>
    <w:rsid w:val="002B43BD"/>
    <w:rsid w:val="002B4664"/>
    <w:rsid w:val="002B4B3C"/>
    <w:rsid w:val="002B4CFF"/>
    <w:rsid w:val="002B5253"/>
    <w:rsid w:val="002B52F7"/>
    <w:rsid w:val="002B58C9"/>
    <w:rsid w:val="002B5EB0"/>
    <w:rsid w:val="002B60D7"/>
    <w:rsid w:val="002B614D"/>
    <w:rsid w:val="002B62B3"/>
    <w:rsid w:val="002B6754"/>
    <w:rsid w:val="002B6861"/>
    <w:rsid w:val="002B6CCE"/>
    <w:rsid w:val="002B6D53"/>
    <w:rsid w:val="002B726B"/>
    <w:rsid w:val="002B7758"/>
    <w:rsid w:val="002B7AA6"/>
    <w:rsid w:val="002C01D9"/>
    <w:rsid w:val="002C0324"/>
    <w:rsid w:val="002C066F"/>
    <w:rsid w:val="002C07DF"/>
    <w:rsid w:val="002C16E9"/>
    <w:rsid w:val="002C181F"/>
    <w:rsid w:val="002C1B38"/>
    <w:rsid w:val="002C222D"/>
    <w:rsid w:val="002C2510"/>
    <w:rsid w:val="002C2537"/>
    <w:rsid w:val="002C2775"/>
    <w:rsid w:val="002C27C1"/>
    <w:rsid w:val="002C28A4"/>
    <w:rsid w:val="002C294F"/>
    <w:rsid w:val="002C2F3F"/>
    <w:rsid w:val="002C3275"/>
    <w:rsid w:val="002C36E3"/>
    <w:rsid w:val="002C3F2C"/>
    <w:rsid w:val="002C4028"/>
    <w:rsid w:val="002C4165"/>
    <w:rsid w:val="002C46F3"/>
    <w:rsid w:val="002C4964"/>
    <w:rsid w:val="002C4E9C"/>
    <w:rsid w:val="002C5099"/>
    <w:rsid w:val="002C52D5"/>
    <w:rsid w:val="002C5430"/>
    <w:rsid w:val="002C5889"/>
    <w:rsid w:val="002C5D78"/>
    <w:rsid w:val="002C621D"/>
    <w:rsid w:val="002C642A"/>
    <w:rsid w:val="002C6730"/>
    <w:rsid w:val="002C6BBF"/>
    <w:rsid w:val="002C6BE5"/>
    <w:rsid w:val="002C71CE"/>
    <w:rsid w:val="002C7299"/>
    <w:rsid w:val="002C7847"/>
    <w:rsid w:val="002C78EC"/>
    <w:rsid w:val="002C79B6"/>
    <w:rsid w:val="002C7BB2"/>
    <w:rsid w:val="002D0267"/>
    <w:rsid w:val="002D043F"/>
    <w:rsid w:val="002D08F8"/>
    <w:rsid w:val="002D0917"/>
    <w:rsid w:val="002D0931"/>
    <w:rsid w:val="002D1083"/>
    <w:rsid w:val="002D10C6"/>
    <w:rsid w:val="002D11E2"/>
    <w:rsid w:val="002D1242"/>
    <w:rsid w:val="002D364C"/>
    <w:rsid w:val="002D37EA"/>
    <w:rsid w:val="002D52F7"/>
    <w:rsid w:val="002D5617"/>
    <w:rsid w:val="002D577C"/>
    <w:rsid w:val="002D58B9"/>
    <w:rsid w:val="002D5C92"/>
    <w:rsid w:val="002D5E67"/>
    <w:rsid w:val="002D6080"/>
    <w:rsid w:val="002D63F9"/>
    <w:rsid w:val="002D68AE"/>
    <w:rsid w:val="002D6B78"/>
    <w:rsid w:val="002D709C"/>
    <w:rsid w:val="002D77A2"/>
    <w:rsid w:val="002D7832"/>
    <w:rsid w:val="002D7ACC"/>
    <w:rsid w:val="002D7BD0"/>
    <w:rsid w:val="002E09E2"/>
    <w:rsid w:val="002E0EFA"/>
    <w:rsid w:val="002E0FA2"/>
    <w:rsid w:val="002E1071"/>
    <w:rsid w:val="002E1095"/>
    <w:rsid w:val="002E1245"/>
    <w:rsid w:val="002E15B9"/>
    <w:rsid w:val="002E18CC"/>
    <w:rsid w:val="002E1B73"/>
    <w:rsid w:val="002E2158"/>
    <w:rsid w:val="002E2F32"/>
    <w:rsid w:val="002E400B"/>
    <w:rsid w:val="002E4138"/>
    <w:rsid w:val="002E4F02"/>
    <w:rsid w:val="002E4FF5"/>
    <w:rsid w:val="002E5079"/>
    <w:rsid w:val="002E50BF"/>
    <w:rsid w:val="002E5388"/>
    <w:rsid w:val="002E5D85"/>
    <w:rsid w:val="002E60CE"/>
    <w:rsid w:val="002E63EB"/>
    <w:rsid w:val="002E659C"/>
    <w:rsid w:val="002E6ACB"/>
    <w:rsid w:val="002E7065"/>
    <w:rsid w:val="002E7082"/>
    <w:rsid w:val="002E7343"/>
    <w:rsid w:val="002E7722"/>
    <w:rsid w:val="002E7844"/>
    <w:rsid w:val="002E7948"/>
    <w:rsid w:val="002F00C6"/>
    <w:rsid w:val="002F054A"/>
    <w:rsid w:val="002F07BA"/>
    <w:rsid w:val="002F07FD"/>
    <w:rsid w:val="002F09A4"/>
    <w:rsid w:val="002F0DA9"/>
    <w:rsid w:val="002F0E0F"/>
    <w:rsid w:val="002F1014"/>
    <w:rsid w:val="002F183A"/>
    <w:rsid w:val="002F19BE"/>
    <w:rsid w:val="002F1CD4"/>
    <w:rsid w:val="002F1E3B"/>
    <w:rsid w:val="002F20AB"/>
    <w:rsid w:val="002F21FA"/>
    <w:rsid w:val="002F2AC5"/>
    <w:rsid w:val="002F300C"/>
    <w:rsid w:val="002F305C"/>
    <w:rsid w:val="002F355A"/>
    <w:rsid w:val="002F3E07"/>
    <w:rsid w:val="002F4467"/>
    <w:rsid w:val="002F4717"/>
    <w:rsid w:val="002F5126"/>
    <w:rsid w:val="002F51CF"/>
    <w:rsid w:val="002F5B3D"/>
    <w:rsid w:val="002F5DCE"/>
    <w:rsid w:val="002F643C"/>
    <w:rsid w:val="002F66D1"/>
    <w:rsid w:val="002F6B1E"/>
    <w:rsid w:val="002F6D92"/>
    <w:rsid w:val="002F6F27"/>
    <w:rsid w:val="002F7045"/>
    <w:rsid w:val="002F71C0"/>
    <w:rsid w:val="002F74F1"/>
    <w:rsid w:val="0030009A"/>
    <w:rsid w:val="003000E0"/>
    <w:rsid w:val="0030063D"/>
    <w:rsid w:val="00300899"/>
    <w:rsid w:val="00300B9D"/>
    <w:rsid w:val="00301017"/>
    <w:rsid w:val="0030155F"/>
    <w:rsid w:val="00301716"/>
    <w:rsid w:val="003023FE"/>
    <w:rsid w:val="003033BB"/>
    <w:rsid w:val="003034FF"/>
    <w:rsid w:val="00304033"/>
    <w:rsid w:val="003044AD"/>
    <w:rsid w:val="00304857"/>
    <w:rsid w:val="00304EAC"/>
    <w:rsid w:val="00304F43"/>
    <w:rsid w:val="0030587B"/>
    <w:rsid w:val="00305A32"/>
    <w:rsid w:val="003067A2"/>
    <w:rsid w:val="00306D98"/>
    <w:rsid w:val="003072DC"/>
    <w:rsid w:val="0030786C"/>
    <w:rsid w:val="003078FE"/>
    <w:rsid w:val="00307F35"/>
    <w:rsid w:val="0030A7DC"/>
    <w:rsid w:val="003100F2"/>
    <w:rsid w:val="0031031A"/>
    <w:rsid w:val="003105C4"/>
    <w:rsid w:val="0031066C"/>
    <w:rsid w:val="00310981"/>
    <w:rsid w:val="00310A8B"/>
    <w:rsid w:val="00310E14"/>
    <w:rsid w:val="00310F3C"/>
    <w:rsid w:val="003113A1"/>
    <w:rsid w:val="0031156F"/>
    <w:rsid w:val="003115CF"/>
    <w:rsid w:val="00311D9B"/>
    <w:rsid w:val="00311DAD"/>
    <w:rsid w:val="00312225"/>
    <w:rsid w:val="003124D9"/>
    <w:rsid w:val="00312594"/>
    <w:rsid w:val="00312623"/>
    <w:rsid w:val="00312AE0"/>
    <w:rsid w:val="003130DD"/>
    <w:rsid w:val="0031311F"/>
    <w:rsid w:val="003131BF"/>
    <w:rsid w:val="003131F1"/>
    <w:rsid w:val="00313341"/>
    <w:rsid w:val="00314703"/>
    <w:rsid w:val="00314A6D"/>
    <w:rsid w:val="00314C59"/>
    <w:rsid w:val="00314C8A"/>
    <w:rsid w:val="00314D4E"/>
    <w:rsid w:val="00315208"/>
    <w:rsid w:val="003152E8"/>
    <w:rsid w:val="00315498"/>
    <w:rsid w:val="003157FA"/>
    <w:rsid w:val="0031582A"/>
    <w:rsid w:val="00315E15"/>
    <w:rsid w:val="003161F2"/>
    <w:rsid w:val="00316474"/>
    <w:rsid w:val="003164BF"/>
    <w:rsid w:val="00316897"/>
    <w:rsid w:val="00316DDA"/>
    <w:rsid w:val="00317AB5"/>
    <w:rsid w:val="00317B09"/>
    <w:rsid w:val="00317C8C"/>
    <w:rsid w:val="0032001B"/>
    <w:rsid w:val="0032009F"/>
    <w:rsid w:val="0032084A"/>
    <w:rsid w:val="00320A6C"/>
    <w:rsid w:val="00321244"/>
    <w:rsid w:val="0032194E"/>
    <w:rsid w:val="003219D1"/>
    <w:rsid w:val="00321A82"/>
    <w:rsid w:val="00321E6F"/>
    <w:rsid w:val="00322107"/>
    <w:rsid w:val="003221F3"/>
    <w:rsid w:val="00322355"/>
    <w:rsid w:val="00322846"/>
    <w:rsid w:val="00322BC6"/>
    <w:rsid w:val="00323087"/>
    <w:rsid w:val="0032335D"/>
    <w:rsid w:val="00323690"/>
    <w:rsid w:val="0032390D"/>
    <w:rsid w:val="003243EE"/>
    <w:rsid w:val="0032504E"/>
    <w:rsid w:val="00325386"/>
    <w:rsid w:val="00325A98"/>
    <w:rsid w:val="00325B74"/>
    <w:rsid w:val="00325B82"/>
    <w:rsid w:val="00325F20"/>
    <w:rsid w:val="00326601"/>
    <w:rsid w:val="0032668D"/>
    <w:rsid w:val="003268B6"/>
    <w:rsid w:val="00326B16"/>
    <w:rsid w:val="00326B82"/>
    <w:rsid w:val="00326DA7"/>
    <w:rsid w:val="0032709B"/>
    <w:rsid w:val="003270E4"/>
    <w:rsid w:val="003273D4"/>
    <w:rsid w:val="003274E9"/>
    <w:rsid w:val="00327660"/>
    <w:rsid w:val="00327A6C"/>
    <w:rsid w:val="0033092B"/>
    <w:rsid w:val="00330980"/>
    <w:rsid w:val="00330A3A"/>
    <w:rsid w:val="00330DAA"/>
    <w:rsid w:val="00330F5C"/>
    <w:rsid w:val="00330FA5"/>
    <w:rsid w:val="00331936"/>
    <w:rsid w:val="0033198E"/>
    <w:rsid w:val="00331BDA"/>
    <w:rsid w:val="00331FD3"/>
    <w:rsid w:val="00332193"/>
    <w:rsid w:val="003325F9"/>
    <w:rsid w:val="0033284D"/>
    <w:rsid w:val="00332C47"/>
    <w:rsid w:val="00332C8B"/>
    <w:rsid w:val="0033390F"/>
    <w:rsid w:val="00333F6C"/>
    <w:rsid w:val="00334098"/>
    <w:rsid w:val="00334928"/>
    <w:rsid w:val="00334CC9"/>
    <w:rsid w:val="003350C1"/>
    <w:rsid w:val="00335836"/>
    <w:rsid w:val="00336016"/>
    <w:rsid w:val="00336406"/>
    <w:rsid w:val="003366C9"/>
    <w:rsid w:val="00336905"/>
    <w:rsid w:val="00336ABD"/>
    <w:rsid w:val="003371B0"/>
    <w:rsid w:val="00337AC9"/>
    <w:rsid w:val="00337B98"/>
    <w:rsid w:val="00337D0D"/>
    <w:rsid w:val="003400E0"/>
    <w:rsid w:val="003403FA"/>
    <w:rsid w:val="00340C24"/>
    <w:rsid w:val="00340DF1"/>
    <w:rsid w:val="00341386"/>
    <w:rsid w:val="003416A3"/>
    <w:rsid w:val="003418C2"/>
    <w:rsid w:val="00341F6A"/>
    <w:rsid w:val="0034205C"/>
    <w:rsid w:val="003425B4"/>
    <w:rsid w:val="00342AE6"/>
    <w:rsid w:val="00342DCE"/>
    <w:rsid w:val="0034377C"/>
    <w:rsid w:val="00344A9E"/>
    <w:rsid w:val="00344AB6"/>
    <w:rsid w:val="00344F9A"/>
    <w:rsid w:val="0034552A"/>
    <w:rsid w:val="0034559D"/>
    <w:rsid w:val="00345603"/>
    <w:rsid w:val="00345851"/>
    <w:rsid w:val="00345DE8"/>
    <w:rsid w:val="003460F6"/>
    <w:rsid w:val="003477A2"/>
    <w:rsid w:val="00350357"/>
    <w:rsid w:val="00350DD0"/>
    <w:rsid w:val="003517F9"/>
    <w:rsid w:val="00351BA9"/>
    <w:rsid w:val="0035223D"/>
    <w:rsid w:val="003525E0"/>
    <w:rsid w:val="0035283A"/>
    <w:rsid w:val="00352E53"/>
    <w:rsid w:val="00352F18"/>
    <w:rsid w:val="0035397C"/>
    <w:rsid w:val="00353F30"/>
    <w:rsid w:val="00353F43"/>
    <w:rsid w:val="0035434E"/>
    <w:rsid w:val="00354EAB"/>
    <w:rsid w:val="00354F64"/>
    <w:rsid w:val="003552DD"/>
    <w:rsid w:val="003559B8"/>
    <w:rsid w:val="0035604A"/>
    <w:rsid w:val="0035620E"/>
    <w:rsid w:val="00356590"/>
    <w:rsid w:val="00356D7B"/>
    <w:rsid w:val="0035718B"/>
    <w:rsid w:val="003575BE"/>
    <w:rsid w:val="00357F76"/>
    <w:rsid w:val="003600CC"/>
    <w:rsid w:val="00360345"/>
    <w:rsid w:val="00360587"/>
    <w:rsid w:val="00360EB1"/>
    <w:rsid w:val="003615DA"/>
    <w:rsid w:val="003616F6"/>
    <w:rsid w:val="003618BD"/>
    <w:rsid w:val="00361A05"/>
    <w:rsid w:val="003624C4"/>
    <w:rsid w:val="00362D75"/>
    <w:rsid w:val="003630AD"/>
    <w:rsid w:val="003632AD"/>
    <w:rsid w:val="00363853"/>
    <w:rsid w:val="00363B00"/>
    <w:rsid w:val="003642E7"/>
    <w:rsid w:val="003643AE"/>
    <w:rsid w:val="003645D9"/>
    <w:rsid w:val="00365257"/>
    <w:rsid w:val="003654AC"/>
    <w:rsid w:val="00365513"/>
    <w:rsid w:val="00365835"/>
    <w:rsid w:val="00365D43"/>
    <w:rsid w:val="00365D84"/>
    <w:rsid w:val="00366630"/>
    <w:rsid w:val="00366BB0"/>
    <w:rsid w:val="00367A57"/>
    <w:rsid w:val="003700CA"/>
    <w:rsid w:val="00370195"/>
    <w:rsid w:val="00370671"/>
    <w:rsid w:val="00370829"/>
    <w:rsid w:val="00370D01"/>
    <w:rsid w:val="00370F59"/>
    <w:rsid w:val="003710CF"/>
    <w:rsid w:val="00371352"/>
    <w:rsid w:val="003714D0"/>
    <w:rsid w:val="00371BC3"/>
    <w:rsid w:val="00372AF7"/>
    <w:rsid w:val="00372D21"/>
    <w:rsid w:val="003734CF"/>
    <w:rsid w:val="0037358A"/>
    <w:rsid w:val="00373731"/>
    <w:rsid w:val="0037398A"/>
    <w:rsid w:val="00373A60"/>
    <w:rsid w:val="0037425E"/>
    <w:rsid w:val="00374E22"/>
    <w:rsid w:val="00374E93"/>
    <w:rsid w:val="003750F6"/>
    <w:rsid w:val="003751A1"/>
    <w:rsid w:val="00375C79"/>
    <w:rsid w:val="003760FC"/>
    <w:rsid w:val="00376891"/>
    <w:rsid w:val="00376A3B"/>
    <w:rsid w:val="00377086"/>
    <w:rsid w:val="003770FC"/>
    <w:rsid w:val="00377465"/>
    <w:rsid w:val="003801EF"/>
    <w:rsid w:val="003802A8"/>
    <w:rsid w:val="00380470"/>
    <w:rsid w:val="0038093A"/>
    <w:rsid w:val="00381670"/>
    <w:rsid w:val="00381880"/>
    <w:rsid w:val="00381A66"/>
    <w:rsid w:val="00381BFC"/>
    <w:rsid w:val="00381E02"/>
    <w:rsid w:val="00382368"/>
    <w:rsid w:val="0038243B"/>
    <w:rsid w:val="0038252F"/>
    <w:rsid w:val="003827F4"/>
    <w:rsid w:val="00382A04"/>
    <w:rsid w:val="0038365C"/>
    <w:rsid w:val="0038369B"/>
    <w:rsid w:val="00383818"/>
    <w:rsid w:val="00383A0B"/>
    <w:rsid w:val="00383B78"/>
    <w:rsid w:val="00383BB5"/>
    <w:rsid w:val="00383EDB"/>
    <w:rsid w:val="00384293"/>
    <w:rsid w:val="00384818"/>
    <w:rsid w:val="00384A9A"/>
    <w:rsid w:val="00385016"/>
    <w:rsid w:val="00385048"/>
    <w:rsid w:val="0038519A"/>
    <w:rsid w:val="0038529D"/>
    <w:rsid w:val="0038543C"/>
    <w:rsid w:val="0038546C"/>
    <w:rsid w:val="003854EB"/>
    <w:rsid w:val="003857D6"/>
    <w:rsid w:val="00385A9D"/>
    <w:rsid w:val="00385E3C"/>
    <w:rsid w:val="00385FBB"/>
    <w:rsid w:val="00386112"/>
    <w:rsid w:val="0038663D"/>
    <w:rsid w:val="00386FB3"/>
    <w:rsid w:val="00387097"/>
    <w:rsid w:val="00387121"/>
    <w:rsid w:val="00387A36"/>
    <w:rsid w:val="00387C84"/>
    <w:rsid w:val="0039018A"/>
    <w:rsid w:val="003902B1"/>
    <w:rsid w:val="0039069F"/>
    <w:rsid w:val="00390732"/>
    <w:rsid w:val="00391067"/>
    <w:rsid w:val="0039112E"/>
    <w:rsid w:val="00391300"/>
    <w:rsid w:val="0039179C"/>
    <w:rsid w:val="00391994"/>
    <w:rsid w:val="003920A6"/>
    <w:rsid w:val="00392235"/>
    <w:rsid w:val="003922FD"/>
    <w:rsid w:val="00392763"/>
    <w:rsid w:val="0039288E"/>
    <w:rsid w:val="0039381C"/>
    <w:rsid w:val="00393B61"/>
    <w:rsid w:val="00393E34"/>
    <w:rsid w:val="00393EC5"/>
    <w:rsid w:val="0039401A"/>
    <w:rsid w:val="00394040"/>
    <w:rsid w:val="003947D3"/>
    <w:rsid w:val="00394D91"/>
    <w:rsid w:val="00394E70"/>
    <w:rsid w:val="00395068"/>
    <w:rsid w:val="00395D5E"/>
    <w:rsid w:val="00395F35"/>
    <w:rsid w:val="00396896"/>
    <w:rsid w:val="00396BEC"/>
    <w:rsid w:val="00396FD0"/>
    <w:rsid w:val="00397359"/>
    <w:rsid w:val="003974A8"/>
    <w:rsid w:val="00397946"/>
    <w:rsid w:val="00397BC3"/>
    <w:rsid w:val="00397D8E"/>
    <w:rsid w:val="003A02A6"/>
    <w:rsid w:val="003A0BFC"/>
    <w:rsid w:val="003A0E2F"/>
    <w:rsid w:val="003A13A7"/>
    <w:rsid w:val="003A14F5"/>
    <w:rsid w:val="003A1617"/>
    <w:rsid w:val="003A1A7A"/>
    <w:rsid w:val="003A2392"/>
    <w:rsid w:val="003A27D7"/>
    <w:rsid w:val="003A2831"/>
    <w:rsid w:val="003A2EE7"/>
    <w:rsid w:val="003A3218"/>
    <w:rsid w:val="003A385A"/>
    <w:rsid w:val="003A3CB6"/>
    <w:rsid w:val="003A3ED1"/>
    <w:rsid w:val="003A44DB"/>
    <w:rsid w:val="003A45E0"/>
    <w:rsid w:val="003A474D"/>
    <w:rsid w:val="003A4907"/>
    <w:rsid w:val="003A4B33"/>
    <w:rsid w:val="003A4C14"/>
    <w:rsid w:val="003A502D"/>
    <w:rsid w:val="003A5353"/>
    <w:rsid w:val="003A5584"/>
    <w:rsid w:val="003A637E"/>
    <w:rsid w:val="003A684A"/>
    <w:rsid w:val="003A6ADC"/>
    <w:rsid w:val="003A6ADD"/>
    <w:rsid w:val="003A6CB8"/>
    <w:rsid w:val="003A71AB"/>
    <w:rsid w:val="003A7337"/>
    <w:rsid w:val="003A739F"/>
    <w:rsid w:val="003A75D3"/>
    <w:rsid w:val="003A7700"/>
    <w:rsid w:val="003A7CBF"/>
    <w:rsid w:val="003B00CD"/>
    <w:rsid w:val="003B02A6"/>
    <w:rsid w:val="003B0B2D"/>
    <w:rsid w:val="003B18B1"/>
    <w:rsid w:val="003B19C9"/>
    <w:rsid w:val="003B2631"/>
    <w:rsid w:val="003B2793"/>
    <w:rsid w:val="003B2AFC"/>
    <w:rsid w:val="003B2C40"/>
    <w:rsid w:val="003B2C56"/>
    <w:rsid w:val="003B3971"/>
    <w:rsid w:val="003B39A3"/>
    <w:rsid w:val="003B3C84"/>
    <w:rsid w:val="003B3D5A"/>
    <w:rsid w:val="003B428B"/>
    <w:rsid w:val="003B4683"/>
    <w:rsid w:val="003B46A9"/>
    <w:rsid w:val="003B4869"/>
    <w:rsid w:val="003B4B4A"/>
    <w:rsid w:val="003B5349"/>
    <w:rsid w:val="003B54E7"/>
    <w:rsid w:val="003B55D1"/>
    <w:rsid w:val="003B5B61"/>
    <w:rsid w:val="003B5CC1"/>
    <w:rsid w:val="003B5F6B"/>
    <w:rsid w:val="003B63F5"/>
    <w:rsid w:val="003B69DF"/>
    <w:rsid w:val="003B6EBE"/>
    <w:rsid w:val="003B6FA9"/>
    <w:rsid w:val="003B77A6"/>
    <w:rsid w:val="003B7EF7"/>
    <w:rsid w:val="003B7F6B"/>
    <w:rsid w:val="003C00A8"/>
    <w:rsid w:val="003C0682"/>
    <w:rsid w:val="003C0943"/>
    <w:rsid w:val="003C1654"/>
    <w:rsid w:val="003C1694"/>
    <w:rsid w:val="003C2181"/>
    <w:rsid w:val="003C2319"/>
    <w:rsid w:val="003C2FEB"/>
    <w:rsid w:val="003C371F"/>
    <w:rsid w:val="003C3784"/>
    <w:rsid w:val="003C3CB8"/>
    <w:rsid w:val="003C4318"/>
    <w:rsid w:val="003C4762"/>
    <w:rsid w:val="003C48E3"/>
    <w:rsid w:val="003C4CA1"/>
    <w:rsid w:val="003C520D"/>
    <w:rsid w:val="003C52CB"/>
    <w:rsid w:val="003C5542"/>
    <w:rsid w:val="003C5B92"/>
    <w:rsid w:val="003C5F69"/>
    <w:rsid w:val="003C6116"/>
    <w:rsid w:val="003C643F"/>
    <w:rsid w:val="003C6C8A"/>
    <w:rsid w:val="003C6E68"/>
    <w:rsid w:val="003C7C15"/>
    <w:rsid w:val="003C7D19"/>
    <w:rsid w:val="003C7D2F"/>
    <w:rsid w:val="003C7EC6"/>
    <w:rsid w:val="003C7FB1"/>
    <w:rsid w:val="003D0926"/>
    <w:rsid w:val="003D0A01"/>
    <w:rsid w:val="003D0A32"/>
    <w:rsid w:val="003D0C5A"/>
    <w:rsid w:val="003D0E07"/>
    <w:rsid w:val="003D138A"/>
    <w:rsid w:val="003D1574"/>
    <w:rsid w:val="003D1828"/>
    <w:rsid w:val="003D18BC"/>
    <w:rsid w:val="003D1DE4"/>
    <w:rsid w:val="003D1E54"/>
    <w:rsid w:val="003D1E9A"/>
    <w:rsid w:val="003D1EB3"/>
    <w:rsid w:val="003D1EBC"/>
    <w:rsid w:val="003D2422"/>
    <w:rsid w:val="003D2D56"/>
    <w:rsid w:val="003D2E87"/>
    <w:rsid w:val="003D2EEC"/>
    <w:rsid w:val="003D3174"/>
    <w:rsid w:val="003D36FF"/>
    <w:rsid w:val="003D3830"/>
    <w:rsid w:val="003D39A1"/>
    <w:rsid w:val="003D3FBF"/>
    <w:rsid w:val="003D4213"/>
    <w:rsid w:val="003D42A0"/>
    <w:rsid w:val="003D4A30"/>
    <w:rsid w:val="003D4E9B"/>
    <w:rsid w:val="003D4F7B"/>
    <w:rsid w:val="003D5874"/>
    <w:rsid w:val="003D5F1A"/>
    <w:rsid w:val="003D60F6"/>
    <w:rsid w:val="003D6B05"/>
    <w:rsid w:val="003D7452"/>
    <w:rsid w:val="003D757A"/>
    <w:rsid w:val="003D79BB"/>
    <w:rsid w:val="003D7A75"/>
    <w:rsid w:val="003D7C98"/>
    <w:rsid w:val="003D7D9D"/>
    <w:rsid w:val="003D7DB9"/>
    <w:rsid w:val="003E04AA"/>
    <w:rsid w:val="003E0543"/>
    <w:rsid w:val="003E2056"/>
    <w:rsid w:val="003E22A9"/>
    <w:rsid w:val="003E2A95"/>
    <w:rsid w:val="003E32D9"/>
    <w:rsid w:val="003E3688"/>
    <w:rsid w:val="003E3A12"/>
    <w:rsid w:val="003E4421"/>
    <w:rsid w:val="003E4ACB"/>
    <w:rsid w:val="003E4F44"/>
    <w:rsid w:val="003E5603"/>
    <w:rsid w:val="003E56B2"/>
    <w:rsid w:val="003E5B11"/>
    <w:rsid w:val="003E5DB9"/>
    <w:rsid w:val="003E5F8D"/>
    <w:rsid w:val="003E62D8"/>
    <w:rsid w:val="003E7281"/>
    <w:rsid w:val="003E732B"/>
    <w:rsid w:val="003E749E"/>
    <w:rsid w:val="003E74A1"/>
    <w:rsid w:val="003F0D40"/>
    <w:rsid w:val="003F0DEC"/>
    <w:rsid w:val="003F13BF"/>
    <w:rsid w:val="003F16D5"/>
    <w:rsid w:val="003F1947"/>
    <w:rsid w:val="003F1D62"/>
    <w:rsid w:val="003F1E83"/>
    <w:rsid w:val="003F2052"/>
    <w:rsid w:val="003F2255"/>
    <w:rsid w:val="003F2390"/>
    <w:rsid w:val="003F242F"/>
    <w:rsid w:val="003F2468"/>
    <w:rsid w:val="003F4100"/>
    <w:rsid w:val="003F4156"/>
    <w:rsid w:val="003F42A0"/>
    <w:rsid w:val="003F49F5"/>
    <w:rsid w:val="003F4AB2"/>
    <w:rsid w:val="003F4C20"/>
    <w:rsid w:val="003F5545"/>
    <w:rsid w:val="003F5757"/>
    <w:rsid w:val="003F57A1"/>
    <w:rsid w:val="003F5ADF"/>
    <w:rsid w:val="003F6B66"/>
    <w:rsid w:val="003F6D5A"/>
    <w:rsid w:val="003F6EED"/>
    <w:rsid w:val="003F7313"/>
    <w:rsid w:val="003F7420"/>
    <w:rsid w:val="004001E0"/>
    <w:rsid w:val="00400583"/>
    <w:rsid w:val="0040063E"/>
    <w:rsid w:val="00400B29"/>
    <w:rsid w:val="004017AF"/>
    <w:rsid w:val="00401E85"/>
    <w:rsid w:val="00402344"/>
    <w:rsid w:val="00402812"/>
    <w:rsid w:val="00402E8B"/>
    <w:rsid w:val="00403124"/>
    <w:rsid w:val="004038A0"/>
    <w:rsid w:val="00403BFB"/>
    <w:rsid w:val="0040446C"/>
    <w:rsid w:val="00404B01"/>
    <w:rsid w:val="00404C81"/>
    <w:rsid w:val="0040504B"/>
    <w:rsid w:val="00405093"/>
    <w:rsid w:val="00405387"/>
    <w:rsid w:val="004059F4"/>
    <w:rsid w:val="00405BB1"/>
    <w:rsid w:val="004067AE"/>
    <w:rsid w:val="004067BF"/>
    <w:rsid w:val="004070CD"/>
    <w:rsid w:val="004074C0"/>
    <w:rsid w:val="004075C8"/>
    <w:rsid w:val="00407D8D"/>
    <w:rsid w:val="00407FE5"/>
    <w:rsid w:val="004101B0"/>
    <w:rsid w:val="00410326"/>
    <w:rsid w:val="004105C1"/>
    <w:rsid w:val="00410708"/>
    <w:rsid w:val="00410BE8"/>
    <w:rsid w:val="00410D0A"/>
    <w:rsid w:val="00410EC7"/>
    <w:rsid w:val="0041124C"/>
    <w:rsid w:val="0041133D"/>
    <w:rsid w:val="00411367"/>
    <w:rsid w:val="004116AF"/>
    <w:rsid w:val="00411B39"/>
    <w:rsid w:val="00411DF9"/>
    <w:rsid w:val="0041228F"/>
    <w:rsid w:val="00412551"/>
    <w:rsid w:val="004125B8"/>
    <w:rsid w:val="0041261B"/>
    <w:rsid w:val="004127A7"/>
    <w:rsid w:val="00412AA7"/>
    <w:rsid w:val="00412D01"/>
    <w:rsid w:val="00412E14"/>
    <w:rsid w:val="00412E78"/>
    <w:rsid w:val="0041312D"/>
    <w:rsid w:val="00413743"/>
    <w:rsid w:val="00413A1E"/>
    <w:rsid w:val="00413C1F"/>
    <w:rsid w:val="0041423C"/>
    <w:rsid w:val="00414476"/>
    <w:rsid w:val="004144B0"/>
    <w:rsid w:val="00414C2E"/>
    <w:rsid w:val="00414F2D"/>
    <w:rsid w:val="00414F6F"/>
    <w:rsid w:val="004151CF"/>
    <w:rsid w:val="0041521B"/>
    <w:rsid w:val="00415796"/>
    <w:rsid w:val="00415F0D"/>
    <w:rsid w:val="00416093"/>
    <w:rsid w:val="00416364"/>
    <w:rsid w:val="00416DCE"/>
    <w:rsid w:val="00416EC0"/>
    <w:rsid w:val="004171A1"/>
    <w:rsid w:val="0041785B"/>
    <w:rsid w:val="00417E9D"/>
    <w:rsid w:val="00420052"/>
    <w:rsid w:val="0042015B"/>
    <w:rsid w:val="0042022B"/>
    <w:rsid w:val="0042047F"/>
    <w:rsid w:val="004209AF"/>
    <w:rsid w:val="00420AA6"/>
    <w:rsid w:val="00420B9F"/>
    <w:rsid w:val="00420DC4"/>
    <w:rsid w:val="00420EAD"/>
    <w:rsid w:val="00420F3B"/>
    <w:rsid w:val="00421049"/>
    <w:rsid w:val="004217CA"/>
    <w:rsid w:val="0042192C"/>
    <w:rsid w:val="0042221B"/>
    <w:rsid w:val="00422260"/>
    <w:rsid w:val="004222A8"/>
    <w:rsid w:val="004226A5"/>
    <w:rsid w:val="004228DC"/>
    <w:rsid w:val="00422E46"/>
    <w:rsid w:val="00423035"/>
    <w:rsid w:val="00423370"/>
    <w:rsid w:val="00423507"/>
    <w:rsid w:val="004236CC"/>
    <w:rsid w:val="00423E41"/>
    <w:rsid w:val="00423E91"/>
    <w:rsid w:val="0042413F"/>
    <w:rsid w:val="004241C4"/>
    <w:rsid w:val="00424441"/>
    <w:rsid w:val="004245EB"/>
    <w:rsid w:val="00424D12"/>
    <w:rsid w:val="00424EC3"/>
    <w:rsid w:val="00425BDE"/>
    <w:rsid w:val="00425F51"/>
    <w:rsid w:val="00425FE3"/>
    <w:rsid w:val="0042715F"/>
    <w:rsid w:val="004301DF"/>
    <w:rsid w:val="004301FA"/>
    <w:rsid w:val="004306CC"/>
    <w:rsid w:val="00430A10"/>
    <w:rsid w:val="0043162B"/>
    <w:rsid w:val="00431727"/>
    <w:rsid w:val="004319F8"/>
    <w:rsid w:val="00431D26"/>
    <w:rsid w:val="00431E55"/>
    <w:rsid w:val="00431E5A"/>
    <w:rsid w:val="004321F6"/>
    <w:rsid w:val="00432741"/>
    <w:rsid w:val="00432A82"/>
    <w:rsid w:val="00433044"/>
    <w:rsid w:val="004333D9"/>
    <w:rsid w:val="00433764"/>
    <w:rsid w:val="00434088"/>
    <w:rsid w:val="004340C8"/>
    <w:rsid w:val="00434615"/>
    <w:rsid w:val="00434C66"/>
    <w:rsid w:val="00434EA1"/>
    <w:rsid w:val="00434ECC"/>
    <w:rsid w:val="004350AA"/>
    <w:rsid w:val="00435307"/>
    <w:rsid w:val="00435605"/>
    <w:rsid w:val="00435669"/>
    <w:rsid w:val="00435874"/>
    <w:rsid w:val="00435C6D"/>
    <w:rsid w:val="00435CAC"/>
    <w:rsid w:val="00435E9F"/>
    <w:rsid w:val="004365F1"/>
    <w:rsid w:val="004366EB"/>
    <w:rsid w:val="00436AAF"/>
    <w:rsid w:val="00437063"/>
    <w:rsid w:val="00437207"/>
    <w:rsid w:val="0043742D"/>
    <w:rsid w:val="004375B9"/>
    <w:rsid w:val="004379CE"/>
    <w:rsid w:val="004400ED"/>
    <w:rsid w:val="00440445"/>
    <w:rsid w:val="0044079D"/>
    <w:rsid w:val="00440ECA"/>
    <w:rsid w:val="00441525"/>
    <w:rsid w:val="00441FA6"/>
    <w:rsid w:val="0044202E"/>
    <w:rsid w:val="00442065"/>
    <w:rsid w:val="004424C5"/>
    <w:rsid w:val="0044274F"/>
    <w:rsid w:val="004428D0"/>
    <w:rsid w:val="0044336E"/>
    <w:rsid w:val="00443745"/>
    <w:rsid w:val="00443839"/>
    <w:rsid w:val="00443947"/>
    <w:rsid w:val="00444185"/>
    <w:rsid w:val="004443A7"/>
    <w:rsid w:val="0044442C"/>
    <w:rsid w:val="00444A4F"/>
    <w:rsid w:val="00444D2E"/>
    <w:rsid w:val="00444D8B"/>
    <w:rsid w:val="00444E6B"/>
    <w:rsid w:val="004453D6"/>
    <w:rsid w:val="00445412"/>
    <w:rsid w:val="00445480"/>
    <w:rsid w:val="00445941"/>
    <w:rsid w:val="00445A05"/>
    <w:rsid w:val="00445F44"/>
    <w:rsid w:val="00446041"/>
    <w:rsid w:val="004460E0"/>
    <w:rsid w:val="004464EB"/>
    <w:rsid w:val="00446E80"/>
    <w:rsid w:val="00447250"/>
    <w:rsid w:val="004479EC"/>
    <w:rsid w:val="00447AC8"/>
    <w:rsid w:val="00447D26"/>
    <w:rsid w:val="00447DFC"/>
    <w:rsid w:val="00447E03"/>
    <w:rsid w:val="004506C3"/>
    <w:rsid w:val="0045125B"/>
    <w:rsid w:val="004514AE"/>
    <w:rsid w:val="00451DB5"/>
    <w:rsid w:val="00452239"/>
    <w:rsid w:val="004522F8"/>
    <w:rsid w:val="004527EB"/>
    <w:rsid w:val="0045291A"/>
    <w:rsid w:val="00452D2B"/>
    <w:rsid w:val="004531B6"/>
    <w:rsid w:val="0045362D"/>
    <w:rsid w:val="004539DD"/>
    <w:rsid w:val="00453F46"/>
    <w:rsid w:val="00454094"/>
    <w:rsid w:val="0045409E"/>
    <w:rsid w:val="00454262"/>
    <w:rsid w:val="004544CC"/>
    <w:rsid w:val="0045454E"/>
    <w:rsid w:val="0045510E"/>
    <w:rsid w:val="00455754"/>
    <w:rsid w:val="004559BB"/>
    <w:rsid w:val="00455CA0"/>
    <w:rsid w:val="00455D45"/>
    <w:rsid w:val="0045600F"/>
    <w:rsid w:val="0045683B"/>
    <w:rsid w:val="00456E46"/>
    <w:rsid w:val="00457300"/>
    <w:rsid w:val="00457885"/>
    <w:rsid w:val="00457E99"/>
    <w:rsid w:val="004604D5"/>
    <w:rsid w:val="004604E3"/>
    <w:rsid w:val="00460574"/>
    <w:rsid w:val="004605F8"/>
    <w:rsid w:val="00460690"/>
    <w:rsid w:val="0046081A"/>
    <w:rsid w:val="0046091B"/>
    <w:rsid w:val="00461756"/>
    <w:rsid w:val="00461871"/>
    <w:rsid w:val="00461F0E"/>
    <w:rsid w:val="00462645"/>
    <w:rsid w:val="00462B10"/>
    <w:rsid w:val="00462EED"/>
    <w:rsid w:val="00463BE4"/>
    <w:rsid w:val="00463E41"/>
    <w:rsid w:val="00463FF0"/>
    <w:rsid w:val="0046434A"/>
    <w:rsid w:val="00464595"/>
    <w:rsid w:val="004647AD"/>
    <w:rsid w:val="00464B30"/>
    <w:rsid w:val="0046526C"/>
    <w:rsid w:val="00465406"/>
    <w:rsid w:val="00465749"/>
    <w:rsid w:val="004658B5"/>
    <w:rsid w:val="00465BED"/>
    <w:rsid w:val="00465FF3"/>
    <w:rsid w:val="00466A7D"/>
    <w:rsid w:val="004670E2"/>
    <w:rsid w:val="00467346"/>
    <w:rsid w:val="00467B8F"/>
    <w:rsid w:val="00467FAA"/>
    <w:rsid w:val="004702B2"/>
    <w:rsid w:val="00470417"/>
    <w:rsid w:val="00471037"/>
    <w:rsid w:val="00471396"/>
    <w:rsid w:val="00471D48"/>
    <w:rsid w:val="00471EA5"/>
    <w:rsid w:val="00471F92"/>
    <w:rsid w:val="00471FCB"/>
    <w:rsid w:val="00472000"/>
    <w:rsid w:val="004720F0"/>
    <w:rsid w:val="004729A3"/>
    <w:rsid w:val="00472A79"/>
    <w:rsid w:val="00472D04"/>
    <w:rsid w:val="0047396F"/>
    <w:rsid w:val="00473AA8"/>
    <w:rsid w:val="00473F19"/>
    <w:rsid w:val="0047418C"/>
    <w:rsid w:val="004746C4"/>
    <w:rsid w:val="00474D22"/>
    <w:rsid w:val="0047599C"/>
    <w:rsid w:val="00475E22"/>
    <w:rsid w:val="004761AF"/>
    <w:rsid w:val="00476E43"/>
    <w:rsid w:val="00476EF3"/>
    <w:rsid w:val="0047706A"/>
    <w:rsid w:val="00477DDF"/>
    <w:rsid w:val="00477F77"/>
    <w:rsid w:val="004804B3"/>
    <w:rsid w:val="0048088E"/>
    <w:rsid w:val="00480F2B"/>
    <w:rsid w:val="00481034"/>
    <w:rsid w:val="0048111D"/>
    <w:rsid w:val="004815A3"/>
    <w:rsid w:val="00481605"/>
    <w:rsid w:val="00481AC2"/>
    <w:rsid w:val="00482014"/>
    <w:rsid w:val="0048232D"/>
    <w:rsid w:val="004823BA"/>
    <w:rsid w:val="00482407"/>
    <w:rsid w:val="00482665"/>
    <w:rsid w:val="00482720"/>
    <w:rsid w:val="00483408"/>
    <w:rsid w:val="004835E7"/>
    <w:rsid w:val="0048400E"/>
    <w:rsid w:val="00484979"/>
    <w:rsid w:val="00485047"/>
    <w:rsid w:val="004850E4"/>
    <w:rsid w:val="00485151"/>
    <w:rsid w:val="00485824"/>
    <w:rsid w:val="00485895"/>
    <w:rsid w:val="00485954"/>
    <w:rsid w:val="004859E1"/>
    <w:rsid w:val="00485BF6"/>
    <w:rsid w:val="00485FB5"/>
    <w:rsid w:val="00486556"/>
    <w:rsid w:val="00486568"/>
    <w:rsid w:val="004867E2"/>
    <w:rsid w:val="00486D1D"/>
    <w:rsid w:val="00487142"/>
    <w:rsid w:val="0048723D"/>
    <w:rsid w:val="004873C7"/>
    <w:rsid w:val="004875AA"/>
    <w:rsid w:val="00490744"/>
    <w:rsid w:val="00490892"/>
    <w:rsid w:val="00490B17"/>
    <w:rsid w:val="00490F1F"/>
    <w:rsid w:val="00491503"/>
    <w:rsid w:val="00491656"/>
    <w:rsid w:val="00491704"/>
    <w:rsid w:val="00491B3A"/>
    <w:rsid w:val="00491B64"/>
    <w:rsid w:val="004921C2"/>
    <w:rsid w:val="004922F5"/>
    <w:rsid w:val="0049273D"/>
    <w:rsid w:val="00492885"/>
    <w:rsid w:val="00492BCC"/>
    <w:rsid w:val="00492CFD"/>
    <w:rsid w:val="004933EC"/>
    <w:rsid w:val="004936A2"/>
    <w:rsid w:val="004938C6"/>
    <w:rsid w:val="004939ED"/>
    <w:rsid w:val="00494207"/>
    <w:rsid w:val="0049462B"/>
    <w:rsid w:val="00494C01"/>
    <w:rsid w:val="00494DD5"/>
    <w:rsid w:val="00495518"/>
    <w:rsid w:val="004955CA"/>
    <w:rsid w:val="0049575B"/>
    <w:rsid w:val="004958C1"/>
    <w:rsid w:val="00495CDD"/>
    <w:rsid w:val="00495E24"/>
    <w:rsid w:val="004962D2"/>
    <w:rsid w:val="0049646A"/>
    <w:rsid w:val="0049671B"/>
    <w:rsid w:val="004968CC"/>
    <w:rsid w:val="00496A2E"/>
    <w:rsid w:val="00496BCE"/>
    <w:rsid w:val="00497127"/>
    <w:rsid w:val="0049740C"/>
    <w:rsid w:val="00497BEC"/>
    <w:rsid w:val="004A00ED"/>
    <w:rsid w:val="004A041F"/>
    <w:rsid w:val="004A0614"/>
    <w:rsid w:val="004A0DA1"/>
    <w:rsid w:val="004A13D6"/>
    <w:rsid w:val="004A1410"/>
    <w:rsid w:val="004A171E"/>
    <w:rsid w:val="004A1C46"/>
    <w:rsid w:val="004A1CE2"/>
    <w:rsid w:val="004A21F4"/>
    <w:rsid w:val="004A24C5"/>
    <w:rsid w:val="004A2558"/>
    <w:rsid w:val="004A29A1"/>
    <w:rsid w:val="004A29D1"/>
    <w:rsid w:val="004A335F"/>
    <w:rsid w:val="004A34A3"/>
    <w:rsid w:val="004A35E7"/>
    <w:rsid w:val="004A3D46"/>
    <w:rsid w:val="004A403F"/>
    <w:rsid w:val="004A420B"/>
    <w:rsid w:val="004A431E"/>
    <w:rsid w:val="004A4BA8"/>
    <w:rsid w:val="004A51EA"/>
    <w:rsid w:val="004A52B4"/>
    <w:rsid w:val="004A52E9"/>
    <w:rsid w:val="004A5454"/>
    <w:rsid w:val="004A59A6"/>
    <w:rsid w:val="004A5F16"/>
    <w:rsid w:val="004A6040"/>
    <w:rsid w:val="004A658E"/>
    <w:rsid w:val="004A6597"/>
    <w:rsid w:val="004A6986"/>
    <w:rsid w:val="004A6A25"/>
    <w:rsid w:val="004A6D98"/>
    <w:rsid w:val="004A6DB8"/>
    <w:rsid w:val="004A6DFB"/>
    <w:rsid w:val="004A6E91"/>
    <w:rsid w:val="004A7088"/>
    <w:rsid w:val="004A71C9"/>
    <w:rsid w:val="004A74CF"/>
    <w:rsid w:val="004A75E7"/>
    <w:rsid w:val="004A7848"/>
    <w:rsid w:val="004A793B"/>
    <w:rsid w:val="004A7BD6"/>
    <w:rsid w:val="004A7CDD"/>
    <w:rsid w:val="004B1068"/>
    <w:rsid w:val="004B128F"/>
    <w:rsid w:val="004B1682"/>
    <w:rsid w:val="004B1AC1"/>
    <w:rsid w:val="004B1BB1"/>
    <w:rsid w:val="004B1CB4"/>
    <w:rsid w:val="004B2131"/>
    <w:rsid w:val="004B2969"/>
    <w:rsid w:val="004B2BC7"/>
    <w:rsid w:val="004B2F18"/>
    <w:rsid w:val="004B350E"/>
    <w:rsid w:val="004B3920"/>
    <w:rsid w:val="004B3DDB"/>
    <w:rsid w:val="004B44FD"/>
    <w:rsid w:val="004B477B"/>
    <w:rsid w:val="004B486C"/>
    <w:rsid w:val="004B4DEB"/>
    <w:rsid w:val="004B4EBD"/>
    <w:rsid w:val="004B53A0"/>
    <w:rsid w:val="004B5AD6"/>
    <w:rsid w:val="004B5CFC"/>
    <w:rsid w:val="004B5E57"/>
    <w:rsid w:val="004B60D6"/>
    <w:rsid w:val="004B6122"/>
    <w:rsid w:val="004B6210"/>
    <w:rsid w:val="004B642F"/>
    <w:rsid w:val="004B646E"/>
    <w:rsid w:val="004B6677"/>
    <w:rsid w:val="004B67B8"/>
    <w:rsid w:val="004B6B1D"/>
    <w:rsid w:val="004B6B23"/>
    <w:rsid w:val="004B6C28"/>
    <w:rsid w:val="004B6F79"/>
    <w:rsid w:val="004B6FC8"/>
    <w:rsid w:val="004B774D"/>
    <w:rsid w:val="004B7BCF"/>
    <w:rsid w:val="004B7CC4"/>
    <w:rsid w:val="004B7D08"/>
    <w:rsid w:val="004B7D87"/>
    <w:rsid w:val="004B7FEB"/>
    <w:rsid w:val="004C00BD"/>
    <w:rsid w:val="004C05FA"/>
    <w:rsid w:val="004C08AC"/>
    <w:rsid w:val="004C0A13"/>
    <w:rsid w:val="004C0B78"/>
    <w:rsid w:val="004C14BB"/>
    <w:rsid w:val="004C151B"/>
    <w:rsid w:val="004C1A75"/>
    <w:rsid w:val="004C1DB4"/>
    <w:rsid w:val="004C2038"/>
    <w:rsid w:val="004C2395"/>
    <w:rsid w:val="004C26B2"/>
    <w:rsid w:val="004C28F3"/>
    <w:rsid w:val="004C29A0"/>
    <w:rsid w:val="004C2AC2"/>
    <w:rsid w:val="004C2B56"/>
    <w:rsid w:val="004C2FBC"/>
    <w:rsid w:val="004C3452"/>
    <w:rsid w:val="004C39E4"/>
    <w:rsid w:val="004C3B02"/>
    <w:rsid w:val="004C3F00"/>
    <w:rsid w:val="004C46DE"/>
    <w:rsid w:val="004C4AED"/>
    <w:rsid w:val="004C4BB2"/>
    <w:rsid w:val="004C4E3B"/>
    <w:rsid w:val="004C539A"/>
    <w:rsid w:val="004C5542"/>
    <w:rsid w:val="004C576D"/>
    <w:rsid w:val="004C5F70"/>
    <w:rsid w:val="004C7130"/>
    <w:rsid w:val="004C7235"/>
    <w:rsid w:val="004C72A3"/>
    <w:rsid w:val="004C76E3"/>
    <w:rsid w:val="004C77CB"/>
    <w:rsid w:val="004C782B"/>
    <w:rsid w:val="004C7A44"/>
    <w:rsid w:val="004D08A3"/>
    <w:rsid w:val="004D094E"/>
    <w:rsid w:val="004D09F1"/>
    <w:rsid w:val="004D0BE3"/>
    <w:rsid w:val="004D1558"/>
    <w:rsid w:val="004D1596"/>
    <w:rsid w:val="004D1873"/>
    <w:rsid w:val="004D1CB8"/>
    <w:rsid w:val="004D1CD6"/>
    <w:rsid w:val="004D1DE7"/>
    <w:rsid w:val="004D2158"/>
    <w:rsid w:val="004D2389"/>
    <w:rsid w:val="004D24DD"/>
    <w:rsid w:val="004D2C2D"/>
    <w:rsid w:val="004D2FFD"/>
    <w:rsid w:val="004D3207"/>
    <w:rsid w:val="004D363E"/>
    <w:rsid w:val="004D39A1"/>
    <w:rsid w:val="004D4066"/>
    <w:rsid w:val="004D42BE"/>
    <w:rsid w:val="004D4682"/>
    <w:rsid w:val="004D4686"/>
    <w:rsid w:val="004D4BAB"/>
    <w:rsid w:val="004D5DBD"/>
    <w:rsid w:val="004D651D"/>
    <w:rsid w:val="004D658D"/>
    <w:rsid w:val="004D669F"/>
    <w:rsid w:val="004D6884"/>
    <w:rsid w:val="004D69B5"/>
    <w:rsid w:val="004D6EE7"/>
    <w:rsid w:val="004D7227"/>
    <w:rsid w:val="004D7257"/>
    <w:rsid w:val="004D7463"/>
    <w:rsid w:val="004D79DE"/>
    <w:rsid w:val="004D7B5E"/>
    <w:rsid w:val="004E0798"/>
    <w:rsid w:val="004E0BC5"/>
    <w:rsid w:val="004E0E7F"/>
    <w:rsid w:val="004E0EB8"/>
    <w:rsid w:val="004E15E9"/>
    <w:rsid w:val="004E172A"/>
    <w:rsid w:val="004E18E9"/>
    <w:rsid w:val="004E23A4"/>
    <w:rsid w:val="004E2444"/>
    <w:rsid w:val="004E2496"/>
    <w:rsid w:val="004E26AB"/>
    <w:rsid w:val="004E2AB6"/>
    <w:rsid w:val="004E2ADC"/>
    <w:rsid w:val="004E2D32"/>
    <w:rsid w:val="004E3700"/>
    <w:rsid w:val="004E37F0"/>
    <w:rsid w:val="004E3920"/>
    <w:rsid w:val="004E397C"/>
    <w:rsid w:val="004E3A0D"/>
    <w:rsid w:val="004E3B42"/>
    <w:rsid w:val="004E43B2"/>
    <w:rsid w:val="004E4F3F"/>
    <w:rsid w:val="004E54D5"/>
    <w:rsid w:val="004E6117"/>
    <w:rsid w:val="004E6ADC"/>
    <w:rsid w:val="004E6CB0"/>
    <w:rsid w:val="004E70D2"/>
    <w:rsid w:val="004E75C8"/>
    <w:rsid w:val="004F061A"/>
    <w:rsid w:val="004F0D74"/>
    <w:rsid w:val="004F1A07"/>
    <w:rsid w:val="004F1AD9"/>
    <w:rsid w:val="004F1D02"/>
    <w:rsid w:val="004F1E59"/>
    <w:rsid w:val="004F1FD6"/>
    <w:rsid w:val="004F219F"/>
    <w:rsid w:val="004F2679"/>
    <w:rsid w:val="004F2993"/>
    <w:rsid w:val="004F2A1D"/>
    <w:rsid w:val="004F2B21"/>
    <w:rsid w:val="004F2CF9"/>
    <w:rsid w:val="004F2DD6"/>
    <w:rsid w:val="004F2F21"/>
    <w:rsid w:val="004F378D"/>
    <w:rsid w:val="004F39EF"/>
    <w:rsid w:val="004F3DE5"/>
    <w:rsid w:val="004F416A"/>
    <w:rsid w:val="004F4344"/>
    <w:rsid w:val="004F472B"/>
    <w:rsid w:val="004F47A6"/>
    <w:rsid w:val="004F49A9"/>
    <w:rsid w:val="004F4E5C"/>
    <w:rsid w:val="004F4FAB"/>
    <w:rsid w:val="004F51D6"/>
    <w:rsid w:val="004F56DB"/>
    <w:rsid w:val="004F5AF1"/>
    <w:rsid w:val="004F5C97"/>
    <w:rsid w:val="004F6544"/>
    <w:rsid w:val="004F675B"/>
    <w:rsid w:val="004F6913"/>
    <w:rsid w:val="004F6B78"/>
    <w:rsid w:val="004F6C6D"/>
    <w:rsid w:val="004F6CA5"/>
    <w:rsid w:val="004F6F71"/>
    <w:rsid w:val="004F72F3"/>
    <w:rsid w:val="004F76EE"/>
    <w:rsid w:val="004F7865"/>
    <w:rsid w:val="004F7899"/>
    <w:rsid w:val="00500198"/>
    <w:rsid w:val="0050025A"/>
    <w:rsid w:val="005005E4"/>
    <w:rsid w:val="0050061B"/>
    <w:rsid w:val="005007F7"/>
    <w:rsid w:val="00500C1A"/>
    <w:rsid w:val="00500E0C"/>
    <w:rsid w:val="0050174E"/>
    <w:rsid w:val="00501854"/>
    <w:rsid w:val="005018C3"/>
    <w:rsid w:val="00501B0F"/>
    <w:rsid w:val="0050219B"/>
    <w:rsid w:val="00502275"/>
    <w:rsid w:val="0050299F"/>
    <w:rsid w:val="00502AC6"/>
    <w:rsid w:val="00502C1B"/>
    <w:rsid w:val="005038BC"/>
    <w:rsid w:val="00503E30"/>
    <w:rsid w:val="00503F17"/>
    <w:rsid w:val="00503F3A"/>
    <w:rsid w:val="0050472F"/>
    <w:rsid w:val="00504731"/>
    <w:rsid w:val="0050488C"/>
    <w:rsid w:val="00504CE7"/>
    <w:rsid w:val="005050E2"/>
    <w:rsid w:val="005051D0"/>
    <w:rsid w:val="00505591"/>
    <w:rsid w:val="00506612"/>
    <w:rsid w:val="00506928"/>
    <w:rsid w:val="00506D1F"/>
    <w:rsid w:val="00506E45"/>
    <w:rsid w:val="00506EF6"/>
    <w:rsid w:val="005077EF"/>
    <w:rsid w:val="00507F93"/>
    <w:rsid w:val="0051056D"/>
    <w:rsid w:val="00510F67"/>
    <w:rsid w:val="0051140E"/>
    <w:rsid w:val="00511AD5"/>
    <w:rsid w:val="00511BCA"/>
    <w:rsid w:val="00511DA5"/>
    <w:rsid w:val="00511DC7"/>
    <w:rsid w:val="00511E8C"/>
    <w:rsid w:val="00511EAB"/>
    <w:rsid w:val="00511FB9"/>
    <w:rsid w:val="005123A6"/>
    <w:rsid w:val="00512673"/>
    <w:rsid w:val="005129B2"/>
    <w:rsid w:val="00512AE3"/>
    <w:rsid w:val="00512E03"/>
    <w:rsid w:val="005142C5"/>
    <w:rsid w:val="005147D8"/>
    <w:rsid w:val="0051495F"/>
    <w:rsid w:val="0051501B"/>
    <w:rsid w:val="005152B5"/>
    <w:rsid w:val="00515886"/>
    <w:rsid w:val="00515A2E"/>
    <w:rsid w:val="00515BE4"/>
    <w:rsid w:val="00515DE5"/>
    <w:rsid w:val="0051622F"/>
    <w:rsid w:val="0051635E"/>
    <w:rsid w:val="00516DFE"/>
    <w:rsid w:val="00516E9A"/>
    <w:rsid w:val="00516F97"/>
    <w:rsid w:val="005173F1"/>
    <w:rsid w:val="00517EBE"/>
    <w:rsid w:val="00517F9C"/>
    <w:rsid w:val="00520449"/>
    <w:rsid w:val="0052123C"/>
    <w:rsid w:val="00521319"/>
    <w:rsid w:val="00521437"/>
    <w:rsid w:val="0052198D"/>
    <w:rsid w:val="00521D58"/>
    <w:rsid w:val="005221E5"/>
    <w:rsid w:val="00522575"/>
    <w:rsid w:val="00522A20"/>
    <w:rsid w:val="00522BC8"/>
    <w:rsid w:val="005230A6"/>
    <w:rsid w:val="005232FC"/>
    <w:rsid w:val="005239CD"/>
    <w:rsid w:val="00523B19"/>
    <w:rsid w:val="00523C28"/>
    <w:rsid w:val="00523C45"/>
    <w:rsid w:val="00524019"/>
    <w:rsid w:val="00524D42"/>
    <w:rsid w:val="00525763"/>
    <w:rsid w:val="00525955"/>
    <w:rsid w:val="00525A26"/>
    <w:rsid w:val="00526291"/>
    <w:rsid w:val="0052634C"/>
    <w:rsid w:val="00526A28"/>
    <w:rsid w:val="00526BB5"/>
    <w:rsid w:val="00526D22"/>
    <w:rsid w:val="005272F6"/>
    <w:rsid w:val="005273FB"/>
    <w:rsid w:val="005279F8"/>
    <w:rsid w:val="005301AC"/>
    <w:rsid w:val="00530480"/>
    <w:rsid w:val="00530C24"/>
    <w:rsid w:val="00530E8F"/>
    <w:rsid w:val="00531069"/>
    <w:rsid w:val="00531387"/>
    <w:rsid w:val="005316B0"/>
    <w:rsid w:val="0053176B"/>
    <w:rsid w:val="00531F41"/>
    <w:rsid w:val="005320D6"/>
    <w:rsid w:val="005323F8"/>
    <w:rsid w:val="00532962"/>
    <w:rsid w:val="00533331"/>
    <w:rsid w:val="00533E36"/>
    <w:rsid w:val="00534140"/>
    <w:rsid w:val="005341B3"/>
    <w:rsid w:val="00534379"/>
    <w:rsid w:val="00534FA1"/>
    <w:rsid w:val="00535078"/>
    <w:rsid w:val="0053548D"/>
    <w:rsid w:val="00535638"/>
    <w:rsid w:val="005359B4"/>
    <w:rsid w:val="00535A1A"/>
    <w:rsid w:val="00535C46"/>
    <w:rsid w:val="00536121"/>
    <w:rsid w:val="005364B7"/>
    <w:rsid w:val="0053662E"/>
    <w:rsid w:val="00536A23"/>
    <w:rsid w:val="00536F42"/>
    <w:rsid w:val="00537182"/>
    <w:rsid w:val="00537252"/>
    <w:rsid w:val="00537751"/>
    <w:rsid w:val="00540689"/>
    <w:rsid w:val="0054073C"/>
    <w:rsid w:val="005409D6"/>
    <w:rsid w:val="00540F83"/>
    <w:rsid w:val="0054146C"/>
    <w:rsid w:val="00541622"/>
    <w:rsid w:val="005416B9"/>
    <w:rsid w:val="00541EDD"/>
    <w:rsid w:val="005423B0"/>
    <w:rsid w:val="00542743"/>
    <w:rsid w:val="00542C2D"/>
    <w:rsid w:val="00542E8F"/>
    <w:rsid w:val="005443FD"/>
    <w:rsid w:val="00544FB2"/>
    <w:rsid w:val="00545346"/>
    <w:rsid w:val="0054541A"/>
    <w:rsid w:val="005459F3"/>
    <w:rsid w:val="005465D6"/>
    <w:rsid w:val="0054683F"/>
    <w:rsid w:val="005468AA"/>
    <w:rsid w:val="00546B75"/>
    <w:rsid w:val="00546DEB"/>
    <w:rsid w:val="00546F3E"/>
    <w:rsid w:val="00546FDC"/>
    <w:rsid w:val="00546FF5"/>
    <w:rsid w:val="0054745D"/>
    <w:rsid w:val="00547606"/>
    <w:rsid w:val="00547628"/>
    <w:rsid w:val="005476F0"/>
    <w:rsid w:val="005478BD"/>
    <w:rsid w:val="005479E3"/>
    <w:rsid w:val="00547A0F"/>
    <w:rsid w:val="005500CD"/>
    <w:rsid w:val="005501EC"/>
    <w:rsid w:val="0055027E"/>
    <w:rsid w:val="005504D1"/>
    <w:rsid w:val="00550B56"/>
    <w:rsid w:val="00550DC3"/>
    <w:rsid w:val="005510E3"/>
    <w:rsid w:val="0055133E"/>
    <w:rsid w:val="005514BB"/>
    <w:rsid w:val="00551985"/>
    <w:rsid w:val="005522A4"/>
    <w:rsid w:val="005523EC"/>
    <w:rsid w:val="005525EF"/>
    <w:rsid w:val="0055264C"/>
    <w:rsid w:val="00552BD3"/>
    <w:rsid w:val="00552BD9"/>
    <w:rsid w:val="00552E8E"/>
    <w:rsid w:val="005532A0"/>
    <w:rsid w:val="00553441"/>
    <w:rsid w:val="00553691"/>
    <w:rsid w:val="00553C5A"/>
    <w:rsid w:val="00553E69"/>
    <w:rsid w:val="00554398"/>
    <w:rsid w:val="0055460A"/>
    <w:rsid w:val="00555109"/>
    <w:rsid w:val="005552DF"/>
    <w:rsid w:val="00555AFC"/>
    <w:rsid w:val="0055612D"/>
    <w:rsid w:val="0055690D"/>
    <w:rsid w:val="00556B09"/>
    <w:rsid w:val="00556B35"/>
    <w:rsid w:val="00556B80"/>
    <w:rsid w:val="00556F96"/>
    <w:rsid w:val="00557066"/>
    <w:rsid w:val="00557068"/>
    <w:rsid w:val="00557228"/>
    <w:rsid w:val="0055741A"/>
    <w:rsid w:val="00557709"/>
    <w:rsid w:val="00557864"/>
    <w:rsid w:val="00557DE2"/>
    <w:rsid w:val="005600EA"/>
    <w:rsid w:val="0056037C"/>
    <w:rsid w:val="0056038D"/>
    <w:rsid w:val="00560A8A"/>
    <w:rsid w:val="00560B33"/>
    <w:rsid w:val="00560F4E"/>
    <w:rsid w:val="00561165"/>
    <w:rsid w:val="005611B7"/>
    <w:rsid w:val="005613FF"/>
    <w:rsid w:val="005615E8"/>
    <w:rsid w:val="005618D4"/>
    <w:rsid w:val="00561BC0"/>
    <w:rsid w:val="00561D77"/>
    <w:rsid w:val="00561D8F"/>
    <w:rsid w:val="005625D4"/>
    <w:rsid w:val="005626FB"/>
    <w:rsid w:val="00562A6D"/>
    <w:rsid w:val="00562CE3"/>
    <w:rsid w:val="00562E7E"/>
    <w:rsid w:val="005636A8"/>
    <w:rsid w:val="00563702"/>
    <w:rsid w:val="00563901"/>
    <w:rsid w:val="00564867"/>
    <w:rsid w:val="00564E86"/>
    <w:rsid w:val="0056503F"/>
    <w:rsid w:val="00565464"/>
    <w:rsid w:val="00565C79"/>
    <w:rsid w:val="00565DF0"/>
    <w:rsid w:val="00565E1F"/>
    <w:rsid w:val="0056666E"/>
    <w:rsid w:val="0056696F"/>
    <w:rsid w:val="00566A66"/>
    <w:rsid w:val="00566D01"/>
    <w:rsid w:val="00567400"/>
    <w:rsid w:val="005676A3"/>
    <w:rsid w:val="00567AD2"/>
    <w:rsid w:val="00567E9C"/>
    <w:rsid w:val="00567F5B"/>
    <w:rsid w:val="00570289"/>
    <w:rsid w:val="0057030F"/>
    <w:rsid w:val="0057049E"/>
    <w:rsid w:val="00570B27"/>
    <w:rsid w:val="00570F2A"/>
    <w:rsid w:val="00571019"/>
    <w:rsid w:val="00571766"/>
    <w:rsid w:val="00572228"/>
    <w:rsid w:val="00572269"/>
    <w:rsid w:val="0057244A"/>
    <w:rsid w:val="005726CF"/>
    <w:rsid w:val="005727F6"/>
    <w:rsid w:val="00572BB4"/>
    <w:rsid w:val="00572D96"/>
    <w:rsid w:val="00572F0C"/>
    <w:rsid w:val="00572F26"/>
    <w:rsid w:val="0057310A"/>
    <w:rsid w:val="00573B9F"/>
    <w:rsid w:val="005741AA"/>
    <w:rsid w:val="00574280"/>
    <w:rsid w:val="00574E53"/>
    <w:rsid w:val="00575081"/>
    <w:rsid w:val="005750C5"/>
    <w:rsid w:val="0057523D"/>
    <w:rsid w:val="005752DE"/>
    <w:rsid w:val="00575D60"/>
    <w:rsid w:val="00575D8D"/>
    <w:rsid w:val="005760BE"/>
    <w:rsid w:val="00576131"/>
    <w:rsid w:val="005762B5"/>
    <w:rsid w:val="00576808"/>
    <w:rsid w:val="00576972"/>
    <w:rsid w:val="00576A3B"/>
    <w:rsid w:val="00576AE7"/>
    <w:rsid w:val="00576E55"/>
    <w:rsid w:val="00577248"/>
    <w:rsid w:val="005774FA"/>
    <w:rsid w:val="00577C33"/>
    <w:rsid w:val="00580820"/>
    <w:rsid w:val="00580944"/>
    <w:rsid w:val="00580C96"/>
    <w:rsid w:val="00580DD3"/>
    <w:rsid w:val="0058189B"/>
    <w:rsid w:val="00581CF5"/>
    <w:rsid w:val="00581E10"/>
    <w:rsid w:val="0058211C"/>
    <w:rsid w:val="00582CF5"/>
    <w:rsid w:val="00582F7D"/>
    <w:rsid w:val="0058303E"/>
    <w:rsid w:val="0058322E"/>
    <w:rsid w:val="005834F5"/>
    <w:rsid w:val="00583699"/>
    <w:rsid w:val="0058376C"/>
    <w:rsid w:val="005837D3"/>
    <w:rsid w:val="00584059"/>
    <w:rsid w:val="00584223"/>
    <w:rsid w:val="00584D90"/>
    <w:rsid w:val="00585A8A"/>
    <w:rsid w:val="00585CDD"/>
    <w:rsid w:val="00585E3A"/>
    <w:rsid w:val="00586755"/>
    <w:rsid w:val="00586AF8"/>
    <w:rsid w:val="00586C00"/>
    <w:rsid w:val="00587058"/>
    <w:rsid w:val="00587AE1"/>
    <w:rsid w:val="00587B93"/>
    <w:rsid w:val="00587BAC"/>
    <w:rsid w:val="005902D3"/>
    <w:rsid w:val="00590380"/>
    <w:rsid w:val="00590C75"/>
    <w:rsid w:val="00590EF4"/>
    <w:rsid w:val="00591241"/>
    <w:rsid w:val="0059149D"/>
    <w:rsid w:val="005915AC"/>
    <w:rsid w:val="005915B8"/>
    <w:rsid w:val="00591957"/>
    <w:rsid w:val="00591BB7"/>
    <w:rsid w:val="00592315"/>
    <w:rsid w:val="00592DB2"/>
    <w:rsid w:val="005930CC"/>
    <w:rsid w:val="0059445D"/>
    <w:rsid w:val="00594BB0"/>
    <w:rsid w:val="005957C9"/>
    <w:rsid w:val="00596926"/>
    <w:rsid w:val="005969F8"/>
    <w:rsid w:val="00596E79"/>
    <w:rsid w:val="005973F3"/>
    <w:rsid w:val="00597BF9"/>
    <w:rsid w:val="005A00BE"/>
    <w:rsid w:val="005A09B9"/>
    <w:rsid w:val="005A0B14"/>
    <w:rsid w:val="005A0C11"/>
    <w:rsid w:val="005A0D92"/>
    <w:rsid w:val="005A1072"/>
    <w:rsid w:val="005A1525"/>
    <w:rsid w:val="005A19F8"/>
    <w:rsid w:val="005A1D7C"/>
    <w:rsid w:val="005A2A1D"/>
    <w:rsid w:val="005A309A"/>
    <w:rsid w:val="005A373D"/>
    <w:rsid w:val="005A3773"/>
    <w:rsid w:val="005A39FC"/>
    <w:rsid w:val="005A3C2A"/>
    <w:rsid w:val="005A3D5C"/>
    <w:rsid w:val="005A3D6D"/>
    <w:rsid w:val="005A417B"/>
    <w:rsid w:val="005A4EF4"/>
    <w:rsid w:val="005A57A4"/>
    <w:rsid w:val="005A57D9"/>
    <w:rsid w:val="005A6233"/>
    <w:rsid w:val="005A6369"/>
    <w:rsid w:val="005A640D"/>
    <w:rsid w:val="005A6F35"/>
    <w:rsid w:val="005A70FF"/>
    <w:rsid w:val="005A76B6"/>
    <w:rsid w:val="005A79AB"/>
    <w:rsid w:val="005B00AA"/>
    <w:rsid w:val="005B03F4"/>
    <w:rsid w:val="005B0B26"/>
    <w:rsid w:val="005B0B58"/>
    <w:rsid w:val="005B24D1"/>
    <w:rsid w:val="005B263C"/>
    <w:rsid w:val="005B27F9"/>
    <w:rsid w:val="005B295F"/>
    <w:rsid w:val="005B2D62"/>
    <w:rsid w:val="005B2F00"/>
    <w:rsid w:val="005B2F71"/>
    <w:rsid w:val="005B3B12"/>
    <w:rsid w:val="005B3DC2"/>
    <w:rsid w:val="005B3F5B"/>
    <w:rsid w:val="005B40AF"/>
    <w:rsid w:val="005B4798"/>
    <w:rsid w:val="005B4935"/>
    <w:rsid w:val="005B4E53"/>
    <w:rsid w:val="005B5857"/>
    <w:rsid w:val="005B5AB4"/>
    <w:rsid w:val="005B60B9"/>
    <w:rsid w:val="005B63A6"/>
    <w:rsid w:val="005B6505"/>
    <w:rsid w:val="005B69B6"/>
    <w:rsid w:val="005B6F1E"/>
    <w:rsid w:val="005B7781"/>
    <w:rsid w:val="005B7E2B"/>
    <w:rsid w:val="005C0191"/>
    <w:rsid w:val="005C065D"/>
    <w:rsid w:val="005C0D87"/>
    <w:rsid w:val="005C1701"/>
    <w:rsid w:val="005C19C4"/>
    <w:rsid w:val="005C1B83"/>
    <w:rsid w:val="005C1DD9"/>
    <w:rsid w:val="005C234B"/>
    <w:rsid w:val="005C25FF"/>
    <w:rsid w:val="005C2D55"/>
    <w:rsid w:val="005C2ED0"/>
    <w:rsid w:val="005C301F"/>
    <w:rsid w:val="005C346B"/>
    <w:rsid w:val="005C3AF5"/>
    <w:rsid w:val="005C52C4"/>
    <w:rsid w:val="005C55EF"/>
    <w:rsid w:val="005C5ABC"/>
    <w:rsid w:val="005C5C8D"/>
    <w:rsid w:val="005C5E5E"/>
    <w:rsid w:val="005C5F9D"/>
    <w:rsid w:val="005C6239"/>
    <w:rsid w:val="005C65B0"/>
    <w:rsid w:val="005C6826"/>
    <w:rsid w:val="005C6B1E"/>
    <w:rsid w:val="005C6CD1"/>
    <w:rsid w:val="005C71D9"/>
    <w:rsid w:val="005C75CE"/>
    <w:rsid w:val="005C7D5C"/>
    <w:rsid w:val="005D037B"/>
    <w:rsid w:val="005D044D"/>
    <w:rsid w:val="005D0ABD"/>
    <w:rsid w:val="005D13FE"/>
    <w:rsid w:val="005D18AD"/>
    <w:rsid w:val="005D194E"/>
    <w:rsid w:val="005D1B13"/>
    <w:rsid w:val="005D219E"/>
    <w:rsid w:val="005D2282"/>
    <w:rsid w:val="005D2577"/>
    <w:rsid w:val="005D2613"/>
    <w:rsid w:val="005D26B4"/>
    <w:rsid w:val="005D27E4"/>
    <w:rsid w:val="005D2D91"/>
    <w:rsid w:val="005D34CF"/>
    <w:rsid w:val="005D3744"/>
    <w:rsid w:val="005D386B"/>
    <w:rsid w:val="005D3B83"/>
    <w:rsid w:val="005D429F"/>
    <w:rsid w:val="005D4645"/>
    <w:rsid w:val="005D494C"/>
    <w:rsid w:val="005D4B93"/>
    <w:rsid w:val="005D4D6C"/>
    <w:rsid w:val="005D5738"/>
    <w:rsid w:val="005D61CA"/>
    <w:rsid w:val="005D64FD"/>
    <w:rsid w:val="005D68FB"/>
    <w:rsid w:val="005D6C40"/>
    <w:rsid w:val="005D70F8"/>
    <w:rsid w:val="005D72D8"/>
    <w:rsid w:val="005D778C"/>
    <w:rsid w:val="005D78EA"/>
    <w:rsid w:val="005D7C4E"/>
    <w:rsid w:val="005D7D44"/>
    <w:rsid w:val="005E004F"/>
    <w:rsid w:val="005E1608"/>
    <w:rsid w:val="005E1639"/>
    <w:rsid w:val="005E1995"/>
    <w:rsid w:val="005E1B37"/>
    <w:rsid w:val="005E262A"/>
    <w:rsid w:val="005E26E4"/>
    <w:rsid w:val="005E295F"/>
    <w:rsid w:val="005E29AF"/>
    <w:rsid w:val="005E2FED"/>
    <w:rsid w:val="005E329E"/>
    <w:rsid w:val="005E33B8"/>
    <w:rsid w:val="005E33CC"/>
    <w:rsid w:val="005E38E4"/>
    <w:rsid w:val="005E3A85"/>
    <w:rsid w:val="005E3AC9"/>
    <w:rsid w:val="005E42B8"/>
    <w:rsid w:val="005E43E7"/>
    <w:rsid w:val="005E45AD"/>
    <w:rsid w:val="005E48B2"/>
    <w:rsid w:val="005E4996"/>
    <w:rsid w:val="005E5857"/>
    <w:rsid w:val="005E5DAA"/>
    <w:rsid w:val="005E5FA9"/>
    <w:rsid w:val="005E6029"/>
    <w:rsid w:val="005E6123"/>
    <w:rsid w:val="005E61C7"/>
    <w:rsid w:val="005E6326"/>
    <w:rsid w:val="005E65E5"/>
    <w:rsid w:val="005E6CBC"/>
    <w:rsid w:val="005E6D20"/>
    <w:rsid w:val="005E72FF"/>
    <w:rsid w:val="005E7348"/>
    <w:rsid w:val="005E73C0"/>
    <w:rsid w:val="005E7637"/>
    <w:rsid w:val="005E79C4"/>
    <w:rsid w:val="005E7F19"/>
    <w:rsid w:val="005F03EF"/>
    <w:rsid w:val="005F041E"/>
    <w:rsid w:val="005F07ED"/>
    <w:rsid w:val="005F104B"/>
    <w:rsid w:val="005F1BA6"/>
    <w:rsid w:val="005F251C"/>
    <w:rsid w:val="005F2596"/>
    <w:rsid w:val="005F2706"/>
    <w:rsid w:val="005F2D5E"/>
    <w:rsid w:val="005F2ECA"/>
    <w:rsid w:val="005F3265"/>
    <w:rsid w:val="005F3588"/>
    <w:rsid w:val="005F394B"/>
    <w:rsid w:val="005F3F98"/>
    <w:rsid w:val="005F447D"/>
    <w:rsid w:val="005F45C1"/>
    <w:rsid w:val="005F4CAF"/>
    <w:rsid w:val="005F526A"/>
    <w:rsid w:val="005F583B"/>
    <w:rsid w:val="005F5938"/>
    <w:rsid w:val="005F59B7"/>
    <w:rsid w:val="005F6156"/>
    <w:rsid w:val="005F6213"/>
    <w:rsid w:val="005F698F"/>
    <w:rsid w:val="005F699A"/>
    <w:rsid w:val="005F6A8F"/>
    <w:rsid w:val="005F6BB7"/>
    <w:rsid w:val="005F6E2C"/>
    <w:rsid w:val="005F70C0"/>
    <w:rsid w:val="005F7588"/>
    <w:rsid w:val="005F7EEE"/>
    <w:rsid w:val="006000B3"/>
    <w:rsid w:val="0060025E"/>
    <w:rsid w:val="0060087D"/>
    <w:rsid w:val="006010D1"/>
    <w:rsid w:val="0060167B"/>
    <w:rsid w:val="00601D74"/>
    <w:rsid w:val="00601E58"/>
    <w:rsid w:val="00602195"/>
    <w:rsid w:val="00602208"/>
    <w:rsid w:val="0060280A"/>
    <w:rsid w:val="006028D3"/>
    <w:rsid w:val="00602B63"/>
    <w:rsid w:val="00603119"/>
    <w:rsid w:val="00603591"/>
    <w:rsid w:val="0060372A"/>
    <w:rsid w:val="0060398C"/>
    <w:rsid w:val="00603DB9"/>
    <w:rsid w:val="006046D0"/>
    <w:rsid w:val="00604EAD"/>
    <w:rsid w:val="006054DE"/>
    <w:rsid w:val="006059E4"/>
    <w:rsid w:val="00605E1E"/>
    <w:rsid w:val="00606551"/>
    <w:rsid w:val="006067D3"/>
    <w:rsid w:val="00606B94"/>
    <w:rsid w:val="00606CB7"/>
    <w:rsid w:val="00606FBA"/>
    <w:rsid w:val="0060713B"/>
    <w:rsid w:val="0060744D"/>
    <w:rsid w:val="00607632"/>
    <w:rsid w:val="00607669"/>
    <w:rsid w:val="006076F4"/>
    <w:rsid w:val="0060787E"/>
    <w:rsid w:val="00607AFD"/>
    <w:rsid w:val="00607F5C"/>
    <w:rsid w:val="00610831"/>
    <w:rsid w:val="00610A48"/>
    <w:rsid w:val="00610C73"/>
    <w:rsid w:val="00610EC9"/>
    <w:rsid w:val="00611377"/>
    <w:rsid w:val="006118E6"/>
    <w:rsid w:val="00611B12"/>
    <w:rsid w:val="006125BB"/>
    <w:rsid w:val="0061265B"/>
    <w:rsid w:val="00612F97"/>
    <w:rsid w:val="0061345D"/>
    <w:rsid w:val="0061349D"/>
    <w:rsid w:val="006136D9"/>
    <w:rsid w:val="00613E0E"/>
    <w:rsid w:val="00614020"/>
    <w:rsid w:val="006143DD"/>
    <w:rsid w:val="00614AE7"/>
    <w:rsid w:val="00614C4D"/>
    <w:rsid w:val="0061549B"/>
    <w:rsid w:val="006157CE"/>
    <w:rsid w:val="00615B4D"/>
    <w:rsid w:val="00615BED"/>
    <w:rsid w:val="00616802"/>
    <w:rsid w:val="00616C1E"/>
    <w:rsid w:val="00617488"/>
    <w:rsid w:val="00617625"/>
    <w:rsid w:val="00617E12"/>
    <w:rsid w:val="00620C25"/>
    <w:rsid w:val="00620CCB"/>
    <w:rsid w:val="00620EF1"/>
    <w:rsid w:val="006210FE"/>
    <w:rsid w:val="00621477"/>
    <w:rsid w:val="00621828"/>
    <w:rsid w:val="006218C0"/>
    <w:rsid w:val="00621ADA"/>
    <w:rsid w:val="00621C74"/>
    <w:rsid w:val="00621C88"/>
    <w:rsid w:val="006221E4"/>
    <w:rsid w:val="006229B2"/>
    <w:rsid w:val="0062317C"/>
    <w:rsid w:val="006235C0"/>
    <w:rsid w:val="00623F7B"/>
    <w:rsid w:val="006241B5"/>
    <w:rsid w:val="006246A1"/>
    <w:rsid w:val="00624737"/>
    <w:rsid w:val="00624ABC"/>
    <w:rsid w:val="00624BD4"/>
    <w:rsid w:val="006262DC"/>
    <w:rsid w:val="00626332"/>
    <w:rsid w:val="00626B18"/>
    <w:rsid w:val="00627C5F"/>
    <w:rsid w:val="00627CD7"/>
    <w:rsid w:val="00630326"/>
    <w:rsid w:val="00630886"/>
    <w:rsid w:val="00630C67"/>
    <w:rsid w:val="00630EDD"/>
    <w:rsid w:val="00631210"/>
    <w:rsid w:val="0063158F"/>
    <w:rsid w:val="00631B78"/>
    <w:rsid w:val="00631D6B"/>
    <w:rsid w:val="00632183"/>
    <w:rsid w:val="006322ED"/>
    <w:rsid w:val="00632816"/>
    <w:rsid w:val="006330A1"/>
    <w:rsid w:val="00633CBD"/>
    <w:rsid w:val="0063479F"/>
    <w:rsid w:val="00634B83"/>
    <w:rsid w:val="00634E52"/>
    <w:rsid w:val="0063510C"/>
    <w:rsid w:val="006353F0"/>
    <w:rsid w:val="00635449"/>
    <w:rsid w:val="006355AE"/>
    <w:rsid w:val="006357B5"/>
    <w:rsid w:val="00635962"/>
    <w:rsid w:val="0063612B"/>
    <w:rsid w:val="006363EE"/>
    <w:rsid w:val="006364A1"/>
    <w:rsid w:val="00636584"/>
    <w:rsid w:val="0063678E"/>
    <w:rsid w:val="00636C9A"/>
    <w:rsid w:val="006371DD"/>
    <w:rsid w:val="00637618"/>
    <w:rsid w:val="00637640"/>
    <w:rsid w:val="00637759"/>
    <w:rsid w:val="006379E0"/>
    <w:rsid w:val="00637BFD"/>
    <w:rsid w:val="00637C4E"/>
    <w:rsid w:val="00637C5C"/>
    <w:rsid w:val="006400AB"/>
    <w:rsid w:val="00640627"/>
    <w:rsid w:val="00640A5F"/>
    <w:rsid w:val="006412E6"/>
    <w:rsid w:val="00641ADF"/>
    <w:rsid w:val="00641C45"/>
    <w:rsid w:val="00641C4E"/>
    <w:rsid w:val="00641D56"/>
    <w:rsid w:val="00641FB3"/>
    <w:rsid w:val="0064211B"/>
    <w:rsid w:val="00642724"/>
    <w:rsid w:val="00642E81"/>
    <w:rsid w:val="00642F6C"/>
    <w:rsid w:val="00643267"/>
    <w:rsid w:val="006432CB"/>
    <w:rsid w:val="00643755"/>
    <w:rsid w:val="00643B02"/>
    <w:rsid w:val="00643D5A"/>
    <w:rsid w:val="00643FD7"/>
    <w:rsid w:val="0064434C"/>
    <w:rsid w:val="0064458C"/>
    <w:rsid w:val="0064475F"/>
    <w:rsid w:val="00644C0C"/>
    <w:rsid w:val="00644D2E"/>
    <w:rsid w:val="00644F7E"/>
    <w:rsid w:val="006452BC"/>
    <w:rsid w:val="006457B5"/>
    <w:rsid w:val="00645B38"/>
    <w:rsid w:val="00645E7E"/>
    <w:rsid w:val="0064603A"/>
    <w:rsid w:val="00646670"/>
    <w:rsid w:val="006466B6"/>
    <w:rsid w:val="00646B02"/>
    <w:rsid w:val="00646FFE"/>
    <w:rsid w:val="006471CC"/>
    <w:rsid w:val="006472FE"/>
    <w:rsid w:val="006474AB"/>
    <w:rsid w:val="00647506"/>
    <w:rsid w:val="00647940"/>
    <w:rsid w:val="00647A29"/>
    <w:rsid w:val="00647B26"/>
    <w:rsid w:val="00647C36"/>
    <w:rsid w:val="00647D63"/>
    <w:rsid w:val="00647D6A"/>
    <w:rsid w:val="00647F1F"/>
    <w:rsid w:val="00650037"/>
    <w:rsid w:val="006503C1"/>
    <w:rsid w:val="0065079F"/>
    <w:rsid w:val="00650EEC"/>
    <w:rsid w:val="00651023"/>
    <w:rsid w:val="0065104C"/>
    <w:rsid w:val="00651092"/>
    <w:rsid w:val="006511C4"/>
    <w:rsid w:val="006513D0"/>
    <w:rsid w:val="00651B28"/>
    <w:rsid w:val="00651CB7"/>
    <w:rsid w:val="00652A28"/>
    <w:rsid w:val="00652AAF"/>
    <w:rsid w:val="00652FBF"/>
    <w:rsid w:val="00653069"/>
    <w:rsid w:val="0065379F"/>
    <w:rsid w:val="00653B74"/>
    <w:rsid w:val="00653BFF"/>
    <w:rsid w:val="00653E8B"/>
    <w:rsid w:val="0065437C"/>
    <w:rsid w:val="0065477E"/>
    <w:rsid w:val="00654949"/>
    <w:rsid w:val="006550F5"/>
    <w:rsid w:val="00655546"/>
    <w:rsid w:val="00655834"/>
    <w:rsid w:val="00655B3F"/>
    <w:rsid w:val="0065609E"/>
    <w:rsid w:val="00656188"/>
    <w:rsid w:val="006561BB"/>
    <w:rsid w:val="00656703"/>
    <w:rsid w:val="00656F26"/>
    <w:rsid w:val="0065715A"/>
    <w:rsid w:val="0065795E"/>
    <w:rsid w:val="00657D59"/>
    <w:rsid w:val="00660390"/>
    <w:rsid w:val="0066041C"/>
    <w:rsid w:val="00660457"/>
    <w:rsid w:val="00660D90"/>
    <w:rsid w:val="006610F1"/>
    <w:rsid w:val="006617EC"/>
    <w:rsid w:val="00661C6B"/>
    <w:rsid w:val="00661CEC"/>
    <w:rsid w:val="00661E18"/>
    <w:rsid w:val="00661F67"/>
    <w:rsid w:val="00662366"/>
    <w:rsid w:val="00662414"/>
    <w:rsid w:val="00662676"/>
    <w:rsid w:val="0066268F"/>
    <w:rsid w:val="00662814"/>
    <w:rsid w:val="00662A5C"/>
    <w:rsid w:val="00662B82"/>
    <w:rsid w:val="00662D3E"/>
    <w:rsid w:val="00662DBA"/>
    <w:rsid w:val="0066320D"/>
    <w:rsid w:val="00663908"/>
    <w:rsid w:val="006639FD"/>
    <w:rsid w:val="00663DB3"/>
    <w:rsid w:val="00664459"/>
    <w:rsid w:val="006644E1"/>
    <w:rsid w:val="00664CC1"/>
    <w:rsid w:val="00664FE8"/>
    <w:rsid w:val="00665937"/>
    <w:rsid w:val="0066595D"/>
    <w:rsid w:val="00665982"/>
    <w:rsid w:val="00665D40"/>
    <w:rsid w:val="00666DF5"/>
    <w:rsid w:val="00667416"/>
    <w:rsid w:val="0066774E"/>
    <w:rsid w:val="00667920"/>
    <w:rsid w:val="00667BE3"/>
    <w:rsid w:val="0067042F"/>
    <w:rsid w:val="00670C97"/>
    <w:rsid w:val="00670E54"/>
    <w:rsid w:val="00670EB9"/>
    <w:rsid w:val="00670EF0"/>
    <w:rsid w:val="00671004"/>
    <w:rsid w:val="006710F9"/>
    <w:rsid w:val="006713D5"/>
    <w:rsid w:val="00671466"/>
    <w:rsid w:val="00671674"/>
    <w:rsid w:val="00671A10"/>
    <w:rsid w:val="00671C29"/>
    <w:rsid w:val="00671C7B"/>
    <w:rsid w:val="00672646"/>
    <w:rsid w:val="006728AD"/>
    <w:rsid w:val="006728F6"/>
    <w:rsid w:val="00672BED"/>
    <w:rsid w:val="00672CA7"/>
    <w:rsid w:val="00672D51"/>
    <w:rsid w:val="006732A1"/>
    <w:rsid w:val="006737CD"/>
    <w:rsid w:val="00673AFE"/>
    <w:rsid w:val="00674424"/>
    <w:rsid w:val="00674AAE"/>
    <w:rsid w:val="00674E42"/>
    <w:rsid w:val="0067510C"/>
    <w:rsid w:val="006751D0"/>
    <w:rsid w:val="0067558D"/>
    <w:rsid w:val="00675D40"/>
    <w:rsid w:val="006763AB"/>
    <w:rsid w:val="00676563"/>
    <w:rsid w:val="00676AA2"/>
    <w:rsid w:val="00676C4E"/>
    <w:rsid w:val="00676CC3"/>
    <w:rsid w:val="00676D35"/>
    <w:rsid w:val="00677033"/>
    <w:rsid w:val="00677674"/>
    <w:rsid w:val="00677774"/>
    <w:rsid w:val="00677880"/>
    <w:rsid w:val="00677C4A"/>
    <w:rsid w:val="00677F62"/>
    <w:rsid w:val="00680000"/>
    <w:rsid w:val="006809F6"/>
    <w:rsid w:val="00680D02"/>
    <w:rsid w:val="00680F0C"/>
    <w:rsid w:val="00680F9C"/>
    <w:rsid w:val="00681208"/>
    <w:rsid w:val="006813F8"/>
    <w:rsid w:val="00681581"/>
    <w:rsid w:val="00681A0D"/>
    <w:rsid w:val="00681E38"/>
    <w:rsid w:val="00682112"/>
    <w:rsid w:val="006821FE"/>
    <w:rsid w:val="00682246"/>
    <w:rsid w:val="00682992"/>
    <w:rsid w:val="006829F3"/>
    <w:rsid w:val="00682BA6"/>
    <w:rsid w:val="00682D3B"/>
    <w:rsid w:val="00683037"/>
    <w:rsid w:val="00683702"/>
    <w:rsid w:val="00683A23"/>
    <w:rsid w:val="00683FEA"/>
    <w:rsid w:val="00684BB9"/>
    <w:rsid w:val="00684F2E"/>
    <w:rsid w:val="00684FE4"/>
    <w:rsid w:val="006850BC"/>
    <w:rsid w:val="00685807"/>
    <w:rsid w:val="00685A25"/>
    <w:rsid w:val="00686247"/>
    <w:rsid w:val="00686497"/>
    <w:rsid w:val="00686957"/>
    <w:rsid w:val="00686BFF"/>
    <w:rsid w:val="00686E8C"/>
    <w:rsid w:val="006872BA"/>
    <w:rsid w:val="00687C2A"/>
    <w:rsid w:val="0069023A"/>
    <w:rsid w:val="006903B4"/>
    <w:rsid w:val="006903D9"/>
    <w:rsid w:val="00690795"/>
    <w:rsid w:val="006908DB"/>
    <w:rsid w:val="0069091E"/>
    <w:rsid w:val="00690AE6"/>
    <w:rsid w:val="00690DE6"/>
    <w:rsid w:val="006913FC"/>
    <w:rsid w:val="00691648"/>
    <w:rsid w:val="006917D7"/>
    <w:rsid w:val="00691C5D"/>
    <w:rsid w:val="0069284F"/>
    <w:rsid w:val="00692D3B"/>
    <w:rsid w:val="00693029"/>
    <w:rsid w:val="006932C2"/>
    <w:rsid w:val="006934FE"/>
    <w:rsid w:val="00693ED9"/>
    <w:rsid w:val="006940C3"/>
    <w:rsid w:val="0069434C"/>
    <w:rsid w:val="00694B0D"/>
    <w:rsid w:val="00694F44"/>
    <w:rsid w:val="00695081"/>
    <w:rsid w:val="00695862"/>
    <w:rsid w:val="00695AC1"/>
    <w:rsid w:val="00695EB1"/>
    <w:rsid w:val="0069632C"/>
    <w:rsid w:val="006963CC"/>
    <w:rsid w:val="00696583"/>
    <w:rsid w:val="00696A02"/>
    <w:rsid w:val="00696EF9"/>
    <w:rsid w:val="00696F51"/>
    <w:rsid w:val="006974CA"/>
    <w:rsid w:val="00697715"/>
    <w:rsid w:val="006979A5"/>
    <w:rsid w:val="006A0148"/>
    <w:rsid w:val="006A016F"/>
    <w:rsid w:val="006A097E"/>
    <w:rsid w:val="006A0D55"/>
    <w:rsid w:val="006A0DF6"/>
    <w:rsid w:val="006A0DF7"/>
    <w:rsid w:val="006A0F38"/>
    <w:rsid w:val="006A162B"/>
    <w:rsid w:val="006A1E1D"/>
    <w:rsid w:val="006A1FB6"/>
    <w:rsid w:val="006A2267"/>
    <w:rsid w:val="006A2438"/>
    <w:rsid w:val="006A2544"/>
    <w:rsid w:val="006A2BE3"/>
    <w:rsid w:val="006A3181"/>
    <w:rsid w:val="006A33AA"/>
    <w:rsid w:val="006A40EC"/>
    <w:rsid w:val="006A4321"/>
    <w:rsid w:val="006A4339"/>
    <w:rsid w:val="006A43D9"/>
    <w:rsid w:val="006A46B7"/>
    <w:rsid w:val="006A4974"/>
    <w:rsid w:val="006A4B28"/>
    <w:rsid w:val="006A4C93"/>
    <w:rsid w:val="006A4F54"/>
    <w:rsid w:val="006A55C1"/>
    <w:rsid w:val="006A55C8"/>
    <w:rsid w:val="006A5796"/>
    <w:rsid w:val="006A57D4"/>
    <w:rsid w:val="006A61D4"/>
    <w:rsid w:val="006A63E5"/>
    <w:rsid w:val="006A6485"/>
    <w:rsid w:val="006A6576"/>
    <w:rsid w:val="006A6871"/>
    <w:rsid w:val="006A6B99"/>
    <w:rsid w:val="006A6D74"/>
    <w:rsid w:val="006A6D7C"/>
    <w:rsid w:val="006A7E5F"/>
    <w:rsid w:val="006A7FD4"/>
    <w:rsid w:val="006B02A4"/>
    <w:rsid w:val="006B0319"/>
    <w:rsid w:val="006B23D5"/>
    <w:rsid w:val="006B24FA"/>
    <w:rsid w:val="006B261B"/>
    <w:rsid w:val="006B27EE"/>
    <w:rsid w:val="006B2C02"/>
    <w:rsid w:val="006B2C90"/>
    <w:rsid w:val="006B2E0D"/>
    <w:rsid w:val="006B35E6"/>
    <w:rsid w:val="006B3D39"/>
    <w:rsid w:val="006B3E5E"/>
    <w:rsid w:val="006B423C"/>
    <w:rsid w:val="006B45C2"/>
    <w:rsid w:val="006B465A"/>
    <w:rsid w:val="006B4665"/>
    <w:rsid w:val="006B5113"/>
    <w:rsid w:val="006B52F2"/>
    <w:rsid w:val="006B55FD"/>
    <w:rsid w:val="006B563C"/>
    <w:rsid w:val="006B5E38"/>
    <w:rsid w:val="006B6033"/>
    <w:rsid w:val="006B6087"/>
    <w:rsid w:val="006B6105"/>
    <w:rsid w:val="006B6635"/>
    <w:rsid w:val="006B681D"/>
    <w:rsid w:val="006B68B2"/>
    <w:rsid w:val="006B6DD0"/>
    <w:rsid w:val="006B6F5F"/>
    <w:rsid w:val="006B6FCD"/>
    <w:rsid w:val="006B71CE"/>
    <w:rsid w:val="006B7605"/>
    <w:rsid w:val="006B7747"/>
    <w:rsid w:val="006B7A72"/>
    <w:rsid w:val="006C0399"/>
    <w:rsid w:val="006C0704"/>
    <w:rsid w:val="006C0A12"/>
    <w:rsid w:val="006C1086"/>
    <w:rsid w:val="006C1786"/>
    <w:rsid w:val="006C1A1A"/>
    <w:rsid w:val="006C1C80"/>
    <w:rsid w:val="006C225E"/>
    <w:rsid w:val="006C2542"/>
    <w:rsid w:val="006C26D7"/>
    <w:rsid w:val="006C2A7F"/>
    <w:rsid w:val="006C2A8E"/>
    <w:rsid w:val="006C2E9A"/>
    <w:rsid w:val="006C2F79"/>
    <w:rsid w:val="006C3255"/>
    <w:rsid w:val="006C3B87"/>
    <w:rsid w:val="006C3F26"/>
    <w:rsid w:val="006C4065"/>
    <w:rsid w:val="006C497C"/>
    <w:rsid w:val="006C4EC0"/>
    <w:rsid w:val="006C4FCC"/>
    <w:rsid w:val="006C5002"/>
    <w:rsid w:val="006C5133"/>
    <w:rsid w:val="006C562E"/>
    <w:rsid w:val="006C6038"/>
    <w:rsid w:val="006C6289"/>
    <w:rsid w:val="006C691F"/>
    <w:rsid w:val="006C6A11"/>
    <w:rsid w:val="006C7456"/>
    <w:rsid w:val="006C7670"/>
    <w:rsid w:val="006D0475"/>
    <w:rsid w:val="006D0AB0"/>
    <w:rsid w:val="006D0D17"/>
    <w:rsid w:val="006D12C8"/>
    <w:rsid w:val="006D1B93"/>
    <w:rsid w:val="006D1C3B"/>
    <w:rsid w:val="006D1C6F"/>
    <w:rsid w:val="006D21E1"/>
    <w:rsid w:val="006D22CB"/>
    <w:rsid w:val="006D2A8B"/>
    <w:rsid w:val="006D2C72"/>
    <w:rsid w:val="006D2F7D"/>
    <w:rsid w:val="006D32B8"/>
    <w:rsid w:val="006D361C"/>
    <w:rsid w:val="006D37FB"/>
    <w:rsid w:val="006D38DB"/>
    <w:rsid w:val="006D39BF"/>
    <w:rsid w:val="006D3C7D"/>
    <w:rsid w:val="006D3E15"/>
    <w:rsid w:val="006D4654"/>
    <w:rsid w:val="006D4659"/>
    <w:rsid w:val="006D4BD3"/>
    <w:rsid w:val="006D5359"/>
    <w:rsid w:val="006D5D5F"/>
    <w:rsid w:val="006D5EFE"/>
    <w:rsid w:val="006D6355"/>
    <w:rsid w:val="006D646A"/>
    <w:rsid w:val="006D6743"/>
    <w:rsid w:val="006D68FB"/>
    <w:rsid w:val="006D6A4F"/>
    <w:rsid w:val="006D7165"/>
    <w:rsid w:val="006D7765"/>
    <w:rsid w:val="006D7DEB"/>
    <w:rsid w:val="006E0510"/>
    <w:rsid w:val="006E0DC3"/>
    <w:rsid w:val="006E0E5E"/>
    <w:rsid w:val="006E0F5F"/>
    <w:rsid w:val="006E11E7"/>
    <w:rsid w:val="006E199C"/>
    <w:rsid w:val="006E1A8B"/>
    <w:rsid w:val="006E1AFB"/>
    <w:rsid w:val="006E1EC9"/>
    <w:rsid w:val="006E20B5"/>
    <w:rsid w:val="006E2168"/>
    <w:rsid w:val="006E2235"/>
    <w:rsid w:val="006E2321"/>
    <w:rsid w:val="006E27A4"/>
    <w:rsid w:val="006E2868"/>
    <w:rsid w:val="006E2A18"/>
    <w:rsid w:val="006E2AE8"/>
    <w:rsid w:val="006E2C47"/>
    <w:rsid w:val="006E32E9"/>
    <w:rsid w:val="006E39BC"/>
    <w:rsid w:val="006E3AE2"/>
    <w:rsid w:val="006E3CFC"/>
    <w:rsid w:val="006E3DA8"/>
    <w:rsid w:val="006E406A"/>
    <w:rsid w:val="006E41F0"/>
    <w:rsid w:val="006E4474"/>
    <w:rsid w:val="006E4AE6"/>
    <w:rsid w:val="006E4E7D"/>
    <w:rsid w:val="006E4EF8"/>
    <w:rsid w:val="006E4F5D"/>
    <w:rsid w:val="006E5577"/>
    <w:rsid w:val="006E55BD"/>
    <w:rsid w:val="006E57FE"/>
    <w:rsid w:val="006E6C3B"/>
    <w:rsid w:val="006E7587"/>
    <w:rsid w:val="006E7F17"/>
    <w:rsid w:val="006E7F3E"/>
    <w:rsid w:val="006F0696"/>
    <w:rsid w:val="006F0B0F"/>
    <w:rsid w:val="006F1041"/>
    <w:rsid w:val="006F148E"/>
    <w:rsid w:val="006F1652"/>
    <w:rsid w:val="006F1A79"/>
    <w:rsid w:val="006F1ED8"/>
    <w:rsid w:val="006F1EF3"/>
    <w:rsid w:val="006F234A"/>
    <w:rsid w:val="006F2818"/>
    <w:rsid w:val="006F2870"/>
    <w:rsid w:val="006F2ACD"/>
    <w:rsid w:val="006F2B5E"/>
    <w:rsid w:val="006F306C"/>
    <w:rsid w:val="006F31A3"/>
    <w:rsid w:val="006F32B1"/>
    <w:rsid w:val="006F3404"/>
    <w:rsid w:val="006F35B5"/>
    <w:rsid w:val="006F36B2"/>
    <w:rsid w:val="006F3C97"/>
    <w:rsid w:val="006F3E11"/>
    <w:rsid w:val="006F4813"/>
    <w:rsid w:val="006F48DF"/>
    <w:rsid w:val="006F56E1"/>
    <w:rsid w:val="006F5874"/>
    <w:rsid w:val="006F5AF6"/>
    <w:rsid w:val="006F61DD"/>
    <w:rsid w:val="006F63A5"/>
    <w:rsid w:val="006F6473"/>
    <w:rsid w:val="006F658A"/>
    <w:rsid w:val="006F6B2C"/>
    <w:rsid w:val="006F712A"/>
    <w:rsid w:val="006F7310"/>
    <w:rsid w:val="006F7CBA"/>
    <w:rsid w:val="007000AA"/>
    <w:rsid w:val="00700122"/>
    <w:rsid w:val="00700AF8"/>
    <w:rsid w:val="00700C51"/>
    <w:rsid w:val="0070142B"/>
    <w:rsid w:val="00701669"/>
    <w:rsid w:val="00701832"/>
    <w:rsid w:val="007018D5"/>
    <w:rsid w:val="0070209F"/>
    <w:rsid w:val="0070276E"/>
    <w:rsid w:val="00702BB3"/>
    <w:rsid w:val="00702D80"/>
    <w:rsid w:val="00702E3F"/>
    <w:rsid w:val="00702F8F"/>
    <w:rsid w:val="00703154"/>
    <w:rsid w:val="00703307"/>
    <w:rsid w:val="007033F6"/>
    <w:rsid w:val="0070360C"/>
    <w:rsid w:val="007044BF"/>
    <w:rsid w:val="00704FF3"/>
    <w:rsid w:val="00705364"/>
    <w:rsid w:val="00705607"/>
    <w:rsid w:val="007057B7"/>
    <w:rsid w:val="007059E1"/>
    <w:rsid w:val="00705B97"/>
    <w:rsid w:val="007060AE"/>
    <w:rsid w:val="00706269"/>
    <w:rsid w:val="0070653F"/>
    <w:rsid w:val="00706688"/>
    <w:rsid w:val="00706F3E"/>
    <w:rsid w:val="0070780D"/>
    <w:rsid w:val="0070791D"/>
    <w:rsid w:val="007079FC"/>
    <w:rsid w:val="00707A50"/>
    <w:rsid w:val="00710360"/>
    <w:rsid w:val="00710AA3"/>
    <w:rsid w:val="00710C1D"/>
    <w:rsid w:val="007110A8"/>
    <w:rsid w:val="007110DF"/>
    <w:rsid w:val="007118C2"/>
    <w:rsid w:val="00711A36"/>
    <w:rsid w:val="00711ED0"/>
    <w:rsid w:val="0071231F"/>
    <w:rsid w:val="007125D3"/>
    <w:rsid w:val="00712C7F"/>
    <w:rsid w:val="007133BA"/>
    <w:rsid w:val="0071369A"/>
    <w:rsid w:val="00713A61"/>
    <w:rsid w:val="00713D2E"/>
    <w:rsid w:val="00714C26"/>
    <w:rsid w:val="0071529C"/>
    <w:rsid w:val="0071556E"/>
    <w:rsid w:val="00715BC2"/>
    <w:rsid w:val="0071600A"/>
    <w:rsid w:val="00716B3B"/>
    <w:rsid w:val="007170DA"/>
    <w:rsid w:val="007172AD"/>
    <w:rsid w:val="00717546"/>
    <w:rsid w:val="00717871"/>
    <w:rsid w:val="00720801"/>
    <w:rsid w:val="00721274"/>
    <w:rsid w:val="00721316"/>
    <w:rsid w:val="007214DE"/>
    <w:rsid w:val="00721534"/>
    <w:rsid w:val="00721AB6"/>
    <w:rsid w:val="00721FB7"/>
    <w:rsid w:val="00722072"/>
    <w:rsid w:val="0072222F"/>
    <w:rsid w:val="00722528"/>
    <w:rsid w:val="0072283C"/>
    <w:rsid w:val="007229D6"/>
    <w:rsid w:val="00722A5D"/>
    <w:rsid w:val="00722B1B"/>
    <w:rsid w:val="00722B44"/>
    <w:rsid w:val="00722CAD"/>
    <w:rsid w:val="00722D15"/>
    <w:rsid w:val="00722FD6"/>
    <w:rsid w:val="0072356C"/>
    <w:rsid w:val="007235B7"/>
    <w:rsid w:val="007238FF"/>
    <w:rsid w:val="00723B75"/>
    <w:rsid w:val="0072402E"/>
    <w:rsid w:val="0072416F"/>
    <w:rsid w:val="00724585"/>
    <w:rsid w:val="0072477A"/>
    <w:rsid w:val="007248C6"/>
    <w:rsid w:val="007249C9"/>
    <w:rsid w:val="00724CDA"/>
    <w:rsid w:val="00724D0E"/>
    <w:rsid w:val="0072559F"/>
    <w:rsid w:val="0072587F"/>
    <w:rsid w:val="00725948"/>
    <w:rsid w:val="007263FA"/>
    <w:rsid w:val="0072690D"/>
    <w:rsid w:val="00727415"/>
    <w:rsid w:val="00727553"/>
    <w:rsid w:val="00727695"/>
    <w:rsid w:val="00727707"/>
    <w:rsid w:val="0072779D"/>
    <w:rsid w:val="00727C94"/>
    <w:rsid w:val="00730771"/>
    <w:rsid w:val="00730B8C"/>
    <w:rsid w:val="00730BFF"/>
    <w:rsid w:val="0073115B"/>
    <w:rsid w:val="007311F3"/>
    <w:rsid w:val="0073172C"/>
    <w:rsid w:val="007318DB"/>
    <w:rsid w:val="00731AF0"/>
    <w:rsid w:val="00731B0A"/>
    <w:rsid w:val="00731B12"/>
    <w:rsid w:val="00731DC7"/>
    <w:rsid w:val="00731EAE"/>
    <w:rsid w:val="00731F68"/>
    <w:rsid w:val="00732229"/>
    <w:rsid w:val="00732718"/>
    <w:rsid w:val="0073275E"/>
    <w:rsid w:val="00732FE1"/>
    <w:rsid w:val="00733073"/>
    <w:rsid w:val="007330DB"/>
    <w:rsid w:val="007338BB"/>
    <w:rsid w:val="0073403D"/>
    <w:rsid w:val="00734092"/>
    <w:rsid w:val="00734398"/>
    <w:rsid w:val="007349DC"/>
    <w:rsid w:val="00735033"/>
    <w:rsid w:val="00735328"/>
    <w:rsid w:val="00735343"/>
    <w:rsid w:val="00735E83"/>
    <w:rsid w:val="00736241"/>
    <w:rsid w:val="00736443"/>
    <w:rsid w:val="007367E4"/>
    <w:rsid w:val="0073685B"/>
    <w:rsid w:val="00736D82"/>
    <w:rsid w:val="00736F55"/>
    <w:rsid w:val="00736FE0"/>
    <w:rsid w:val="00740775"/>
    <w:rsid w:val="007424B8"/>
    <w:rsid w:val="00742A1E"/>
    <w:rsid w:val="00742D4E"/>
    <w:rsid w:val="00743A04"/>
    <w:rsid w:val="00743D40"/>
    <w:rsid w:val="00743F9D"/>
    <w:rsid w:val="007449BF"/>
    <w:rsid w:val="00744CF0"/>
    <w:rsid w:val="00745526"/>
    <w:rsid w:val="007458D9"/>
    <w:rsid w:val="00745B51"/>
    <w:rsid w:val="00745BED"/>
    <w:rsid w:val="00745CA9"/>
    <w:rsid w:val="00745FDD"/>
    <w:rsid w:val="007463FE"/>
    <w:rsid w:val="00746752"/>
    <w:rsid w:val="00746ACB"/>
    <w:rsid w:val="00746BC0"/>
    <w:rsid w:val="00746EB7"/>
    <w:rsid w:val="0074717C"/>
    <w:rsid w:val="00747358"/>
    <w:rsid w:val="0075024A"/>
    <w:rsid w:val="007509EC"/>
    <w:rsid w:val="00750D79"/>
    <w:rsid w:val="007510B4"/>
    <w:rsid w:val="007516D0"/>
    <w:rsid w:val="00751BDE"/>
    <w:rsid w:val="00751EF0"/>
    <w:rsid w:val="00752142"/>
    <w:rsid w:val="007523F9"/>
    <w:rsid w:val="0075250C"/>
    <w:rsid w:val="00752998"/>
    <w:rsid w:val="00752A70"/>
    <w:rsid w:val="0075357E"/>
    <w:rsid w:val="0075374C"/>
    <w:rsid w:val="00753B29"/>
    <w:rsid w:val="00753B49"/>
    <w:rsid w:val="00753C75"/>
    <w:rsid w:val="00753D1E"/>
    <w:rsid w:val="00754812"/>
    <w:rsid w:val="0075485E"/>
    <w:rsid w:val="0075495C"/>
    <w:rsid w:val="007549ED"/>
    <w:rsid w:val="00754B39"/>
    <w:rsid w:val="007550CA"/>
    <w:rsid w:val="0075580B"/>
    <w:rsid w:val="00755859"/>
    <w:rsid w:val="00755CC2"/>
    <w:rsid w:val="0075605C"/>
    <w:rsid w:val="007560E2"/>
    <w:rsid w:val="0075678C"/>
    <w:rsid w:val="00756AD4"/>
    <w:rsid w:val="00756B32"/>
    <w:rsid w:val="00756F5C"/>
    <w:rsid w:val="007573E8"/>
    <w:rsid w:val="00760BA3"/>
    <w:rsid w:val="00760C4E"/>
    <w:rsid w:val="00760F9E"/>
    <w:rsid w:val="0076103D"/>
    <w:rsid w:val="0076109F"/>
    <w:rsid w:val="00761641"/>
    <w:rsid w:val="00761679"/>
    <w:rsid w:val="007616E6"/>
    <w:rsid w:val="00761FF6"/>
    <w:rsid w:val="0076208D"/>
    <w:rsid w:val="00762098"/>
    <w:rsid w:val="00762107"/>
    <w:rsid w:val="0076215E"/>
    <w:rsid w:val="00762371"/>
    <w:rsid w:val="0076267A"/>
    <w:rsid w:val="00762757"/>
    <w:rsid w:val="007627BE"/>
    <w:rsid w:val="00762B79"/>
    <w:rsid w:val="00763046"/>
    <w:rsid w:val="007632DC"/>
    <w:rsid w:val="007633EC"/>
    <w:rsid w:val="00763DDB"/>
    <w:rsid w:val="00763E6B"/>
    <w:rsid w:val="00764706"/>
    <w:rsid w:val="0076474E"/>
    <w:rsid w:val="00764F03"/>
    <w:rsid w:val="0076531E"/>
    <w:rsid w:val="00765B1A"/>
    <w:rsid w:val="00765DC1"/>
    <w:rsid w:val="00766012"/>
    <w:rsid w:val="007663ED"/>
    <w:rsid w:val="0076640F"/>
    <w:rsid w:val="00766850"/>
    <w:rsid w:val="0076687F"/>
    <w:rsid w:val="0076694E"/>
    <w:rsid w:val="00766B62"/>
    <w:rsid w:val="0076746C"/>
    <w:rsid w:val="007700FB"/>
    <w:rsid w:val="00770315"/>
    <w:rsid w:val="007705BE"/>
    <w:rsid w:val="00770721"/>
    <w:rsid w:val="00770E7F"/>
    <w:rsid w:val="00771570"/>
    <w:rsid w:val="007717E4"/>
    <w:rsid w:val="007718DD"/>
    <w:rsid w:val="00771C57"/>
    <w:rsid w:val="00771E19"/>
    <w:rsid w:val="00772003"/>
    <w:rsid w:val="0077280C"/>
    <w:rsid w:val="007742D8"/>
    <w:rsid w:val="00774B48"/>
    <w:rsid w:val="00774D8F"/>
    <w:rsid w:val="00774DA4"/>
    <w:rsid w:val="00775A6C"/>
    <w:rsid w:val="00775D31"/>
    <w:rsid w:val="00775D7B"/>
    <w:rsid w:val="00775DA0"/>
    <w:rsid w:val="00775FEB"/>
    <w:rsid w:val="007769D5"/>
    <w:rsid w:val="00776A29"/>
    <w:rsid w:val="00776B08"/>
    <w:rsid w:val="00776BB7"/>
    <w:rsid w:val="00776CBB"/>
    <w:rsid w:val="00777216"/>
    <w:rsid w:val="00777335"/>
    <w:rsid w:val="00777D20"/>
    <w:rsid w:val="0078000C"/>
    <w:rsid w:val="007809A5"/>
    <w:rsid w:val="00780A37"/>
    <w:rsid w:val="00780A90"/>
    <w:rsid w:val="00780CF5"/>
    <w:rsid w:val="0078116A"/>
    <w:rsid w:val="0078123D"/>
    <w:rsid w:val="00781BFD"/>
    <w:rsid w:val="00781DF8"/>
    <w:rsid w:val="00781FB8"/>
    <w:rsid w:val="007821EB"/>
    <w:rsid w:val="00782EA9"/>
    <w:rsid w:val="0078304E"/>
    <w:rsid w:val="00783061"/>
    <w:rsid w:val="00783342"/>
    <w:rsid w:val="0078365A"/>
    <w:rsid w:val="00783C90"/>
    <w:rsid w:val="00783DB5"/>
    <w:rsid w:val="00784095"/>
    <w:rsid w:val="00784240"/>
    <w:rsid w:val="007843F2"/>
    <w:rsid w:val="007846FA"/>
    <w:rsid w:val="00784742"/>
    <w:rsid w:val="007848B1"/>
    <w:rsid w:val="0078513C"/>
    <w:rsid w:val="007853C5"/>
    <w:rsid w:val="00785588"/>
    <w:rsid w:val="0078571F"/>
    <w:rsid w:val="007857EF"/>
    <w:rsid w:val="00785A9F"/>
    <w:rsid w:val="00786023"/>
    <w:rsid w:val="0078646E"/>
    <w:rsid w:val="00786B7C"/>
    <w:rsid w:val="00786D88"/>
    <w:rsid w:val="00787154"/>
    <w:rsid w:val="00787CF9"/>
    <w:rsid w:val="00787D17"/>
    <w:rsid w:val="00790124"/>
    <w:rsid w:val="00790582"/>
    <w:rsid w:val="00790AF1"/>
    <w:rsid w:val="00790E40"/>
    <w:rsid w:val="00790E8B"/>
    <w:rsid w:val="007913DA"/>
    <w:rsid w:val="0079148A"/>
    <w:rsid w:val="007918BB"/>
    <w:rsid w:val="00791DC2"/>
    <w:rsid w:val="007921AD"/>
    <w:rsid w:val="00792299"/>
    <w:rsid w:val="007924B7"/>
    <w:rsid w:val="007925BF"/>
    <w:rsid w:val="007925DF"/>
    <w:rsid w:val="00792A33"/>
    <w:rsid w:val="00793220"/>
    <w:rsid w:val="0079352E"/>
    <w:rsid w:val="00793688"/>
    <w:rsid w:val="00793BDA"/>
    <w:rsid w:val="00793DDB"/>
    <w:rsid w:val="00793E5C"/>
    <w:rsid w:val="00793E78"/>
    <w:rsid w:val="00794673"/>
    <w:rsid w:val="00794A3F"/>
    <w:rsid w:val="00795207"/>
    <w:rsid w:val="00795872"/>
    <w:rsid w:val="00795976"/>
    <w:rsid w:val="00795EB3"/>
    <w:rsid w:val="0079601C"/>
    <w:rsid w:val="00796051"/>
    <w:rsid w:val="0079633C"/>
    <w:rsid w:val="007965CF"/>
    <w:rsid w:val="00796D75"/>
    <w:rsid w:val="00796EF7"/>
    <w:rsid w:val="00796FD4"/>
    <w:rsid w:val="007977AE"/>
    <w:rsid w:val="00797A63"/>
    <w:rsid w:val="007A0375"/>
    <w:rsid w:val="007A03DA"/>
    <w:rsid w:val="007A08AA"/>
    <w:rsid w:val="007A0A12"/>
    <w:rsid w:val="007A0D3C"/>
    <w:rsid w:val="007A0E8C"/>
    <w:rsid w:val="007A12BE"/>
    <w:rsid w:val="007A132D"/>
    <w:rsid w:val="007A1345"/>
    <w:rsid w:val="007A17EC"/>
    <w:rsid w:val="007A1868"/>
    <w:rsid w:val="007A21A3"/>
    <w:rsid w:val="007A22C5"/>
    <w:rsid w:val="007A2409"/>
    <w:rsid w:val="007A25DE"/>
    <w:rsid w:val="007A2DB9"/>
    <w:rsid w:val="007A2DDB"/>
    <w:rsid w:val="007A35EE"/>
    <w:rsid w:val="007A3D22"/>
    <w:rsid w:val="007A3F8D"/>
    <w:rsid w:val="007A44FB"/>
    <w:rsid w:val="007A452F"/>
    <w:rsid w:val="007A4629"/>
    <w:rsid w:val="007A4E4E"/>
    <w:rsid w:val="007A532D"/>
    <w:rsid w:val="007A54A7"/>
    <w:rsid w:val="007A5635"/>
    <w:rsid w:val="007A587D"/>
    <w:rsid w:val="007A5A3C"/>
    <w:rsid w:val="007A5D64"/>
    <w:rsid w:val="007A6395"/>
    <w:rsid w:val="007A64CF"/>
    <w:rsid w:val="007A6715"/>
    <w:rsid w:val="007A67EB"/>
    <w:rsid w:val="007A6C78"/>
    <w:rsid w:val="007A70BA"/>
    <w:rsid w:val="007A70E1"/>
    <w:rsid w:val="007A760E"/>
    <w:rsid w:val="007A7756"/>
    <w:rsid w:val="007B02F3"/>
    <w:rsid w:val="007B039F"/>
    <w:rsid w:val="007B0BE0"/>
    <w:rsid w:val="007B0D68"/>
    <w:rsid w:val="007B13BE"/>
    <w:rsid w:val="007B1593"/>
    <w:rsid w:val="007B1A5E"/>
    <w:rsid w:val="007B1D91"/>
    <w:rsid w:val="007B1E44"/>
    <w:rsid w:val="007B2346"/>
    <w:rsid w:val="007B238B"/>
    <w:rsid w:val="007B251D"/>
    <w:rsid w:val="007B2845"/>
    <w:rsid w:val="007B2F46"/>
    <w:rsid w:val="007B30AA"/>
    <w:rsid w:val="007B3506"/>
    <w:rsid w:val="007B3533"/>
    <w:rsid w:val="007B3918"/>
    <w:rsid w:val="007B3B9B"/>
    <w:rsid w:val="007B43A0"/>
    <w:rsid w:val="007B4502"/>
    <w:rsid w:val="007B45D7"/>
    <w:rsid w:val="007B4EA3"/>
    <w:rsid w:val="007B4F58"/>
    <w:rsid w:val="007B528D"/>
    <w:rsid w:val="007B59BC"/>
    <w:rsid w:val="007B5BDC"/>
    <w:rsid w:val="007B5D83"/>
    <w:rsid w:val="007B5F22"/>
    <w:rsid w:val="007B63CA"/>
    <w:rsid w:val="007B67AA"/>
    <w:rsid w:val="007B68EA"/>
    <w:rsid w:val="007B758B"/>
    <w:rsid w:val="007B77D1"/>
    <w:rsid w:val="007B7A2C"/>
    <w:rsid w:val="007C00E6"/>
    <w:rsid w:val="007C05E3"/>
    <w:rsid w:val="007C07C7"/>
    <w:rsid w:val="007C0E56"/>
    <w:rsid w:val="007C19AA"/>
    <w:rsid w:val="007C1B7B"/>
    <w:rsid w:val="007C1CD9"/>
    <w:rsid w:val="007C232B"/>
    <w:rsid w:val="007C2343"/>
    <w:rsid w:val="007C2599"/>
    <w:rsid w:val="007C2755"/>
    <w:rsid w:val="007C2D75"/>
    <w:rsid w:val="007C32EF"/>
    <w:rsid w:val="007C3314"/>
    <w:rsid w:val="007C3549"/>
    <w:rsid w:val="007C361D"/>
    <w:rsid w:val="007C37B9"/>
    <w:rsid w:val="007C38DA"/>
    <w:rsid w:val="007C3A04"/>
    <w:rsid w:val="007C3F0D"/>
    <w:rsid w:val="007C4B84"/>
    <w:rsid w:val="007C4E94"/>
    <w:rsid w:val="007C5728"/>
    <w:rsid w:val="007C5991"/>
    <w:rsid w:val="007C6095"/>
    <w:rsid w:val="007C61EF"/>
    <w:rsid w:val="007C649B"/>
    <w:rsid w:val="007C6A63"/>
    <w:rsid w:val="007C6C4E"/>
    <w:rsid w:val="007C6CB1"/>
    <w:rsid w:val="007C6D47"/>
    <w:rsid w:val="007C6F0D"/>
    <w:rsid w:val="007C70FF"/>
    <w:rsid w:val="007C78F4"/>
    <w:rsid w:val="007C79FC"/>
    <w:rsid w:val="007C7C25"/>
    <w:rsid w:val="007C7CCD"/>
    <w:rsid w:val="007C7E5A"/>
    <w:rsid w:val="007C7E82"/>
    <w:rsid w:val="007C7F1A"/>
    <w:rsid w:val="007D004F"/>
    <w:rsid w:val="007D035F"/>
    <w:rsid w:val="007D062C"/>
    <w:rsid w:val="007D06B2"/>
    <w:rsid w:val="007D06CE"/>
    <w:rsid w:val="007D0840"/>
    <w:rsid w:val="007D0B38"/>
    <w:rsid w:val="007D0D75"/>
    <w:rsid w:val="007D0EDA"/>
    <w:rsid w:val="007D1356"/>
    <w:rsid w:val="007D17AE"/>
    <w:rsid w:val="007D2817"/>
    <w:rsid w:val="007D28AA"/>
    <w:rsid w:val="007D2F87"/>
    <w:rsid w:val="007D3067"/>
    <w:rsid w:val="007D3130"/>
    <w:rsid w:val="007D3BEB"/>
    <w:rsid w:val="007D3E3D"/>
    <w:rsid w:val="007D3F99"/>
    <w:rsid w:val="007D46B3"/>
    <w:rsid w:val="007D48C4"/>
    <w:rsid w:val="007D4CAE"/>
    <w:rsid w:val="007D4EB9"/>
    <w:rsid w:val="007D5095"/>
    <w:rsid w:val="007D53B0"/>
    <w:rsid w:val="007D5440"/>
    <w:rsid w:val="007D5B40"/>
    <w:rsid w:val="007D5D02"/>
    <w:rsid w:val="007D5E17"/>
    <w:rsid w:val="007D620A"/>
    <w:rsid w:val="007D649B"/>
    <w:rsid w:val="007D6550"/>
    <w:rsid w:val="007D656D"/>
    <w:rsid w:val="007D69B9"/>
    <w:rsid w:val="007D69EB"/>
    <w:rsid w:val="007D6FEC"/>
    <w:rsid w:val="007D75E2"/>
    <w:rsid w:val="007D79FB"/>
    <w:rsid w:val="007D7A1F"/>
    <w:rsid w:val="007D7DFC"/>
    <w:rsid w:val="007D7E26"/>
    <w:rsid w:val="007D7E75"/>
    <w:rsid w:val="007E04B9"/>
    <w:rsid w:val="007E04DD"/>
    <w:rsid w:val="007E07CC"/>
    <w:rsid w:val="007E084A"/>
    <w:rsid w:val="007E0BDD"/>
    <w:rsid w:val="007E0D18"/>
    <w:rsid w:val="007E10F0"/>
    <w:rsid w:val="007E128F"/>
    <w:rsid w:val="007E1299"/>
    <w:rsid w:val="007E160C"/>
    <w:rsid w:val="007E1D89"/>
    <w:rsid w:val="007E1ED8"/>
    <w:rsid w:val="007E274D"/>
    <w:rsid w:val="007E284A"/>
    <w:rsid w:val="007E29ED"/>
    <w:rsid w:val="007E3355"/>
    <w:rsid w:val="007E3823"/>
    <w:rsid w:val="007E39BB"/>
    <w:rsid w:val="007E39EE"/>
    <w:rsid w:val="007E3E75"/>
    <w:rsid w:val="007E4748"/>
    <w:rsid w:val="007E4B11"/>
    <w:rsid w:val="007E4C79"/>
    <w:rsid w:val="007E5259"/>
    <w:rsid w:val="007E5703"/>
    <w:rsid w:val="007E583A"/>
    <w:rsid w:val="007E5944"/>
    <w:rsid w:val="007E5A7A"/>
    <w:rsid w:val="007E5B46"/>
    <w:rsid w:val="007E6424"/>
    <w:rsid w:val="007E666A"/>
    <w:rsid w:val="007E6850"/>
    <w:rsid w:val="007E6B9E"/>
    <w:rsid w:val="007E74F7"/>
    <w:rsid w:val="007E7EE6"/>
    <w:rsid w:val="007E7F32"/>
    <w:rsid w:val="007F0213"/>
    <w:rsid w:val="007F0309"/>
    <w:rsid w:val="007F0780"/>
    <w:rsid w:val="007F0E96"/>
    <w:rsid w:val="007F1017"/>
    <w:rsid w:val="007F2A91"/>
    <w:rsid w:val="007F2BA3"/>
    <w:rsid w:val="007F2DBC"/>
    <w:rsid w:val="007F30D2"/>
    <w:rsid w:val="007F310E"/>
    <w:rsid w:val="007F3505"/>
    <w:rsid w:val="007F37F5"/>
    <w:rsid w:val="007F3A4E"/>
    <w:rsid w:val="007F3EAD"/>
    <w:rsid w:val="007F453C"/>
    <w:rsid w:val="007F46D0"/>
    <w:rsid w:val="007F4A3F"/>
    <w:rsid w:val="007F4A61"/>
    <w:rsid w:val="007F4BC1"/>
    <w:rsid w:val="007F5255"/>
    <w:rsid w:val="007F529E"/>
    <w:rsid w:val="007F52AA"/>
    <w:rsid w:val="007F56CC"/>
    <w:rsid w:val="007F57FE"/>
    <w:rsid w:val="007F5B3B"/>
    <w:rsid w:val="007F61C2"/>
    <w:rsid w:val="007F63C6"/>
    <w:rsid w:val="007F650A"/>
    <w:rsid w:val="007F68D1"/>
    <w:rsid w:val="007F6B66"/>
    <w:rsid w:val="007F6C6E"/>
    <w:rsid w:val="007F7D1B"/>
    <w:rsid w:val="007F7EA7"/>
    <w:rsid w:val="0080099B"/>
    <w:rsid w:val="008009C9"/>
    <w:rsid w:val="00800C22"/>
    <w:rsid w:val="00800C52"/>
    <w:rsid w:val="0080110D"/>
    <w:rsid w:val="0080110F"/>
    <w:rsid w:val="00801155"/>
    <w:rsid w:val="0080195A"/>
    <w:rsid w:val="008020E3"/>
    <w:rsid w:val="0080275F"/>
    <w:rsid w:val="00802E50"/>
    <w:rsid w:val="008030D6"/>
    <w:rsid w:val="008031AB"/>
    <w:rsid w:val="008033CF"/>
    <w:rsid w:val="0080383A"/>
    <w:rsid w:val="00803B46"/>
    <w:rsid w:val="00804304"/>
    <w:rsid w:val="008043D6"/>
    <w:rsid w:val="00804454"/>
    <w:rsid w:val="008045CB"/>
    <w:rsid w:val="0080483B"/>
    <w:rsid w:val="008048CE"/>
    <w:rsid w:val="00804A7D"/>
    <w:rsid w:val="00804BE7"/>
    <w:rsid w:val="00804EAD"/>
    <w:rsid w:val="00805142"/>
    <w:rsid w:val="0080566B"/>
    <w:rsid w:val="00805A2E"/>
    <w:rsid w:val="00805A44"/>
    <w:rsid w:val="00805EDB"/>
    <w:rsid w:val="00805FCE"/>
    <w:rsid w:val="008061C0"/>
    <w:rsid w:val="00806986"/>
    <w:rsid w:val="00806F92"/>
    <w:rsid w:val="008071D4"/>
    <w:rsid w:val="00807A8B"/>
    <w:rsid w:val="00807B9C"/>
    <w:rsid w:val="00807FD7"/>
    <w:rsid w:val="00810112"/>
    <w:rsid w:val="008107E2"/>
    <w:rsid w:val="008109ED"/>
    <w:rsid w:val="00810A3E"/>
    <w:rsid w:val="00810EE7"/>
    <w:rsid w:val="00810FA8"/>
    <w:rsid w:val="00811383"/>
    <w:rsid w:val="00811842"/>
    <w:rsid w:val="00811FB2"/>
    <w:rsid w:val="00812149"/>
    <w:rsid w:val="0081244D"/>
    <w:rsid w:val="00812CAC"/>
    <w:rsid w:val="0081321C"/>
    <w:rsid w:val="0081340F"/>
    <w:rsid w:val="00813693"/>
    <w:rsid w:val="008136FB"/>
    <w:rsid w:val="0081372D"/>
    <w:rsid w:val="00813769"/>
    <w:rsid w:val="008145F3"/>
    <w:rsid w:val="008149CF"/>
    <w:rsid w:val="00814A3F"/>
    <w:rsid w:val="00814C03"/>
    <w:rsid w:val="0081535E"/>
    <w:rsid w:val="0081556B"/>
    <w:rsid w:val="008156A7"/>
    <w:rsid w:val="008158C9"/>
    <w:rsid w:val="00815A7F"/>
    <w:rsid w:val="00816361"/>
    <w:rsid w:val="008166EF"/>
    <w:rsid w:val="00816EA1"/>
    <w:rsid w:val="00816FEF"/>
    <w:rsid w:val="0081719E"/>
    <w:rsid w:val="00817588"/>
    <w:rsid w:val="008176B1"/>
    <w:rsid w:val="008179CE"/>
    <w:rsid w:val="00817FEC"/>
    <w:rsid w:val="00820A05"/>
    <w:rsid w:val="00820A3D"/>
    <w:rsid w:val="00820A8C"/>
    <w:rsid w:val="00821009"/>
    <w:rsid w:val="008211D0"/>
    <w:rsid w:val="00821256"/>
    <w:rsid w:val="0082127F"/>
    <w:rsid w:val="008214F0"/>
    <w:rsid w:val="008215FB"/>
    <w:rsid w:val="00821660"/>
    <w:rsid w:val="008217B1"/>
    <w:rsid w:val="00821CA2"/>
    <w:rsid w:val="00822090"/>
    <w:rsid w:val="008220CC"/>
    <w:rsid w:val="00822199"/>
    <w:rsid w:val="008221FD"/>
    <w:rsid w:val="008224FF"/>
    <w:rsid w:val="00822510"/>
    <w:rsid w:val="00822B0E"/>
    <w:rsid w:val="00823049"/>
    <w:rsid w:val="00823160"/>
    <w:rsid w:val="00823174"/>
    <w:rsid w:val="008235DD"/>
    <w:rsid w:val="008239FE"/>
    <w:rsid w:val="00824182"/>
    <w:rsid w:val="0082448F"/>
    <w:rsid w:val="00824F93"/>
    <w:rsid w:val="00825751"/>
    <w:rsid w:val="00825B12"/>
    <w:rsid w:val="00825EB4"/>
    <w:rsid w:val="008261D2"/>
    <w:rsid w:val="008264D5"/>
    <w:rsid w:val="008264EB"/>
    <w:rsid w:val="008266B3"/>
    <w:rsid w:val="0082686C"/>
    <w:rsid w:val="008268CE"/>
    <w:rsid w:val="00826B09"/>
    <w:rsid w:val="00826D8C"/>
    <w:rsid w:val="00826E6F"/>
    <w:rsid w:val="00826FBF"/>
    <w:rsid w:val="0082705E"/>
    <w:rsid w:val="008270C3"/>
    <w:rsid w:val="008275D9"/>
    <w:rsid w:val="00827C23"/>
    <w:rsid w:val="00827C3A"/>
    <w:rsid w:val="00827DD9"/>
    <w:rsid w:val="00830194"/>
    <w:rsid w:val="008302A6"/>
    <w:rsid w:val="008308B4"/>
    <w:rsid w:val="00830C30"/>
    <w:rsid w:val="008311A7"/>
    <w:rsid w:val="008315D2"/>
    <w:rsid w:val="008317BD"/>
    <w:rsid w:val="0083276B"/>
    <w:rsid w:val="00832CFB"/>
    <w:rsid w:val="00833178"/>
    <w:rsid w:val="0083346D"/>
    <w:rsid w:val="008338EB"/>
    <w:rsid w:val="00833B05"/>
    <w:rsid w:val="008343D2"/>
    <w:rsid w:val="00834493"/>
    <w:rsid w:val="00834A5E"/>
    <w:rsid w:val="00834CD3"/>
    <w:rsid w:val="00834E8D"/>
    <w:rsid w:val="00835230"/>
    <w:rsid w:val="0083526B"/>
    <w:rsid w:val="008353B9"/>
    <w:rsid w:val="0083551E"/>
    <w:rsid w:val="0083581C"/>
    <w:rsid w:val="0083585C"/>
    <w:rsid w:val="008362B4"/>
    <w:rsid w:val="008373BD"/>
    <w:rsid w:val="008378E5"/>
    <w:rsid w:val="00837CEF"/>
    <w:rsid w:val="00837F37"/>
    <w:rsid w:val="00840147"/>
    <w:rsid w:val="00840479"/>
    <w:rsid w:val="00840B0F"/>
    <w:rsid w:val="00840CA2"/>
    <w:rsid w:val="00840F76"/>
    <w:rsid w:val="008410DB"/>
    <w:rsid w:val="0084154B"/>
    <w:rsid w:val="0084168C"/>
    <w:rsid w:val="008417CC"/>
    <w:rsid w:val="008418A2"/>
    <w:rsid w:val="0084196B"/>
    <w:rsid w:val="00841E82"/>
    <w:rsid w:val="00842345"/>
    <w:rsid w:val="0084245D"/>
    <w:rsid w:val="00842566"/>
    <w:rsid w:val="0084288E"/>
    <w:rsid w:val="00842CF2"/>
    <w:rsid w:val="0084374F"/>
    <w:rsid w:val="00843C2D"/>
    <w:rsid w:val="00844145"/>
    <w:rsid w:val="0084425E"/>
    <w:rsid w:val="008444D7"/>
    <w:rsid w:val="0084453B"/>
    <w:rsid w:val="0084482C"/>
    <w:rsid w:val="00844A22"/>
    <w:rsid w:val="00844AFA"/>
    <w:rsid w:val="00845849"/>
    <w:rsid w:val="00845DD0"/>
    <w:rsid w:val="00845FD3"/>
    <w:rsid w:val="008461D0"/>
    <w:rsid w:val="008462B4"/>
    <w:rsid w:val="00846416"/>
    <w:rsid w:val="00846C71"/>
    <w:rsid w:val="00846CAB"/>
    <w:rsid w:val="00846FB7"/>
    <w:rsid w:val="008470E6"/>
    <w:rsid w:val="0084737D"/>
    <w:rsid w:val="00847382"/>
    <w:rsid w:val="00847703"/>
    <w:rsid w:val="00847CEA"/>
    <w:rsid w:val="00847DF5"/>
    <w:rsid w:val="00850088"/>
    <w:rsid w:val="008505DA"/>
    <w:rsid w:val="00850B2D"/>
    <w:rsid w:val="00850C15"/>
    <w:rsid w:val="00850FE8"/>
    <w:rsid w:val="0085171E"/>
    <w:rsid w:val="0085182F"/>
    <w:rsid w:val="008524FC"/>
    <w:rsid w:val="00852925"/>
    <w:rsid w:val="0085309D"/>
    <w:rsid w:val="00853571"/>
    <w:rsid w:val="00853C5B"/>
    <w:rsid w:val="00853DC9"/>
    <w:rsid w:val="00854054"/>
    <w:rsid w:val="008547B9"/>
    <w:rsid w:val="00854844"/>
    <w:rsid w:val="00854ED1"/>
    <w:rsid w:val="008552F4"/>
    <w:rsid w:val="00855301"/>
    <w:rsid w:val="0085572C"/>
    <w:rsid w:val="008559E2"/>
    <w:rsid w:val="00855B13"/>
    <w:rsid w:val="00855F8B"/>
    <w:rsid w:val="008560B7"/>
    <w:rsid w:val="008563E8"/>
    <w:rsid w:val="008566E6"/>
    <w:rsid w:val="00856897"/>
    <w:rsid w:val="00856BD0"/>
    <w:rsid w:val="00856BE3"/>
    <w:rsid w:val="00856E9A"/>
    <w:rsid w:val="008571B2"/>
    <w:rsid w:val="0085738F"/>
    <w:rsid w:val="0085744A"/>
    <w:rsid w:val="00860146"/>
    <w:rsid w:val="0086028A"/>
    <w:rsid w:val="008603AE"/>
    <w:rsid w:val="008603E3"/>
    <w:rsid w:val="008603E8"/>
    <w:rsid w:val="0086052E"/>
    <w:rsid w:val="0086063B"/>
    <w:rsid w:val="0086075D"/>
    <w:rsid w:val="00860ABE"/>
    <w:rsid w:val="00860CFF"/>
    <w:rsid w:val="00861458"/>
    <w:rsid w:val="00861D1B"/>
    <w:rsid w:val="0086216B"/>
    <w:rsid w:val="00862502"/>
    <w:rsid w:val="00862AA0"/>
    <w:rsid w:val="00862CC1"/>
    <w:rsid w:val="00862E6E"/>
    <w:rsid w:val="0086336C"/>
    <w:rsid w:val="0086390C"/>
    <w:rsid w:val="00863916"/>
    <w:rsid w:val="00863AAE"/>
    <w:rsid w:val="00863F6B"/>
    <w:rsid w:val="008642A7"/>
    <w:rsid w:val="00864469"/>
    <w:rsid w:val="00864758"/>
    <w:rsid w:val="0086488B"/>
    <w:rsid w:val="00865265"/>
    <w:rsid w:val="008653CF"/>
    <w:rsid w:val="00865502"/>
    <w:rsid w:val="0086558F"/>
    <w:rsid w:val="00865DEA"/>
    <w:rsid w:val="008660D4"/>
    <w:rsid w:val="0086621E"/>
    <w:rsid w:val="0086623F"/>
    <w:rsid w:val="00866481"/>
    <w:rsid w:val="0086653E"/>
    <w:rsid w:val="00866829"/>
    <w:rsid w:val="00866AC6"/>
    <w:rsid w:val="00866EF1"/>
    <w:rsid w:val="00866F03"/>
    <w:rsid w:val="008671B7"/>
    <w:rsid w:val="00867708"/>
    <w:rsid w:val="0086778F"/>
    <w:rsid w:val="008677BE"/>
    <w:rsid w:val="008707D5"/>
    <w:rsid w:val="00870A9E"/>
    <w:rsid w:val="00870AC6"/>
    <w:rsid w:val="008711A5"/>
    <w:rsid w:val="00871276"/>
    <w:rsid w:val="00871389"/>
    <w:rsid w:val="00871547"/>
    <w:rsid w:val="00871D26"/>
    <w:rsid w:val="00871F93"/>
    <w:rsid w:val="00871FA9"/>
    <w:rsid w:val="0087233D"/>
    <w:rsid w:val="00872514"/>
    <w:rsid w:val="0087269D"/>
    <w:rsid w:val="008728E8"/>
    <w:rsid w:val="008728E9"/>
    <w:rsid w:val="00872A4D"/>
    <w:rsid w:val="00873731"/>
    <w:rsid w:val="0087406A"/>
    <w:rsid w:val="008740F0"/>
    <w:rsid w:val="00874621"/>
    <w:rsid w:val="0087516A"/>
    <w:rsid w:val="00875201"/>
    <w:rsid w:val="0087583F"/>
    <w:rsid w:val="00875846"/>
    <w:rsid w:val="00875BC1"/>
    <w:rsid w:val="00876215"/>
    <w:rsid w:val="0087647B"/>
    <w:rsid w:val="00876AF5"/>
    <w:rsid w:val="00876CF4"/>
    <w:rsid w:val="00876D31"/>
    <w:rsid w:val="00876D9A"/>
    <w:rsid w:val="00876DD6"/>
    <w:rsid w:val="00876F3C"/>
    <w:rsid w:val="00877B2F"/>
    <w:rsid w:val="00877E49"/>
    <w:rsid w:val="008801B7"/>
    <w:rsid w:val="00880A8F"/>
    <w:rsid w:val="00880B92"/>
    <w:rsid w:val="0088125D"/>
    <w:rsid w:val="008812EF"/>
    <w:rsid w:val="00881333"/>
    <w:rsid w:val="00881347"/>
    <w:rsid w:val="008813D6"/>
    <w:rsid w:val="008817F2"/>
    <w:rsid w:val="00881A13"/>
    <w:rsid w:val="00882015"/>
    <w:rsid w:val="0088267D"/>
    <w:rsid w:val="00882874"/>
    <w:rsid w:val="00882A29"/>
    <w:rsid w:val="00882E3C"/>
    <w:rsid w:val="0088308A"/>
    <w:rsid w:val="008834DB"/>
    <w:rsid w:val="00883787"/>
    <w:rsid w:val="00883794"/>
    <w:rsid w:val="008839F1"/>
    <w:rsid w:val="00883E40"/>
    <w:rsid w:val="008843AA"/>
    <w:rsid w:val="008844BA"/>
    <w:rsid w:val="008844CE"/>
    <w:rsid w:val="00884593"/>
    <w:rsid w:val="00884B87"/>
    <w:rsid w:val="008855E4"/>
    <w:rsid w:val="00885735"/>
    <w:rsid w:val="00885883"/>
    <w:rsid w:val="00885BF8"/>
    <w:rsid w:val="00886378"/>
    <w:rsid w:val="00886A16"/>
    <w:rsid w:val="00886CD2"/>
    <w:rsid w:val="00886E3D"/>
    <w:rsid w:val="00886E75"/>
    <w:rsid w:val="0088703E"/>
    <w:rsid w:val="00887452"/>
    <w:rsid w:val="00887606"/>
    <w:rsid w:val="00887A3C"/>
    <w:rsid w:val="00887BBD"/>
    <w:rsid w:val="008900C3"/>
    <w:rsid w:val="00890341"/>
    <w:rsid w:val="008908C0"/>
    <w:rsid w:val="00890A33"/>
    <w:rsid w:val="00891577"/>
    <w:rsid w:val="0089189F"/>
    <w:rsid w:val="008919A4"/>
    <w:rsid w:val="00891E6F"/>
    <w:rsid w:val="0089204F"/>
    <w:rsid w:val="00892481"/>
    <w:rsid w:val="0089275D"/>
    <w:rsid w:val="00892A36"/>
    <w:rsid w:val="00892AA4"/>
    <w:rsid w:val="00892FFF"/>
    <w:rsid w:val="008931F6"/>
    <w:rsid w:val="00893239"/>
    <w:rsid w:val="00893289"/>
    <w:rsid w:val="0089379B"/>
    <w:rsid w:val="00893AD4"/>
    <w:rsid w:val="00893CF6"/>
    <w:rsid w:val="00893E9C"/>
    <w:rsid w:val="00894170"/>
    <w:rsid w:val="0089420E"/>
    <w:rsid w:val="00894305"/>
    <w:rsid w:val="00894489"/>
    <w:rsid w:val="0089458D"/>
    <w:rsid w:val="008945B3"/>
    <w:rsid w:val="00894981"/>
    <w:rsid w:val="00894CD6"/>
    <w:rsid w:val="00894E10"/>
    <w:rsid w:val="00894EA4"/>
    <w:rsid w:val="00895219"/>
    <w:rsid w:val="00895A6D"/>
    <w:rsid w:val="00895B06"/>
    <w:rsid w:val="008963A5"/>
    <w:rsid w:val="00896544"/>
    <w:rsid w:val="00896563"/>
    <w:rsid w:val="00896B76"/>
    <w:rsid w:val="00896C54"/>
    <w:rsid w:val="00896C8A"/>
    <w:rsid w:val="00896D5D"/>
    <w:rsid w:val="00897031"/>
    <w:rsid w:val="0089736B"/>
    <w:rsid w:val="00897730"/>
    <w:rsid w:val="00897C1B"/>
    <w:rsid w:val="00897EBE"/>
    <w:rsid w:val="008A14BD"/>
    <w:rsid w:val="008A164C"/>
    <w:rsid w:val="008A1946"/>
    <w:rsid w:val="008A1AE0"/>
    <w:rsid w:val="008A1E64"/>
    <w:rsid w:val="008A217F"/>
    <w:rsid w:val="008A21EB"/>
    <w:rsid w:val="008A22D4"/>
    <w:rsid w:val="008A265F"/>
    <w:rsid w:val="008A2CCC"/>
    <w:rsid w:val="008A2D1C"/>
    <w:rsid w:val="008A30E3"/>
    <w:rsid w:val="008A3158"/>
    <w:rsid w:val="008A3167"/>
    <w:rsid w:val="008A3363"/>
    <w:rsid w:val="008A3371"/>
    <w:rsid w:val="008A396F"/>
    <w:rsid w:val="008A399F"/>
    <w:rsid w:val="008A3C3E"/>
    <w:rsid w:val="008A40A6"/>
    <w:rsid w:val="008A43A9"/>
    <w:rsid w:val="008A4C44"/>
    <w:rsid w:val="008A5AA7"/>
    <w:rsid w:val="008A5BFA"/>
    <w:rsid w:val="008A5DCF"/>
    <w:rsid w:val="008A5F81"/>
    <w:rsid w:val="008A61B5"/>
    <w:rsid w:val="008A73DB"/>
    <w:rsid w:val="008A7768"/>
    <w:rsid w:val="008A79B2"/>
    <w:rsid w:val="008A79DE"/>
    <w:rsid w:val="008B0522"/>
    <w:rsid w:val="008B088E"/>
    <w:rsid w:val="008B0BA4"/>
    <w:rsid w:val="008B1393"/>
    <w:rsid w:val="008B15AB"/>
    <w:rsid w:val="008B1757"/>
    <w:rsid w:val="008B176A"/>
    <w:rsid w:val="008B1C33"/>
    <w:rsid w:val="008B1D47"/>
    <w:rsid w:val="008B1DF3"/>
    <w:rsid w:val="008B1E1D"/>
    <w:rsid w:val="008B22C7"/>
    <w:rsid w:val="008B2713"/>
    <w:rsid w:val="008B2860"/>
    <w:rsid w:val="008B2ECB"/>
    <w:rsid w:val="008B3028"/>
    <w:rsid w:val="008B30F4"/>
    <w:rsid w:val="008B3301"/>
    <w:rsid w:val="008B3327"/>
    <w:rsid w:val="008B3509"/>
    <w:rsid w:val="008B3807"/>
    <w:rsid w:val="008B3911"/>
    <w:rsid w:val="008B436B"/>
    <w:rsid w:val="008B43C5"/>
    <w:rsid w:val="008B450E"/>
    <w:rsid w:val="008B46B6"/>
    <w:rsid w:val="008B4996"/>
    <w:rsid w:val="008B4B6F"/>
    <w:rsid w:val="008B4C31"/>
    <w:rsid w:val="008B4CBB"/>
    <w:rsid w:val="008B4D84"/>
    <w:rsid w:val="008B58D5"/>
    <w:rsid w:val="008B5908"/>
    <w:rsid w:val="008B66DD"/>
    <w:rsid w:val="008B68E3"/>
    <w:rsid w:val="008B6957"/>
    <w:rsid w:val="008B7230"/>
    <w:rsid w:val="008B723A"/>
    <w:rsid w:val="008B7374"/>
    <w:rsid w:val="008B7581"/>
    <w:rsid w:val="008B7685"/>
    <w:rsid w:val="008B76D3"/>
    <w:rsid w:val="008B798E"/>
    <w:rsid w:val="008B7992"/>
    <w:rsid w:val="008B7B9B"/>
    <w:rsid w:val="008B7D7E"/>
    <w:rsid w:val="008B7F15"/>
    <w:rsid w:val="008C0156"/>
    <w:rsid w:val="008C01E0"/>
    <w:rsid w:val="008C0643"/>
    <w:rsid w:val="008C07DC"/>
    <w:rsid w:val="008C0BA6"/>
    <w:rsid w:val="008C0C2F"/>
    <w:rsid w:val="008C0D97"/>
    <w:rsid w:val="008C0DFD"/>
    <w:rsid w:val="008C1609"/>
    <w:rsid w:val="008C1B89"/>
    <w:rsid w:val="008C1D22"/>
    <w:rsid w:val="008C201C"/>
    <w:rsid w:val="008C2063"/>
    <w:rsid w:val="008C25D7"/>
    <w:rsid w:val="008C2A49"/>
    <w:rsid w:val="008C3A0D"/>
    <w:rsid w:val="008C4102"/>
    <w:rsid w:val="008C433D"/>
    <w:rsid w:val="008C4717"/>
    <w:rsid w:val="008C49D4"/>
    <w:rsid w:val="008C4D2A"/>
    <w:rsid w:val="008C5610"/>
    <w:rsid w:val="008C5739"/>
    <w:rsid w:val="008C5811"/>
    <w:rsid w:val="008C5858"/>
    <w:rsid w:val="008C5DA0"/>
    <w:rsid w:val="008C6226"/>
    <w:rsid w:val="008C695E"/>
    <w:rsid w:val="008C6995"/>
    <w:rsid w:val="008C6B8E"/>
    <w:rsid w:val="008C6F0B"/>
    <w:rsid w:val="008C721A"/>
    <w:rsid w:val="008C7282"/>
    <w:rsid w:val="008C798F"/>
    <w:rsid w:val="008C7ECB"/>
    <w:rsid w:val="008D03BC"/>
    <w:rsid w:val="008D0CC5"/>
    <w:rsid w:val="008D0F5C"/>
    <w:rsid w:val="008D0F9A"/>
    <w:rsid w:val="008D1D7C"/>
    <w:rsid w:val="008D25F1"/>
    <w:rsid w:val="008D33A2"/>
    <w:rsid w:val="008D3B86"/>
    <w:rsid w:val="008D4078"/>
    <w:rsid w:val="008D43FD"/>
    <w:rsid w:val="008D4454"/>
    <w:rsid w:val="008D4755"/>
    <w:rsid w:val="008D485C"/>
    <w:rsid w:val="008D4A8E"/>
    <w:rsid w:val="008D4C3D"/>
    <w:rsid w:val="008D4EC6"/>
    <w:rsid w:val="008D5A0A"/>
    <w:rsid w:val="008D5F4D"/>
    <w:rsid w:val="008D6037"/>
    <w:rsid w:val="008D60DC"/>
    <w:rsid w:val="008D62A0"/>
    <w:rsid w:val="008D6372"/>
    <w:rsid w:val="008D648E"/>
    <w:rsid w:val="008D69CB"/>
    <w:rsid w:val="008D69D2"/>
    <w:rsid w:val="008D6C75"/>
    <w:rsid w:val="008D6F2F"/>
    <w:rsid w:val="008D724B"/>
    <w:rsid w:val="008D72CC"/>
    <w:rsid w:val="008D743C"/>
    <w:rsid w:val="008D78D1"/>
    <w:rsid w:val="008D79A9"/>
    <w:rsid w:val="008D7B3F"/>
    <w:rsid w:val="008E0186"/>
    <w:rsid w:val="008E03C3"/>
    <w:rsid w:val="008E09CF"/>
    <w:rsid w:val="008E0BF7"/>
    <w:rsid w:val="008E0CD7"/>
    <w:rsid w:val="008E0D2F"/>
    <w:rsid w:val="008E0D3C"/>
    <w:rsid w:val="008E0DEF"/>
    <w:rsid w:val="008E0E21"/>
    <w:rsid w:val="008E1535"/>
    <w:rsid w:val="008E1B9E"/>
    <w:rsid w:val="008E2831"/>
    <w:rsid w:val="008E2E5B"/>
    <w:rsid w:val="008E3083"/>
    <w:rsid w:val="008E30F4"/>
    <w:rsid w:val="008E3343"/>
    <w:rsid w:val="008E35B3"/>
    <w:rsid w:val="008E3BCA"/>
    <w:rsid w:val="008E3FEE"/>
    <w:rsid w:val="008E440B"/>
    <w:rsid w:val="008E4A40"/>
    <w:rsid w:val="008E55AB"/>
    <w:rsid w:val="008E5D81"/>
    <w:rsid w:val="008E65FC"/>
    <w:rsid w:val="008E67C3"/>
    <w:rsid w:val="008E725F"/>
    <w:rsid w:val="008E7ACD"/>
    <w:rsid w:val="008E7C16"/>
    <w:rsid w:val="008E7D64"/>
    <w:rsid w:val="008F043E"/>
    <w:rsid w:val="008F0481"/>
    <w:rsid w:val="008F120A"/>
    <w:rsid w:val="008F1259"/>
    <w:rsid w:val="008F1339"/>
    <w:rsid w:val="008F1A81"/>
    <w:rsid w:val="008F1F46"/>
    <w:rsid w:val="008F2268"/>
    <w:rsid w:val="008F27E0"/>
    <w:rsid w:val="008F2834"/>
    <w:rsid w:val="008F313D"/>
    <w:rsid w:val="008F3477"/>
    <w:rsid w:val="008F3BD7"/>
    <w:rsid w:val="008F3C5E"/>
    <w:rsid w:val="008F3E7D"/>
    <w:rsid w:val="008F3EF1"/>
    <w:rsid w:val="008F40AD"/>
    <w:rsid w:val="008F40AF"/>
    <w:rsid w:val="008F4801"/>
    <w:rsid w:val="008F48EB"/>
    <w:rsid w:val="008F4CDE"/>
    <w:rsid w:val="008F4D64"/>
    <w:rsid w:val="008F4F0B"/>
    <w:rsid w:val="008F502F"/>
    <w:rsid w:val="008F58C4"/>
    <w:rsid w:val="008F58EE"/>
    <w:rsid w:val="008F5A05"/>
    <w:rsid w:val="008F625B"/>
    <w:rsid w:val="008F64F9"/>
    <w:rsid w:val="008F670F"/>
    <w:rsid w:val="008F6C35"/>
    <w:rsid w:val="008F6CA9"/>
    <w:rsid w:val="008F72B7"/>
    <w:rsid w:val="008F735D"/>
    <w:rsid w:val="008F76FF"/>
    <w:rsid w:val="008F7852"/>
    <w:rsid w:val="008F785C"/>
    <w:rsid w:val="008F7E30"/>
    <w:rsid w:val="009003E4"/>
    <w:rsid w:val="00900F8D"/>
    <w:rsid w:val="00901281"/>
    <w:rsid w:val="009015D7"/>
    <w:rsid w:val="0090167C"/>
    <w:rsid w:val="00902225"/>
    <w:rsid w:val="00902595"/>
    <w:rsid w:val="00902BA8"/>
    <w:rsid w:val="00902D13"/>
    <w:rsid w:val="00902E1E"/>
    <w:rsid w:val="009037A3"/>
    <w:rsid w:val="00903DB4"/>
    <w:rsid w:val="00904468"/>
    <w:rsid w:val="009044B5"/>
    <w:rsid w:val="009046C4"/>
    <w:rsid w:val="00905392"/>
    <w:rsid w:val="00905DF1"/>
    <w:rsid w:val="0090600D"/>
    <w:rsid w:val="009062A5"/>
    <w:rsid w:val="00907699"/>
    <w:rsid w:val="00910522"/>
    <w:rsid w:val="00910C0E"/>
    <w:rsid w:val="00910DA3"/>
    <w:rsid w:val="00910FA7"/>
    <w:rsid w:val="00911272"/>
    <w:rsid w:val="00911339"/>
    <w:rsid w:val="00911577"/>
    <w:rsid w:val="009115A7"/>
    <w:rsid w:val="00911A5A"/>
    <w:rsid w:val="00911C13"/>
    <w:rsid w:val="00911CDE"/>
    <w:rsid w:val="0091212C"/>
    <w:rsid w:val="00912298"/>
    <w:rsid w:val="009123AE"/>
    <w:rsid w:val="00912E74"/>
    <w:rsid w:val="00912E96"/>
    <w:rsid w:val="0091359F"/>
    <w:rsid w:val="009135D6"/>
    <w:rsid w:val="00913867"/>
    <w:rsid w:val="009145AD"/>
    <w:rsid w:val="00914642"/>
    <w:rsid w:val="00914827"/>
    <w:rsid w:val="00914C77"/>
    <w:rsid w:val="00914DD0"/>
    <w:rsid w:val="009152E0"/>
    <w:rsid w:val="00915303"/>
    <w:rsid w:val="00915B51"/>
    <w:rsid w:val="00915BC1"/>
    <w:rsid w:val="00916B2F"/>
    <w:rsid w:val="00917524"/>
    <w:rsid w:val="009175D8"/>
    <w:rsid w:val="009179F6"/>
    <w:rsid w:val="00917D7E"/>
    <w:rsid w:val="00917DFD"/>
    <w:rsid w:val="0092029E"/>
    <w:rsid w:val="00920A4E"/>
    <w:rsid w:val="00920ADC"/>
    <w:rsid w:val="00920CB6"/>
    <w:rsid w:val="00920E7E"/>
    <w:rsid w:val="00921712"/>
    <w:rsid w:val="009217FA"/>
    <w:rsid w:val="009217FE"/>
    <w:rsid w:val="00921ACB"/>
    <w:rsid w:val="0092202F"/>
    <w:rsid w:val="009221AC"/>
    <w:rsid w:val="009225B8"/>
    <w:rsid w:val="00922653"/>
    <w:rsid w:val="00922C2E"/>
    <w:rsid w:val="00922DD3"/>
    <w:rsid w:val="0092327F"/>
    <w:rsid w:val="0092369B"/>
    <w:rsid w:val="00923D51"/>
    <w:rsid w:val="00923F7E"/>
    <w:rsid w:val="00924474"/>
    <w:rsid w:val="009246F6"/>
    <w:rsid w:val="00924D0C"/>
    <w:rsid w:val="00925067"/>
    <w:rsid w:val="00925C63"/>
    <w:rsid w:val="0092609D"/>
    <w:rsid w:val="00926388"/>
    <w:rsid w:val="009264D6"/>
    <w:rsid w:val="0092666C"/>
    <w:rsid w:val="00926B54"/>
    <w:rsid w:val="00926B7C"/>
    <w:rsid w:val="00926E46"/>
    <w:rsid w:val="00927FE7"/>
    <w:rsid w:val="00930234"/>
    <w:rsid w:val="009302D3"/>
    <w:rsid w:val="0093054E"/>
    <w:rsid w:val="0093133C"/>
    <w:rsid w:val="00931970"/>
    <w:rsid w:val="00931A40"/>
    <w:rsid w:val="00931AF0"/>
    <w:rsid w:val="00931F52"/>
    <w:rsid w:val="00932211"/>
    <w:rsid w:val="00932281"/>
    <w:rsid w:val="00932647"/>
    <w:rsid w:val="00932907"/>
    <w:rsid w:val="00932BCE"/>
    <w:rsid w:val="00932DBB"/>
    <w:rsid w:val="00932F0A"/>
    <w:rsid w:val="00932F7C"/>
    <w:rsid w:val="009335DA"/>
    <w:rsid w:val="0093366A"/>
    <w:rsid w:val="00933DF3"/>
    <w:rsid w:val="00934392"/>
    <w:rsid w:val="009348F0"/>
    <w:rsid w:val="00934988"/>
    <w:rsid w:val="00934DBA"/>
    <w:rsid w:val="009351F8"/>
    <w:rsid w:val="009356B0"/>
    <w:rsid w:val="009358B1"/>
    <w:rsid w:val="009359E5"/>
    <w:rsid w:val="00935A38"/>
    <w:rsid w:val="00935B60"/>
    <w:rsid w:val="00935E11"/>
    <w:rsid w:val="00936051"/>
    <w:rsid w:val="0093672B"/>
    <w:rsid w:val="00936CF0"/>
    <w:rsid w:val="00937089"/>
    <w:rsid w:val="009378EA"/>
    <w:rsid w:val="00937A36"/>
    <w:rsid w:val="00937C2C"/>
    <w:rsid w:val="00937FA1"/>
    <w:rsid w:val="00940330"/>
    <w:rsid w:val="00940445"/>
    <w:rsid w:val="00940DD5"/>
    <w:rsid w:val="00940FA2"/>
    <w:rsid w:val="00941057"/>
    <w:rsid w:val="009410F1"/>
    <w:rsid w:val="00941653"/>
    <w:rsid w:val="009424F5"/>
    <w:rsid w:val="00942611"/>
    <w:rsid w:val="009426B3"/>
    <w:rsid w:val="009427EE"/>
    <w:rsid w:val="009427EF"/>
    <w:rsid w:val="00942A88"/>
    <w:rsid w:val="00942E0C"/>
    <w:rsid w:val="00942E67"/>
    <w:rsid w:val="00942F0F"/>
    <w:rsid w:val="009431DF"/>
    <w:rsid w:val="009438B0"/>
    <w:rsid w:val="00943B78"/>
    <w:rsid w:val="0094407A"/>
    <w:rsid w:val="00944F8A"/>
    <w:rsid w:val="009458F6"/>
    <w:rsid w:val="00946060"/>
    <w:rsid w:val="00946330"/>
    <w:rsid w:val="0094633D"/>
    <w:rsid w:val="00946489"/>
    <w:rsid w:val="00946CEE"/>
    <w:rsid w:val="00946EAB"/>
    <w:rsid w:val="009477CD"/>
    <w:rsid w:val="0094796C"/>
    <w:rsid w:val="00947C10"/>
    <w:rsid w:val="00947C8E"/>
    <w:rsid w:val="00947CD0"/>
    <w:rsid w:val="00950155"/>
    <w:rsid w:val="0095025B"/>
    <w:rsid w:val="009502AF"/>
    <w:rsid w:val="009502EA"/>
    <w:rsid w:val="009503FF"/>
    <w:rsid w:val="0095093A"/>
    <w:rsid w:val="00950BCD"/>
    <w:rsid w:val="00950DE0"/>
    <w:rsid w:val="009510A2"/>
    <w:rsid w:val="009512E4"/>
    <w:rsid w:val="00951602"/>
    <w:rsid w:val="00951BD5"/>
    <w:rsid w:val="00951C66"/>
    <w:rsid w:val="00951DB1"/>
    <w:rsid w:val="009524AB"/>
    <w:rsid w:val="00952681"/>
    <w:rsid w:val="009527BD"/>
    <w:rsid w:val="00952B39"/>
    <w:rsid w:val="00952E6C"/>
    <w:rsid w:val="00953193"/>
    <w:rsid w:val="00953257"/>
    <w:rsid w:val="0095328E"/>
    <w:rsid w:val="009533F9"/>
    <w:rsid w:val="00953770"/>
    <w:rsid w:val="00953B1E"/>
    <w:rsid w:val="009545BD"/>
    <w:rsid w:val="0095474C"/>
    <w:rsid w:val="0095504A"/>
    <w:rsid w:val="009552E9"/>
    <w:rsid w:val="009553AC"/>
    <w:rsid w:val="00955960"/>
    <w:rsid w:val="00955A96"/>
    <w:rsid w:val="00955DD8"/>
    <w:rsid w:val="00955F95"/>
    <w:rsid w:val="0095616A"/>
    <w:rsid w:val="00956181"/>
    <w:rsid w:val="0095641E"/>
    <w:rsid w:val="0095646C"/>
    <w:rsid w:val="00956C4D"/>
    <w:rsid w:val="00957012"/>
    <w:rsid w:val="00957161"/>
    <w:rsid w:val="00957A47"/>
    <w:rsid w:val="00957B3E"/>
    <w:rsid w:val="00957D0B"/>
    <w:rsid w:val="00957D92"/>
    <w:rsid w:val="0096067E"/>
    <w:rsid w:val="0096073F"/>
    <w:rsid w:val="009610F7"/>
    <w:rsid w:val="009612B7"/>
    <w:rsid w:val="00961457"/>
    <w:rsid w:val="00961928"/>
    <w:rsid w:val="00961937"/>
    <w:rsid w:val="009629DB"/>
    <w:rsid w:val="00962CB9"/>
    <w:rsid w:val="00962FBD"/>
    <w:rsid w:val="009639AB"/>
    <w:rsid w:val="00963BDB"/>
    <w:rsid w:val="00964312"/>
    <w:rsid w:val="00964AD7"/>
    <w:rsid w:val="009650F0"/>
    <w:rsid w:val="00965B8A"/>
    <w:rsid w:val="00966157"/>
    <w:rsid w:val="00966213"/>
    <w:rsid w:val="009665C0"/>
    <w:rsid w:val="00966639"/>
    <w:rsid w:val="00966A31"/>
    <w:rsid w:val="00967665"/>
    <w:rsid w:val="00967A7A"/>
    <w:rsid w:val="00967EBE"/>
    <w:rsid w:val="00967EFB"/>
    <w:rsid w:val="00970698"/>
    <w:rsid w:val="0097071F"/>
    <w:rsid w:val="009708E0"/>
    <w:rsid w:val="00970E36"/>
    <w:rsid w:val="00970F8E"/>
    <w:rsid w:val="0097127B"/>
    <w:rsid w:val="0097128B"/>
    <w:rsid w:val="009717AC"/>
    <w:rsid w:val="00971FC9"/>
    <w:rsid w:val="009724BD"/>
    <w:rsid w:val="00972628"/>
    <w:rsid w:val="00972A22"/>
    <w:rsid w:val="009732CC"/>
    <w:rsid w:val="00973466"/>
    <w:rsid w:val="00974B49"/>
    <w:rsid w:val="00974D26"/>
    <w:rsid w:val="009751C1"/>
    <w:rsid w:val="0097568A"/>
    <w:rsid w:val="00975825"/>
    <w:rsid w:val="00975897"/>
    <w:rsid w:val="00975AD7"/>
    <w:rsid w:val="00975B6B"/>
    <w:rsid w:val="00976232"/>
    <w:rsid w:val="0097633C"/>
    <w:rsid w:val="0097646A"/>
    <w:rsid w:val="009766BF"/>
    <w:rsid w:val="009769A3"/>
    <w:rsid w:val="00976D59"/>
    <w:rsid w:val="00976E70"/>
    <w:rsid w:val="0097724B"/>
    <w:rsid w:val="00980CF7"/>
    <w:rsid w:val="00981154"/>
    <w:rsid w:val="009811F1"/>
    <w:rsid w:val="009817CF"/>
    <w:rsid w:val="0098262F"/>
    <w:rsid w:val="0098279F"/>
    <w:rsid w:val="00982840"/>
    <w:rsid w:val="00982974"/>
    <w:rsid w:val="00982C4C"/>
    <w:rsid w:val="00982C4E"/>
    <w:rsid w:val="00983118"/>
    <w:rsid w:val="00983306"/>
    <w:rsid w:val="00983762"/>
    <w:rsid w:val="009839D3"/>
    <w:rsid w:val="00983C73"/>
    <w:rsid w:val="00983E57"/>
    <w:rsid w:val="00984006"/>
    <w:rsid w:val="0098479F"/>
    <w:rsid w:val="009847A8"/>
    <w:rsid w:val="009847DE"/>
    <w:rsid w:val="00984EF6"/>
    <w:rsid w:val="00985148"/>
    <w:rsid w:val="00985452"/>
    <w:rsid w:val="00985573"/>
    <w:rsid w:val="00985873"/>
    <w:rsid w:val="009859F7"/>
    <w:rsid w:val="00985DE2"/>
    <w:rsid w:val="00985F0C"/>
    <w:rsid w:val="00985F77"/>
    <w:rsid w:val="0098628C"/>
    <w:rsid w:val="00986442"/>
    <w:rsid w:val="0098675D"/>
    <w:rsid w:val="00986811"/>
    <w:rsid w:val="0098703C"/>
    <w:rsid w:val="0098732D"/>
    <w:rsid w:val="00987587"/>
    <w:rsid w:val="009876D1"/>
    <w:rsid w:val="00987AEF"/>
    <w:rsid w:val="00987B6F"/>
    <w:rsid w:val="00987BA4"/>
    <w:rsid w:val="0099045B"/>
    <w:rsid w:val="009909E5"/>
    <w:rsid w:val="00991290"/>
    <w:rsid w:val="00991D5C"/>
    <w:rsid w:val="00991E5A"/>
    <w:rsid w:val="00992584"/>
    <w:rsid w:val="009926E0"/>
    <w:rsid w:val="0099276B"/>
    <w:rsid w:val="00992776"/>
    <w:rsid w:val="0099399E"/>
    <w:rsid w:val="00993B1D"/>
    <w:rsid w:val="0099451E"/>
    <w:rsid w:val="0099474C"/>
    <w:rsid w:val="00994BA7"/>
    <w:rsid w:val="00994BEF"/>
    <w:rsid w:val="00994E63"/>
    <w:rsid w:val="00994F35"/>
    <w:rsid w:val="00995854"/>
    <w:rsid w:val="009959CB"/>
    <w:rsid w:val="00996603"/>
    <w:rsid w:val="00996818"/>
    <w:rsid w:val="009969F1"/>
    <w:rsid w:val="00996A66"/>
    <w:rsid w:val="00996B1A"/>
    <w:rsid w:val="00996BF6"/>
    <w:rsid w:val="00996DA5"/>
    <w:rsid w:val="00996EC1"/>
    <w:rsid w:val="00997420"/>
    <w:rsid w:val="00997D7F"/>
    <w:rsid w:val="009A01E9"/>
    <w:rsid w:val="009A039D"/>
    <w:rsid w:val="009A03EC"/>
    <w:rsid w:val="009A155B"/>
    <w:rsid w:val="009A1779"/>
    <w:rsid w:val="009A18F6"/>
    <w:rsid w:val="009A1973"/>
    <w:rsid w:val="009A1BEB"/>
    <w:rsid w:val="009A1C46"/>
    <w:rsid w:val="009A1EF5"/>
    <w:rsid w:val="009A246D"/>
    <w:rsid w:val="009A2501"/>
    <w:rsid w:val="009A2DCC"/>
    <w:rsid w:val="009A30F1"/>
    <w:rsid w:val="009A3340"/>
    <w:rsid w:val="009A366B"/>
    <w:rsid w:val="009A3773"/>
    <w:rsid w:val="009A38F9"/>
    <w:rsid w:val="009A44BF"/>
    <w:rsid w:val="009A4A64"/>
    <w:rsid w:val="009A5ABC"/>
    <w:rsid w:val="009A5C31"/>
    <w:rsid w:val="009A60DC"/>
    <w:rsid w:val="009A62A1"/>
    <w:rsid w:val="009A6300"/>
    <w:rsid w:val="009A6725"/>
    <w:rsid w:val="009A6A4A"/>
    <w:rsid w:val="009A6D44"/>
    <w:rsid w:val="009A6F9C"/>
    <w:rsid w:val="009A7002"/>
    <w:rsid w:val="009A78DD"/>
    <w:rsid w:val="009A7F10"/>
    <w:rsid w:val="009B0292"/>
    <w:rsid w:val="009B0537"/>
    <w:rsid w:val="009B0BDE"/>
    <w:rsid w:val="009B0D2E"/>
    <w:rsid w:val="009B0EAB"/>
    <w:rsid w:val="009B1404"/>
    <w:rsid w:val="009B22E5"/>
    <w:rsid w:val="009B2661"/>
    <w:rsid w:val="009B28FC"/>
    <w:rsid w:val="009B2C52"/>
    <w:rsid w:val="009B3E26"/>
    <w:rsid w:val="009B3F23"/>
    <w:rsid w:val="009B4DD8"/>
    <w:rsid w:val="009B4E76"/>
    <w:rsid w:val="009B57B2"/>
    <w:rsid w:val="009B5FC4"/>
    <w:rsid w:val="009B662B"/>
    <w:rsid w:val="009B68A2"/>
    <w:rsid w:val="009B69D9"/>
    <w:rsid w:val="009B6A2A"/>
    <w:rsid w:val="009B6D24"/>
    <w:rsid w:val="009B703F"/>
    <w:rsid w:val="009B7066"/>
    <w:rsid w:val="009B7639"/>
    <w:rsid w:val="009B78C4"/>
    <w:rsid w:val="009B7B3D"/>
    <w:rsid w:val="009C046C"/>
    <w:rsid w:val="009C0D25"/>
    <w:rsid w:val="009C10E4"/>
    <w:rsid w:val="009C1271"/>
    <w:rsid w:val="009C136F"/>
    <w:rsid w:val="009C1490"/>
    <w:rsid w:val="009C1557"/>
    <w:rsid w:val="009C163C"/>
    <w:rsid w:val="009C1C4F"/>
    <w:rsid w:val="009C1C8A"/>
    <w:rsid w:val="009C1D24"/>
    <w:rsid w:val="009C1DA6"/>
    <w:rsid w:val="009C223B"/>
    <w:rsid w:val="009C2620"/>
    <w:rsid w:val="009C282E"/>
    <w:rsid w:val="009C28D6"/>
    <w:rsid w:val="009C31D9"/>
    <w:rsid w:val="009C3706"/>
    <w:rsid w:val="009C3A3A"/>
    <w:rsid w:val="009C40FB"/>
    <w:rsid w:val="009C426B"/>
    <w:rsid w:val="009C4474"/>
    <w:rsid w:val="009C4B38"/>
    <w:rsid w:val="009C4B96"/>
    <w:rsid w:val="009C4E41"/>
    <w:rsid w:val="009C5939"/>
    <w:rsid w:val="009C5A04"/>
    <w:rsid w:val="009C5F68"/>
    <w:rsid w:val="009C604A"/>
    <w:rsid w:val="009C6369"/>
    <w:rsid w:val="009C6466"/>
    <w:rsid w:val="009C66EF"/>
    <w:rsid w:val="009C6BA5"/>
    <w:rsid w:val="009C6CEA"/>
    <w:rsid w:val="009C7583"/>
    <w:rsid w:val="009C7B85"/>
    <w:rsid w:val="009C7BE6"/>
    <w:rsid w:val="009C7C61"/>
    <w:rsid w:val="009C7D61"/>
    <w:rsid w:val="009C7DA3"/>
    <w:rsid w:val="009D0254"/>
    <w:rsid w:val="009D0303"/>
    <w:rsid w:val="009D06C6"/>
    <w:rsid w:val="009D0BD2"/>
    <w:rsid w:val="009D0EBE"/>
    <w:rsid w:val="009D0F01"/>
    <w:rsid w:val="009D154F"/>
    <w:rsid w:val="009D166E"/>
    <w:rsid w:val="009D1A64"/>
    <w:rsid w:val="009D1C88"/>
    <w:rsid w:val="009D1DC4"/>
    <w:rsid w:val="009D1EDF"/>
    <w:rsid w:val="009D21CC"/>
    <w:rsid w:val="009D23E8"/>
    <w:rsid w:val="009D24D1"/>
    <w:rsid w:val="009D338F"/>
    <w:rsid w:val="009D3600"/>
    <w:rsid w:val="009D408F"/>
    <w:rsid w:val="009D474A"/>
    <w:rsid w:val="009D4BA9"/>
    <w:rsid w:val="009D5114"/>
    <w:rsid w:val="009D5476"/>
    <w:rsid w:val="009D5B91"/>
    <w:rsid w:val="009D5FA0"/>
    <w:rsid w:val="009D6AE2"/>
    <w:rsid w:val="009D734E"/>
    <w:rsid w:val="009D7474"/>
    <w:rsid w:val="009D77C8"/>
    <w:rsid w:val="009D77FC"/>
    <w:rsid w:val="009D792E"/>
    <w:rsid w:val="009D79BC"/>
    <w:rsid w:val="009D7F5B"/>
    <w:rsid w:val="009E09AF"/>
    <w:rsid w:val="009E09BB"/>
    <w:rsid w:val="009E0B81"/>
    <w:rsid w:val="009E0BBA"/>
    <w:rsid w:val="009E0C96"/>
    <w:rsid w:val="009E0DFE"/>
    <w:rsid w:val="009E1197"/>
    <w:rsid w:val="009E14B1"/>
    <w:rsid w:val="009E1A98"/>
    <w:rsid w:val="009E211F"/>
    <w:rsid w:val="009E278A"/>
    <w:rsid w:val="009E2AAF"/>
    <w:rsid w:val="009E2DB1"/>
    <w:rsid w:val="009E2DBC"/>
    <w:rsid w:val="009E31C8"/>
    <w:rsid w:val="009E31F6"/>
    <w:rsid w:val="009E3487"/>
    <w:rsid w:val="009E35B8"/>
    <w:rsid w:val="009E3A2F"/>
    <w:rsid w:val="009E3E24"/>
    <w:rsid w:val="009E3E6D"/>
    <w:rsid w:val="009E4259"/>
    <w:rsid w:val="009E4730"/>
    <w:rsid w:val="009E4B18"/>
    <w:rsid w:val="009E4B2F"/>
    <w:rsid w:val="009E4C07"/>
    <w:rsid w:val="009E58A6"/>
    <w:rsid w:val="009E5974"/>
    <w:rsid w:val="009E601A"/>
    <w:rsid w:val="009E6202"/>
    <w:rsid w:val="009E639A"/>
    <w:rsid w:val="009E6865"/>
    <w:rsid w:val="009E7259"/>
    <w:rsid w:val="009E756C"/>
    <w:rsid w:val="009E777F"/>
    <w:rsid w:val="009F02B9"/>
    <w:rsid w:val="009F0EB9"/>
    <w:rsid w:val="009F128E"/>
    <w:rsid w:val="009F1529"/>
    <w:rsid w:val="009F17D4"/>
    <w:rsid w:val="009F2668"/>
    <w:rsid w:val="009F2817"/>
    <w:rsid w:val="009F2933"/>
    <w:rsid w:val="009F2D19"/>
    <w:rsid w:val="009F2E11"/>
    <w:rsid w:val="009F2F60"/>
    <w:rsid w:val="009F3207"/>
    <w:rsid w:val="009F33EE"/>
    <w:rsid w:val="009F3E4F"/>
    <w:rsid w:val="009F46B5"/>
    <w:rsid w:val="009F5399"/>
    <w:rsid w:val="009F546F"/>
    <w:rsid w:val="009F5581"/>
    <w:rsid w:val="009F5F27"/>
    <w:rsid w:val="009F5FAC"/>
    <w:rsid w:val="009F605B"/>
    <w:rsid w:val="009F6120"/>
    <w:rsid w:val="009F6565"/>
    <w:rsid w:val="009F6742"/>
    <w:rsid w:val="009F6915"/>
    <w:rsid w:val="009F6B3A"/>
    <w:rsid w:val="009F771A"/>
    <w:rsid w:val="00A00939"/>
    <w:rsid w:val="00A00D76"/>
    <w:rsid w:val="00A01080"/>
    <w:rsid w:val="00A01184"/>
    <w:rsid w:val="00A01394"/>
    <w:rsid w:val="00A01449"/>
    <w:rsid w:val="00A01BB1"/>
    <w:rsid w:val="00A01EBC"/>
    <w:rsid w:val="00A022D5"/>
    <w:rsid w:val="00A0235A"/>
    <w:rsid w:val="00A02578"/>
    <w:rsid w:val="00A02913"/>
    <w:rsid w:val="00A02F27"/>
    <w:rsid w:val="00A03174"/>
    <w:rsid w:val="00A037C2"/>
    <w:rsid w:val="00A03D43"/>
    <w:rsid w:val="00A03DDE"/>
    <w:rsid w:val="00A03E08"/>
    <w:rsid w:val="00A03E7C"/>
    <w:rsid w:val="00A04380"/>
    <w:rsid w:val="00A046E2"/>
    <w:rsid w:val="00A04786"/>
    <w:rsid w:val="00A04C44"/>
    <w:rsid w:val="00A05472"/>
    <w:rsid w:val="00A05719"/>
    <w:rsid w:val="00A057B5"/>
    <w:rsid w:val="00A05C32"/>
    <w:rsid w:val="00A05FD8"/>
    <w:rsid w:val="00A0653F"/>
    <w:rsid w:val="00A0672D"/>
    <w:rsid w:val="00A06D68"/>
    <w:rsid w:val="00A0724D"/>
    <w:rsid w:val="00A111FB"/>
    <w:rsid w:val="00A11260"/>
    <w:rsid w:val="00A1151A"/>
    <w:rsid w:val="00A11600"/>
    <w:rsid w:val="00A11A2A"/>
    <w:rsid w:val="00A11C1F"/>
    <w:rsid w:val="00A11CD0"/>
    <w:rsid w:val="00A12303"/>
    <w:rsid w:val="00A1254E"/>
    <w:rsid w:val="00A1255B"/>
    <w:rsid w:val="00A1265F"/>
    <w:rsid w:val="00A126E8"/>
    <w:rsid w:val="00A12B70"/>
    <w:rsid w:val="00A12D1D"/>
    <w:rsid w:val="00A130DD"/>
    <w:rsid w:val="00A134DC"/>
    <w:rsid w:val="00A136CC"/>
    <w:rsid w:val="00A13834"/>
    <w:rsid w:val="00A13948"/>
    <w:rsid w:val="00A139B5"/>
    <w:rsid w:val="00A13F50"/>
    <w:rsid w:val="00A14689"/>
    <w:rsid w:val="00A15117"/>
    <w:rsid w:val="00A1555B"/>
    <w:rsid w:val="00A155C5"/>
    <w:rsid w:val="00A15820"/>
    <w:rsid w:val="00A1596B"/>
    <w:rsid w:val="00A15A3E"/>
    <w:rsid w:val="00A15D23"/>
    <w:rsid w:val="00A163B3"/>
    <w:rsid w:val="00A166A2"/>
    <w:rsid w:val="00A1681B"/>
    <w:rsid w:val="00A16A7A"/>
    <w:rsid w:val="00A16AD8"/>
    <w:rsid w:val="00A16BA6"/>
    <w:rsid w:val="00A17835"/>
    <w:rsid w:val="00A20084"/>
    <w:rsid w:val="00A2021E"/>
    <w:rsid w:val="00A20550"/>
    <w:rsid w:val="00A20BE1"/>
    <w:rsid w:val="00A20E35"/>
    <w:rsid w:val="00A2130C"/>
    <w:rsid w:val="00A219E8"/>
    <w:rsid w:val="00A21C79"/>
    <w:rsid w:val="00A21C95"/>
    <w:rsid w:val="00A21CF3"/>
    <w:rsid w:val="00A21E22"/>
    <w:rsid w:val="00A224DC"/>
    <w:rsid w:val="00A228FF"/>
    <w:rsid w:val="00A229F9"/>
    <w:rsid w:val="00A232DE"/>
    <w:rsid w:val="00A23712"/>
    <w:rsid w:val="00A23B63"/>
    <w:rsid w:val="00A23D3A"/>
    <w:rsid w:val="00A243B8"/>
    <w:rsid w:val="00A246D9"/>
    <w:rsid w:val="00A24813"/>
    <w:rsid w:val="00A24993"/>
    <w:rsid w:val="00A25263"/>
    <w:rsid w:val="00A2531C"/>
    <w:rsid w:val="00A25510"/>
    <w:rsid w:val="00A25D79"/>
    <w:rsid w:val="00A263EE"/>
    <w:rsid w:val="00A2663F"/>
    <w:rsid w:val="00A26657"/>
    <w:rsid w:val="00A26928"/>
    <w:rsid w:val="00A272F5"/>
    <w:rsid w:val="00A27AEC"/>
    <w:rsid w:val="00A30238"/>
    <w:rsid w:val="00A302F7"/>
    <w:rsid w:val="00A30405"/>
    <w:rsid w:val="00A3047F"/>
    <w:rsid w:val="00A30B2B"/>
    <w:rsid w:val="00A31B7C"/>
    <w:rsid w:val="00A320DB"/>
    <w:rsid w:val="00A32CA4"/>
    <w:rsid w:val="00A32D46"/>
    <w:rsid w:val="00A32F1A"/>
    <w:rsid w:val="00A33597"/>
    <w:rsid w:val="00A337A3"/>
    <w:rsid w:val="00A34206"/>
    <w:rsid w:val="00A34833"/>
    <w:rsid w:val="00A35007"/>
    <w:rsid w:val="00A35145"/>
    <w:rsid w:val="00A3543F"/>
    <w:rsid w:val="00A355F4"/>
    <w:rsid w:val="00A35D16"/>
    <w:rsid w:val="00A35D2A"/>
    <w:rsid w:val="00A36403"/>
    <w:rsid w:val="00A3651E"/>
    <w:rsid w:val="00A365BA"/>
    <w:rsid w:val="00A36C07"/>
    <w:rsid w:val="00A36D3A"/>
    <w:rsid w:val="00A36EA7"/>
    <w:rsid w:val="00A3731B"/>
    <w:rsid w:val="00A37BCD"/>
    <w:rsid w:val="00A40904"/>
    <w:rsid w:val="00A40C61"/>
    <w:rsid w:val="00A41660"/>
    <w:rsid w:val="00A41689"/>
    <w:rsid w:val="00A41AE0"/>
    <w:rsid w:val="00A42347"/>
    <w:rsid w:val="00A42431"/>
    <w:rsid w:val="00A42592"/>
    <w:rsid w:val="00A43048"/>
    <w:rsid w:val="00A4346A"/>
    <w:rsid w:val="00A43601"/>
    <w:rsid w:val="00A43707"/>
    <w:rsid w:val="00A43B38"/>
    <w:rsid w:val="00A43C59"/>
    <w:rsid w:val="00A43C6A"/>
    <w:rsid w:val="00A43D22"/>
    <w:rsid w:val="00A4433F"/>
    <w:rsid w:val="00A443EC"/>
    <w:rsid w:val="00A4497B"/>
    <w:rsid w:val="00A44BC5"/>
    <w:rsid w:val="00A45717"/>
    <w:rsid w:val="00A45780"/>
    <w:rsid w:val="00A45A0F"/>
    <w:rsid w:val="00A45D3A"/>
    <w:rsid w:val="00A4675C"/>
    <w:rsid w:val="00A46BFE"/>
    <w:rsid w:val="00A46C72"/>
    <w:rsid w:val="00A4762F"/>
    <w:rsid w:val="00A47CC1"/>
    <w:rsid w:val="00A47EDE"/>
    <w:rsid w:val="00A50444"/>
    <w:rsid w:val="00A5055B"/>
    <w:rsid w:val="00A5067B"/>
    <w:rsid w:val="00A50ECD"/>
    <w:rsid w:val="00A51771"/>
    <w:rsid w:val="00A518F3"/>
    <w:rsid w:val="00A5192B"/>
    <w:rsid w:val="00A51FE5"/>
    <w:rsid w:val="00A52077"/>
    <w:rsid w:val="00A521F1"/>
    <w:rsid w:val="00A52478"/>
    <w:rsid w:val="00A524AD"/>
    <w:rsid w:val="00A52728"/>
    <w:rsid w:val="00A52729"/>
    <w:rsid w:val="00A52A0E"/>
    <w:rsid w:val="00A53234"/>
    <w:rsid w:val="00A533C4"/>
    <w:rsid w:val="00A5353E"/>
    <w:rsid w:val="00A53675"/>
    <w:rsid w:val="00A54506"/>
    <w:rsid w:val="00A55639"/>
    <w:rsid w:val="00A55AF1"/>
    <w:rsid w:val="00A55BF9"/>
    <w:rsid w:val="00A56237"/>
    <w:rsid w:val="00A564D7"/>
    <w:rsid w:val="00A56B6A"/>
    <w:rsid w:val="00A56EA5"/>
    <w:rsid w:val="00A57049"/>
    <w:rsid w:val="00A57083"/>
    <w:rsid w:val="00A57421"/>
    <w:rsid w:val="00A574D8"/>
    <w:rsid w:val="00A5756C"/>
    <w:rsid w:val="00A57844"/>
    <w:rsid w:val="00A578DC"/>
    <w:rsid w:val="00A57CB5"/>
    <w:rsid w:val="00A606FB"/>
    <w:rsid w:val="00A60F99"/>
    <w:rsid w:val="00A61089"/>
    <w:rsid w:val="00A619EF"/>
    <w:rsid w:val="00A61FA1"/>
    <w:rsid w:val="00A62060"/>
    <w:rsid w:val="00A62893"/>
    <w:rsid w:val="00A62D36"/>
    <w:rsid w:val="00A63EA6"/>
    <w:rsid w:val="00A640E2"/>
    <w:rsid w:val="00A64226"/>
    <w:rsid w:val="00A6430A"/>
    <w:rsid w:val="00A644DB"/>
    <w:rsid w:val="00A64D65"/>
    <w:rsid w:val="00A65212"/>
    <w:rsid w:val="00A65442"/>
    <w:rsid w:val="00A65A2D"/>
    <w:rsid w:val="00A65CB3"/>
    <w:rsid w:val="00A6601E"/>
    <w:rsid w:val="00A660CB"/>
    <w:rsid w:val="00A66C6A"/>
    <w:rsid w:val="00A66CFD"/>
    <w:rsid w:val="00A6725B"/>
    <w:rsid w:val="00A67860"/>
    <w:rsid w:val="00A67931"/>
    <w:rsid w:val="00A67B13"/>
    <w:rsid w:val="00A67CA2"/>
    <w:rsid w:val="00A700E9"/>
    <w:rsid w:val="00A70605"/>
    <w:rsid w:val="00A7060B"/>
    <w:rsid w:val="00A70786"/>
    <w:rsid w:val="00A7093E"/>
    <w:rsid w:val="00A70EC5"/>
    <w:rsid w:val="00A71099"/>
    <w:rsid w:val="00A71178"/>
    <w:rsid w:val="00A71390"/>
    <w:rsid w:val="00A71584"/>
    <w:rsid w:val="00A7166D"/>
    <w:rsid w:val="00A716A0"/>
    <w:rsid w:val="00A71ADF"/>
    <w:rsid w:val="00A71BCC"/>
    <w:rsid w:val="00A71CDD"/>
    <w:rsid w:val="00A71E7F"/>
    <w:rsid w:val="00A720A7"/>
    <w:rsid w:val="00A720C2"/>
    <w:rsid w:val="00A727B0"/>
    <w:rsid w:val="00A72AD0"/>
    <w:rsid w:val="00A730F1"/>
    <w:rsid w:val="00A73134"/>
    <w:rsid w:val="00A73556"/>
    <w:rsid w:val="00A7365A"/>
    <w:rsid w:val="00A7382B"/>
    <w:rsid w:val="00A73B11"/>
    <w:rsid w:val="00A73B5F"/>
    <w:rsid w:val="00A73B92"/>
    <w:rsid w:val="00A7411D"/>
    <w:rsid w:val="00A74879"/>
    <w:rsid w:val="00A75060"/>
    <w:rsid w:val="00A759B0"/>
    <w:rsid w:val="00A75A98"/>
    <w:rsid w:val="00A76001"/>
    <w:rsid w:val="00A760E9"/>
    <w:rsid w:val="00A767DC"/>
    <w:rsid w:val="00A7686B"/>
    <w:rsid w:val="00A7695D"/>
    <w:rsid w:val="00A76EC7"/>
    <w:rsid w:val="00A76F2B"/>
    <w:rsid w:val="00A773B2"/>
    <w:rsid w:val="00A777B2"/>
    <w:rsid w:val="00A8057E"/>
    <w:rsid w:val="00A810CB"/>
    <w:rsid w:val="00A8165C"/>
    <w:rsid w:val="00A81A08"/>
    <w:rsid w:val="00A81B60"/>
    <w:rsid w:val="00A81D83"/>
    <w:rsid w:val="00A825D4"/>
    <w:rsid w:val="00A828F6"/>
    <w:rsid w:val="00A82B73"/>
    <w:rsid w:val="00A82DA0"/>
    <w:rsid w:val="00A83587"/>
    <w:rsid w:val="00A83674"/>
    <w:rsid w:val="00A83930"/>
    <w:rsid w:val="00A83DFE"/>
    <w:rsid w:val="00A83F28"/>
    <w:rsid w:val="00A843AC"/>
    <w:rsid w:val="00A844E7"/>
    <w:rsid w:val="00A84785"/>
    <w:rsid w:val="00A84C22"/>
    <w:rsid w:val="00A84DA0"/>
    <w:rsid w:val="00A85093"/>
    <w:rsid w:val="00A85275"/>
    <w:rsid w:val="00A85633"/>
    <w:rsid w:val="00A85A53"/>
    <w:rsid w:val="00A85B71"/>
    <w:rsid w:val="00A86919"/>
    <w:rsid w:val="00A86DAF"/>
    <w:rsid w:val="00A86E8B"/>
    <w:rsid w:val="00A87164"/>
    <w:rsid w:val="00A871A9"/>
    <w:rsid w:val="00A87405"/>
    <w:rsid w:val="00A879A3"/>
    <w:rsid w:val="00A87AD9"/>
    <w:rsid w:val="00A87CBB"/>
    <w:rsid w:val="00A909E2"/>
    <w:rsid w:val="00A91132"/>
    <w:rsid w:val="00A918FB"/>
    <w:rsid w:val="00A91D28"/>
    <w:rsid w:val="00A91EE8"/>
    <w:rsid w:val="00A91F52"/>
    <w:rsid w:val="00A91F5D"/>
    <w:rsid w:val="00A922BC"/>
    <w:rsid w:val="00A925F9"/>
    <w:rsid w:val="00A927D7"/>
    <w:rsid w:val="00A92D88"/>
    <w:rsid w:val="00A92DC3"/>
    <w:rsid w:val="00A92EB0"/>
    <w:rsid w:val="00A93072"/>
    <w:rsid w:val="00A9342E"/>
    <w:rsid w:val="00A938BD"/>
    <w:rsid w:val="00A93953"/>
    <w:rsid w:val="00A93BAA"/>
    <w:rsid w:val="00A93DC4"/>
    <w:rsid w:val="00A93EEC"/>
    <w:rsid w:val="00A943EB"/>
    <w:rsid w:val="00A94A07"/>
    <w:rsid w:val="00A95065"/>
    <w:rsid w:val="00A95817"/>
    <w:rsid w:val="00A959D8"/>
    <w:rsid w:val="00A96591"/>
    <w:rsid w:val="00A9684C"/>
    <w:rsid w:val="00A97247"/>
    <w:rsid w:val="00A9781F"/>
    <w:rsid w:val="00A978CF"/>
    <w:rsid w:val="00A97948"/>
    <w:rsid w:val="00A97BB5"/>
    <w:rsid w:val="00AA0461"/>
    <w:rsid w:val="00AA07E3"/>
    <w:rsid w:val="00AA0AF5"/>
    <w:rsid w:val="00AA10C4"/>
    <w:rsid w:val="00AA113D"/>
    <w:rsid w:val="00AA1249"/>
    <w:rsid w:val="00AA12A3"/>
    <w:rsid w:val="00AA15BC"/>
    <w:rsid w:val="00AA1948"/>
    <w:rsid w:val="00AA1951"/>
    <w:rsid w:val="00AA1B9C"/>
    <w:rsid w:val="00AA2AA3"/>
    <w:rsid w:val="00AA2EC3"/>
    <w:rsid w:val="00AA3289"/>
    <w:rsid w:val="00AA3F64"/>
    <w:rsid w:val="00AA4280"/>
    <w:rsid w:val="00AA433A"/>
    <w:rsid w:val="00AA4C60"/>
    <w:rsid w:val="00AA5160"/>
    <w:rsid w:val="00AA59F2"/>
    <w:rsid w:val="00AA6447"/>
    <w:rsid w:val="00AA6534"/>
    <w:rsid w:val="00AA6BD5"/>
    <w:rsid w:val="00AA6BD8"/>
    <w:rsid w:val="00AA6C7D"/>
    <w:rsid w:val="00AA6F25"/>
    <w:rsid w:val="00AA6FCB"/>
    <w:rsid w:val="00AA70D3"/>
    <w:rsid w:val="00AA7B15"/>
    <w:rsid w:val="00AA7B98"/>
    <w:rsid w:val="00AA7FD6"/>
    <w:rsid w:val="00AB008E"/>
    <w:rsid w:val="00AB0161"/>
    <w:rsid w:val="00AB042A"/>
    <w:rsid w:val="00AB05A6"/>
    <w:rsid w:val="00AB060E"/>
    <w:rsid w:val="00AB0CD1"/>
    <w:rsid w:val="00AB0D2E"/>
    <w:rsid w:val="00AB107E"/>
    <w:rsid w:val="00AB10CB"/>
    <w:rsid w:val="00AB11AD"/>
    <w:rsid w:val="00AB1230"/>
    <w:rsid w:val="00AB1346"/>
    <w:rsid w:val="00AB1565"/>
    <w:rsid w:val="00AB15BB"/>
    <w:rsid w:val="00AB19EF"/>
    <w:rsid w:val="00AB1B14"/>
    <w:rsid w:val="00AB2495"/>
    <w:rsid w:val="00AB2D34"/>
    <w:rsid w:val="00AB3147"/>
    <w:rsid w:val="00AB3430"/>
    <w:rsid w:val="00AB37B9"/>
    <w:rsid w:val="00AB38FB"/>
    <w:rsid w:val="00AB4522"/>
    <w:rsid w:val="00AB4AD1"/>
    <w:rsid w:val="00AB4C09"/>
    <w:rsid w:val="00AB4DA6"/>
    <w:rsid w:val="00AB4DDA"/>
    <w:rsid w:val="00AB50D0"/>
    <w:rsid w:val="00AB519B"/>
    <w:rsid w:val="00AB51BB"/>
    <w:rsid w:val="00AB5A55"/>
    <w:rsid w:val="00AB5E07"/>
    <w:rsid w:val="00AB6994"/>
    <w:rsid w:val="00AB6A29"/>
    <w:rsid w:val="00AB716A"/>
    <w:rsid w:val="00AB7768"/>
    <w:rsid w:val="00AB789C"/>
    <w:rsid w:val="00AB79BB"/>
    <w:rsid w:val="00AB7CFA"/>
    <w:rsid w:val="00AB7E0F"/>
    <w:rsid w:val="00AC02BF"/>
    <w:rsid w:val="00AC07D1"/>
    <w:rsid w:val="00AC07DB"/>
    <w:rsid w:val="00AC0CC8"/>
    <w:rsid w:val="00AC0D83"/>
    <w:rsid w:val="00AC15CC"/>
    <w:rsid w:val="00AC16FF"/>
    <w:rsid w:val="00AC1EF1"/>
    <w:rsid w:val="00AC21F3"/>
    <w:rsid w:val="00AC29BC"/>
    <w:rsid w:val="00AC329E"/>
    <w:rsid w:val="00AC36DF"/>
    <w:rsid w:val="00AC3B36"/>
    <w:rsid w:val="00AC3CF9"/>
    <w:rsid w:val="00AC4110"/>
    <w:rsid w:val="00AC48D6"/>
    <w:rsid w:val="00AC4EA6"/>
    <w:rsid w:val="00AC505D"/>
    <w:rsid w:val="00AC5200"/>
    <w:rsid w:val="00AC526E"/>
    <w:rsid w:val="00AC58BF"/>
    <w:rsid w:val="00AC5921"/>
    <w:rsid w:val="00AC5B42"/>
    <w:rsid w:val="00AC5B48"/>
    <w:rsid w:val="00AC5E0A"/>
    <w:rsid w:val="00AC61AE"/>
    <w:rsid w:val="00AC63AA"/>
    <w:rsid w:val="00AC65BB"/>
    <w:rsid w:val="00AC6632"/>
    <w:rsid w:val="00AC6C62"/>
    <w:rsid w:val="00AC6CD9"/>
    <w:rsid w:val="00AC6CEF"/>
    <w:rsid w:val="00AC6D94"/>
    <w:rsid w:val="00AC6DDD"/>
    <w:rsid w:val="00AC70BD"/>
    <w:rsid w:val="00AC7AF5"/>
    <w:rsid w:val="00AC7DF0"/>
    <w:rsid w:val="00AD03C4"/>
    <w:rsid w:val="00AD08A4"/>
    <w:rsid w:val="00AD0D78"/>
    <w:rsid w:val="00AD0F06"/>
    <w:rsid w:val="00AD134B"/>
    <w:rsid w:val="00AD1450"/>
    <w:rsid w:val="00AD15E8"/>
    <w:rsid w:val="00AD2009"/>
    <w:rsid w:val="00AD256A"/>
    <w:rsid w:val="00AD25B6"/>
    <w:rsid w:val="00AD29A6"/>
    <w:rsid w:val="00AD2FBF"/>
    <w:rsid w:val="00AD300F"/>
    <w:rsid w:val="00AD356D"/>
    <w:rsid w:val="00AD40E1"/>
    <w:rsid w:val="00AD44A8"/>
    <w:rsid w:val="00AD45E9"/>
    <w:rsid w:val="00AD468D"/>
    <w:rsid w:val="00AD48F6"/>
    <w:rsid w:val="00AD4987"/>
    <w:rsid w:val="00AD49DE"/>
    <w:rsid w:val="00AD4BBB"/>
    <w:rsid w:val="00AD4E16"/>
    <w:rsid w:val="00AD4E8A"/>
    <w:rsid w:val="00AD4FF9"/>
    <w:rsid w:val="00AD58D5"/>
    <w:rsid w:val="00AD632F"/>
    <w:rsid w:val="00AD6502"/>
    <w:rsid w:val="00AD69ED"/>
    <w:rsid w:val="00AD6B55"/>
    <w:rsid w:val="00AD6B6B"/>
    <w:rsid w:val="00AD754E"/>
    <w:rsid w:val="00AD77D1"/>
    <w:rsid w:val="00AE01F1"/>
    <w:rsid w:val="00AE05F3"/>
    <w:rsid w:val="00AE0695"/>
    <w:rsid w:val="00AE07DE"/>
    <w:rsid w:val="00AE0900"/>
    <w:rsid w:val="00AE0C0A"/>
    <w:rsid w:val="00AE0D55"/>
    <w:rsid w:val="00AE0ECC"/>
    <w:rsid w:val="00AE182F"/>
    <w:rsid w:val="00AE188D"/>
    <w:rsid w:val="00AE1A1A"/>
    <w:rsid w:val="00AE1C34"/>
    <w:rsid w:val="00AE1CEA"/>
    <w:rsid w:val="00AE1E2C"/>
    <w:rsid w:val="00AE28BB"/>
    <w:rsid w:val="00AE2A43"/>
    <w:rsid w:val="00AE3030"/>
    <w:rsid w:val="00AE3072"/>
    <w:rsid w:val="00AE3102"/>
    <w:rsid w:val="00AE31C0"/>
    <w:rsid w:val="00AE351D"/>
    <w:rsid w:val="00AE354E"/>
    <w:rsid w:val="00AE36F4"/>
    <w:rsid w:val="00AE3A67"/>
    <w:rsid w:val="00AE3B8B"/>
    <w:rsid w:val="00AE3E7E"/>
    <w:rsid w:val="00AE4442"/>
    <w:rsid w:val="00AE6189"/>
    <w:rsid w:val="00AE6362"/>
    <w:rsid w:val="00AE657D"/>
    <w:rsid w:val="00AE6ED6"/>
    <w:rsid w:val="00AE7DB6"/>
    <w:rsid w:val="00AE7E53"/>
    <w:rsid w:val="00AF0007"/>
    <w:rsid w:val="00AF01CA"/>
    <w:rsid w:val="00AF0852"/>
    <w:rsid w:val="00AF09AB"/>
    <w:rsid w:val="00AF0C96"/>
    <w:rsid w:val="00AF1084"/>
    <w:rsid w:val="00AF1315"/>
    <w:rsid w:val="00AF19BF"/>
    <w:rsid w:val="00AF1BF0"/>
    <w:rsid w:val="00AF1DD0"/>
    <w:rsid w:val="00AF1FA0"/>
    <w:rsid w:val="00AF2488"/>
    <w:rsid w:val="00AF27D8"/>
    <w:rsid w:val="00AF2AD0"/>
    <w:rsid w:val="00AF2DC3"/>
    <w:rsid w:val="00AF3155"/>
    <w:rsid w:val="00AF35DE"/>
    <w:rsid w:val="00AF3788"/>
    <w:rsid w:val="00AF3916"/>
    <w:rsid w:val="00AF3D5E"/>
    <w:rsid w:val="00AF48B2"/>
    <w:rsid w:val="00AF4ACD"/>
    <w:rsid w:val="00AF4D6D"/>
    <w:rsid w:val="00AF5DA5"/>
    <w:rsid w:val="00AF6978"/>
    <w:rsid w:val="00AF69E9"/>
    <w:rsid w:val="00AF6A6E"/>
    <w:rsid w:val="00AF7041"/>
    <w:rsid w:val="00AF7224"/>
    <w:rsid w:val="00AF74BD"/>
    <w:rsid w:val="00AF7580"/>
    <w:rsid w:val="00AF7F85"/>
    <w:rsid w:val="00B00351"/>
    <w:rsid w:val="00B0041F"/>
    <w:rsid w:val="00B0062C"/>
    <w:rsid w:val="00B00721"/>
    <w:rsid w:val="00B01B16"/>
    <w:rsid w:val="00B01B29"/>
    <w:rsid w:val="00B01C1D"/>
    <w:rsid w:val="00B020E8"/>
    <w:rsid w:val="00B0226C"/>
    <w:rsid w:val="00B02575"/>
    <w:rsid w:val="00B02859"/>
    <w:rsid w:val="00B02AAE"/>
    <w:rsid w:val="00B02C15"/>
    <w:rsid w:val="00B033E5"/>
    <w:rsid w:val="00B03A63"/>
    <w:rsid w:val="00B03ADB"/>
    <w:rsid w:val="00B04BF3"/>
    <w:rsid w:val="00B0569E"/>
    <w:rsid w:val="00B05C10"/>
    <w:rsid w:val="00B0644A"/>
    <w:rsid w:val="00B06567"/>
    <w:rsid w:val="00B06ED2"/>
    <w:rsid w:val="00B06F4C"/>
    <w:rsid w:val="00B0714A"/>
    <w:rsid w:val="00B073C3"/>
    <w:rsid w:val="00B073EE"/>
    <w:rsid w:val="00B074DE"/>
    <w:rsid w:val="00B07A27"/>
    <w:rsid w:val="00B10ED7"/>
    <w:rsid w:val="00B1115E"/>
    <w:rsid w:val="00B11762"/>
    <w:rsid w:val="00B117CA"/>
    <w:rsid w:val="00B11BE0"/>
    <w:rsid w:val="00B11F6D"/>
    <w:rsid w:val="00B12098"/>
    <w:rsid w:val="00B122FF"/>
    <w:rsid w:val="00B12500"/>
    <w:rsid w:val="00B1294B"/>
    <w:rsid w:val="00B129A4"/>
    <w:rsid w:val="00B12D5A"/>
    <w:rsid w:val="00B12EDF"/>
    <w:rsid w:val="00B131D5"/>
    <w:rsid w:val="00B13621"/>
    <w:rsid w:val="00B14659"/>
    <w:rsid w:val="00B14697"/>
    <w:rsid w:val="00B14F4B"/>
    <w:rsid w:val="00B15346"/>
    <w:rsid w:val="00B156CE"/>
    <w:rsid w:val="00B15ABD"/>
    <w:rsid w:val="00B15DEC"/>
    <w:rsid w:val="00B16A38"/>
    <w:rsid w:val="00B16B67"/>
    <w:rsid w:val="00B16DE1"/>
    <w:rsid w:val="00B16DE7"/>
    <w:rsid w:val="00B1751E"/>
    <w:rsid w:val="00B1784A"/>
    <w:rsid w:val="00B17D4C"/>
    <w:rsid w:val="00B2000D"/>
    <w:rsid w:val="00B201A4"/>
    <w:rsid w:val="00B201D1"/>
    <w:rsid w:val="00B2028B"/>
    <w:rsid w:val="00B2070D"/>
    <w:rsid w:val="00B213A6"/>
    <w:rsid w:val="00B21919"/>
    <w:rsid w:val="00B21DDE"/>
    <w:rsid w:val="00B21F4F"/>
    <w:rsid w:val="00B22501"/>
    <w:rsid w:val="00B2275F"/>
    <w:rsid w:val="00B230D6"/>
    <w:rsid w:val="00B231B5"/>
    <w:rsid w:val="00B2345E"/>
    <w:rsid w:val="00B235B0"/>
    <w:rsid w:val="00B23877"/>
    <w:rsid w:val="00B246F0"/>
    <w:rsid w:val="00B249EF"/>
    <w:rsid w:val="00B24C6F"/>
    <w:rsid w:val="00B24DF6"/>
    <w:rsid w:val="00B25015"/>
    <w:rsid w:val="00B25AB2"/>
    <w:rsid w:val="00B25E29"/>
    <w:rsid w:val="00B25EF4"/>
    <w:rsid w:val="00B260F5"/>
    <w:rsid w:val="00B26100"/>
    <w:rsid w:val="00B2673F"/>
    <w:rsid w:val="00B26BBD"/>
    <w:rsid w:val="00B26E7E"/>
    <w:rsid w:val="00B273D4"/>
    <w:rsid w:val="00B27558"/>
    <w:rsid w:val="00B278C0"/>
    <w:rsid w:val="00B27A61"/>
    <w:rsid w:val="00B3025F"/>
    <w:rsid w:val="00B302FD"/>
    <w:rsid w:val="00B306F8"/>
    <w:rsid w:val="00B30CC7"/>
    <w:rsid w:val="00B30CE4"/>
    <w:rsid w:val="00B30F03"/>
    <w:rsid w:val="00B31421"/>
    <w:rsid w:val="00B31A85"/>
    <w:rsid w:val="00B31E3A"/>
    <w:rsid w:val="00B31FC9"/>
    <w:rsid w:val="00B33065"/>
    <w:rsid w:val="00B33109"/>
    <w:rsid w:val="00B337DF"/>
    <w:rsid w:val="00B33B6A"/>
    <w:rsid w:val="00B33E8E"/>
    <w:rsid w:val="00B343CE"/>
    <w:rsid w:val="00B34D8D"/>
    <w:rsid w:val="00B34FE2"/>
    <w:rsid w:val="00B35166"/>
    <w:rsid w:val="00B3578C"/>
    <w:rsid w:val="00B357D8"/>
    <w:rsid w:val="00B35928"/>
    <w:rsid w:val="00B359B2"/>
    <w:rsid w:val="00B35C54"/>
    <w:rsid w:val="00B35CC7"/>
    <w:rsid w:val="00B35E81"/>
    <w:rsid w:val="00B360F4"/>
    <w:rsid w:val="00B3627C"/>
    <w:rsid w:val="00B36A00"/>
    <w:rsid w:val="00B36CBB"/>
    <w:rsid w:val="00B36F80"/>
    <w:rsid w:val="00B37029"/>
    <w:rsid w:val="00B372F1"/>
    <w:rsid w:val="00B378F2"/>
    <w:rsid w:val="00B3792B"/>
    <w:rsid w:val="00B37BFC"/>
    <w:rsid w:val="00B37EDA"/>
    <w:rsid w:val="00B37EFC"/>
    <w:rsid w:val="00B40358"/>
    <w:rsid w:val="00B40574"/>
    <w:rsid w:val="00B408BD"/>
    <w:rsid w:val="00B40927"/>
    <w:rsid w:val="00B40CC3"/>
    <w:rsid w:val="00B40E7A"/>
    <w:rsid w:val="00B410DD"/>
    <w:rsid w:val="00B41106"/>
    <w:rsid w:val="00B41340"/>
    <w:rsid w:val="00B41614"/>
    <w:rsid w:val="00B4218B"/>
    <w:rsid w:val="00B42198"/>
    <w:rsid w:val="00B42260"/>
    <w:rsid w:val="00B42851"/>
    <w:rsid w:val="00B42AFB"/>
    <w:rsid w:val="00B42BC2"/>
    <w:rsid w:val="00B42E80"/>
    <w:rsid w:val="00B42F80"/>
    <w:rsid w:val="00B43299"/>
    <w:rsid w:val="00B434DF"/>
    <w:rsid w:val="00B43513"/>
    <w:rsid w:val="00B435CB"/>
    <w:rsid w:val="00B436E3"/>
    <w:rsid w:val="00B436FC"/>
    <w:rsid w:val="00B4397D"/>
    <w:rsid w:val="00B442FD"/>
    <w:rsid w:val="00B44B51"/>
    <w:rsid w:val="00B44C8C"/>
    <w:rsid w:val="00B46320"/>
    <w:rsid w:val="00B465EC"/>
    <w:rsid w:val="00B46CBC"/>
    <w:rsid w:val="00B47126"/>
    <w:rsid w:val="00B47391"/>
    <w:rsid w:val="00B47CB0"/>
    <w:rsid w:val="00B47D09"/>
    <w:rsid w:val="00B500A7"/>
    <w:rsid w:val="00B50308"/>
    <w:rsid w:val="00B505C8"/>
    <w:rsid w:val="00B50790"/>
    <w:rsid w:val="00B50A47"/>
    <w:rsid w:val="00B50B05"/>
    <w:rsid w:val="00B50C9A"/>
    <w:rsid w:val="00B50DB8"/>
    <w:rsid w:val="00B51BCC"/>
    <w:rsid w:val="00B51D78"/>
    <w:rsid w:val="00B51FDE"/>
    <w:rsid w:val="00B520D3"/>
    <w:rsid w:val="00B5233B"/>
    <w:rsid w:val="00B52628"/>
    <w:rsid w:val="00B526D2"/>
    <w:rsid w:val="00B526D5"/>
    <w:rsid w:val="00B52EF9"/>
    <w:rsid w:val="00B52F28"/>
    <w:rsid w:val="00B53273"/>
    <w:rsid w:val="00B53654"/>
    <w:rsid w:val="00B53886"/>
    <w:rsid w:val="00B53905"/>
    <w:rsid w:val="00B53E5F"/>
    <w:rsid w:val="00B546DB"/>
    <w:rsid w:val="00B54749"/>
    <w:rsid w:val="00B54913"/>
    <w:rsid w:val="00B549AB"/>
    <w:rsid w:val="00B54B5B"/>
    <w:rsid w:val="00B54CF5"/>
    <w:rsid w:val="00B54D94"/>
    <w:rsid w:val="00B5552B"/>
    <w:rsid w:val="00B55583"/>
    <w:rsid w:val="00B5562E"/>
    <w:rsid w:val="00B55792"/>
    <w:rsid w:val="00B55862"/>
    <w:rsid w:val="00B55A8D"/>
    <w:rsid w:val="00B55D47"/>
    <w:rsid w:val="00B55D65"/>
    <w:rsid w:val="00B56305"/>
    <w:rsid w:val="00B563DA"/>
    <w:rsid w:val="00B56E23"/>
    <w:rsid w:val="00B57000"/>
    <w:rsid w:val="00B5742F"/>
    <w:rsid w:val="00B577E4"/>
    <w:rsid w:val="00B579CF"/>
    <w:rsid w:val="00B60939"/>
    <w:rsid w:val="00B60AFD"/>
    <w:rsid w:val="00B60BA0"/>
    <w:rsid w:val="00B60CF1"/>
    <w:rsid w:val="00B61343"/>
    <w:rsid w:val="00B61535"/>
    <w:rsid w:val="00B615C9"/>
    <w:rsid w:val="00B61A82"/>
    <w:rsid w:val="00B61F59"/>
    <w:rsid w:val="00B620A5"/>
    <w:rsid w:val="00B62715"/>
    <w:rsid w:val="00B62C4C"/>
    <w:rsid w:val="00B635A8"/>
    <w:rsid w:val="00B63A08"/>
    <w:rsid w:val="00B64004"/>
    <w:rsid w:val="00B64603"/>
    <w:rsid w:val="00B64EC4"/>
    <w:rsid w:val="00B651B6"/>
    <w:rsid w:val="00B653FB"/>
    <w:rsid w:val="00B65611"/>
    <w:rsid w:val="00B65C9B"/>
    <w:rsid w:val="00B65F70"/>
    <w:rsid w:val="00B662E5"/>
    <w:rsid w:val="00B665E0"/>
    <w:rsid w:val="00B66647"/>
    <w:rsid w:val="00B66703"/>
    <w:rsid w:val="00B672CD"/>
    <w:rsid w:val="00B67504"/>
    <w:rsid w:val="00B6759B"/>
    <w:rsid w:val="00B67FD4"/>
    <w:rsid w:val="00B70010"/>
    <w:rsid w:val="00B7013F"/>
    <w:rsid w:val="00B703A5"/>
    <w:rsid w:val="00B703D9"/>
    <w:rsid w:val="00B70CDB"/>
    <w:rsid w:val="00B70E8E"/>
    <w:rsid w:val="00B713DC"/>
    <w:rsid w:val="00B71809"/>
    <w:rsid w:val="00B71D63"/>
    <w:rsid w:val="00B71DF8"/>
    <w:rsid w:val="00B723C9"/>
    <w:rsid w:val="00B72607"/>
    <w:rsid w:val="00B72747"/>
    <w:rsid w:val="00B72C9E"/>
    <w:rsid w:val="00B7358C"/>
    <w:rsid w:val="00B73677"/>
    <w:rsid w:val="00B737BC"/>
    <w:rsid w:val="00B73CDA"/>
    <w:rsid w:val="00B74136"/>
    <w:rsid w:val="00B744C1"/>
    <w:rsid w:val="00B749B4"/>
    <w:rsid w:val="00B74F65"/>
    <w:rsid w:val="00B7593A"/>
    <w:rsid w:val="00B75DF8"/>
    <w:rsid w:val="00B76147"/>
    <w:rsid w:val="00B76341"/>
    <w:rsid w:val="00B764D9"/>
    <w:rsid w:val="00B76C92"/>
    <w:rsid w:val="00B76E06"/>
    <w:rsid w:val="00B76F9C"/>
    <w:rsid w:val="00B7702D"/>
    <w:rsid w:val="00B77130"/>
    <w:rsid w:val="00B77346"/>
    <w:rsid w:val="00B7767F"/>
    <w:rsid w:val="00B778E9"/>
    <w:rsid w:val="00B77942"/>
    <w:rsid w:val="00B77A7F"/>
    <w:rsid w:val="00B80115"/>
    <w:rsid w:val="00B8022A"/>
    <w:rsid w:val="00B80309"/>
    <w:rsid w:val="00B803E2"/>
    <w:rsid w:val="00B805C8"/>
    <w:rsid w:val="00B80632"/>
    <w:rsid w:val="00B80A8C"/>
    <w:rsid w:val="00B80ABC"/>
    <w:rsid w:val="00B80EB3"/>
    <w:rsid w:val="00B80EFD"/>
    <w:rsid w:val="00B81114"/>
    <w:rsid w:val="00B818A4"/>
    <w:rsid w:val="00B81D3A"/>
    <w:rsid w:val="00B83479"/>
    <w:rsid w:val="00B83739"/>
    <w:rsid w:val="00B83A93"/>
    <w:rsid w:val="00B84117"/>
    <w:rsid w:val="00B8439F"/>
    <w:rsid w:val="00B84755"/>
    <w:rsid w:val="00B8485E"/>
    <w:rsid w:val="00B853AC"/>
    <w:rsid w:val="00B853FD"/>
    <w:rsid w:val="00B8540C"/>
    <w:rsid w:val="00B858F0"/>
    <w:rsid w:val="00B85A96"/>
    <w:rsid w:val="00B85AA2"/>
    <w:rsid w:val="00B85CB7"/>
    <w:rsid w:val="00B85D94"/>
    <w:rsid w:val="00B85ECA"/>
    <w:rsid w:val="00B8625B"/>
    <w:rsid w:val="00B86464"/>
    <w:rsid w:val="00B8649C"/>
    <w:rsid w:val="00B865D6"/>
    <w:rsid w:val="00B8695D"/>
    <w:rsid w:val="00B871FC"/>
    <w:rsid w:val="00B87C55"/>
    <w:rsid w:val="00B87F0A"/>
    <w:rsid w:val="00B87F63"/>
    <w:rsid w:val="00B87FB8"/>
    <w:rsid w:val="00B9000B"/>
    <w:rsid w:val="00B90029"/>
    <w:rsid w:val="00B90052"/>
    <w:rsid w:val="00B90E32"/>
    <w:rsid w:val="00B91028"/>
    <w:rsid w:val="00B910D6"/>
    <w:rsid w:val="00B9120F"/>
    <w:rsid w:val="00B912F9"/>
    <w:rsid w:val="00B91468"/>
    <w:rsid w:val="00B91476"/>
    <w:rsid w:val="00B91533"/>
    <w:rsid w:val="00B9170F"/>
    <w:rsid w:val="00B91BAC"/>
    <w:rsid w:val="00B923D8"/>
    <w:rsid w:val="00B92557"/>
    <w:rsid w:val="00B92BF2"/>
    <w:rsid w:val="00B92D0B"/>
    <w:rsid w:val="00B92E2D"/>
    <w:rsid w:val="00B930BA"/>
    <w:rsid w:val="00B931E9"/>
    <w:rsid w:val="00B93313"/>
    <w:rsid w:val="00B936C9"/>
    <w:rsid w:val="00B93927"/>
    <w:rsid w:val="00B93C12"/>
    <w:rsid w:val="00B93F62"/>
    <w:rsid w:val="00B93FBC"/>
    <w:rsid w:val="00B94611"/>
    <w:rsid w:val="00B94784"/>
    <w:rsid w:val="00B94945"/>
    <w:rsid w:val="00B94CB2"/>
    <w:rsid w:val="00B94CD0"/>
    <w:rsid w:val="00B94DD6"/>
    <w:rsid w:val="00B951D8"/>
    <w:rsid w:val="00B95A05"/>
    <w:rsid w:val="00B95CB2"/>
    <w:rsid w:val="00B962EE"/>
    <w:rsid w:val="00B9663A"/>
    <w:rsid w:val="00B96B29"/>
    <w:rsid w:val="00B96E92"/>
    <w:rsid w:val="00B971AD"/>
    <w:rsid w:val="00B975CB"/>
    <w:rsid w:val="00B97863"/>
    <w:rsid w:val="00B97EBB"/>
    <w:rsid w:val="00BA00D7"/>
    <w:rsid w:val="00BA2D40"/>
    <w:rsid w:val="00BA312F"/>
    <w:rsid w:val="00BA322D"/>
    <w:rsid w:val="00BA35F4"/>
    <w:rsid w:val="00BA3CA9"/>
    <w:rsid w:val="00BA42D7"/>
    <w:rsid w:val="00BA4D2D"/>
    <w:rsid w:val="00BA580C"/>
    <w:rsid w:val="00BA5A2A"/>
    <w:rsid w:val="00BA5DF0"/>
    <w:rsid w:val="00BA638C"/>
    <w:rsid w:val="00BA63FA"/>
    <w:rsid w:val="00BA6746"/>
    <w:rsid w:val="00BA6E49"/>
    <w:rsid w:val="00BA6EA0"/>
    <w:rsid w:val="00BA707D"/>
    <w:rsid w:val="00BA7253"/>
    <w:rsid w:val="00BA74C0"/>
    <w:rsid w:val="00BB00B3"/>
    <w:rsid w:val="00BB0689"/>
    <w:rsid w:val="00BB0927"/>
    <w:rsid w:val="00BB0997"/>
    <w:rsid w:val="00BB0BDD"/>
    <w:rsid w:val="00BB12B2"/>
    <w:rsid w:val="00BB161E"/>
    <w:rsid w:val="00BB1642"/>
    <w:rsid w:val="00BB176C"/>
    <w:rsid w:val="00BB1810"/>
    <w:rsid w:val="00BB1C4D"/>
    <w:rsid w:val="00BB2080"/>
    <w:rsid w:val="00BB214F"/>
    <w:rsid w:val="00BB2204"/>
    <w:rsid w:val="00BB23E4"/>
    <w:rsid w:val="00BB2A73"/>
    <w:rsid w:val="00BB31E2"/>
    <w:rsid w:val="00BB3A45"/>
    <w:rsid w:val="00BB3DEC"/>
    <w:rsid w:val="00BB40E1"/>
    <w:rsid w:val="00BB4917"/>
    <w:rsid w:val="00BB4985"/>
    <w:rsid w:val="00BB4ACC"/>
    <w:rsid w:val="00BB4DB2"/>
    <w:rsid w:val="00BB5F29"/>
    <w:rsid w:val="00BB602B"/>
    <w:rsid w:val="00BB62B4"/>
    <w:rsid w:val="00BB63CE"/>
    <w:rsid w:val="00BB6EB9"/>
    <w:rsid w:val="00BB703E"/>
    <w:rsid w:val="00BB732D"/>
    <w:rsid w:val="00BB7405"/>
    <w:rsid w:val="00BB771B"/>
    <w:rsid w:val="00BC0AAE"/>
    <w:rsid w:val="00BC126E"/>
    <w:rsid w:val="00BC17D8"/>
    <w:rsid w:val="00BC1968"/>
    <w:rsid w:val="00BC1B1D"/>
    <w:rsid w:val="00BC20D6"/>
    <w:rsid w:val="00BC247B"/>
    <w:rsid w:val="00BC27FC"/>
    <w:rsid w:val="00BC2CCA"/>
    <w:rsid w:val="00BC2FE1"/>
    <w:rsid w:val="00BC3631"/>
    <w:rsid w:val="00BC38E2"/>
    <w:rsid w:val="00BC39BF"/>
    <w:rsid w:val="00BC39FF"/>
    <w:rsid w:val="00BC3A59"/>
    <w:rsid w:val="00BC3AE9"/>
    <w:rsid w:val="00BC51FA"/>
    <w:rsid w:val="00BC591F"/>
    <w:rsid w:val="00BC6291"/>
    <w:rsid w:val="00BC7025"/>
    <w:rsid w:val="00BC7229"/>
    <w:rsid w:val="00BC73B6"/>
    <w:rsid w:val="00BC7875"/>
    <w:rsid w:val="00BC7D6D"/>
    <w:rsid w:val="00BD03A7"/>
    <w:rsid w:val="00BD0628"/>
    <w:rsid w:val="00BD066B"/>
    <w:rsid w:val="00BD0836"/>
    <w:rsid w:val="00BD084D"/>
    <w:rsid w:val="00BD0B40"/>
    <w:rsid w:val="00BD0EF0"/>
    <w:rsid w:val="00BD1191"/>
    <w:rsid w:val="00BD1347"/>
    <w:rsid w:val="00BD15E9"/>
    <w:rsid w:val="00BD1C53"/>
    <w:rsid w:val="00BD2108"/>
    <w:rsid w:val="00BD27D8"/>
    <w:rsid w:val="00BD2AEB"/>
    <w:rsid w:val="00BD2C81"/>
    <w:rsid w:val="00BD30BE"/>
    <w:rsid w:val="00BD32F0"/>
    <w:rsid w:val="00BD356E"/>
    <w:rsid w:val="00BD4771"/>
    <w:rsid w:val="00BD49EC"/>
    <w:rsid w:val="00BD5C98"/>
    <w:rsid w:val="00BD63AD"/>
    <w:rsid w:val="00BD68A3"/>
    <w:rsid w:val="00BD6938"/>
    <w:rsid w:val="00BD6B2E"/>
    <w:rsid w:val="00BD6CF3"/>
    <w:rsid w:val="00BD6E42"/>
    <w:rsid w:val="00BD706C"/>
    <w:rsid w:val="00BD7103"/>
    <w:rsid w:val="00BD716A"/>
    <w:rsid w:val="00BD75A5"/>
    <w:rsid w:val="00BD75E9"/>
    <w:rsid w:val="00BD7678"/>
    <w:rsid w:val="00BD768F"/>
    <w:rsid w:val="00BD7A30"/>
    <w:rsid w:val="00BD7E0B"/>
    <w:rsid w:val="00BD7F72"/>
    <w:rsid w:val="00BE0056"/>
    <w:rsid w:val="00BE01EA"/>
    <w:rsid w:val="00BE06F6"/>
    <w:rsid w:val="00BE0715"/>
    <w:rsid w:val="00BE0757"/>
    <w:rsid w:val="00BE0A46"/>
    <w:rsid w:val="00BE0ECA"/>
    <w:rsid w:val="00BE1AB0"/>
    <w:rsid w:val="00BE1C2A"/>
    <w:rsid w:val="00BE1DCE"/>
    <w:rsid w:val="00BE20A6"/>
    <w:rsid w:val="00BE2180"/>
    <w:rsid w:val="00BE21A0"/>
    <w:rsid w:val="00BE21F2"/>
    <w:rsid w:val="00BE232C"/>
    <w:rsid w:val="00BE2AEE"/>
    <w:rsid w:val="00BE2F50"/>
    <w:rsid w:val="00BE3221"/>
    <w:rsid w:val="00BE384E"/>
    <w:rsid w:val="00BE385D"/>
    <w:rsid w:val="00BE4275"/>
    <w:rsid w:val="00BE427F"/>
    <w:rsid w:val="00BE435A"/>
    <w:rsid w:val="00BE47BB"/>
    <w:rsid w:val="00BE4912"/>
    <w:rsid w:val="00BE4CC6"/>
    <w:rsid w:val="00BE4EA2"/>
    <w:rsid w:val="00BE5A47"/>
    <w:rsid w:val="00BE63EC"/>
    <w:rsid w:val="00BE6890"/>
    <w:rsid w:val="00BE7556"/>
    <w:rsid w:val="00BE7847"/>
    <w:rsid w:val="00BE7B62"/>
    <w:rsid w:val="00BE7DF6"/>
    <w:rsid w:val="00BF03A8"/>
    <w:rsid w:val="00BF06AE"/>
    <w:rsid w:val="00BF0F95"/>
    <w:rsid w:val="00BF1344"/>
    <w:rsid w:val="00BF1DBE"/>
    <w:rsid w:val="00BF2143"/>
    <w:rsid w:val="00BF21E3"/>
    <w:rsid w:val="00BF23AA"/>
    <w:rsid w:val="00BF2433"/>
    <w:rsid w:val="00BF2DF7"/>
    <w:rsid w:val="00BF2E3A"/>
    <w:rsid w:val="00BF2E6E"/>
    <w:rsid w:val="00BF35FC"/>
    <w:rsid w:val="00BF388C"/>
    <w:rsid w:val="00BF3AD9"/>
    <w:rsid w:val="00BF4715"/>
    <w:rsid w:val="00BF485F"/>
    <w:rsid w:val="00BF4A8C"/>
    <w:rsid w:val="00BF4B22"/>
    <w:rsid w:val="00BF4DBD"/>
    <w:rsid w:val="00BF52D1"/>
    <w:rsid w:val="00BF551E"/>
    <w:rsid w:val="00BF55BE"/>
    <w:rsid w:val="00BF56E5"/>
    <w:rsid w:val="00BF61C9"/>
    <w:rsid w:val="00BF61EB"/>
    <w:rsid w:val="00BF6AF9"/>
    <w:rsid w:val="00BF6C94"/>
    <w:rsid w:val="00BF6CAB"/>
    <w:rsid w:val="00BF6D95"/>
    <w:rsid w:val="00BF6E14"/>
    <w:rsid w:val="00BF7764"/>
    <w:rsid w:val="00BF786F"/>
    <w:rsid w:val="00BF7877"/>
    <w:rsid w:val="00BF79A4"/>
    <w:rsid w:val="00BF7C3D"/>
    <w:rsid w:val="00BF7E96"/>
    <w:rsid w:val="00BF7EC8"/>
    <w:rsid w:val="00C002CA"/>
    <w:rsid w:val="00C00424"/>
    <w:rsid w:val="00C004FF"/>
    <w:rsid w:val="00C0079C"/>
    <w:rsid w:val="00C00A21"/>
    <w:rsid w:val="00C00BB0"/>
    <w:rsid w:val="00C0100A"/>
    <w:rsid w:val="00C0188A"/>
    <w:rsid w:val="00C01AB0"/>
    <w:rsid w:val="00C01B86"/>
    <w:rsid w:val="00C0236A"/>
    <w:rsid w:val="00C02A43"/>
    <w:rsid w:val="00C03182"/>
    <w:rsid w:val="00C03426"/>
    <w:rsid w:val="00C03738"/>
    <w:rsid w:val="00C03B98"/>
    <w:rsid w:val="00C04250"/>
    <w:rsid w:val="00C04ADD"/>
    <w:rsid w:val="00C04B76"/>
    <w:rsid w:val="00C0555E"/>
    <w:rsid w:val="00C061B2"/>
    <w:rsid w:val="00C06725"/>
    <w:rsid w:val="00C0680E"/>
    <w:rsid w:val="00C06E83"/>
    <w:rsid w:val="00C06FD9"/>
    <w:rsid w:val="00C07069"/>
    <w:rsid w:val="00C073C9"/>
    <w:rsid w:val="00C076A9"/>
    <w:rsid w:val="00C07FC6"/>
    <w:rsid w:val="00C105D3"/>
    <w:rsid w:val="00C107EC"/>
    <w:rsid w:val="00C109F5"/>
    <w:rsid w:val="00C113F1"/>
    <w:rsid w:val="00C1179F"/>
    <w:rsid w:val="00C12272"/>
    <w:rsid w:val="00C12574"/>
    <w:rsid w:val="00C127B9"/>
    <w:rsid w:val="00C128FA"/>
    <w:rsid w:val="00C12906"/>
    <w:rsid w:val="00C1297B"/>
    <w:rsid w:val="00C12A7E"/>
    <w:rsid w:val="00C12C14"/>
    <w:rsid w:val="00C13528"/>
    <w:rsid w:val="00C13D4F"/>
    <w:rsid w:val="00C13E13"/>
    <w:rsid w:val="00C14B1C"/>
    <w:rsid w:val="00C14D46"/>
    <w:rsid w:val="00C14E77"/>
    <w:rsid w:val="00C14FBF"/>
    <w:rsid w:val="00C15599"/>
    <w:rsid w:val="00C15AD8"/>
    <w:rsid w:val="00C15E40"/>
    <w:rsid w:val="00C15F04"/>
    <w:rsid w:val="00C1617A"/>
    <w:rsid w:val="00C1655C"/>
    <w:rsid w:val="00C1698D"/>
    <w:rsid w:val="00C16D07"/>
    <w:rsid w:val="00C17295"/>
    <w:rsid w:val="00C17685"/>
    <w:rsid w:val="00C179B3"/>
    <w:rsid w:val="00C17E3F"/>
    <w:rsid w:val="00C17F1E"/>
    <w:rsid w:val="00C200A6"/>
    <w:rsid w:val="00C200AA"/>
    <w:rsid w:val="00C20CFA"/>
    <w:rsid w:val="00C21208"/>
    <w:rsid w:val="00C212F9"/>
    <w:rsid w:val="00C21655"/>
    <w:rsid w:val="00C216AF"/>
    <w:rsid w:val="00C21765"/>
    <w:rsid w:val="00C21A0F"/>
    <w:rsid w:val="00C21F48"/>
    <w:rsid w:val="00C22041"/>
    <w:rsid w:val="00C22663"/>
    <w:rsid w:val="00C228B5"/>
    <w:rsid w:val="00C22986"/>
    <w:rsid w:val="00C23173"/>
    <w:rsid w:val="00C23578"/>
    <w:rsid w:val="00C237ED"/>
    <w:rsid w:val="00C23A5E"/>
    <w:rsid w:val="00C23B49"/>
    <w:rsid w:val="00C23F06"/>
    <w:rsid w:val="00C2404F"/>
    <w:rsid w:val="00C24624"/>
    <w:rsid w:val="00C24632"/>
    <w:rsid w:val="00C24A50"/>
    <w:rsid w:val="00C24F1B"/>
    <w:rsid w:val="00C24F20"/>
    <w:rsid w:val="00C25418"/>
    <w:rsid w:val="00C25A69"/>
    <w:rsid w:val="00C25D9C"/>
    <w:rsid w:val="00C25EBE"/>
    <w:rsid w:val="00C25F39"/>
    <w:rsid w:val="00C260E5"/>
    <w:rsid w:val="00C26644"/>
    <w:rsid w:val="00C267C8"/>
    <w:rsid w:val="00C269DA"/>
    <w:rsid w:val="00C26EBB"/>
    <w:rsid w:val="00C27211"/>
    <w:rsid w:val="00C2778B"/>
    <w:rsid w:val="00C27A80"/>
    <w:rsid w:val="00C27C16"/>
    <w:rsid w:val="00C27C56"/>
    <w:rsid w:val="00C300ED"/>
    <w:rsid w:val="00C30195"/>
    <w:rsid w:val="00C301D3"/>
    <w:rsid w:val="00C31649"/>
    <w:rsid w:val="00C31A27"/>
    <w:rsid w:val="00C327A0"/>
    <w:rsid w:val="00C3283C"/>
    <w:rsid w:val="00C3291B"/>
    <w:rsid w:val="00C33DF8"/>
    <w:rsid w:val="00C3434C"/>
    <w:rsid w:val="00C343DF"/>
    <w:rsid w:val="00C344EA"/>
    <w:rsid w:val="00C3493F"/>
    <w:rsid w:val="00C34BD4"/>
    <w:rsid w:val="00C3547F"/>
    <w:rsid w:val="00C35D6B"/>
    <w:rsid w:val="00C36281"/>
    <w:rsid w:val="00C36832"/>
    <w:rsid w:val="00C36842"/>
    <w:rsid w:val="00C3729B"/>
    <w:rsid w:val="00C37430"/>
    <w:rsid w:val="00C37810"/>
    <w:rsid w:val="00C37986"/>
    <w:rsid w:val="00C40385"/>
    <w:rsid w:val="00C40427"/>
    <w:rsid w:val="00C404EE"/>
    <w:rsid w:val="00C406D0"/>
    <w:rsid w:val="00C408EF"/>
    <w:rsid w:val="00C40B70"/>
    <w:rsid w:val="00C40FAA"/>
    <w:rsid w:val="00C41768"/>
    <w:rsid w:val="00C41ABC"/>
    <w:rsid w:val="00C41DB0"/>
    <w:rsid w:val="00C421C8"/>
    <w:rsid w:val="00C42539"/>
    <w:rsid w:val="00C425B0"/>
    <w:rsid w:val="00C42CAF"/>
    <w:rsid w:val="00C43348"/>
    <w:rsid w:val="00C4424E"/>
    <w:rsid w:val="00C44884"/>
    <w:rsid w:val="00C4503B"/>
    <w:rsid w:val="00C45B96"/>
    <w:rsid w:val="00C45E15"/>
    <w:rsid w:val="00C45EA3"/>
    <w:rsid w:val="00C4628B"/>
    <w:rsid w:val="00C46570"/>
    <w:rsid w:val="00C46FFC"/>
    <w:rsid w:val="00C475AA"/>
    <w:rsid w:val="00C50178"/>
    <w:rsid w:val="00C505CE"/>
    <w:rsid w:val="00C50613"/>
    <w:rsid w:val="00C5090A"/>
    <w:rsid w:val="00C50C49"/>
    <w:rsid w:val="00C50F19"/>
    <w:rsid w:val="00C50FE0"/>
    <w:rsid w:val="00C5135E"/>
    <w:rsid w:val="00C514A5"/>
    <w:rsid w:val="00C51980"/>
    <w:rsid w:val="00C51AC3"/>
    <w:rsid w:val="00C51AE8"/>
    <w:rsid w:val="00C51DA5"/>
    <w:rsid w:val="00C52185"/>
    <w:rsid w:val="00C527C7"/>
    <w:rsid w:val="00C52CD8"/>
    <w:rsid w:val="00C52F76"/>
    <w:rsid w:val="00C53881"/>
    <w:rsid w:val="00C53C75"/>
    <w:rsid w:val="00C53C98"/>
    <w:rsid w:val="00C55419"/>
    <w:rsid w:val="00C55626"/>
    <w:rsid w:val="00C55AB8"/>
    <w:rsid w:val="00C56058"/>
    <w:rsid w:val="00C56513"/>
    <w:rsid w:val="00C56609"/>
    <w:rsid w:val="00C56AF1"/>
    <w:rsid w:val="00C56E24"/>
    <w:rsid w:val="00C56F0A"/>
    <w:rsid w:val="00C56FCF"/>
    <w:rsid w:val="00C572F6"/>
    <w:rsid w:val="00C5739A"/>
    <w:rsid w:val="00C57631"/>
    <w:rsid w:val="00C57949"/>
    <w:rsid w:val="00C57B6C"/>
    <w:rsid w:val="00C601AF"/>
    <w:rsid w:val="00C604AB"/>
    <w:rsid w:val="00C609A5"/>
    <w:rsid w:val="00C60A50"/>
    <w:rsid w:val="00C61645"/>
    <w:rsid w:val="00C61A59"/>
    <w:rsid w:val="00C61AC7"/>
    <w:rsid w:val="00C628A6"/>
    <w:rsid w:val="00C62B8F"/>
    <w:rsid w:val="00C6343E"/>
    <w:rsid w:val="00C63496"/>
    <w:rsid w:val="00C63EB4"/>
    <w:rsid w:val="00C63F92"/>
    <w:rsid w:val="00C64344"/>
    <w:rsid w:val="00C6453E"/>
    <w:rsid w:val="00C649A2"/>
    <w:rsid w:val="00C64C99"/>
    <w:rsid w:val="00C65108"/>
    <w:rsid w:val="00C65576"/>
    <w:rsid w:val="00C655D0"/>
    <w:rsid w:val="00C65618"/>
    <w:rsid w:val="00C65A4D"/>
    <w:rsid w:val="00C66165"/>
    <w:rsid w:val="00C6679D"/>
    <w:rsid w:val="00C6695C"/>
    <w:rsid w:val="00C66EB1"/>
    <w:rsid w:val="00C679D7"/>
    <w:rsid w:val="00C67FF4"/>
    <w:rsid w:val="00C70413"/>
    <w:rsid w:val="00C7060A"/>
    <w:rsid w:val="00C7077A"/>
    <w:rsid w:val="00C70A2B"/>
    <w:rsid w:val="00C70ABA"/>
    <w:rsid w:val="00C70BFC"/>
    <w:rsid w:val="00C70C82"/>
    <w:rsid w:val="00C70EC2"/>
    <w:rsid w:val="00C71510"/>
    <w:rsid w:val="00C7151A"/>
    <w:rsid w:val="00C7179D"/>
    <w:rsid w:val="00C717E3"/>
    <w:rsid w:val="00C719AE"/>
    <w:rsid w:val="00C71F60"/>
    <w:rsid w:val="00C72241"/>
    <w:rsid w:val="00C72AE6"/>
    <w:rsid w:val="00C72B3C"/>
    <w:rsid w:val="00C72C5B"/>
    <w:rsid w:val="00C72CDE"/>
    <w:rsid w:val="00C73157"/>
    <w:rsid w:val="00C7361C"/>
    <w:rsid w:val="00C7377E"/>
    <w:rsid w:val="00C74BB7"/>
    <w:rsid w:val="00C750C8"/>
    <w:rsid w:val="00C7560F"/>
    <w:rsid w:val="00C75EDE"/>
    <w:rsid w:val="00C7639D"/>
    <w:rsid w:val="00C76A03"/>
    <w:rsid w:val="00C76A12"/>
    <w:rsid w:val="00C76B6F"/>
    <w:rsid w:val="00C77062"/>
    <w:rsid w:val="00C77802"/>
    <w:rsid w:val="00C778E7"/>
    <w:rsid w:val="00C808ED"/>
    <w:rsid w:val="00C80A0E"/>
    <w:rsid w:val="00C80AA2"/>
    <w:rsid w:val="00C80C73"/>
    <w:rsid w:val="00C80F91"/>
    <w:rsid w:val="00C81482"/>
    <w:rsid w:val="00C814E4"/>
    <w:rsid w:val="00C81EB5"/>
    <w:rsid w:val="00C8213F"/>
    <w:rsid w:val="00C825FB"/>
    <w:rsid w:val="00C8269A"/>
    <w:rsid w:val="00C82DD4"/>
    <w:rsid w:val="00C82E2F"/>
    <w:rsid w:val="00C82FB2"/>
    <w:rsid w:val="00C8303F"/>
    <w:rsid w:val="00C8329D"/>
    <w:rsid w:val="00C832B2"/>
    <w:rsid w:val="00C83524"/>
    <w:rsid w:val="00C83571"/>
    <w:rsid w:val="00C83D2D"/>
    <w:rsid w:val="00C84552"/>
    <w:rsid w:val="00C84666"/>
    <w:rsid w:val="00C84A5D"/>
    <w:rsid w:val="00C84D8D"/>
    <w:rsid w:val="00C84F75"/>
    <w:rsid w:val="00C85154"/>
    <w:rsid w:val="00C85519"/>
    <w:rsid w:val="00C858F0"/>
    <w:rsid w:val="00C85A70"/>
    <w:rsid w:val="00C861EB"/>
    <w:rsid w:val="00C863B1"/>
    <w:rsid w:val="00C86614"/>
    <w:rsid w:val="00C871EB"/>
    <w:rsid w:val="00C87776"/>
    <w:rsid w:val="00C8797A"/>
    <w:rsid w:val="00C9008D"/>
    <w:rsid w:val="00C900B8"/>
    <w:rsid w:val="00C90197"/>
    <w:rsid w:val="00C901ED"/>
    <w:rsid w:val="00C90220"/>
    <w:rsid w:val="00C9036E"/>
    <w:rsid w:val="00C90C71"/>
    <w:rsid w:val="00C90E37"/>
    <w:rsid w:val="00C90FEB"/>
    <w:rsid w:val="00C91527"/>
    <w:rsid w:val="00C9189B"/>
    <w:rsid w:val="00C91B5C"/>
    <w:rsid w:val="00C91F14"/>
    <w:rsid w:val="00C91FB3"/>
    <w:rsid w:val="00C91FD1"/>
    <w:rsid w:val="00C9203A"/>
    <w:rsid w:val="00C927C4"/>
    <w:rsid w:val="00C92F9A"/>
    <w:rsid w:val="00C931CF"/>
    <w:rsid w:val="00C93774"/>
    <w:rsid w:val="00C938CF"/>
    <w:rsid w:val="00C94053"/>
    <w:rsid w:val="00C9414D"/>
    <w:rsid w:val="00C94180"/>
    <w:rsid w:val="00C94379"/>
    <w:rsid w:val="00C943A5"/>
    <w:rsid w:val="00C94559"/>
    <w:rsid w:val="00C94669"/>
    <w:rsid w:val="00C94BB4"/>
    <w:rsid w:val="00C9517C"/>
    <w:rsid w:val="00C951EC"/>
    <w:rsid w:val="00C95210"/>
    <w:rsid w:val="00C9529E"/>
    <w:rsid w:val="00C952C2"/>
    <w:rsid w:val="00C95C57"/>
    <w:rsid w:val="00C95DFD"/>
    <w:rsid w:val="00C9624D"/>
    <w:rsid w:val="00C96887"/>
    <w:rsid w:val="00C969DA"/>
    <w:rsid w:val="00C96B13"/>
    <w:rsid w:val="00C96F5A"/>
    <w:rsid w:val="00C97694"/>
    <w:rsid w:val="00C97D34"/>
    <w:rsid w:val="00CA0226"/>
    <w:rsid w:val="00CA02AE"/>
    <w:rsid w:val="00CA0F06"/>
    <w:rsid w:val="00CA0F12"/>
    <w:rsid w:val="00CA1199"/>
    <w:rsid w:val="00CA12B4"/>
    <w:rsid w:val="00CA1678"/>
    <w:rsid w:val="00CA1874"/>
    <w:rsid w:val="00CA196E"/>
    <w:rsid w:val="00CA1A89"/>
    <w:rsid w:val="00CA1E2A"/>
    <w:rsid w:val="00CA27A0"/>
    <w:rsid w:val="00CA27DD"/>
    <w:rsid w:val="00CA2AAF"/>
    <w:rsid w:val="00CA2C77"/>
    <w:rsid w:val="00CA2C82"/>
    <w:rsid w:val="00CA3130"/>
    <w:rsid w:val="00CA3704"/>
    <w:rsid w:val="00CA3AEA"/>
    <w:rsid w:val="00CA3B40"/>
    <w:rsid w:val="00CA4080"/>
    <w:rsid w:val="00CA434C"/>
    <w:rsid w:val="00CA444F"/>
    <w:rsid w:val="00CA46BC"/>
    <w:rsid w:val="00CA489C"/>
    <w:rsid w:val="00CA4D44"/>
    <w:rsid w:val="00CA5109"/>
    <w:rsid w:val="00CA5245"/>
    <w:rsid w:val="00CA586F"/>
    <w:rsid w:val="00CA5A17"/>
    <w:rsid w:val="00CA5DBF"/>
    <w:rsid w:val="00CA6136"/>
    <w:rsid w:val="00CA6405"/>
    <w:rsid w:val="00CA691B"/>
    <w:rsid w:val="00CA6D40"/>
    <w:rsid w:val="00CA71F4"/>
    <w:rsid w:val="00CA75DD"/>
    <w:rsid w:val="00CA788C"/>
    <w:rsid w:val="00CA7AF8"/>
    <w:rsid w:val="00CA7B09"/>
    <w:rsid w:val="00CA7BB3"/>
    <w:rsid w:val="00CA7E21"/>
    <w:rsid w:val="00CB026D"/>
    <w:rsid w:val="00CB0699"/>
    <w:rsid w:val="00CB12A5"/>
    <w:rsid w:val="00CB16A7"/>
    <w:rsid w:val="00CB184C"/>
    <w:rsid w:val="00CB1CAC"/>
    <w:rsid w:val="00CB2B7A"/>
    <w:rsid w:val="00CB2D18"/>
    <w:rsid w:val="00CB2DBC"/>
    <w:rsid w:val="00CB2E6A"/>
    <w:rsid w:val="00CB2F2A"/>
    <w:rsid w:val="00CB3319"/>
    <w:rsid w:val="00CB34B4"/>
    <w:rsid w:val="00CB3B98"/>
    <w:rsid w:val="00CB4B04"/>
    <w:rsid w:val="00CB5121"/>
    <w:rsid w:val="00CB54D4"/>
    <w:rsid w:val="00CB5596"/>
    <w:rsid w:val="00CB57FC"/>
    <w:rsid w:val="00CB57FE"/>
    <w:rsid w:val="00CB5B1A"/>
    <w:rsid w:val="00CB60A8"/>
    <w:rsid w:val="00CB69E9"/>
    <w:rsid w:val="00CB6B22"/>
    <w:rsid w:val="00CB6E44"/>
    <w:rsid w:val="00CB79AA"/>
    <w:rsid w:val="00CB7B60"/>
    <w:rsid w:val="00CB7E62"/>
    <w:rsid w:val="00CB7F44"/>
    <w:rsid w:val="00CB7F5F"/>
    <w:rsid w:val="00CC0EFE"/>
    <w:rsid w:val="00CC1491"/>
    <w:rsid w:val="00CC14D9"/>
    <w:rsid w:val="00CC1B03"/>
    <w:rsid w:val="00CC1B39"/>
    <w:rsid w:val="00CC1BFA"/>
    <w:rsid w:val="00CC1ECB"/>
    <w:rsid w:val="00CC1FAA"/>
    <w:rsid w:val="00CC2232"/>
    <w:rsid w:val="00CC23A4"/>
    <w:rsid w:val="00CC24A0"/>
    <w:rsid w:val="00CC2622"/>
    <w:rsid w:val="00CC2905"/>
    <w:rsid w:val="00CC2C3F"/>
    <w:rsid w:val="00CC2D4B"/>
    <w:rsid w:val="00CC2E9F"/>
    <w:rsid w:val="00CC35EA"/>
    <w:rsid w:val="00CC3848"/>
    <w:rsid w:val="00CC4EF5"/>
    <w:rsid w:val="00CC502E"/>
    <w:rsid w:val="00CC594E"/>
    <w:rsid w:val="00CC5A0C"/>
    <w:rsid w:val="00CC5A22"/>
    <w:rsid w:val="00CC604F"/>
    <w:rsid w:val="00CC644F"/>
    <w:rsid w:val="00CC677A"/>
    <w:rsid w:val="00CC67ED"/>
    <w:rsid w:val="00CC6B7F"/>
    <w:rsid w:val="00CC6D5E"/>
    <w:rsid w:val="00CC6EE2"/>
    <w:rsid w:val="00CC7171"/>
    <w:rsid w:val="00CC71C6"/>
    <w:rsid w:val="00CC72D5"/>
    <w:rsid w:val="00CC74CB"/>
    <w:rsid w:val="00CC7545"/>
    <w:rsid w:val="00CC76C8"/>
    <w:rsid w:val="00CC77FF"/>
    <w:rsid w:val="00CC797F"/>
    <w:rsid w:val="00CD0200"/>
    <w:rsid w:val="00CD06E8"/>
    <w:rsid w:val="00CD06F8"/>
    <w:rsid w:val="00CD09B8"/>
    <w:rsid w:val="00CD0A5A"/>
    <w:rsid w:val="00CD0B82"/>
    <w:rsid w:val="00CD0CB4"/>
    <w:rsid w:val="00CD101D"/>
    <w:rsid w:val="00CD104A"/>
    <w:rsid w:val="00CD12B0"/>
    <w:rsid w:val="00CD171A"/>
    <w:rsid w:val="00CD1CE9"/>
    <w:rsid w:val="00CD24E1"/>
    <w:rsid w:val="00CD2754"/>
    <w:rsid w:val="00CD2861"/>
    <w:rsid w:val="00CD2A04"/>
    <w:rsid w:val="00CD37DB"/>
    <w:rsid w:val="00CD3897"/>
    <w:rsid w:val="00CD3BF9"/>
    <w:rsid w:val="00CD3EEF"/>
    <w:rsid w:val="00CD3F77"/>
    <w:rsid w:val="00CD3F9A"/>
    <w:rsid w:val="00CD4055"/>
    <w:rsid w:val="00CD4252"/>
    <w:rsid w:val="00CD4314"/>
    <w:rsid w:val="00CD4D01"/>
    <w:rsid w:val="00CD4D05"/>
    <w:rsid w:val="00CD4EFF"/>
    <w:rsid w:val="00CD527F"/>
    <w:rsid w:val="00CD5339"/>
    <w:rsid w:val="00CD56DA"/>
    <w:rsid w:val="00CD58B2"/>
    <w:rsid w:val="00CD5C09"/>
    <w:rsid w:val="00CD5C50"/>
    <w:rsid w:val="00CD6034"/>
    <w:rsid w:val="00CD64A6"/>
    <w:rsid w:val="00CD68DD"/>
    <w:rsid w:val="00CD6ADC"/>
    <w:rsid w:val="00CD6CBB"/>
    <w:rsid w:val="00CD7193"/>
    <w:rsid w:val="00CD7333"/>
    <w:rsid w:val="00CD73FC"/>
    <w:rsid w:val="00CD7656"/>
    <w:rsid w:val="00CD7FB1"/>
    <w:rsid w:val="00CE0093"/>
    <w:rsid w:val="00CE01FD"/>
    <w:rsid w:val="00CE0B42"/>
    <w:rsid w:val="00CE1CED"/>
    <w:rsid w:val="00CE21EE"/>
    <w:rsid w:val="00CE23CA"/>
    <w:rsid w:val="00CE2596"/>
    <w:rsid w:val="00CE2656"/>
    <w:rsid w:val="00CE2706"/>
    <w:rsid w:val="00CE2C96"/>
    <w:rsid w:val="00CE368C"/>
    <w:rsid w:val="00CE38C8"/>
    <w:rsid w:val="00CE4E71"/>
    <w:rsid w:val="00CE51A8"/>
    <w:rsid w:val="00CE524F"/>
    <w:rsid w:val="00CE58CC"/>
    <w:rsid w:val="00CE598D"/>
    <w:rsid w:val="00CE5C0F"/>
    <w:rsid w:val="00CE5E4A"/>
    <w:rsid w:val="00CE5E6F"/>
    <w:rsid w:val="00CE6274"/>
    <w:rsid w:val="00CE6600"/>
    <w:rsid w:val="00CE6D7D"/>
    <w:rsid w:val="00CE7233"/>
    <w:rsid w:val="00CE7260"/>
    <w:rsid w:val="00CE7432"/>
    <w:rsid w:val="00CE77B6"/>
    <w:rsid w:val="00CE7C85"/>
    <w:rsid w:val="00CE7F85"/>
    <w:rsid w:val="00CF028E"/>
    <w:rsid w:val="00CF06F7"/>
    <w:rsid w:val="00CF0712"/>
    <w:rsid w:val="00CF0BB2"/>
    <w:rsid w:val="00CF217B"/>
    <w:rsid w:val="00CF25AA"/>
    <w:rsid w:val="00CF27FB"/>
    <w:rsid w:val="00CF2B8D"/>
    <w:rsid w:val="00CF2C2E"/>
    <w:rsid w:val="00CF348F"/>
    <w:rsid w:val="00CF3530"/>
    <w:rsid w:val="00CF377C"/>
    <w:rsid w:val="00CF3A1B"/>
    <w:rsid w:val="00CF3AA0"/>
    <w:rsid w:val="00CF456B"/>
    <w:rsid w:val="00CF45FF"/>
    <w:rsid w:val="00CF5413"/>
    <w:rsid w:val="00CF5477"/>
    <w:rsid w:val="00CF5A22"/>
    <w:rsid w:val="00CF5E27"/>
    <w:rsid w:val="00CF6619"/>
    <w:rsid w:val="00CF6C29"/>
    <w:rsid w:val="00CF6EF8"/>
    <w:rsid w:val="00CF7C58"/>
    <w:rsid w:val="00CF7CC9"/>
    <w:rsid w:val="00D00C5B"/>
    <w:rsid w:val="00D00D8F"/>
    <w:rsid w:val="00D00E2F"/>
    <w:rsid w:val="00D00EBB"/>
    <w:rsid w:val="00D01E69"/>
    <w:rsid w:val="00D01E6A"/>
    <w:rsid w:val="00D021B2"/>
    <w:rsid w:val="00D0262E"/>
    <w:rsid w:val="00D0283C"/>
    <w:rsid w:val="00D028C2"/>
    <w:rsid w:val="00D02953"/>
    <w:rsid w:val="00D02ED8"/>
    <w:rsid w:val="00D02FBE"/>
    <w:rsid w:val="00D03193"/>
    <w:rsid w:val="00D0353A"/>
    <w:rsid w:val="00D03679"/>
    <w:rsid w:val="00D037A6"/>
    <w:rsid w:val="00D03C66"/>
    <w:rsid w:val="00D03F86"/>
    <w:rsid w:val="00D040E4"/>
    <w:rsid w:val="00D044A8"/>
    <w:rsid w:val="00D048C3"/>
    <w:rsid w:val="00D0526B"/>
    <w:rsid w:val="00D0585D"/>
    <w:rsid w:val="00D058DE"/>
    <w:rsid w:val="00D05B5B"/>
    <w:rsid w:val="00D05E3D"/>
    <w:rsid w:val="00D06139"/>
    <w:rsid w:val="00D06308"/>
    <w:rsid w:val="00D06785"/>
    <w:rsid w:val="00D06D4E"/>
    <w:rsid w:val="00D078A5"/>
    <w:rsid w:val="00D07F96"/>
    <w:rsid w:val="00D100E6"/>
    <w:rsid w:val="00D10158"/>
    <w:rsid w:val="00D10754"/>
    <w:rsid w:val="00D110BD"/>
    <w:rsid w:val="00D11D8D"/>
    <w:rsid w:val="00D127F7"/>
    <w:rsid w:val="00D12C22"/>
    <w:rsid w:val="00D12E1D"/>
    <w:rsid w:val="00D1361C"/>
    <w:rsid w:val="00D13675"/>
    <w:rsid w:val="00D138F7"/>
    <w:rsid w:val="00D13A49"/>
    <w:rsid w:val="00D13AF3"/>
    <w:rsid w:val="00D1403A"/>
    <w:rsid w:val="00D141E1"/>
    <w:rsid w:val="00D14632"/>
    <w:rsid w:val="00D15314"/>
    <w:rsid w:val="00D155E3"/>
    <w:rsid w:val="00D157F8"/>
    <w:rsid w:val="00D15B48"/>
    <w:rsid w:val="00D15C74"/>
    <w:rsid w:val="00D16542"/>
    <w:rsid w:val="00D1660C"/>
    <w:rsid w:val="00D16AAC"/>
    <w:rsid w:val="00D16B48"/>
    <w:rsid w:val="00D16B66"/>
    <w:rsid w:val="00D16FA4"/>
    <w:rsid w:val="00D17100"/>
    <w:rsid w:val="00D178C8"/>
    <w:rsid w:val="00D179BB"/>
    <w:rsid w:val="00D17C76"/>
    <w:rsid w:val="00D17D6C"/>
    <w:rsid w:val="00D20A7B"/>
    <w:rsid w:val="00D210DD"/>
    <w:rsid w:val="00D211B4"/>
    <w:rsid w:val="00D2155B"/>
    <w:rsid w:val="00D217B6"/>
    <w:rsid w:val="00D21C71"/>
    <w:rsid w:val="00D21E65"/>
    <w:rsid w:val="00D22039"/>
    <w:rsid w:val="00D2256B"/>
    <w:rsid w:val="00D22593"/>
    <w:rsid w:val="00D22DAF"/>
    <w:rsid w:val="00D23C00"/>
    <w:rsid w:val="00D23CE3"/>
    <w:rsid w:val="00D23D11"/>
    <w:rsid w:val="00D23E82"/>
    <w:rsid w:val="00D243BE"/>
    <w:rsid w:val="00D244B6"/>
    <w:rsid w:val="00D24B9C"/>
    <w:rsid w:val="00D24E7C"/>
    <w:rsid w:val="00D25C53"/>
    <w:rsid w:val="00D2649D"/>
    <w:rsid w:val="00D2663F"/>
    <w:rsid w:val="00D26720"/>
    <w:rsid w:val="00D26938"/>
    <w:rsid w:val="00D2754D"/>
    <w:rsid w:val="00D27B27"/>
    <w:rsid w:val="00D27C73"/>
    <w:rsid w:val="00D27FA3"/>
    <w:rsid w:val="00D30D5B"/>
    <w:rsid w:val="00D3111C"/>
    <w:rsid w:val="00D316A0"/>
    <w:rsid w:val="00D3178F"/>
    <w:rsid w:val="00D31ED7"/>
    <w:rsid w:val="00D320A6"/>
    <w:rsid w:val="00D32312"/>
    <w:rsid w:val="00D32470"/>
    <w:rsid w:val="00D326C7"/>
    <w:rsid w:val="00D3272B"/>
    <w:rsid w:val="00D32E34"/>
    <w:rsid w:val="00D331CB"/>
    <w:rsid w:val="00D332AD"/>
    <w:rsid w:val="00D33AFD"/>
    <w:rsid w:val="00D33BE9"/>
    <w:rsid w:val="00D33C89"/>
    <w:rsid w:val="00D33F93"/>
    <w:rsid w:val="00D34019"/>
    <w:rsid w:val="00D340A6"/>
    <w:rsid w:val="00D34134"/>
    <w:rsid w:val="00D34422"/>
    <w:rsid w:val="00D344BD"/>
    <w:rsid w:val="00D34E27"/>
    <w:rsid w:val="00D3543B"/>
    <w:rsid w:val="00D357FF"/>
    <w:rsid w:val="00D359B2"/>
    <w:rsid w:val="00D35E54"/>
    <w:rsid w:val="00D35FA0"/>
    <w:rsid w:val="00D36254"/>
    <w:rsid w:val="00D362DB"/>
    <w:rsid w:val="00D36603"/>
    <w:rsid w:val="00D3687B"/>
    <w:rsid w:val="00D368A7"/>
    <w:rsid w:val="00D36943"/>
    <w:rsid w:val="00D37866"/>
    <w:rsid w:val="00D37919"/>
    <w:rsid w:val="00D37A9B"/>
    <w:rsid w:val="00D37DB0"/>
    <w:rsid w:val="00D403CC"/>
    <w:rsid w:val="00D40F33"/>
    <w:rsid w:val="00D4146F"/>
    <w:rsid w:val="00D418F0"/>
    <w:rsid w:val="00D42014"/>
    <w:rsid w:val="00D421C5"/>
    <w:rsid w:val="00D424C7"/>
    <w:rsid w:val="00D42942"/>
    <w:rsid w:val="00D42C33"/>
    <w:rsid w:val="00D42FA9"/>
    <w:rsid w:val="00D434EE"/>
    <w:rsid w:val="00D4355A"/>
    <w:rsid w:val="00D43B2A"/>
    <w:rsid w:val="00D43CF1"/>
    <w:rsid w:val="00D43D3C"/>
    <w:rsid w:val="00D43D83"/>
    <w:rsid w:val="00D441FB"/>
    <w:rsid w:val="00D446CA"/>
    <w:rsid w:val="00D44A07"/>
    <w:rsid w:val="00D44D03"/>
    <w:rsid w:val="00D45001"/>
    <w:rsid w:val="00D4520C"/>
    <w:rsid w:val="00D4565C"/>
    <w:rsid w:val="00D45CEE"/>
    <w:rsid w:val="00D4662B"/>
    <w:rsid w:val="00D4683A"/>
    <w:rsid w:val="00D469C0"/>
    <w:rsid w:val="00D46D97"/>
    <w:rsid w:val="00D470EC"/>
    <w:rsid w:val="00D47154"/>
    <w:rsid w:val="00D4719C"/>
    <w:rsid w:val="00D4728D"/>
    <w:rsid w:val="00D47575"/>
    <w:rsid w:val="00D4759B"/>
    <w:rsid w:val="00D47A9A"/>
    <w:rsid w:val="00D47C17"/>
    <w:rsid w:val="00D500F8"/>
    <w:rsid w:val="00D504F9"/>
    <w:rsid w:val="00D50558"/>
    <w:rsid w:val="00D5119F"/>
    <w:rsid w:val="00D5141B"/>
    <w:rsid w:val="00D51CA7"/>
    <w:rsid w:val="00D51DBF"/>
    <w:rsid w:val="00D5243B"/>
    <w:rsid w:val="00D526C2"/>
    <w:rsid w:val="00D52BA6"/>
    <w:rsid w:val="00D52DF7"/>
    <w:rsid w:val="00D53302"/>
    <w:rsid w:val="00D533EC"/>
    <w:rsid w:val="00D53ABE"/>
    <w:rsid w:val="00D53AE7"/>
    <w:rsid w:val="00D541BD"/>
    <w:rsid w:val="00D545A0"/>
    <w:rsid w:val="00D545E4"/>
    <w:rsid w:val="00D54B6C"/>
    <w:rsid w:val="00D54DD9"/>
    <w:rsid w:val="00D55288"/>
    <w:rsid w:val="00D556BA"/>
    <w:rsid w:val="00D557DE"/>
    <w:rsid w:val="00D558A9"/>
    <w:rsid w:val="00D5594D"/>
    <w:rsid w:val="00D5655A"/>
    <w:rsid w:val="00D566E7"/>
    <w:rsid w:val="00D56A95"/>
    <w:rsid w:val="00D56C02"/>
    <w:rsid w:val="00D571A4"/>
    <w:rsid w:val="00D57C61"/>
    <w:rsid w:val="00D57F65"/>
    <w:rsid w:val="00D60107"/>
    <w:rsid w:val="00D6023C"/>
    <w:rsid w:val="00D602FE"/>
    <w:rsid w:val="00D604A6"/>
    <w:rsid w:val="00D606F3"/>
    <w:rsid w:val="00D6076E"/>
    <w:rsid w:val="00D60D16"/>
    <w:rsid w:val="00D61035"/>
    <w:rsid w:val="00D6138E"/>
    <w:rsid w:val="00D6158C"/>
    <w:rsid w:val="00D618D7"/>
    <w:rsid w:val="00D61C8E"/>
    <w:rsid w:val="00D61FFB"/>
    <w:rsid w:val="00D62208"/>
    <w:rsid w:val="00D627AA"/>
    <w:rsid w:val="00D6288F"/>
    <w:rsid w:val="00D62A2C"/>
    <w:rsid w:val="00D62A4B"/>
    <w:rsid w:val="00D62F96"/>
    <w:rsid w:val="00D6365D"/>
    <w:rsid w:val="00D63FB5"/>
    <w:rsid w:val="00D64195"/>
    <w:rsid w:val="00D6432B"/>
    <w:rsid w:val="00D646E8"/>
    <w:rsid w:val="00D649FD"/>
    <w:rsid w:val="00D64B6F"/>
    <w:rsid w:val="00D64BF8"/>
    <w:rsid w:val="00D652AF"/>
    <w:rsid w:val="00D65A37"/>
    <w:rsid w:val="00D65D96"/>
    <w:rsid w:val="00D670BC"/>
    <w:rsid w:val="00D70177"/>
    <w:rsid w:val="00D702BE"/>
    <w:rsid w:val="00D703C5"/>
    <w:rsid w:val="00D703CA"/>
    <w:rsid w:val="00D7040F"/>
    <w:rsid w:val="00D7078D"/>
    <w:rsid w:val="00D7088F"/>
    <w:rsid w:val="00D70E4D"/>
    <w:rsid w:val="00D70F16"/>
    <w:rsid w:val="00D7108C"/>
    <w:rsid w:val="00D7194E"/>
    <w:rsid w:val="00D71BE8"/>
    <w:rsid w:val="00D71CD3"/>
    <w:rsid w:val="00D72617"/>
    <w:rsid w:val="00D726A5"/>
    <w:rsid w:val="00D72F57"/>
    <w:rsid w:val="00D7324E"/>
    <w:rsid w:val="00D73641"/>
    <w:rsid w:val="00D7380D"/>
    <w:rsid w:val="00D73A6D"/>
    <w:rsid w:val="00D741AE"/>
    <w:rsid w:val="00D74440"/>
    <w:rsid w:val="00D74883"/>
    <w:rsid w:val="00D74942"/>
    <w:rsid w:val="00D7506F"/>
    <w:rsid w:val="00D75267"/>
    <w:rsid w:val="00D752CF"/>
    <w:rsid w:val="00D754DD"/>
    <w:rsid w:val="00D7586B"/>
    <w:rsid w:val="00D75CEA"/>
    <w:rsid w:val="00D75D73"/>
    <w:rsid w:val="00D7615E"/>
    <w:rsid w:val="00D76A44"/>
    <w:rsid w:val="00D76C3F"/>
    <w:rsid w:val="00D76E42"/>
    <w:rsid w:val="00D77138"/>
    <w:rsid w:val="00D7750E"/>
    <w:rsid w:val="00D77679"/>
    <w:rsid w:val="00D77D1B"/>
    <w:rsid w:val="00D77EA5"/>
    <w:rsid w:val="00D77EF6"/>
    <w:rsid w:val="00D80084"/>
    <w:rsid w:val="00D80757"/>
    <w:rsid w:val="00D807AD"/>
    <w:rsid w:val="00D815EF"/>
    <w:rsid w:val="00D81949"/>
    <w:rsid w:val="00D819B1"/>
    <w:rsid w:val="00D81F26"/>
    <w:rsid w:val="00D81F3D"/>
    <w:rsid w:val="00D822E2"/>
    <w:rsid w:val="00D82604"/>
    <w:rsid w:val="00D828E1"/>
    <w:rsid w:val="00D82938"/>
    <w:rsid w:val="00D83248"/>
    <w:rsid w:val="00D83776"/>
    <w:rsid w:val="00D843F2"/>
    <w:rsid w:val="00D84820"/>
    <w:rsid w:val="00D84C7A"/>
    <w:rsid w:val="00D84F3D"/>
    <w:rsid w:val="00D84F81"/>
    <w:rsid w:val="00D85655"/>
    <w:rsid w:val="00D86231"/>
    <w:rsid w:val="00D86379"/>
    <w:rsid w:val="00D86851"/>
    <w:rsid w:val="00D871DB"/>
    <w:rsid w:val="00D87613"/>
    <w:rsid w:val="00D876CB"/>
    <w:rsid w:val="00D87888"/>
    <w:rsid w:val="00D87B42"/>
    <w:rsid w:val="00D87C8D"/>
    <w:rsid w:val="00D87D2C"/>
    <w:rsid w:val="00D90B37"/>
    <w:rsid w:val="00D90B98"/>
    <w:rsid w:val="00D90D71"/>
    <w:rsid w:val="00D90DAC"/>
    <w:rsid w:val="00D912AB"/>
    <w:rsid w:val="00D9185D"/>
    <w:rsid w:val="00D91923"/>
    <w:rsid w:val="00D91C86"/>
    <w:rsid w:val="00D91D2D"/>
    <w:rsid w:val="00D91E4E"/>
    <w:rsid w:val="00D9245C"/>
    <w:rsid w:val="00D92809"/>
    <w:rsid w:val="00D92D9D"/>
    <w:rsid w:val="00D93521"/>
    <w:rsid w:val="00D93591"/>
    <w:rsid w:val="00D936A3"/>
    <w:rsid w:val="00D93753"/>
    <w:rsid w:val="00D93E6C"/>
    <w:rsid w:val="00D9400B"/>
    <w:rsid w:val="00D945F1"/>
    <w:rsid w:val="00D95B44"/>
    <w:rsid w:val="00D95C0F"/>
    <w:rsid w:val="00D95E55"/>
    <w:rsid w:val="00D963C2"/>
    <w:rsid w:val="00D9713D"/>
    <w:rsid w:val="00D975AC"/>
    <w:rsid w:val="00D976C6"/>
    <w:rsid w:val="00DA00CE"/>
    <w:rsid w:val="00DA09D4"/>
    <w:rsid w:val="00DA0F35"/>
    <w:rsid w:val="00DA1392"/>
    <w:rsid w:val="00DA15FC"/>
    <w:rsid w:val="00DA1B8C"/>
    <w:rsid w:val="00DA1E7A"/>
    <w:rsid w:val="00DA1F6B"/>
    <w:rsid w:val="00DA1FAC"/>
    <w:rsid w:val="00DA2565"/>
    <w:rsid w:val="00DA2B9C"/>
    <w:rsid w:val="00DA2BD8"/>
    <w:rsid w:val="00DA3167"/>
    <w:rsid w:val="00DA33AF"/>
    <w:rsid w:val="00DA35EC"/>
    <w:rsid w:val="00DA41E1"/>
    <w:rsid w:val="00DA446E"/>
    <w:rsid w:val="00DA49A0"/>
    <w:rsid w:val="00DA4DC3"/>
    <w:rsid w:val="00DA4F14"/>
    <w:rsid w:val="00DA5012"/>
    <w:rsid w:val="00DA513A"/>
    <w:rsid w:val="00DA5791"/>
    <w:rsid w:val="00DA57CD"/>
    <w:rsid w:val="00DA5D72"/>
    <w:rsid w:val="00DA5E87"/>
    <w:rsid w:val="00DA60FE"/>
    <w:rsid w:val="00DA651C"/>
    <w:rsid w:val="00DA6C18"/>
    <w:rsid w:val="00DA6D88"/>
    <w:rsid w:val="00DA7003"/>
    <w:rsid w:val="00DA74A4"/>
    <w:rsid w:val="00DA77A5"/>
    <w:rsid w:val="00DA7D7A"/>
    <w:rsid w:val="00DB01C3"/>
    <w:rsid w:val="00DB0486"/>
    <w:rsid w:val="00DB04C6"/>
    <w:rsid w:val="00DB0829"/>
    <w:rsid w:val="00DB0C12"/>
    <w:rsid w:val="00DB0E36"/>
    <w:rsid w:val="00DB1202"/>
    <w:rsid w:val="00DB131A"/>
    <w:rsid w:val="00DB180E"/>
    <w:rsid w:val="00DB1AF5"/>
    <w:rsid w:val="00DB1F2E"/>
    <w:rsid w:val="00DB2092"/>
    <w:rsid w:val="00DB20FD"/>
    <w:rsid w:val="00DB24C2"/>
    <w:rsid w:val="00DB251E"/>
    <w:rsid w:val="00DB2723"/>
    <w:rsid w:val="00DB2F0E"/>
    <w:rsid w:val="00DB2FD5"/>
    <w:rsid w:val="00DB372E"/>
    <w:rsid w:val="00DB384F"/>
    <w:rsid w:val="00DB3DBF"/>
    <w:rsid w:val="00DB3EFD"/>
    <w:rsid w:val="00DB456E"/>
    <w:rsid w:val="00DB4665"/>
    <w:rsid w:val="00DB484F"/>
    <w:rsid w:val="00DB4988"/>
    <w:rsid w:val="00DB4DA0"/>
    <w:rsid w:val="00DB4E95"/>
    <w:rsid w:val="00DB4F3D"/>
    <w:rsid w:val="00DB51A1"/>
    <w:rsid w:val="00DB5AC0"/>
    <w:rsid w:val="00DB5B37"/>
    <w:rsid w:val="00DB5CB0"/>
    <w:rsid w:val="00DB63EA"/>
    <w:rsid w:val="00DB6B87"/>
    <w:rsid w:val="00DB6C85"/>
    <w:rsid w:val="00DB789B"/>
    <w:rsid w:val="00DC0413"/>
    <w:rsid w:val="00DC04F6"/>
    <w:rsid w:val="00DC0690"/>
    <w:rsid w:val="00DC1614"/>
    <w:rsid w:val="00DC1830"/>
    <w:rsid w:val="00DC1BE9"/>
    <w:rsid w:val="00DC1D65"/>
    <w:rsid w:val="00DC2377"/>
    <w:rsid w:val="00DC2D15"/>
    <w:rsid w:val="00DC3C57"/>
    <w:rsid w:val="00DC3CBD"/>
    <w:rsid w:val="00DC4100"/>
    <w:rsid w:val="00DC47B9"/>
    <w:rsid w:val="00DC4866"/>
    <w:rsid w:val="00DC4962"/>
    <w:rsid w:val="00DC4F8E"/>
    <w:rsid w:val="00DC505C"/>
    <w:rsid w:val="00DC54F3"/>
    <w:rsid w:val="00DC5501"/>
    <w:rsid w:val="00DC5978"/>
    <w:rsid w:val="00DC5C33"/>
    <w:rsid w:val="00DC5D3E"/>
    <w:rsid w:val="00DC5D60"/>
    <w:rsid w:val="00DC5DE4"/>
    <w:rsid w:val="00DC5E76"/>
    <w:rsid w:val="00DC653A"/>
    <w:rsid w:val="00DC683A"/>
    <w:rsid w:val="00DC7154"/>
    <w:rsid w:val="00DC7155"/>
    <w:rsid w:val="00DC71E2"/>
    <w:rsid w:val="00DC7462"/>
    <w:rsid w:val="00DC76CA"/>
    <w:rsid w:val="00DC7AFE"/>
    <w:rsid w:val="00DC7B80"/>
    <w:rsid w:val="00DC7BB7"/>
    <w:rsid w:val="00DC7DED"/>
    <w:rsid w:val="00DC7E8A"/>
    <w:rsid w:val="00DD04CF"/>
    <w:rsid w:val="00DD0F78"/>
    <w:rsid w:val="00DD1023"/>
    <w:rsid w:val="00DD117E"/>
    <w:rsid w:val="00DD1D4E"/>
    <w:rsid w:val="00DD210E"/>
    <w:rsid w:val="00DD239C"/>
    <w:rsid w:val="00DD273C"/>
    <w:rsid w:val="00DD279A"/>
    <w:rsid w:val="00DD29A2"/>
    <w:rsid w:val="00DD2A5D"/>
    <w:rsid w:val="00DD32E3"/>
    <w:rsid w:val="00DD358D"/>
    <w:rsid w:val="00DD3672"/>
    <w:rsid w:val="00DD3941"/>
    <w:rsid w:val="00DD3B20"/>
    <w:rsid w:val="00DD3CD3"/>
    <w:rsid w:val="00DD3F28"/>
    <w:rsid w:val="00DD4446"/>
    <w:rsid w:val="00DD4537"/>
    <w:rsid w:val="00DD495D"/>
    <w:rsid w:val="00DD4CB3"/>
    <w:rsid w:val="00DD4DD5"/>
    <w:rsid w:val="00DD4E15"/>
    <w:rsid w:val="00DD51DF"/>
    <w:rsid w:val="00DD564C"/>
    <w:rsid w:val="00DD5845"/>
    <w:rsid w:val="00DD5984"/>
    <w:rsid w:val="00DD64FA"/>
    <w:rsid w:val="00DD68B1"/>
    <w:rsid w:val="00DD68DE"/>
    <w:rsid w:val="00DD6D38"/>
    <w:rsid w:val="00DD70CD"/>
    <w:rsid w:val="00DD736D"/>
    <w:rsid w:val="00DD77BB"/>
    <w:rsid w:val="00DD7828"/>
    <w:rsid w:val="00DE00F0"/>
    <w:rsid w:val="00DE02C0"/>
    <w:rsid w:val="00DE02FD"/>
    <w:rsid w:val="00DE03F4"/>
    <w:rsid w:val="00DE04C0"/>
    <w:rsid w:val="00DE0774"/>
    <w:rsid w:val="00DE0989"/>
    <w:rsid w:val="00DE1013"/>
    <w:rsid w:val="00DE15BD"/>
    <w:rsid w:val="00DE1696"/>
    <w:rsid w:val="00DE1854"/>
    <w:rsid w:val="00DE188A"/>
    <w:rsid w:val="00DE18A6"/>
    <w:rsid w:val="00DE1B25"/>
    <w:rsid w:val="00DE2304"/>
    <w:rsid w:val="00DE25F8"/>
    <w:rsid w:val="00DE2D93"/>
    <w:rsid w:val="00DE3138"/>
    <w:rsid w:val="00DE37F8"/>
    <w:rsid w:val="00DE3BFE"/>
    <w:rsid w:val="00DE4273"/>
    <w:rsid w:val="00DE4990"/>
    <w:rsid w:val="00DE4B28"/>
    <w:rsid w:val="00DE4FCB"/>
    <w:rsid w:val="00DE533A"/>
    <w:rsid w:val="00DE5371"/>
    <w:rsid w:val="00DE5D07"/>
    <w:rsid w:val="00DE5E02"/>
    <w:rsid w:val="00DE5E4C"/>
    <w:rsid w:val="00DE6853"/>
    <w:rsid w:val="00DE72A7"/>
    <w:rsid w:val="00DE7832"/>
    <w:rsid w:val="00DE7C6A"/>
    <w:rsid w:val="00DF0475"/>
    <w:rsid w:val="00DF051E"/>
    <w:rsid w:val="00DF0724"/>
    <w:rsid w:val="00DF07E7"/>
    <w:rsid w:val="00DF0EE8"/>
    <w:rsid w:val="00DF128C"/>
    <w:rsid w:val="00DF1503"/>
    <w:rsid w:val="00DF184E"/>
    <w:rsid w:val="00DF18FC"/>
    <w:rsid w:val="00DF1C8D"/>
    <w:rsid w:val="00DF22DF"/>
    <w:rsid w:val="00DF26DA"/>
    <w:rsid w:val="00DF2A2B"/>
    <w:rsid w:val="00DF2C6B"/>
    <w:rsid w:val="00DF301F"/>
    <w:rsid w:val="00DF3318"/>
    <w:rsid w:val="00DF4395"/>
    <w:rsid w:val="00DF4492"/>
    <w:rsid w:val="00DF48CF"/>
    <w:rsid w:val="00DF4BED"/>
    <w:rsid w:val="00DF4EB6"/>
    <w:rsid w:val="00DF505F"/>
    <w:rsid w:val="00DF541F"/>
    <w:rsid w:val="00DF5463"/>
    <w:rsid w:val="00DF5D2B"/>
    <w:rsid w:val="00DF62D1"/>
    <w:rsid w:val="00DF6341"/>
    <w:rsid w:val="00DF6818"/>
    <w:rsid w:val="00DF6CA8"/>
    <w:rsid w:val="00DF74E0"/>
    <w:rsid w:val="00DF76FA"/>
    <w:rsid w:val="00DF773F"/>
    <w:rsid w:val="00DF7835"/>
    <w:rsid w:val="00DF7908"/>
    <w:rsid w:val="00DF7D44"/>
    <w:rsid w:val="00DF7F4C"/>
    <w:rsid w:val="00E001E2"/>
    <w:rsid w:val="00E009BE"/>
    <w:rsid w:val="00E00A67"/>
    <w:rsid w:val="00E00E8E"/>
    <w:rsid w:val="00E00FD9"/>
    <w:rsid w:val="00E0140E"/>
    <w:rsid w:val="00E0168D"/>
    <w:rsid w:val="00E016F1"/>
    <w:rsid w:val="00E01FB2"/>
    <w:rsid w:val="00E02077"/>
    <w:rsid w:val="00E030CC"/>
    <w:rsid w:val="00E03BDC"/>
    <w:rsid w:val="00E03DED"/>
    <w:rsid w:val="00E04193"/>
    <w:rsid w:val="00E04196"/>
    <w:rsid w:val="00E0424E"/>
    <w:rsid w:val="00E051F0"/>
    <w:rsid w:val="00E05630"/>
    <w:rsid w:val="00E05C2E"/>
    <w:rsid w:val="00E05C7D"/>
    <w:rsid w:val="00E0672B"/>
    <w:rsid w:val="00E06DBB"/>
    <w:rsid w:val="00E0799D"/>
    <w:rsid w:val="00E079F9"/>
    <w:rsid w:val="00E07F7F"/>
    <w:rsid w:val="00E10149"/>
    <w:rsid w:val="00E10E45"/>
    <w:rsid w:val="00E10EA2"/>
    <w:rsid w:val="00E11340"/>
    <w:rsid w:val="00E11516"/>
    <w:rsid w:val="00E11D7E"/>
    <w:rsid w:val="00E122A1"/>
    <w:rsid w:val="00E123A0"/>
    <w:rsid w:val="00E12791"/>
    <w:rsid w:val="00E12836"/>
    <w:rsid w:val="00E129F1"/>
    <w:rsid w:val="00E12B10"/>
    <w:rsid w:val="00E12D43"/>
    <w:rsid w:val="00E12ED8"/>
    <w:rsid w:val="00E132D8"/>
    <w:rsid w:val="00E14889"/>
    <w:rsid w:val="00E14D84"/>
    <w:rsid w:val="00E14E5E"/>
    <w:rsid w:val="00E15C07"/>
    <w:rsid w:val="00E15FD9"/>
    <w:rsid w:val="00E16372"/>
    <w:rsid w:val="00E167DF"/>
    <w:rsid w:val="00E16AD8"/>
    <w:rsid w:val="00E174E3"/>
    <w:rsid w:val="00E17657"/>
    <w:rsid w:val="00E17908"/>
    <w:rsid w:val="00E17B58"/>
    <w:rsid w:val="00E17FFA"/>
    <w:rsid w:val="00E2029A"/>
    <w:rsid w:val="00E20598"/>
    <w:rsid w:val="00E20E4D"/>
    <w:rsid w:val="00E20ED6"/>
    <w:rsid w:val="00E21039"/>
    <w:rsid w:val="00E2117A"/>
    <w:rsid w:val="00E21358"/>
    <w:rsid w:val="00E21D53"/>
    <w:rsid w:val="00E22185"/>
    <w:rsid w:val="00E221D9"/>
    <w:rsid w:val="00E22337"/>
    <w:rsid w:val="00E2236E"/>
    <w:rsid w:val="00E2249B"/>
    <w:rsid w:val="00E22A0D"/>
    <w:rsid w:val="00E230FB"/>
    <w:rsid w:val="00E233CA"/>
    <w:rsid w:val="00E234E2"/>
    <w:rsid w:val="00E23541"/>
    <w:rsid w:val="00E238B0"/>
    <w:rsid w:val="00E23D00"/>
    <w:rsid w:val="00E241B4"/>
    <w:rsid w:val="00E241DC"/>
    <w:rsid w:val="00E2449A"/>
    <w:rsid w:val="00E244F6"/>
    <w:rsid w:val="00E2458C"/>
    <w:rsid w:val="00E2463B"/>
    <w:rsid w:val="00E24859"/>
    <w:rsid w:val="00E24BDD"/>
    <w:rsid w:val="00E25664"/>
    <w:rsid w:val="00E258DB"/>
    <w:rsid w:val="00E25E1E"/>
    <w:rsid w:val="00E2656A"/>
    <w:rsid w:val="00E26747"/>
    <w:rsid w:val="00E26E86"/>
    <w:rsid w:val="00E270AC"/>
    <w:rsid w:val="00E27461"/>
    <w:rsid w:val="00E27563"/>
    <w:rsid w:val="00E2771E"/>
    <w:rsid w:val="00E27B6D"/>
    <w:rsid w:val="00E27F8F"/>
    <w:rsid w:val="00E3008F"/>
    <w:rsid w:val="00E3029A"/>
    <w:rsid w:val="00E302A2"/>
    <w:rsid w:val="00E304A4"/>
    <w:rsid w:val="00E3089B"/>
    <w:rsid w:val="00E30F86"/>
    <w:rsid w:val="00E31013"/>
    <w:rsid w:val="00E311EF"/>
    <w:rsid w:val="00E3181F"/>
    <w:rsid w:val="00E31E7C"/>
    <w:rsid w:val="00E31FA1"/>
    <w:rsid w:val="00E32180"/>
    <w:rsid w:val="00E321F4"/>
    <w:rsid w:val="00E324A5"/>
    <w:rsid w:val="00E32B6F"/>
    <w:rsid w:val="00E32E1B"/>
    <w:rsid w:val="00E33165"/>
    <w:rsid w:val="00E339DD"/>
    <w:rsid w:val="00E33F2B"/>
    <w:rsid w:val="00E34948"/>
    <w:rsid w:val="00E34AEB"/>
    <w:rsid w:val="00E34D20"/>
    <w:rsid w:val="00E34E90"/>
    <w:rsid w:val="00E35358"/>
    <w:rsid w:val="00E353AC"/>
    <w:rsid w:val="00E354D4"/>
    <w:rsid w:val="00E3568C"/>
    <w:rsid w:val="00E35724"/>
    <w:rsid w:val="00E35BCE"/>
    <w:rsid w:val="00E35D31"/>
    <w:rsid w:val="00E35F44"/>
    <w:rsid w:val="00E364AD"/>
    <w:rsid w:val="00E3660F"/>
    <w:rsid w:val="00E367DA"/>
    <w:rsid w:val="00E36EA3"/>
    <w:rsid w:val="00E372DD"/>
    <w:rsid w:val="00E37569"/>
    <w:rsid w:val="00E37587"/>
    <w:rsid w:val="00E379D4"/>
    <w:rsid w:val="00E37C76"/>
    <w:rsid w:val="00E37D15"/>
    <w:rsid w:val="00E401B2"/>
    <w:rsid w:val="00E402C5"/>
    <w:rsid w:val="00E40725"/>
    <w:rsid w:val="00E407C8"/>
    <w:rsid w:val="00E40CA6"/>
    <w:rsid w:val="00E415C9"/>
    <w:rsid w:val="00E41E30"/>
    <w:rsid w:val="00E42584"/>
    <w:rsid w:val="00E425F7"/>
    <w:rsid w:val="00E427EA"/>
    <w:rsid w:val="00E42DC3"/>
    <w:rsid w:val="00E42F73"/>
    <w:rsid w:val="00E4312C"/>
    <w:rsid w:val="00E43327"/>
    <w:rsid w:val="00E43D70"/>
    <w:rsid w:val="00E43FBF"/>
    <w:rsid w:val="00E44006"/>
    <w:rsid w:val="00E4408F"/>
    <w:rsid w:val="00E443E8"/>
    <w:rsid w:val="00E444A6"/>
    <w:rsid w:val="00E4450C"/>
    <w:rsid w:val="00E44682"/>
    <w:rsid w:val="00E44DF8"/>
    <w:rsid w:val="00E44E94"/>
    <w:rsid w:val="00E455AA"/>
    <w:rsid w:val="00E4587E"/>
    <w:rsid w:val="00E45983"/>
    <w:rsid w:val="00E45ED8"/>
    <w:rsid w:val="00E45EE7"/>
    <w:rsid w:val="00E466F3"/>
    <w:rsid w:val="00E46D7F"/>
    <w:rsid w:val="00E4754B"/>
    <w:rsid w:val="00E4756D"/>
    <w:rsid w:val="00E47B2C"/>
    <w:rsid w:val="00E47BE5"/>
    <w:rsid w:val="00E5049B"/>
    <w:rsid w:val="00E50546"/>
    <w:rsid w:val="00E5072D"/>
    <w:rsid w:val="00E50848"/>
    <w:rsid w:val="00E50C0A"/>
    <w:rsid w:val="00E512AB"/>
    <w:rsid w:val="00E51560"/>
    <w:rsid w:val="00E5171B"/>
    <w:rsid w:val="00E51821"/>
    <w:rsid w:val="00E51C28"/>
    <w:rsid w:val="00E5210F"/>
    <w:rsid w:val="00E522F3"/>
    <w:rsid w:val="00E53208"/>
    <w:rsid w:val="00E53821"/>
    <w:rsid w:val="00E53859"/>
    <w:rsid w:val="00E53FC8"/>
    <w:rsid w:val="00E54347"/>
    <w:rsid w:val="00E54B33"/>
    <w:rsid w:val="00E54C6D"/>
    <w:rsid w:val="00E55424"/>
    <w:rsid w:val="00E556E8"/>
    <w:rsid w:val="00E55915"/>
    <w:rsid w:val="00E55A8E"/>
    <w:rsid w:val="00E55BB5"/>
    <w:rsid w:val="00E55D3A"/>
    <w:rsid w:val="00E56763"/>
    <w:rsid w:val="00E56A74"/>
    <w:rsid w:val="00E56BB3"/>
    <w:rsid w:val="00E573A5"/>
    <w:rsid w:val="00E575AF"/>
    <w:rsid w:val="00E578E6"/>
    <w:rsid w:val="00E57B92"/>
    <w:rsid w:val="00E60224"/>
    <w:rsid w:val="00E60314"/>
    <w:rsid w:val="00E607BA"/>
    <w:rsid w:val="00E60AAD"/>
    <w:rsid w:val="00E60C9D"/>
    <w:rsid w:val="00E60DAC"/>
    <w:rsid w:val="00E60E33"/>
    <w:rsid w:val="00E611DF"/>
    <w:rsid w:val="00E6159A"/>
    <w:rsid w:val="00E61B40"/>
    <w:rsid w:val="00E61BE8"/>
    <w:rsid w:val="00E61C66"/>
    <w:rsid w:val="00E621FF"/>
    <w:rsid w:val="00E6282E"/>
    <w:rsid w:val="00E631A8"/>
    <w:rsid w:val="00E63569"/>
    <w:rsid w:val="00E6399B"/>
    <w:rsid w:val="00E63D4C"/>
    <w:rsid w:val="00E63FB9"/>
    <w:rsid w:val="00E6447F"/>
    <w:rsid w:val="00E651F0"/>
    <w:rsid w:val="00E654C5"/>
    <w:rsid w:val="00E65E79"/>
    <w:rsid w:val="00E6616E"/>
    <w:rsid w:val="00E66201"/>
    <w:rsid w:val="00E6639D"/>
    <w:rsid w:val="00E669DD"/>
    <w:rsid w:val="00E66BA2"/>
    <w:rsid w:val="00E66BF1"/>
    <w:rsid w:val="00E67035"/>
    <w:rsid w:val="00E67416"/>
    <w:rsid w:val="00E676E0"/>
    <w:rsid w:val="00E70205"/>
    <w:rsid w:val="00E705E5"/>
    <w:rsid w:val="00E70DBA"/>
    <w:rsid w:val="00E71182"/>
    <w:rsid w:val="00E718B6"/>
    <w:rsid w:val="00E71966"/>
    <w:rsid w:val="00E71A7F"/>
    <w:rsid w:val="00E71C79"/>
    <w:rsid w:val="00E71D48"/>
    <w:rsid w:val="00E71F42"/>
    <w:rsid w:val="00E723BA"/>
    <w:rsid w:val="00E72CE1"/>
    <w:rsid w:val="00E72F41"/>
    <w:rsid w:val="00E72FAB"/>
    <w:rsid w:val="00E72FEB"/>
    <w:rsid w:val="00E732A2"/>
    <w:rsid w:val="00E73548"/>
    <w:rsid w:val="00E73581"/>
    <w:rsid w:val="00E7371D"/>
    <w:rsid w:val="00E73E9A"/>
    <w:rsid w:val="00E74039"/>
    <w:rsid w:val="00E7428A"/>
    <w:rsid w:val="00E7465E"/>
    <w:rsid w:val="00E747D3"/>
    <w:rsid w:val="00E74A16"/>
    <w:rsid w:val="00E74D41"/>
    <w:rsid w:val="00E754D4"/>
    <w:rsid w:val="00E758C7"/>
    <w:rsid w:val="00E75DD0"/>
    <w:rsid w:val="00E762DD"/>
    <w:rsid w:val="00E763A2"/>
    <w:rsid w:val="00E76B1D"/>
    <w:rsid w:val="00E77A58"/>
    <w:rsid w:val="00E77BBC"/>
    <w:rsid w:val="00E806A0"/>
    <w:rsid w:val="00E806C7"/>
    <w:rsid w:val="00E813EB"/>
    <w:rsid w:val="00E8141B"/>
    <w:rsid w:val="00E81733"/>
    <w:rsid w:val="00E81A08"/>
    <w:rsid w:val="00E81C14"/>
    <w:rsid w:val="00E81CD3"/>
    <w:rsid w:val="00E81D8D"/>
    <w:rsid w:val="00E81DBB"/>
    <w:rsid w:val="00E82155"/>
    <w:rsid w:val="00E822A6"/>
    <w:rsid w:val="00E822B9"/>
    <w:rsid w:val="00E8256D"/>
    <w:rsid w:val="00E82E11"/>
    <w:rsid w:val="00E82F6E"/>
    <w:rsid w:val="00E83062"/>
    <w:rsid w:val="00E83278"/>
    <w:rsid w:val="00E833F7"/>
    <w:rsid w:val="00E83BC9"/>
    <w:rsid w:val="00E83BDF"/>
    <w:rsid w:val="00E84115"/>
    <w:rsid w:val="00E8442F"/>
    <w:rsid w:val="00E84A12"/>
    <w:rsid w:val="00E84DC1"/>
    <w:rsid w:val="00E851D1"/>
    <w:rsid w:val="00E851EB"/>
    <w:rsid w:val="00E85900"/>
    <w:rsid w:val="00E859E8"/>
    <w:rsid w:val="00E85B2D"/>
    <w:rsid w:val="00E85D2D"/>
    <w:rsid w:val="00E862CB"/>
    <w:rsid w:val="00E865E6"/>
    <w:rsid w:val="00E86C9F"/>
    <w:rsid w:val="00E86FCC"/>
    <w:rsid w:val="00E877DA"/>
    <w:rsid w:val="00E8780B"/>
    <w:rsid w:val="00E87A1D"/>
    <w:rsid w:val="00E87A39"/>
    <w:rsid w:val="00E87C97"/>
    <w:rsid w:val="00E9043D"/>
    <w:rsid w:val="00E9094A"/>
    <w:rsid w:val="00E911C7"/>
    <w:rsid w:val="00E9123A"/>
    <w:rsid w:val="00E91B88"/>
    <w:rsid w:val="00E91B93"/>
    <w:rsid w:val="00E91D35"/>
    <w:rsid w:val="00E9243C"/>
    <w:rsid w:val="00E9264E"/>
    <w:rsid w:val="00E926A5"/>
    <w:rsid w:val="00E92EC4"/>
    <w:rsid w:val="00E93355"/>
    <w:rsid w:val="00E933F5"/>
    <w:rsid w:val="00E93406"/>
    <w:rsid w:val="00E9440A"/>
    <w:rsid w:val="00E9449D"/>
    <w:rsid w:val="00E94849"/>
    <w:rsid w:val="00E9486D"/>
    <w:rsid w:val="00E94957"/>
    <w:rsid w:val="00E949BA"/>
    <w:rsid w:val="00E94A5B"/>
    <w:rsid w:val="00E94B60"/>
    <w:rsid w:val="00E9539D"/>
    <w:rsid w:val="00E95490"/>
    <w:rsid w:val="00E95703"/>
    <w:rsid w:val="00E95EF5"/>
    <w:rsid w:val="00E962CC"/>
    <w:rsid w:val="00E9721E"/>
    <w:rsid w:val="00E97602"/>
    <w:rsid w:val="00E977E0"/>
    <w:rsid w:val="00E9788C"/>
    <w:rsid w:val="00E978BA"/>
    <w:rsid w:val="00EA00FB"/>
    <w:rsid w:val="00EA11C9"/>
    <w:rsid w:val="00EA17C3"/>
    <w:rsid w:val="00EA1A3B"/>
    <w:rsid w:val="00EA1D10"/>
    <w:rsid w:val="00EA22E3"/>
    <w:rsid w:val="00EA24E5"/>
    <w:rsid w:val="00EA2816"/>
    <w:rsid w:val="00EA2CAA"/>
    <w:rsid w:val="00EA30ED"/>
    <w:rsid w:val="00EA3123"/>
    <w:rsid w:val="00EA319B"/>
    <w:rsid w:val="00EA3287"/>
    <w:rsid w:val="00EA32F0"/>
    <w:rsid w:val="00EA36ED"/>
    <w:rsid w:val="00EA3864"/>
    <w:rsid w:val="00EA3A71"/>
    <w:rsid w:val="00EA4656"/>
    <w:rsid w:val="00EA47C8"/>
    <w:rsid w:val="00EA572E"/>
    <w:rsid w:val="00EA5875"/>
    <w:rsid w:val="00EA5A20"/>
    <w:rsid w:val="00EA5B77"/>
    <w:rsid w:val="00EA5E4A"/>
    <w:rsid w:val="00EA5E96"/>
    <w:rsid w:val="00EA62D1"/>
    <w:rsid w:val="00EA6399"/>
    <w:rsid w:val="00EA64D1"/>
    <w:rsid w:val="00EA65A1"/>
    <w:rsid w:val="00EA7398"/>
    <w:rsid w:val="00EA76F5"/>
    <w:rsid w:val="00EA7F1C"/>
    <w:rsid w:val="00EB049F"/>
    <w:rsid w:val="00EB0667"/>
    <w:rsid w:val="00EB08A6"/>
    <w:rsid w:val="00EB1033"/>
    <w:rsid w:val="00EB11F7"/>
    <w:rsid w:val="00EB15B6"/>
    <w:rsid w:val="00EB198F"/>
    <w:rsid w:val="00EB1E67"/>
    <w:rsid w:val="00EB21C1"/>
    <w:rsid w:val="00EB228B"/>
    <w:rsid w:val="00EB22DF"/>
    <w:rsid w:val="00EB2A91"/>
    <w:rsid w:val="00EB30C6"/>
    <w:rsid w:val="00EB311A"/>
    <w:rsid w:val="00EB31CF"/>
    <w:rsid w:val="00EB357D"/>
    <w:rsid w:val="00EB369F"/>
    <w:rsid w:val="00EB3D06"/>
    <w:rsid w:val="00EB3DB8"/>
    <w:rsid w:val="00EB3F32"/>
    <w:rsid w:val="00EB3F33"/>
    <w:rsid w:val="00EB46D2"/>
    <w:rsid w:val="00EB4916"/>
    <w:rsid w:val="00EB51FB"/>
    <w:rsid w:val="00EB54DC"/>
    <w:rsid w:val="00EB5BB8"/>
    <w:rsid w:val="00EB628B"/>
    <w:rsid w:val="00EB62B5"/>
    <w:rsid w:val="00EB6340"/>
    <w:rsid w:val="00EB6B44"/>
    <w:rsid w:val="00EB6C2A"/>
    <w:rsid w:val="00EB6E20"/>
    <w:rsid w:val="00EB6EE2"/>
    <w:rsid w:val="00EB7347"/>
    <w:rsid w:val="00EB7AB4"/>
    <w:rsid w:val="00EB7D56"/>
    <w:rsid w:val="00EB7F99"/>
    <w:rsid w:val="00EC00C9"/>
    <w:rsid w:val="00EC0308"/>
    <w:rsid w:val="00EC075D"/>
    <w:rsid w:val="00EC07FB"/>
    <w:rsid w:val="00EC0DD9"/>
    <w:rsid w:val="00EC0E9D"/>
    <w:rsid w:val="00EC114D"/>
    <w:rsid w:val="00EC171F"/>
    <w:rsid w:val="00EC2214"/>
    <w:rsid w:val="00EC2445"/>
    <w:rsid w:val="00EC2649"/>
    <w:rsid w:val="00EC28F5"/>
    <w:rsid w:val="00EC31ED"/>
    <w:rsid w:val="00EC3A31"/>
    <w:rsid w:val="00EC3F4D"/>
    <w:rsid w:val="00EC4800"/>
    <w:rsid w:val="00EC49C7"/>
    <w:rsid w:val="00EC5836"/>
    <w:rsid w:val="00EC5CD6"/>
    <w:rsid w:val="00EC617E"/>
    <w:rsid w:val="00EC66CE"/>
    <w:rsid w:val="00EC688C"/>
    <w:rsid w:val="00EC693D"/>
    <w:rsid w:val="00EC6BDF"/>
    <w:rsid w:val="00EC7B66"/>
    <w:rsid w:val="00ED00EF"/>
    <w:rsid w:val="00ED0342"/>
    <w:rsid w:val="00ED0764"/>
    <w:rsid w:val="00ED0C6F"/>
    <w:rsid w:val="00ED0CA9"/>
    <w:rsid w:val="00ED0CBB"/>
    <w:rsid w:val="00ED12E3"/>
    <w:rsid w:val="00ED13EF"/>
    <w:rsid w:val="00ED1B05"/>
    <w:rsid w:val="00ED2B6C"/>
    <w:rsid w:val="00ED3291"/>
    <w:rsid w:val="00ED3294"/>
    <w:rsid w:val="00ED33D1"/>
    <w:rsid w:val="00ED3FBC"/>
    <w:rsid w:val="00ED403C"/>
    <w:rsid w:val="00ED4B04"/>
    <w:rsid w:val="00ED5678"/>
    <w:rsid w:val="00ED56ED"/>
    <w:rsid w:val="00ED57EA"/>
    <w:rsid w:val="00ED5BD4"/>
    <w:rsid w:val="00ED5C4F"/>
    <w:rsid w:val="00ED6443"/>
    <w:rsid w:val="00ED6AE2"/>
    <w:rsid w:val="00ED6C54"/>
    <w:rsid w:val="00ED7155"/>
    <w:rsid w:val="00ED720D"/>
    <w:rsid w:val="00ED729C"/>
    <w:rsid w:val="00ED735B"/>
    <w:rsid w:val="00ED7372"/>
    <w:rsid w:val="00ED7518"/>
    <w:rsid w:val="00ED7668"/>
    <w:rsid w:val="00ED7713"/>
    <w:rsid w:val="00ED7A0B"/>
    <w:rsid w:val="00ED7AC2"/>
    <w:rsid w:val="00EE068A"/>
    <w:rsid w:val="00EE07D3"/>
    <w:rsid w:val="00EE0D03"/>
    <w:rsid w:val="00EE0ED5"/>
    <w:rsid w:val="00EE179E"/>
    <w:rsid w:val="00EE180F"/>
    <w:rsid w:val="00EE18AD"/>
    <w:rsid w:val="00EE1996"/>
    <w:rsid w:val="00EE1C01"/>
    <w:rsid w:val="00EE22AF"/>
    <w:rsid w:val="00EE284E"/>
    <w:rsid w:val="00EE2995"/>
    <w:rsid w:val="00EE30FA"/>
    <w:rsid w:val="00EE38CA"/>
    <w:rsid w:val="00EE3B8C"/>
    <w:rsid w:val="00EE3F54"/>
    <w:rsid w:val="00EE490D"/>
    <w:rsid w:val="00EE526F"/>
    <w:rsid w:val="00EE59E0"/>
    <w:rsid w:val="00EE6358"/>
    <w:rsid w:val="00EE6509"/>
    <w:rsid w:val="00EE67BA"/>
    <w:rsid w:val="00EE6A96"/>
    <w:rsid w:val="00EE6C46"/>
    <w:rsid w:val="00EE6CEA"/>
    <w:rsid w:val="00EE7169"/>
    <w:rsid w:val="00EE758A"/>
    <w:rsid w:val="00EE7655"/>
    <w:rsid w:val="00EE7666"/>
    <w:rsid w:val="00EE7780"/>
    <w:rsid w:val="00EE7DA3"/>
    <w:rsid w:val="00EF0171"/>
    <w:rsid w:val="00EF041E"/>
    <w:rsid w:val="00EF13AF"/>
    <w:rsid w:val="00EF1499"/>
    <w:rsid w:val="00EF15D3"/>
    <w:rsid w:val="00EF1AB4"/>
    <w:rsid w:val="00EF1B25"/>
    <w:rsid w:val="00EF1B96"/>
    <w:rsid w:val="00EF1DA0"/>
    <w:rsid w:val="00EF2068"/>
    <w:rsid w:val="00EF2211"/>
    <w:rsid w:val="00EF2264"/>
    <w:rsid w:val="00EF288E"/>
    <w:rsid w:val="00EF2A10"/>
    <w:rsid w:val="00EF2AC1"/>
    <w:rsid w:val="00EF2D2F"/>
    <w:rsid w:val="00EF2D81"/>
    <w:rsid w:val="00EF2F02"/>
    <w:rsid w:val="00EF4016"/>
    <w:rsid w:val="00EF402D"/>
    <w:rsid w:val="00EF4343"/>
    <w:rsid w:val="00EF4747"/>
    <w:rsid w:val="00EF4838"/>
    <w:rsid w:val="00EF4BF8"/>
    <w:rsid w:val="00EF543C"/>
    <w:rsid w:val="00EF584B"/>
    <w:rsid w:val="00EF586F"/>
    <w:rsid w:val="00EF5A55"/>
    <w:rsid w:val="00EF5A83"/>
    <w:rsid w:val="00EF5BE3"/>
    <w:rsid w:val="00EF5E09"/>
    <w:rsid w:val="00EF5E3B"/>
    <w:rsid w:val="00EF67BA"/>
    <w:rsid w:val="00EF689C"/>
    <w:rsid w:val="00EF69F3"/>
    <w:rsid w:val="00EF6F93"/>
    <w:rsid w:val="00EF7868"/>
    <w:rsid w:val="00F00016"/>
    <w:rsid w:val="00F0066A"/>
    <w:rsid w:val="00F00937"/>
    <w:rsid w:val="00F00BF6"/>
    <w:rsid w:val="00F0152A"/>
    <w:rsid w:val="00F01702"/>
    <w:rsid w:val="00F017A2"/>
    <w:rsid w:val="00F01A55"/>
    <w:rsid w:val="00F0203F"/>
    <w:rsid w:val="00F02253"/>
    <w:rsid w:val="00F023D2"/>
    <w:rsid w:val="00F0265D"/>
    <w:rsid w:val="00F03053"/>
    <w:rsid w:val="00F0318E"/>
    <w:rsid w:val="00F0336C"/>
    <w:rsid w:val="00F038AA"/>
    <w:rsid w:val="00F03AD0"/>
    <w:rsid w:val="00F03C15"/>
    <w:rsid w:val="00F03C23"/>
    <w:rsid w:val="00F03C2E"/>
    <w:rsid w:val="00F03F14"/>
    <w:rsid w:val="00F0486B"/>
    <w:rsid w:val="00F04A66"/>
    <w:rsid w:val="00F04ADB"/>
    <w:rsid w:val="00F04B4B"/>
    <w:rsid w:val="00F04F5E"/>
    <w:rsid w:val="00F04F95"/>
    <w:rsid w:val="00F0516C"/>
    <w:rsid w:val="00F056A6"/>
    <w:rsid w:val="00F05954"/>
    <w:rsid w:val="00F05CDC"/>
    <w:rsid w:val="00F05D44"/>
    <w:rsid w:val="00F06467"/>
    <w:rsid w:val="00F0653B"/>
    <w:rsid w:val="00F067A2"/>
    <w:rsid w:val="00F073D8"/>
    <w:rsid w:val="00F07603"/>
    <w:rsid w:val="00F076AD"/>
    <w:rsid w:val="00F07B9E"/>
    <w:rsid w:val="00F07C4B"/>
    <w:rsid w:val="00F105E1"/>
    <w:rsid w:val="00F106C4"/>
    <w:rsid w:val="00F10921"/>
    <w:rsid w:val="00F1116F"/>
    <w:rsid w:val="00F11396"/>
    <w:rsid w:val="00F113E6"/>
    <w:rsid w:val="00F1263A"/>
    <w:rsid w:val="00F12806"/>
    <w:rsid w:val="00F12A6F"/>
    <w:rsid w:val="00F12C1F"/>
    <w:rsid w:val="00F12DDA"/>
    <w:rsid w:val="00F134EA"/>
    <w:rsid w:val="00F138C6"/>
    <w:rsid w:val="00F139C5"/>
    <w:rsid w:val="00F13BF6"/>
    <w:rsid w:val="00F13C6D"/>
    <w:rsid w:val="00F14198"/>
    <w:rsid w:val="00F1441B"/>
    <w:rsid w:val="00F148C9"/>
    <w:rsid w:val="00F14A27"/>
    <w:rsid w:val="00F1506F"/>
    <w:rsid w:val="00F15099"/>
    <w:rsid w:val="00F15285"/>
    <w:rsid w:val="00F158F2"/>
    <w:rsid w:val="00F15B68"/>
    <w:rsid w:val="00F15B77"/>
    <w:rsid w:val="00F15BA3"/>
    <w:rsid w:val="00F15D14"/>
    <w:rsid w:val="00F16191"/>
    <w:rsid w:val="00F16942"/>
    <w:rsid w:val="00F169D1"/>
    <w:rsid w:val="00F16C9D"/>
    <w:rsid w:val="00F16FDE"/>
    <w:rsid w:val="00F1744C"/>
    <w:rsid w:val="00F177A9"/>
    <w:rsid w:val="00F17BA2"/>
    <w:rsid w:val="00F17C1D"/>
    <w:rsid w:val="00F17EC9"/>
    <w:rsid w:val="00F201C4"/>
    <w:rsid w:val="00F202E0"/>
    <w:rsid w:val="00F20F3D"/>
    <w:rsid w:val="00F211E2"/>
    <w:rsid w:val="00F21236"/>
    <w:rsid w:val="00F21C13"/>
    <w:rsid w:val="00F21EEC"/>
    <w:rsid w:val="00F22296"/>
    <w:rsid w:val="00F23836"/>
    <w:rsid w:val="00F239DF"/>
    <w:rsid w:val="00F23B9B"/>
    <w:rsid w:val="00F240E4"/>
    <w:rsid w:val="00F24315"/>
    <w:rsid w:val="00F2432C"/>
    <w:rsid w:val="00F244A0"/>
    <w:rsid w:val="00F246FF"/>
    <w:rsid w:val="00F24837"/>
    <w:rsid w:val="00F251AA"/>
    <w:rsid w:val="00F25278"/>
    <w:rsid w:val="00F25294"/>
    <w:rsid w:val="00F2575F"/>
    <w:rsid w:val="00F258F0"/>
    <w:rsid w:val="00F258F8"/>
    <w:rsid w:val="00F267E6"/>
    <w:rsid w:val="00F274C1"/>
    <w:rsid w:val="00F27565"/>
    <w:rsid w:val="00F27884"/>
    <w:rsid w:val="00F306C8"/>
    <w:rsid w:val="00F30887"/>
    <w:rsid w:val="00F30B55"/>
    <w:rsid w:val="00F30C4D"/>
    <w:rsid w:val="00F310D4"/>
    <w:rsid w:val="00F31D5A"/>
    <w:rsid w:val="00F3276E"/>
    <w:rsid w:val="00F32997"/>
    <w:rsid w:val="00F32B0B"/>
    <w:rsid w:val="00F33538"/>
    <w:rsid w:val="00F33582"/>
    <w:rsid w:val="00F3383C"/>
    <w:rsid w:val="00F33975"/>
    <w:rsid w:val="00F33BE2"/>
    <w:rsid w:val="00F33C9F"/>
    <w:rsid w:val="00F33DE9"/>
    <w:rsid w:val="00F340BD"/>
    <w:rsid w:val="00F340EE"/>
    <w:rsid w:val="00F34621"/>
    <w:rsid w:val="00F35072"/>
    <w:rsid w:val="00F35282"/>
    <w:rsid w:val="00F354D8"/>
    <w:rsid w:val="00F35E6D"/>
    <w:rsid w:val="00F3605E"/>
    <w:rsid w:val="00F3619A"/>
    <w:rsid w:val="00F37290"/>
    <w:rsid w:val="00F376E6"/>
    <w:rsid w:val="00F378C2"/>
    <w:rsid w:val="00F37B44"/>
    <w:rsid w:val="00F37BFD"/>
    <w:rsid w:val="00F40526"/>
    <w:rsid w:val="00F40702"/>
    <w:rsid w:val="00F4096A"/>
    <w:rsid w:val="00F40AAA"/>
    <w:rsid w:val="00F40BA7"/>
    <w:rsid w:val="00F40E7F"/>
    <w:rsid w:val="00F40F9D"/>
    <w:rsid w:val="00F41223"/>
    <w:rsid w:val="00F4142D"/>
    <w:rsid w:val="00F4167E"/>
    <w:rsid w:val="00F4189F"/>
    <w:rsid w:val="00F419AF"/>
    <w:rsid w:val="00F419E8"/>
    <w:rsid w:val="00F41ACD"/>
    <w:rsid w:val="00F41ECA"/>
    <w:rsid w:val="00F42030"/>
    <w:rsid w:val="00F422D0"/>
    <w:rsid w:val="00F423E6"/>
    <w:rsid w:val="00F4275D"/>
    <w:rsid w:val="00F42A8C"/>
    <w:rsid w:val="00F42AD3"/>
    <w:rsid w:val="00F42B62"/>
    <w:rsid w:val="00F42B76"/>
    <w:rsid w:val="00F42D87"/>
    <w:rsid w:val="00F431E8"/>
    <w:rsid w:val="00F43A8E"/>
    <w:rsid w:val="00F43B28"/>
    <w:rsid w:val="00F43C0F"/>
    <w:rsid w:val="00F44334"/>
    <w:rsid w:val="00F445CC"/>
    <w:rsid w:val="00F4479F"/>
    <w:rsid w:val="00F4585C"/>
    <w:rsid w:val="00F46553"/>
    <w:rsid w:val="00F46703"/>
    <w:rsid w:val="00F46CB6"/>
    <w:rsid w:val="00F46D3F"/>
    <w:rsid w:val="00F46EA2"/>
    <w:rsid w:val="00F46EA9"/>
    <w:rsid w:val="00F4730A"/>
    <w:rsid w:val="00F4756D"/>
    <w:rsid w:val="00F47CF5"/>
    <w:rsid w:val="00F47DE8"/>
    <w:rsid w:val="00F47FF4"/>
    <w:rsid w:val="00F508A5"/>
    <w:rsid w:val="00F50BF2"/>
    <w:rsid w:val="00F517A3"/>
    <w:rsid w:val="00F51C17"/>
    <w:rsid w:val="00F51ED9"/>
    <w:rsid w:val="00F526EB"/>
    <w:rsid w:val="00F5308E"/>
    <w:rsid w:val="00F53374"/>
    <w:rsid w:val="00F53B0F"/>
    <w:rsid w:val="00F5416D"/>
    <w:rsid w:val="00F542C1"/>
    <w:rsid w:val="00F5460D"/>
    <w:rsid w:val="00F548FD"/>
    <w:rsid w:val="00F54BC9"/>
    <w:rsid w:val="00F54E0F"/>
    <w:rsid w:val="00F550E3"/>
    <w:rsid w:val="00F55332"/>
    <w:rsid w:val="00F557F8"/>
    <w:rsid w:val="00F55AD5"/>
    <w:rsid w:val="00F55C0B"/>
    <w:rsid w:val="00F55E73"/>
    <w:rsid w:val="00F55EDA"/>
    <w:rsid w:val="00F567B8"/>
    <w:rsid w:val="00F56C80"/>
    <w:rsid w:val="00F56D9C"/>
    <w:rsid w:val="00F570BB"/>
    <w:rsid w:val="00F57543"/>
    <w:rsid w:val="00F57605"/>
    <w:rsid w:val="00F577D2"/>
    <w:rsid w:val="00F5780F"/>
    <w:rsid w:val="00F60092"/>
    <w:rsid w:val="00F60BEF"/>
    <w:rsid w:val="00F60C3E"/>
    <w:rsid w:val="00F60E22"/>
    <w:rsid w:val="00F60EF8"/>
    <w:rsid w:val="00F61060"/>
    <w:rsid w:val="00F613CC"/>
    <w:rsid w:val="00F616F8"/>
    <w:rsid w:val="00F61726"/>
    <w:rsid w:val="00F61753"/>
    <w:rsid w:val="00F61AA1"/>
    <w:rsid w:val="00F61C18"/>
    <w:rsid w:val="00F61E08"/>
    <w:rsid w:val="00F6210C"/>
    <w:rsid w:val="00F62118"/>
    <w:rsid w:val="00F6215F"/>
    <w:rsid w:val="00F62164"/>
    <w:rsid w:val="00F62294"/>
    <w:rsid w:val="00F6240D"/>
    <w:rsid w:val="00F6252E"/>
    <w:rsid w:val="00F62710"/>
    <w:rsid w:val="00F629F4"/>
    <w:rsid w:val="00F6382B"/>
    <w:rsid w:val="00F645D2"/>
    <w:rsid w:val="00F6460F"/>
    <w:rsid w:val="00F64628"/>
    <w:rsid w:val="00F64728"/>
    <w:rsid w:val="00F6487B"/>
    <w:rsid w:val="00F651F9"/>
    <w:rsid w:val="00F6531A"/>
    <w:rsid w:val="00F65A1A"/>
    <w:rsid w:val="00F65A56"/>
    <w:rsid w:val="00F65A63"/>
    <w:rsid w:val="00F65E6F"/>
    <w:rsid w:val="00F65F4B"/>
    <w:rsid w:val="00F65FB0"/>
    <w:rsid w:val="00F662D1"/>
    <w:rsid w:val="00F66B82"/>
    <w:rsid w:val="00F67A69"/>
    <w:rsid w:val="00F67E2B"/>
    <w:rsid w:val="00F67F72"/>
    <w:rsid w:val="00F7023F"/>
    <w:rsid w:val="00F707DE"/>
    <w:rsid w:val="00F70937"/>
    <w:rsid w:val="00F70BFF"/>
    <w:rsid w:val="00F70C9D"/>
    <w:rsid w:val="00F711F8"/>
    <w:rsid w:val="00F71578"/>
    <w:rsid w:val="00F71B01"/>
    <w:rsid w:val="00F71CC8"/>
    <w:rsid w:val="00F7275C"/>
    <w:rsid w:val="00F7291D"/>
    <w:rsid w:val="00F72A21"/>
    <w:rsid w:val="00F72BE5"/>
    <w:rsid w:val="00F73860"/>
    <w:rsid w:val="00F739D6"/>
    <w:rsid w:val="00F73E08"/>
    <w:rsid w:val="00F7435F"/>
    <w:rsid w:val="00F74749"/>
    <w:rsid w:val="00F74A0B"/>
    <w:rsid w:val="00F74AE0"/>
    <w:rsid w:val="00F74CD9"/>
    <w:rsid w:val="00F74DE2"/>
    <w:rsid w:val="00F75553"/>
    <w:rsid w:val="00F75E9B"/>
    <w:rsid w:val="00F760C2"/>
    <w:rsid w:val="00F76166"/>
    <w:rsid w:val="00F767FE"/>
    <w:rsid w:val="00F76BE1"/>
    <w:rsid w:val="00F76FE4"/>
    <w:rsid w:val="00F7716A"/>
    <w:rsid w:val="00F77A96"/>
    <w:rsid w:val="00F77FF1"/>
    <w:rsid w:val="00F80A7B"/>
    <w:rsid w:val="00F80AA2"/>
    <w:rsid w:val="00F80E35"/>
    <w:rsid w:val="00F80E5D"/>
    <w:rsid w:val="00F80E64"/>
    <w:rsid w:val="00F810AC"/>
    <w:rsid w:val="00F8133E"/>
    <w:rsid w:val="00F81BFB"/>
    <w:rsid w:val="00F81C5D"/>
    <w:rsid w:val="00F81E78"/>
    <w:rsid w:val="00F82114"/>
    <w:rsid w:val="00F82878"/>
    <w:rsid w:val="00F829DC"/>
    <w:rsid w:val="00F82B64"/>
    <w:rsid w:val="00F82BF7"/>
    <w:rsid w:val="00F82EB5"/>
    <w:rsid w:val="00F8330D"/>
    <w:rsid w:val="00F8331A"/>
    <w:rsid w:val="00F8354F"/>
    <w:rsid w:val="00F83916"/>
    <w:rsid w:val="00F83AE7"/>
    <w:rsid w:val="00F8400B"/>
    <w:rsid w:val="00F84289"/>
    <w:rsid w:val="00F842E7"/>
    <w:rsid w:val="00F84522"/>
    <w:rsid w:val="00F8489D"/>
    <w:rsid w:val="00F84D34"/>
    <w:rsid w:val="00F84FBC"/>
    <w:rsid w:val="00F850BE"/>
    <w:rsid w:val="00F851CE"/>
    <w:rsid w:val="00F85452"/>
    <w:rsid w:val="00F8559C"/>
    <w:rsid w:val="00F855BE"/>
    <w:rsid w:val="00F85888"/>
    <w:rsid w:val="00F85AFE"/>
    <w:rsid w:val="00F85C6A"/>
    <w:rsid w:val="00F85DA4"/>
    <w:rsid w:val="00F87073"/>
    <w:rsid w:val="00F87A9C"/>
    <w:rsid w:val="00F87AC7"/>
    <w:rsid w:val="00F87B42"/>
    <w:rsid w:val="00F87BDD"/>
    <w:rsid w:val="00F900CB"/>
    <w:rsid w:val="00F903BA"/>
    <w:rsid w:val="00F90635"/>
    <w:rsid w:val="00F90B22"/>
    <w:rsid w:val="00F90C17"/>
    <w:rsid w:val="00F91219"/>
    <w:rsid w:val="00F918AC"/>
    <w:rsid w:val="00F91F5C"/>
    <w:rsid w:val="00F92444"/>
    <w:rsid w:val="00F92839"/>
    <w:rsid w:val="00F92CB5"/>
    <w:rsid w:val="00F92FDE"/>
    <w:rsid w:val="00F93445"/>
    <w:rsid w:val="00F93517"/>
    <w:rsid w:val="00F937EC"/>
    <w:rsid w:val="00F9393E"/>
    <w:rsid w:val="00F93A12"/>
    <w:rsid w:val="00F93F3C"/>
    <w:rsid w:val="00F941C8"/>
    <w:rsid w:val="00F94549"/>
    <w:rsid w:val="00F94822"/>
    <w:rsid w:val="00F94A92"/>
    <w:rsid w:val="00F94F22"/>
    <w:rsid w:val="00F95004"/>
    <w:rsid w:val="00F95683"/>
    <w:rsid w:val="00F95A9D"/>
    <w:rsid w:val="00F96069"/>
    <w:rsid w:val="00F969DA"/>
    <w:rsid w:val="00F96ADF"/>
    <w:rsid w:val="00F96BE2"/>
    <w:rsid w:val="00F96FD0"/>
    <w:rsid w:val="00F97A78"/>
    <w:rsid w:val="00F97E1F"/>
    <w:rsid w:val="00FA04B8"/>
    <w:rsid w:val="00FA068B"/>
    <w:rsid w:val="00FA0B20"/>
    <w:rsid w:val="00FA0D08"/>
    <w:rsid w:val="00FA116D"/>
    <w:rsid w:val="00FA12AC"/>
    <w:rsid w:val="00FA199F"/>
    <w:rsid w:val="00FA1B51"/>
    <w:rsid w:val="00FA1C2C"/>
    <w:rsid w:val="00FA1D8A"/>
    <w:rsid w:val="00FA24E7"/>
    <w:rsid w:val="00FA270C"/>
    <w:rsid w:val="00FA34A6"/>
    <w:rsid w:val="00FA3824"/>
    <w:rsid w:val="00FA3940"/>
    <w:rsid w:val="00FA3970"/>
    <w:rsid w:val="00FA3982"/>
    <w:rsid w:val="00FA3B3E"/>
    <w:rsid w:val="00FA40B5"/>
    <w:rsid w:val="00FA40CE"/>
    <w:rsid w:val="00FA4B08"/>
    <w:rsid w:val="00FA4C44"/>
    <w:rsid w:val="00FA4D1C"/>
    <w:rsid w:val="00FA565C"/>
    <w:rsid w:val="00FA5833"/>
    <w:rsid w:val="00FA5917"/>
    <w:rsid w:val="00FA5A21"/>
    <w:rsid w:val="00FA5EE6"/>
    <w:rsid w:val="00FA652E"/>
    <w:rsid w:val="00FA6C1E"/>
    <w:rsid w:val="00FA6CDA"/>
    <w:rsid w:val="00FA6ED1"/>
    <w:rsid w:val="00FA7269"/>
    <w:rsid w:val="00FA7956"/>
    <w:rsid w:val="00FA7DE0"/>
    <w:rsid w:val="00FA7FB6"/>
    <w:rsid w:val="00FB03D3"/>
    <w:rsid w:val="00FB0482"/>
    <w:rsid w:val="00FB052F"/>
    <w:rsid w:val="00FB0824"/>
    <w:rsid w:val="00FB08E8"/>
    <w:rsid w:val="00FB0978"/>
    <w:rsid w:val="00FB1310"/>
    <w:rsid w:val="00FB15C3"/>
    <w:rsid w:val="00FB171A"/>
    <w:rsid w:val="00FB2FCB"/>
    <w:rsid w:val="00FB31AD"/>
    <w:rsid w:val="00FB325F"/>
    <w:rsid w:val="00FB376E"/>
    <w:rsid w:val="00FB39F4"/>
    <w:rsid w:val="00FB3AF7"/>
    <w:rsid w:val="00FB4839"/>
    <w:rsid w:val="00FB4B2E"/>
    <w:rsid w:val="00FB4C9C"/>
    <w:rsid w:val="00FB51B3"/>
    <w:rsid w:val="00FB528A"/>
    <w:rsid w:val="00FB5E7E"/>
    <w:rsid w:val="00FB5F97"/>
    <w:rsid w:val="00FB60BF"/>
    <w:rsid w:val="00FB6544"/>
    <w:rsid w:val="00FB6A7A"/>
    <w:rsid w:val="00FB707F"/>
    <w:rsid w:val="00FB7301"/>
    <w:rsid w:val="00FB738B"/>
    <w:rsid w:val="00FB79D6"/>
    <w:rsid w:val="00FB7C55"/>
    <w:rsid w:val="00FC049B"/>
    <w:rsid w:val="00FC0CDA"/>
    <w:rsid w:val="00FC0E5F"/>
    <w:rsid w:val="00FC1074"/>
    <w:rsid w:val="00FC1330"/>
    <w:rsid w:val="00FC1354"/>
    <w:rsid w:val="00FC1884"/>
    <w:rsid w:val="00FC194E"/>
    <w:rsid w:val="00FC1DF4"/>
    <w:rsid w:val="00FC292F"/>
    <w:rsid w:val="00FC2A4C"/>
    <w:rsid w:val="00FC2A98"/>
    <w:rsid w:val="00FC2F9C"/>
    <w:rsid w:val="00FC30E2"/>
    <w:rsid w:val="00FC312A"/>
    <w:rsid w:val="00FC371D"/>
    <w:rsid w:val="00FC3FDD"/>
    <w:rsid w:val="00FC4125"/>
    <w:rsid w:val="00FC4297"/>
    <w:rsid w:val="00FC4445"/>
    <w:rsid w:val="00FC4727"/>
    <w:rsid w:val="00FC4E46"/>
    <w:rsid w:val="00FC504A"/>
    <w:rsid w:val="00FC51B9"/>
    <w:rsid w:val="00FC55FB"/>
    <w:rsid w:val="00FC5F0B"/>
    <w:rsid w:val="00FC609A"/>
    <w:rsid w:val="00FC6172"/>
    <w:rsid w:val="00FC6314"/>
    <w:rsid w:val="00FC654B"/>
    <w:rsid w:val="00FC71DF"/>
    <w:rsid w:val="00FC7531"/>
    <w:rsid w:val="00FC7D33"/>
    <w:rsid w:val="00FD01CC"/>
    <w:rsid w:val="00FD17DE"/>
    <w:rsid w:val="00FD18E2"/>
    <w:rsid w:val="00FD1BCE"/>
    <w:rsid w:val="00FD1C13"/>
    <w:rsid w:val="00FD1DBB"/>
    <w:rsid w:val="00FD1E14"/>
    <w:rsid w:val="00FD2100"/>
    <w:rsid w:val="00FD26D0"/>
    <w:rsid w:val="00FD2D3D"/>
    <w:rsid w:val="00FD2DE3"/>
    <w:rsid w:val="00FD34FF"/>
    <w:rsid w:val="00FD3C5C"/>
    <w:rsid w:val="00FD4091"/>
    <w:rsid w:val="00FD41DE"/>
    <w:rsid w:val="00FD436C"/>
    <w:rsid w:val="00FD446D"/>
    <w:rsid w:val="00FD4A61"/>
    <w:rsid w:val="00FD4F2C"/>
    <w:rsid w:val="00FD4F88"/>
    <w:rsid w:val="00FD5098"/>
    <w:rsid w:val="00FD51A6"/>
    <w:rsid w:val="00FD54CA"/>
    <w:rsid w:val="00FD5EB3"/>
    <w:rsid w:val="00FD5F1D"/>
    <w:rsid w:val="00FD6394"/>
    <w:rsid w:val="00FD65C5"/>
    <w:rsid w:val="00FD6871"/>
    <w:rsid w:val="00FD6F8E"/>
    <w:rsid w:val="00FD7027"/>
    <w:rsid w:val="00FE0327"/>
    <w:rsid w:val="00FE04EE"/>
    <w:rsid w:val="00FE082C"/>
    <w:rsid w:val="00FE0E6C"/>
    <w:rsid w:val="00FE1CDC"/>
    <w:rsid w:val="00FE1F2D"/>
    <w:rsid w:val="00FE2A2B"/>
    <w:rsid w:val="00FE30A4"/>
    <w:rsid w:val="00FE31CE"/>
    <w:rsid w:val="00FE37D9"/>
    <w:rsid w:val="00FE49DB"/>
    <w:rsid w:val="00FE5174"/>
    <w:rsid w:val="00FE547F"/>
    <w:rsid w:val="00FE598B"/>
    <w:rsid w:val="00FE5DCE"/>
    <w:rsid w:val="00FE6606"/>
    <w:rsid w:val="00FE6BEE"/>
    <w:rsid w:val="00FE6C19"/>
    <w:rsid w:val="00FE6C36"/>
    <w:rsid w:val="00FE6D02"/>
    <w:rsid w:val="00FE6DDE"/>
    <w:rsid w:val="00FE70C3"/>
    <w:rsid w:val="00FE7528"/>
    <w:rsid w:val="00FE7B27"/>
    <w:rsid w:val="00FE7BA3"/>
    <w:rsid w:val="00FE7BB1"/>
    <w:rsid w:val="00FF013E"/>
    <w:rsid w:val="00FF062C"/>
    <w:rsid w:val="00FF06F7"/>
    <w:rsid w:val="00FF085E"/>
    <w:rsid w:val="00FF0CE2"/>
    <w:rsid w:val="00FF1079"/>
    <w:rsid w:val="00FF10A8"/>
    <w:rsid w:val="00FF10DD"/>
    <w:rsid w:val="00FF14F0"/>
    <w:rsid w:val="00FF1A17"/>
    <w:rsid w:val="00FF1A75"/>
    <w:rsid w:val="00FF1A8B"/>
    <w:rsid w:val="00FF1F78"/>
    <w:rsid w:val="00FF2755"/>
    <w:rsid w:val="00FF2AD9"/>
    <w:rsid w:val="00FF2B9D"/>
    <w:rsid w:val="00FF2E62"/>
    <w:rsid w:val="00FF2F0C"/>
    <w:rsid w:val="00FF359F"/>
    <w:rsid w:val="00FF35A9"/>
    <w:rsid w:val="00FF3DCF"/>
    <w:rsid w:val="00FF3E5C"/>
    <w:rsid w:val="00FF45BC"/>
    <w:rsid w:val="00FF491E"/>
    <w:rsid w:val="00FF492C"/>
    <w:rsid w:val="00FF49A4"/>
    <w:rsid w:val="00FF4A0E"/>
    <w:rsid w:val="00FF4A21"/>
    <w:rsid w:val="00FF539D"/>
    <w:rsid w:val="00FF545B"/>
    <w:rsid w:val="00FF5463"/>
    <w:rsid w:val="00FF5AA3"/>
    <w:rsid w:val="00FF5AD8"/>
    <w:rsid w:val="00FF5B51"/>
    <w:rsid w:val="00FF65DF"/>
    <w:rsid w:val="00FF6A00"/>
    <w:rsid w:val="00FF6B76"/>
    <w:rsid w:val="00FF6C07"/>
    <w:rsid w:val="00FF71DC"/>
    <w:rsid w:val="00FF752A"/>
    <w:rsid w:val="01A02F14"/>
    <w:rsid w:val="0345E084"/>
    <w:rsid w:val="03F67DF0"/>
    <w:rsid w:val="05042C88"/>
    <w:rsid w:val="050EBE05"/>
    <w:rsid w:val="05F59F7F"/>
    <w:rsid w:val="07134CB4"/>
    <w:rsid w:val="08AAB140"/>
    <w:rsid w:val="08CA1465"/>
    <w:rsid w:val="092B98BE"/>
    <w:rsid w:val="0B38D783"/>
    <w:rsid w:val="0CFCE84D"/>
    <w:rsid w:val="0EB95C0D"/>
    <w:rsid w:val="0FAF1D5E"/>
    <w:rsid w:val="0FC8DEE2"/>
    <w:rsid w:val="10D653F9"/>
    <w:rsid w:val="12CC0C3E"/>
    <w:rsid w:val="13124FAE"/>
    <w:rsid w:val="1826896B"/>
    <w:rsid w:val="19A9818E"/>
    <w:rsid w:val="1BEC996B"/>
    <w:rsid w:val="1BF5FD94"/>
    <w:rsid w:val="1CE63D38"/>
    <w:rsid w:val="1E4D6699"/>
    <w:rsid w:val="258923B2"/>
    <w:rsid w:val="27288B35"/>
    <w:rsid w:val="2A41238B"/>
    <w:rsid w:val="2A42275F"/>
    <w:rsid w:val="2A91F806"/>
    <w:rsid w:val="2AFE8F1C"/>
    <w:rsid w:val="2B2FAE21"/>
    <w:rsid w:val="2C3CD7CB"/>
    <w:rsid w:val="2E1FB70E"/>
    <w:rsid w:val="2EFCEB4E"/>
    <w:rsid w:val="31081A2B"/>
    <w:rsid w:val="3191E706"/>
    <w:rsid w:val="331B3EA2"/>
    <w:rsid w:val="333B697B"/>
    <w:rsid w:val="341D2CD1"/>
    <w:rsid w:val="341E172C"/>
    <w:rsid w:val="35AB3B61"/>
    <w:rsid w:val="36535EA0"/>
    <w:rsid w:val="36D263AF"/>
    <w:rsid w:val="391D6D93"/>
    <w:rsid w:val="39EE688E"/>
    <w:rsid w:val="3DFB908B"/>
    <w:rsid w:val="40CF010A"/>
    <w:rsid w:val="40F9C48C"/>
    <w:rsid w:val="413DDD94"/>
    <w:rsid w:val="433E1008"/>
    <w:rsid w:val="47218A9E"/>
    <w:rsid w:val="47C77EBD"/>
    <w:rsid w:val="48932A8C"/>
    <w:rsid w:val="48E880C9"/>
    <w:rsid w:val="4903D6E7"/>
    <w:rsid w:val="4D2E0E7D"/>
    <w:rsid w:val="4E0377BC"/>
    <w:rsid w:val="5149CC92"/>
    <w:rsid w:val="51825343"/>
    <w:rsid w:val="52902FDA"/>
    <w:rsid w:val="53934A5D"/>
    <w:rsid w:val="53EF1767"/>
    <w:rsid w:val="570FC0D8"/>
    <w:rsid w:val="59C70968"/>
    <w:rsid w:val="5E6E5FAE"/>
    <w:rsid w:val="6060A14C"/>
    <w:rsid w:val="60737C3A"/>
    <w:rsid w:val="60A333D5"/>
    <w:rsid w:val="610B2DAB"/>
    <w:rsid w:val="613ECD70"/>
    <w:rsid w:val="626E2813"/>
    <w:rsid w:val="650D93C9"/>
    <w:rsid w:val="67C31D75"/>
    <w:rsid w:val="684963C4"/>
    <w:rsid w:val="69F09F3D"/>
    <w:rsid w:val="6AEDF2C3"/>
    <w:rsid w:val="6EB3B0C4"/>
    <w:rsid w:val="6EBABB6A"/>
    <w:rsid w:val="6EFF1417"/>
    <w:rsid w:val="7082D246"/>
    <w:rsid w:val="718FAE8A"/>
    <w:rsid w:val="719CEBCF"/>
    <w:rsid w:val="7205331B"/>
    <w:rsid w:val="741DDB49"/>
    <w:rsid w:val="74CEA627"/>
    <w:rsid w:val="766B459F"/>
    <w:rsid w:val="77B2EAAB"/>
    <w:rsid w:val="7AFE79CE"/>
    <w:rsid w:val="7C7A4D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for Tables and Figures,Non-indexed table/figure header,Caption Char1,Caption Char Char,Table caption,Caption Char1 Char Char,Caption Char Char Char Char,Caption Char1 Char Char Char Char,Caption Char Char Char Char Char Char,IB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for Tables and Figures Char,Non-indexed table/figure header Char,Caption Char1 Char,Caption Char Char Char,Table caption Char,Caption Char1 Char Char Char,Caption Char Char Char Char Char,Caption Char1 Char Char Char Char Char"/>
    <w:link w:val="Caption"/>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Bullet Li"/>
    <w:link w:val="ListParagraphChar"/>
    <w:uiPriority w:val="34"/>
    <w:qFormat/>
    <w:rsid w:val="00AF1DD0"/>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 Li Char"/>
    <w:basedOn w:val="DefaultParagraphFont"/>
    <w:link w:val="ListParagraph"/>
    <w:uiPriority w:val="34"/>
    <w:qFormat/>
    <w:locked/>
    <w:rsid w:val="00AF1DD0"/>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RTI AMCP Table,new style,Dossier table,Section 3- footnotes,HTAtableplain,Summary Table,NICE table,EVD CLL,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395F35"/>
    <w:pPr>
      <w:numPr>
        <w:numId w:val="2"/>
      </w:numPr>
      <w:contextualSpacing/>
      <w:jc w:val="both"/>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C14E77"/>
    <w:pPr>
      <w:numPr>
        <w:ilvl w:val="1"/>
        <w:numId w:val="6"/>
      </w:numPr>
      <w:spacing w:before="120"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14E77"/>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785588"/>
    <w:rPr>
      <w:color w:val="605E5C"/>
      <w:shd w:val="clear" w:color="auto" w:fill="E1DFDD"/>
    </w:rPr>
  </w:style>
  <w:style w:type="paragraph" w:customStyle="1" w:styleId="Bodytextitalics">
    <w:name w:val="Body text italics"/>
    <w:basedOn w:val="BodyText"/>
    <w:qFormat/>
    <w:rsid w:val="00A55AF1"/>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unhideWhenUsed/>
    <w:rsid w:val="0084196B"/>
    <w:rPr>
      <w:sz w:val="20"/>
      <w:szCs w:val="20"/>
    </w:rPr>
  </w:style>
  <w:style w:type="character" w:customStyle="1" w:styleId="FootnoteTextChar">
    <w:name w:val="Footnote Text Char"/>
    <w:basedOn w:val="DefaultParagraphFont"/>
    <w:link w:val="FootnoteText"/>
    <w:rsid w:val="0084196B"/>
    <w:rPr>
      <w:rFonts w:ascii="Calibri" w:hAnsi="Calibri" w:cs="Arial"/>
    </w:rPr>
  </w:style>
  <w:style w:type="character" w:styleId="FootnoteReference">
    <w:name w:val="footnote reference"/>
    <w:basedOn w:val="DefaultParagraphFont"/>
    <w:semiHidden/>
    <w:unhideWhenUsed/>
    <w:rsid w:val="0084196B"/>
    <w:rPr>
      <w:vertAlign w:val="superscript"/>
    </w:rPr>
  </w:style>
  <w:style w:type="paragraph" w:customStyle="1" w:styleId="EndNoteBibliography">
    <w:name w:val="EndNote Bibliography"/>
    <w:basedOn w:val="Normal"/>
    <w:link w:val="EndNoteBibliographyChar"/>
    <w:rsid w:val="00A36403"/>
    <w:pPr>
      <w:spacing w:after="200"/>
    </w:pPr>
    <w:rPr>
      <w:rFonts w:ascii="Verdana" w:eastAsiaTheme="majorEastAsia" w:hAnsi="Verdana" w:cstheme="majorBidi"/>
      <w:sz w:val="26"/>
      <w:szCs w:val="22"/>
      <w:lang w:eastAsia="en-US" w:bidi="en-US"/>
    </w:rPr>
  </w:style>
  <w:style w:type="character" w:customStyle="1" w:styleId="EndNoteBibliographyChar">
    <w:name w:val="EndNote Bibliography Char"/>
    <w:basedOn w:val="DefaultParagraphFont"/>
    <w:link w:val="EndNoteBibliography"/>
    <w:rsid w:val="00A36403"/>
    <w:rPr>
      <w:rFonts w:ascii="Verdana" w:eastAsiaTheme="majorEastAsia" w:hAnsi="Verdana" w:cstheme="majorBidi"/>
      <w:sz w:val="26"/>
      <w:szCs w:val="22"/>
      <w:lang w:eastAsia="en-US" w:bidi="en-US"/>
    </w:rPr>
  </w:style>
  <w:style w:type="character" w:customStyle="1" w:styleId="Small">
    <w:name w:val="Small"/>
    <w:basedOn w:val="DefaultParagraphFont"/>
    <w:uiPriority w:val="4"/>
    <w:qFormat/>
    <w:rsid w:val="00A7060B"/>
    <w:rPr>
      <w:rFonts w:ascii="Calibri" w:hAnsi="Calibri"/>
      <w:sz w:val="20"/>
    </w:rPr>
  </w:style>
  <w:style w:type="character" w:customStyle="1" w:styleId="Font">
    <w:name w:val="Font"/>
    <w:basedOn w:val="DefaultParagraphFont"/>
    <w:uiPriority w:val="1"/>
    <w:qFormat/>
    <w:rsid w:val="007D7A1F"/>
    <w:rPr>
      <w:rFonts w:asciiTheme="minorHAnsi" w:hAnsiTheme="minorHAnsi"/>
      <w:sz w:val="24"/>
    </w:rPr>
  </w:style>
  <w:style w:type="character" w:styleId="Mention">
    <w:name w:val="Mention"/>
    <w:basedOn w:val="DefaultParagraphFont"/>
    <w:uiPriority w:val="99"/>
    <w:unhideWhenUsed/>
    <w:rsid w:val="000436AB"/>
    <w:rPr>
      <w:color w:val="2B579A"/>
      <w:shd w:val="clear" w:color="auto" w:fill="E1DFDD"/>
    </w:rPr>
  </w:style>
  <w:style w:type="paragraph" w:customStyle="1" w:styleId="MediumGrid1-Accent21">
    <w:name w:val="Medium Grid 1 - Accent 21"/>
    <w:basedOn w:val="Normal"/>
    <w:uiPriority w:val="34"/>
    <w:qFormat/>
    <w:rsid w:val="00A74879"/>
    <w:pPr>
      <w:ind w:left="720"/>
      <w:jc w:val="left"/>
    </w:pPr>
    <w:rPr>
      <w:rFonts w:ascii="Times New Roman" w:hAnsi="Times New Roman" w:cs="Times New Roman"/>
    </w:rPr>
  </w:style>
  <w:style w:type="character" w:styleId="Strong">
    <w:name w:val="Strong"/>
    <w:basedOn w:val="DefaultParagraphFont"/>
    <w:uiPriority w:val="22"/>
    <w:qFormat/>
    <w:rsid w:val="00A74879"/>
    <w:rPr>
      <w:b/>
      <w:bCs/>
    </w:rPr>
  </w:style>
  <w:style w:type="paragraph" w:customStyle="1" w:styleId="Answer">
    <w:name w:val="Answer"/>
    <w:basedOn w:val="Normal"/>
    <w:link w:val="AnswerCharChar"/>
    <w:qFormat/>
    <w:rsid w:val="00A74879"/>
    <w:pPr>
      <w:spacing w:line="276" w:lineRule="auto"/>
      <w:jc w:val="left"/>
    </w:pPr>
    <w:rPr>
      <w:rFonts w:ascii="Arial" w:eastAsia="Calibri" w:hAnsi="Arial"/>
      <w:lang w:val="en-GB"/>
    </w:rPr>
  </w:style>
  <w:style w:type="character" w:customStyle="1" w:styleId="AnswerCharChar">
    <w:name w:val="Answer Char Char"/>
    <w:link w:val="Answer"/>
    <w:rsid w:val="00A74879"/>
    <w:rPr>
      <w:rFonts w:ascii="Arial" w:eastAsia="Calibri" w:hAnsi="Arial" w:cs="Arial"/>
      <w:sz w:val="24"/>
      <w:szCs w:val="24"/>
      <w:lang w:val="en-GB"/>
    </w:rPr>
  </w:style>
  <w:style w:type="paragraph" w:customStyle="1" w:styleId="1BulletPoints">
    <w:name w:val="1. Bullet Points"/>
    <w:basedOn w:val="ListParagraph"/>
    <w:uiPriority w:val="6"/>
    <w:qFormat/>
    <w:rsid w:val="00A74879"/>
    <w:pPr>
      <w:numPr>
        <w:numId w:val="14"/>
      </w:numPr>
      <w:spacing w:before="120"/>
    </w:pPr>
    <w:rPr>
      <w:rFonts w:ascii="Lato" w:eastAsia="MS Mincho" w:hAnsi="Lato"/>
      <w:snapToGrid/>
      <w:color w:val="000000"/>
      <w:sz w:val="20"/>
      <w:szCs w:val="22"/>
      <w:lang w:val="en-GB" w:eastAsia="en-US"/>
    </w:rPr>
  </w:style>
  <w:style w:type="paragraph" w:customStyle="1" w:styleId="NormalLetters">
    <w:name w:val="Normal Letters"/>
    <w:basedOn w:val="Normal"/>
    <w:uiPriority w:val="3"/>
    <w:qFormat/>
    <w:rsid w:val="00EF5E3B"/>
    <w:pPr>
      <w:numPr>
        <w:numId w:val="15"/>
      </w:numPr>
      <w:spacing w:after="240" w:line="276" w:lineRule="auto"/>
      <w:ind w:left="357" w:hanging="357"/>
      <w:contextualSpacing/>
    </w:pPr>
    <w:rPr>
      <w:rFonts w:eastAsiaTheme="majorEastAsia" w:cstheme="majorBidi"/>
      <w:sz w:val="22"/>
      <w:szCs w:val="22"/>
      <w:lang w:eastAsia="en-US" w:bidi="en-US"/>
    </w:rPr>
  </w:style>
  <w:style w:type="paragraph" w:customStyle="1" w:styleId="TableLeft">
    <w:name w:val="Table Left"/>
    <w:basedOn w:val="Normal"/>
    <w:link w:val="TableLeftChar"/>
    <w:uiPriority w:val="99"/>
    <w:qFormat/>
    <w:rsid w:val="00EF5E3B"/>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EF5E3B"/>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EF5E3B"/>
    <w:pPr>
      <w:numPr>
        <w:numId w:val="16"/>
      </w:numPr>
      <w:ind w:left="170" w:hanging="170"/>
    </w:pPr>
  </w:style>
  <w:style w:type="table" w:customStyle="1" w:styleId="TableGrid1">
    <w:name w:val="Table Grid1"/>
    <w:basedOn w:val="TableNormal"/>
    <w:next w:val="TableGrid"/>
    <w:uiPriority w:val="59"/>
    <w:rsid w:val="00EF5E3B"/>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level2">
    <w:name w:val="bullet level 2"/>
    <w:basedOn w:val="Normal"/>
    <w:uiPriority w:val="99"/>
    <w:rsid w:val="00EF5E3B"/>
    <w:pPr>
      <w:tabs>
        <w:tab w:val="num" w:pos="567"/>
      </w:tabs>
      <w:ind w:left="567" w:hanging="283"/>
      <w:jc w:val="left"/>
    </w:pPr>
    <w:rPr>
      <w:rFonts w:ascii="Times New Roman" w:hAnsi="Times New Roman" w:cs="Times New Roman"/>
      <w:color w:val="000000"/>
      <w:lang w:val="en-US"/>
    </w:rPr>
  </w:style>
  <w:style w:type="character" w:customStyle="1" w:styleId="SmallBold">
    <w:name w:val="Small Bold"/>
    <w:basedOn w:val="Small"/>
    <w:uiPriority w:val="4"/>
    <w:qFormat/>
    <w:rsid w:val="00EF5E3B"/>
    <w:rPr>
      <w:rFonts w:ascii="Calibri" w:hAnsi="Calibri"/>
      <w:b/>
      <w:sz w:val="20"/>
      <w:lang w:val="en-AU"/>
    </w:rPr>
  </w:style>
  <w:style w:type="character" w:styleId="PlaceholderText">
    <w:name w:val="Placeholder Text"/>
    <w:basedOn w:val="DefaultParagraphFont"/>
    <w:uiPriority w:val="99"/>
    <w:semiHidden/>
    <w:rsid w:val="00EF5E3B"/>
    <w:rPr>
      <w:color w:val="808080"/>
    </w:rPr>
  </w:style>
  <w:style w:type="character" w:customStyle="1" w:styleId="CaptionFootnoteChar">
    <w:name w:val="Caption Footnote Char"/>
    <w:basedOn w:val="DefaultParagraphFont"/>
    <w:link w:val="CaptionFootnote"/>
    <w:rsid w:val="00EF5E3B"/>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EF5E3B"/>
    <w:rPr>
      <w:rFonts w:asciiTheme="minorHAnsi" w:hAnsiTheme="minorHAnsi" w:cs="Times New Roman"/>
      <w:kern w:val="28"/>
      <w:sz w:val="16"/>
      <w:lang w:eastAsia="en-GB"/>
    </w:rPr>
  </w:style>
  <w:style w:type="character" w:customStyle="1" w:styleId="Heading1Char">
    <w:name w:val="Heading 1 Char"/>
    <w:basedOn w:val="DefaultParagraphFont"/>
    <w:link w:val="Heading1"/>
    <w:uiPriority w:val="1"/>
    <w:rsid w:val="00EF5E3B"/>
    <w:rPr>
      <w:rFonts w:ascii="Calibri" w:hAnsi="Calibri" w:cs="Arial"/>
      <w:b/>
      <w:caps/>
      <w:sz w:val="32"/>
      <w:szCs w:val="24"/>
    </w:rPr>
  </w:style>
  <w:style w:type="character" w:customStyle="1" w:styleId="Heading3Char">
    <w:name w:val="Heading 3 Char"/>
    <w:basedOn w:val="DefaultParagraphFont"/>
    <w:link w:val="Heading3"/>
    <w:rsid w:val="00EF5E3B"/>
    <w:rPr>
      <w:rFonts w:ascii="Calibri" w:hAnsi="Calibri" w:cs="Arial"/>
      <w:sz w:val="24"/>
      <w:szCs w:val="24"/>
      <w:u w:val="single"/>
    </w:rPr>
  </w:style>
  <w:style w:type="character" w:customStyle="1" w:styleId="Heading4Char">
    <w:name w:val="Heading 4 Char"/>
    <w:basedOn w:val="DefaultParagraphFont"/>
    <w:link w:val="Heading4"/>
    <w:rsid w:val="00EF5E3B"/>
    <w:rPr>
      <w:rFonts w:ascii="Calibri" w:hAnsi="Calibri" w:cs="Arial"/>
      <w:b/>
      <w:bCs/>
      <w:i/>
      <w:sz w:val="26"/>
      <w:szCs w:val="28"/>
    </w:rPr>
  </w:style>
  <w:style w:type="character" w:customStyle="1" w:styleId="Heading5Char">
    <w:name w:val="Heading 5 Char"/>
    <w:basedOn w:val="DefaultParagraphFont"/>
    <w:link w:val="Heading5"/>
    <w:rsid w:val="00EF5E3B"/>
    <w:rPr>
      <w:rFonts w:ascii="Calibri" w:hAnsi="Calibri" w:cs="Arial"/>
      <w:b/>
      <w:bCs/>
      <w:iCs/>
      <w:sz w:val="26"/>
      <w:szCs w:val="26"/>
    </w:rPr>
  </w:style>
  <w:style w:type="character" w:customStyle="1" w:styleId="Heading6Char">
    <w:name w:val="Heading 6 Char"/>
    <w:basedOn w:val="DefaultParagraphFont"/>
    <w:link w:val="Heading6"/>
    <w:rsid w:val="00EF5E3B"/>
    <w:rPr>
      <w:rFonts w:ascii="Calibri" w:hAnsi="Calibri" w:cs="Arial"/>
      <w:b/>
      <w:bCs/>
      <w:i/>
      <w:sz w:val="24"/>
      <w:szCs w:val="24"/>
    </w:rPr>
  </w:style>
  <w:style w:type="paragraph" w:customStyle="1" w:styleId="msonormal0">
    <w:name w:val="msonormal"/>
    <w:basedOn w:val="Normal"/>
    <w:uiPriority w:val="99"/>
    <w:rsid w:val="00EF5E3B"/>
    <w:pPr>
      <w:snapToGrid w:val="0"/>
      <w:spacing w:before="100" w:after="100"/>
      <w:jc w:val="left"/>
    </w:pPr>
    <w:rPr>
      <w:rFonts w:ascii="Times New Roman" w:hAnsi="Times New Roman" w:cs="Times New Roman"/>
      <w:lang w:val="en-GB"/>
    </w:rPr>
  </w:style>
  <w:style w:type="character" w:customStyle="1" w:styleId="CommentTextChar1">
    <w:name w:val="Comment Text Char1"/>
    <w:aliases w:val="Comment Text Char Char Char Char1,Comment Text Char Char Char2"/>
    <w:basedOn w:val="DefaultParagraphFont"/>
    <w:uiPriority w:val="99"/>
    <w:semiHidden/>
    <w:rsid w:val="00EF5E3B"/>
    <w:rPr>
      <w:rFonts w:ascii="Calibri" w:hAnsi="Calibri" w:cs="Arial"/>
    </w:rPr>
  </w:style>
  <w:style w:type="character" w:customStyle="1" w:styleId="HeaderChar1">
    <w:name w:val="Header Char1"/>
    <w:aliases w:val="Page Header Char1,Header title Char1,he=header Char1,cntr/bld Char1"/>
    <w:basedOn w:val="DefaultParagraphFont"/>
    <w:semiHidden/>
    <w:rsid w:val="00EF5E3B"/>
    <w:rPr>
      <w:rFonts w:ascii="Calibri" w:hAnsi="Calibri" w:cs="Arial"/>
      <w:sz w:val="24"/>
      <w:szCs w:val="24"/>
    </w:rPr>
  </w:style>
  <w:style w:type="character" w:customStyle="1" w:styleId="TablefootnoteChar">
    <w:name w:val="Table footnote Char"/>
    <w:link w:val="Tablefootnote"/>
    <w:locked/>
    <w:rsid w:val="00EF5E3B"/>
    <w:rPr>
      <w:rFonts w:ascii="Calibri" w:eastAsia="Calibri" w:hAnsi="Calibri" w:cs="Calibri"/>
      <w:sz w:val="16"/>
      <w:lang w:val="en-GB"/>
    </w:rPr>
  </w:style>
  <w:style w:type="paragraph" w:customStyle="1" w:styleId="Tablefootnote">
    <w:name w:val="Table footnote"/>
    <w:basedOn w:val="Tabletext"/>
    <w:next w:val="Normal"/>
    <w:link w:val="TablefootnoteChar"/>
    <w:rsid w:val="00EF5E3B"/>
    <w:rPr>
      <w:rFonts w:ascii="Calibri" w:eastAsia="Calibri" w:hAnsi="Calibri" w:cs="Calibri"/>
      <w:snapToGrid/>
      <w:sz w:val="16"/>
      <w:szCs w:val="20"/>
      <w:lang w:val="en-GB"/>
    </w:rPr>
  </w:style>
  <w:style w:type="paragraph" w:customStyle="1" w:styleId="NICElegend">
    <w:name w:val="NICE legend"/>
    <w:basedOn w:val="Normal"/>
    <w:uiPriority w:val="99"/>
    <w:qFormat/>
    <w:rsid w:val="00EF5E3B"/>
    <w:pPr>
      <w:jc w:val="left"/>
    </w:pPr>
    <w:rPr>
      <w:rFonts w:ascii="Arial" w:hAnsi="Arial" w:cs="Times New Roman"/>
      <w:sz w:val="18"/>
      <w:lang w:val="en-GB" w:eastAsia="en-US"/>
    </w:rPr>
  </w:style>
  <w:style w:type="table" w:customStyle="1" w:styleId="HTATableStyle">
    <w:name w:val="HTATableStyle"/>
    <w:basedOn w:val="TableNormal"/>
    <w:uiPriority w:val="99"/>
    <w:rsid w:val="00EF5E3B"/>
    <w:pPr>
      <w:spacing w:before="60" w:after="60"/>
      <w:jc w:val="center"/>
    </w:pPr>
    <w:rPr>
      <w:rFonts w:ascii="Arial" w:eastAsia="Calibri"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tblStylePr w:type="firstCol">
      <w:pPr>
        <w:jc w:val="left"/>
      </w:pPr>
    </w:tblStylePr>
  </w:style>
  <w:style w:type="table" w:customStyle="1" w:styleId="Generaltable">
    <w:name w:val="General table"/>
    <w:basedOn w:val="TableNormal"/>
    <w:uiPriority w:val="99"/>
    <w:rsid w:val="00EF5E3B"/>
    <w:rPr>
      <w:rFonts w:ascii="Yu Gothic Light" w:eastAsia="Calibri" w:hAnsi="Yu Gothic Light"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rPr>
      <w:tblPr/>
      <w:tcPr>
        <w:shd w:val="clear" w:color="auto" w:fill="D9D9D9"/>
      </w:tcPr>
    </w:tblStylePr>
  </w:style>
  <w:style w:type="character" w:customStyle="1" w:styleId="normaltextrun">
    <w:name w:val="normaltextrun"/>
    <w:basedOn w:val="DefaultParagraphFont"/>
    <w:rsid w:val="00DB4E95"/>
  </w:style>
  <w:style w:type="character" w:customStyle="1" w:styleId="eop">
    <w:name w:val="eop"/>
    <w:basedOn w:val="DefaultParagraphFont"/>
    <w:rsid w:val="00DB4E95"/>
  </w:style>
  <w:style w:type="paragraph" w:customStyle="1" w:styleId="3-SubsectionHeading">
    <w:name w:val="3-Subsection Heading"/>
    <w:basedOn w:val="Heading2"/>
    <w:next w:val="Normal"/>
    <w:link w:val="3-SubsectionHeadingChar"/>
    <w:qFormat/>
    <w:rsid w:val="0003568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3568F"/>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CA4080"/>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CA4080"/>
    <w:rPr>
      <w:rFonts w:ascii="Segoe UI" w:hAnsi="Segoe UI" w:cs="Segoe UI" w:hint="default"/>
      <w:sz w:val="18"/>
      <w:szCs w:val="18"/>
    </w:rPr>
  </w:style>
  <w:style w:type="character" w:customStyle="1" w:styleId="cf11">
    <w:name w:val="cf11"/>
    <w:basedOn w:val="DefaultParagraphFont"/>
    <w:rsid w:val="00CA4080"/>
    <w:rPr>
      <w:rFonts w:ascii="Segoe UI" w:hAnsi="Segoe UI" w:cs="Segoe UI" w:hint="default"/>
      <w:sz w:val="18"/>
      <w:szCs w:val="18"/>
    </w:rPr>
  </w:style>
  <w:style w:type="paragraph" w:customStyle="1" w:styleId="PBACESHeading1">
    <w:name w:val="PBAC ES Heading 1"/>
    <w:basedOn w:val="Heading1"/>
    <w:next w:val="ListParagraph"/>
    <w:uiPriority w:val="1"/>
    <w:qFormat/>
    <w:rsid w:val="002105E5"/>
    <w:pPr>
      <w:keepNext/>
      <w:keepLines/>
      <w:tabs>
        <w:tab w:val="left" w:pos="1077"/>
      </w:tabs>
      <w:spacing w:before="240" w:after="120"/>
      <w:ind w:left="1440" w:hanging="360"/>
      <w:jc w:val="left"/>
    </w:pPr>
    <w:rPr>
      <w:caps w:val="0"/>
      <w:snapToGrid w:val="0"/>
      <w:szCs w:val="32"/>
      <w:lang w:eastAsia="en-US"/>
    </w:rPr>
  </w:style>
  <w:style w:type="paragraph" w:customStyle="1" w:styleId="MSACHeading1">
    <w:name w:val="MSAC Heading 1"/>
    <w:basedOn w:val="Heading1"/>
    <w:next w:val="Normal"/>
    <w:uiPriority w:val="1"/>
    <w:qFormat/>
    <w:rsid w:val="002105E5"/>
    <w:pPr>
      <w:keepNext/>
      <w:keepLines/>
      <w:spacing w:before="160" w:after="240" w:line="259" w:lineRule="auto"/>
      <w:ind w:left="5040" w:hanging="36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qFormat/>
    <w:rsid w:val="002105E5"/>
    <w:pPr>
      <w:keepNext/>
      <w:keepLines/>
      <w:spacing w:before="360" w:after="120"/>
      <w:ind w:left="5760" w:hanging="360"/>
      <w:jc w:val="left"/>
    </w:pPr>
    <w:rPr>
      <w:rFonts w:ascii="Cambria" w:eastAsia="SimSun" w:hAnsi="Cambria" w:cs="Times New Roman"/>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874">
      <w:bodyDiv w:val="1"/>
      <w:marLeft w:val="0"/>
      <w:marRight w:val="0"/>
      <w:marTop w:val="0"/>
      <w:marBottom w:val="0"/>
      <w:divBdr>
        <w:top w:val="none" w:sz="0" w:space="0" w:color="auto"/>
        <w:left w:val="none" w:sz="0" w:space="0" w:color="auto"/>
        <w:bottom w:val="none" w:sz="0" w:space="0" w:color="auto"/>
        <w:right w:val="none" w:sz="0" w:space="0" w:color="auto"/>
      </w:divBdr>
    </w:div>
    <w:div w:id="7806705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4740710">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0245310">
      <w:bodyDiv w:val="1"/>
      <w:marLeft w:val="0"/>
      <w:marRight w:val="0"/>
      <w:marTop w:val="0"/>
      <w:marBottom w:val="0"/>
      <w:divBdr>
        <w:top w:val="none" w:sz="0" w:space="0" w:color="auto"/>
        <w:left w:val="none" w:sz="0" w:space="0" w:color="auto"/>
        <w:bottom w:val="none" w:sz="0" w:space="0" w:color="auto"/>
        <w:right w:val="none" w:sz="0" w:space="0" w:color="auto"/>
      </w:divBdr>
    </w:div>
    <w:div w:id="131362796">
      <w:bodyDiv w:val="1"/>
      <w:marLeft w:val="0"/>
      <w:marRight w:val="0"/>
      <w:marTop w:val="0"/>
      <w:marBottom w:val="0"/>
      <w:divBdr>
        <w:top w:val="none" w:sz="0" w:space="0" w:color="auto"/>
        <w:left w:val="none" w:sz="0" w:space="0" w:color="auto"/>
        <w:bottom w:val="none" w:sz="0" w:space="0" w:color="auto"/>
        <w:right w:val="none" w:sz="0" w:space="0" w:color="auto"/>
      </w:divBdr>
    </w:div>
    <w:div w:id="146677596">
      <w:bodyDiv w:val="1"/>
      <w:marLeft w:val="0"/>
      <w:marRight w:val="0"/>
      <w:marTop w:val="0"/>
      <w:marBottom w:val="0"/>
      <w:divBdr>
        <w:top w:val="none" w:sz="0" w:space="0" w:color="auto"/>
        <w:left w:val="none" w:sz="0" w:space="0" w:color="auto"/>
        <w:bottom w:val="none" w:sz="0" w:space="0" w:color="auto"/>
        <w:right w:val="none" w:sz="0" w:space="0" w:color="auto"/>
      </w:divBdr>
    </w:div>
    <w:div w:id="147677614">
      <w:bodyDiv w:val="1"/>
      <w:marLeft w:val="0"/>
      <w:marRight w:val="0"/>
      <w:marTop w:val="0"/>
      <w:marBottom w:val="0"/>
      <w:divBdr>
        <w:top w:val="none" w:sz="0" w:space="0" w:color="auto"/>
        <w:left w:val="none" w:sz="0" w:space="0" w:color="auto"/>
        <w:bottom w:val="none" w:sz="0" w:space="0" w:color="auto"/>
        <w:right w:val="none" w:sz="0" w:space="0" w:color="auto"/>
      </w:divBdr>
    </w:div>
    <w:div w:id="149752400">
      <w:bodyDiv w:val="1"/>
      <w:marLeft w:val="0"/>
      <w:marRight w:val="0"/>
      <w:marTop w:val="0"/>
      <w:marBottom w:val="0"/>
      <w:divBdr>
        <w:top w:val="none" w:sz="0" w:space="0" w:color="auto"/>
        <w:left w:val="none" w:sz="0" w:space="0" w:color="auto"/>
        <w:bottom w:val="none" w:sz="0" w:space="0" w:color="auto"/>
        <w:right w:val="none" w:sz="0" w:space="0" w:color="auto"/>
      </w:divBdr>
    </w:div>
    <w:div w:id="157313240">
      <w:bodyDiv w:val="1"/>
      <w:marLeft w:val="0"/>
      <w:marRight w:val="0"/>
      <w:marTop w:val="0"/>
      <w:marBottom w:val="0"/>
      <w:divBdr>
        <w:top w:val="none" w:sz="0" w:space="0" w:color="auto"/>
        <w:left w:val="none" w:sz="0" w:space="0" w:color="auto"/>
        <w:bottom w:val="none" w:sz="0" w:space="0" w:color="auto"/>
        <w:right w:val="none" w:sz="0" w:space="0" w:color="auto"/>
      </w:divBdr>
    </w:div>
    <w:div w:id="157967025">
      <w:bodyDiv w:val="1"/>
      <w:marLeft w:val="0"/>
      <w:marRight w:val="0"/>
      <w:marTop w:val="0"/>
      <w:marBottom w:val="0"/>
      <w:divBdr>
        <w:top w:val="none" w:sz="0" w:space="0" w:color="auto"/>
        <w:left w:val="none" w:sz="0" w:space="0" w:color="auto"/>
        <w:bottom w:val="none" w:sz="0" w:space="0" w:color="auto"/>
        <w:right w:val="none" w:sz="0" w:space="0" w:color="auto"/>
      </w:divBdr>
    </w:div>
    <w:div w:id="173687037">
      <w:bodyDiv w:val="1"/>
      <w:marLeft w:val="0"/>
      <w:marRight w:val="0"/>
      <w:marTop w:val="0"/>
      <w:marBottom w:val="0"/>
      <w:divBdr>
        <w:top w:val="none" w:sz="0" w:space="0" w:color="auto"/>
        <w:left w:val="none" w:sz="0" w:space="0" w:color="auto"/>
        <w:bottom w:val="none" w:sz="0" w:space="0" w:color="auto"/>
        <w:right w:val="none" w:sz="0" w:space="0" w:color="auto"/>
      </w:divBdr>
    </w:div>
    <w:div w:id="182667279">
      <w:bodyDiv w:val="1"/>
      <w:marLeft w:val="0"/>
      <w:marRight w:val="0"/>
      <w:marTop w:val="0"/>
      <w:marBottom w:val="0"/>
      <w:divBdr>
        <w:top w:val="none" w:sz="0" w:space="0" w:color="auto"/>
        <w:left w:val="none" w:sz="0" w:space="0" w:color="auto"/>
        <w:bottom w:val="none" w:sz="0" w:space="0" w:color="auto"/>
        <w:right w:val="none" w:sz="0" w:space="0" w:color="auto"/>
      </w:divBdr>
    </w:div>
    <w:div w:id="191697214">
      <w:bodyDiv w:val="1"/>
      <w:marLeft w:val="0"/>
      <w:marRight w:val="0"/>
      <w:marTop w:val="0"/>
      <w:marBottom w:val="0"/>
      <w:divBdr>
        <w:top w:val="none" w:sz="0" w:space="0" w:color="auto"/>
        <w:left w:val="none" w:sz="0" w:space="0" w:color="auto"/>
        <w:bottom w:val="none" w:sz="0" w:space="0" w:color="auto"/>
        <w:right w:val="none" w:sz="0" w:space="0" w:color="auto"/>
      </w:divBdr>
    </w:div>
    <w:div w:id="192882671">
      <w:bodyDiv w:val="1"/>
      <w:marLeft w:val="0"/>
      <w:marRight w:val="0"/>
      <w:marTop w:val="0"/>
      <w:marBottom w:val="0"/>
      <w:divBdr>
        <w:top w:val="none" w:sz="0" w:space="0" w:color="auto"/>
        <w:left w:val="none" w:sz="0" w:space="0" w:color="auto"/>
        <w:bottom w:val="none" w:sz="0" w:space="0" w:color="auto"/>
        <w:right w:val="none" w:sz="0" w:space="0" w:color="auto"/>
      </w:divBdr>
    </w:div>
    <w:div w:id="193620570">
      <w:bodyDiv w:val="1"/>
      <w:marLeft w:val="0"/>
      <w:marRight w:val="0"/>
      <w:marTop w:val="0"/>
      <w:marBottom w:val="0"/>
      <w:divBdr>
        <w:top w:val="none" w:sz="0" w:space="0" w:color="auto"/>
        <w:left w:val="none" w:sz="0" w:space="0" w:color="auto"/>
        <w:bottom w:val="none" w:sz="0" w:space="0" w:color="auto"/>
        <w:right w:val="none" w:sz="0" w:space="0" w:color="auto"/>
      </w:divBdr>
    </w:div>
    <w:div w:id="217978285">
      <w:bodyDiv w:val="1"/>
      <w:marLeft w:val="0"/>
      <w:marRight w:val="0"/>
      <w:marTop w:val="0"/>
      <w:marBottom w:val="0"/>
      <w:divBdr>
        <w:top w:val="none" w:sz="0" w:space="0" w:color="auto"/>
        <w:left w:val="none" w:sz="0" w:space="0" w:color="auto"/>
        <w:bottom w:val="none" w:sz="0" w:space="0" w:color="auto"/>
        <w:right w:val="none" w:sz="0" w:space="0" w:color="auto"/>
      </w:divBdr>
    </w:div>
    <w:div w:id="266426025">
      <w:bodyDiv w:val="1"/>
      <w:marLeft w:val="0"/>
      <w:marRight w:val="0"/>
      <w:marTop w:val="0"/>
      <w:marBottom w:val="0"/>
      <w:divBdr>
        <w:top w:val="none" w:sz="0" w:space="0" w:color="auto"/>
        <w:left w:val="none" w:sz="0" w:space="0" w:color="auto"/>
        <w:bottom w:val="none" w:sz="0" w:space="0" w:color="auto"/>
        <w:right w:val="none" w:sz="0" w:space="0" w:color="auto"/>
      </w:divBdr>
    </w:div>
    <w:div w:id="276564626">
      <w:bodyDiv w:val="1"/>
      <w:marLeft w:val="0"/>
      <w:marRight w:val="0"/>
      <w:marTop w:val="0"/>
      <w:marBottom w:val="0"/>
      <w:divBdr>
        <w:top w:val="none" w:sz="0" w:space="0" w:color="auto"/>
        <w:left w:val="none" w:sz="0" w:space="0" w:color="auto"/>
        <w:bottom w:val="none" w:sz="0" w:space="0" w:color="auto"/>
        <w:right w:val="none" w:sz="0" w:space="0" w:color="auto"/>
      </w:divBdr>
    </w:div>
    <w:div w:id="288706045">
      <w:bodyDiv w:val="1"/>
      <w:marLeft w:val="0"/>
      <w:marRight w:val="0"/>
      <w:marTop w:val="0"/>
      <w:marBottom w:val="0"/>
      <w:divBdr>
        <w:top w:val="none" w:sz="0" w:space="0" w:color="auto"/>
        <w:left w:val="none" w:sz="0" w:space="0" w:color="auto"/>
        <w:bottom w:val="none" w:sz="0" w:space="0" w:color="auto"/>
        <w:right w:val="none" w:sz="0" w:space="0" w:color="auto"/>
      </w:divBdr>
    </w:div>
    <w:div w:id="291520809">
      <w:bodyDiv w:val="1"/>
      <w:marLeft w:val="0"/>
      <w:marRight w:val="0"/>
      <w:marTop w:val="0"/>
      <w:marBottom w:val="0"/>
      <w:divBdr>
        <w:top w:val="none" w:sz="0" w:space="0" w:color="auto"/>
        <w:left w:val="none" w:sz="0" w:space="0" w:color="auto"/>
        <w:bottom w:val="none" w:sz="0" w:space="0" w:color="auto"/>
        <w:right w:val="none" w:sz="0" w:space="0" w:color="auto"/>
      </w:divBdr>
    </w:div>
    <w:div w:id="295764902">
      <w:bodyDiv w:val="1"/>
      <w:marLeft w:val="0"/>
      <w:marRight w:val="0"/>
      <w:marTop w:val="0"/>
      <w:marBottom w:val="0"/>
      <w:divBdr>
        <w:top w:val="none" w:sz="0" w:space="0" w:color="auto"/>
        <w:left w:val="none" w:sz="0" w:space="0" w:color="auto"/>
        <w:bottom w:val="none" w:sz="0" w:space="0" w:color="auto"/>
        <w:right w:val="none" w:sz="0" w:space="0" w:color="auto"/>
      </w:divBdr>
    </w:div>
    <w:div w:id="30431243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6612102">
      <w:bodyDiv w:val="1"/>
      <w:marLeft w:val="0"/>
      <w:marRight w:val="0"/>
      <w:marTop w:val="0"/>
      <w:marBottom w:val="0"/>
      <w:divBdr>
        <w:top w:val="none" w:sz="0" w:space="0" w:color="auto"/>
        <w:left w:val="none" w:sz="0" w:space="0" w:color="auto"/>
        <w:bottom w:val="none" w:sz="0" w:space="0" w:color="auto"/>
        <w:right w:val="none" w:sz="0" w:space="0" w:color="auto"/>
      </w:divBdr>
    </w:div>
    <w:div w:id="316692724">
      <w:bodyDiv w:val="1"/>
      <w:marLeft w:val="0"/>
      <w:marRight w:val="0"/>
      <w:marTop w:val="0"/>
      <w:marBottom w:val="0"/>
      <w:divBdr>
        <w:top w:val="none" w:sz="0" w:space="0" w:color="auto"/>
        <w:left w:val="none" w:sz="0" w:space="0" w:color="auto"/>
        <w:bottom w:val="none" w:sz="0" w:space="0" w:color="auto"/>
        <w:right w:val="none" w:sz="0" w:space="0" w:color="auto"/>
      </w:divBdr>
    </w:div>
    <w:div w:id="353725732">
      <w:bodyDiv w:val="1"/>
      <w:marLeft w:val="0"/>
      <w:marRight w:val="0"/>
      <w:marTop w:val="0"/>
      <w:marBottom w:val="0"/>
      <w:divBdr>
        <w:top w:val="none" w:sz="0" w:space="0" w:color="auto"/>
        <w:left w:val="none" w:sz="0" w:space="0" w:color="auto"/>
        <w:bottom w:val="none" w:sz="0" w:space="0" w:color="auto"/>
        <w:right w:val="none" w:sz="0" w:space="0" w:color="auto"/>
      </w:divBdr>
    </w:div>
    <w:div w:id="390076680">
      <w:bodyDiv w:val="1"/>
      <w:marLeft w:val="0"/>
      <w:marRight w:val="0"/>
      <w:marTop w:val="0"/>
      <w:marBottom w:val="0"/>
      <w:divBdr>
        <w:top w:val="none" w:sz="0" w:space="0" w:color="auto"/>
        <w:left w:val="none" w:sz="0" w:space="0" w:color="auto"/>
        <w:bottom w:val="none" w:sz="0" w:space="0" w:color="auto"/>
        <w:right w:val="none" w:sz="0" w:space="0" w:color="auto"/>
      </w:divBdr>
    </w:div>
    <w:div w:id="392706308">
      <w:bodyDiv w:val="1"/>
      <w:marLeft w:val="0"/>
      <w:marRight w:val="0"/>
      <w:marTop w:val="0"/>
      <w:marBottom w:val="0"/>
      <w:divBdr>
        <w:top w:val="none" w:sz="0" w:space="0" w:color="auto"/>
        <w:left w:val="none" w:sz="0" w:space="0" w:color="auto"/>
        <w:bottom w:val="none" w:sz="0" w:space="0" w:color="auto"/>
        <w:right w:val="none" w:sz="0" w:space="0" w:color="auto"/>
      </w:divBdr>
    </w:div>
    <w:div w:id="406651243">
      <w:bodyDiv w:val="1"/>
      <w:marLeft w:val="0"/>
      <w:marRight w:val="0"/>
      <w:marTop w:val="0"/>
      <w:marBottom w:val="0"/>
      <w:divBdr>
        <w:top w:val="none" w:sz="0" w:space="0" w:color="auto"/>
        <w:left w:val="none" w:sz="0" w:space="0" w:color="auto"/>
        <w:bottom w:val="none" w:sz="0" w:space="0" w:color="auto"/>
        <w:right w:val="none" w:sz="0" w:space="0" w:color="auto"/>
      </w:divBdr>
    </w:div>
    <w:div w:id="406652443">
      <w:bodyDiv w:val="1"/>
      <w:marLeft w:val="0"/>
      <w:marRight w:val="0"/>
      <w:marTop w:val="0"/>
      <w:marBottom w:val="0"/>
      <w:divBdr>
        <w:top w:val="none" w:sz="0" w:space="0" w:color="auto"/>
        <w:left w:val="none" w:sz="0" w:space="0" w:color="auto"/>
        <w:bottom w:val="none" w:sz="0" w:space="0" w:color="auto"/>
        <w:right w:val="none" w:sz="0" w:space="0" w:color="auto"/>
      </w:divBdr>
    </w:div>
    <w:div w:id="416513829">
      <w:bodyDiv w:val="1"/>
      <w:marLeft w:val="0"/>
      <w:marRight w:val="0"/>
      <w:marTop w:val="0"/>
      <w:marBottom w:val="0"/>
      <w:divBdr>
        <w:top w:val="none" w:sz="0" w:space="0" w:color="auto"/>
        <w:left w:val="none" w:sz="0" w:space="0" w:color="auto"/>
        <w:bottom w:val="none" w:sz="0" w:space="0" w:color="auto"/>
        <w:right w:val="none" w:sz="0" w:space="0" w:color="auto"/>
      </w:divBdr>
    </w:div>
    <w:div w:id="444349464">
      <w:bodyDiv w:val="1"/>
      <w:marLeft w:val="0"/>
      <w:marRight w:val="0"/>
      <w:marTop w:val="0"/>
      <w:marBottom w:val="0"/>
      <w:divBdr>
        <w:top w:val="none" w:sz="0" w:space="0" w:color="auto"/>
        <w:left w:val="none" w:sz="0" w:space="0" w:color="auto"/>
        <w:bottom w:val="none" w:sz="0" w:space="0" w:color="auto"/>
        <w:right w:val="none" w:sz="0" w:space="0" w:color="auto"/>
      </w:divBdr>
    </w:div>
    <w:div w:id="445277515">
      <w:bodyDiv w:val="1"/>
      <w:marLeft w:val="0"/>
      <w:marRight w:val="0"/>
      <w:marTop w:val="0"/>
      <w:marBottom w:val="0"/>
      <w:divBdr>
        <w:top w:val="none" w:sz="0" w:space="0" w:color="auto"/>
        <w:left w:val="none" w:sz="0" w:space="0" w:color="auto"/>
        <w:bottom w:val="none" w:sz="0" w:space="0" w:color="auto"/>
        <w:right w:val="none" w:sz="0" w:space="0" w:color="auto"/>
      </w:divBdr>
    </w:div>
    <w:div w:id="447093227">
      <w:bodyDiv w:val="1"/>
      <w:marLeft w:val="0"/>
      <w:marRight w:val="0"/>
      <w:marTop w:val="0"/>
      <w:marBottom w:val="0"/>
      <w:divBdr>
        <w:top w:val="none" w:sz="0" w:space="0" w:color="auto"/>
        <w:left w:val="none" w:sz="0" w:space="0" w:color="auto"/>
        <w:bottom w:val="none" w:sz="0" w:space="0" w:color="auto"/>
        <w:right w:val="none" w:sz="0" w:space="0" w:color="auto"/>
      </w:divBdr>
    </w:div>
    <w:div w:id="454256618">
      <w:bodyDiv w:val="1"/>
      <w:marLeft w:val="0"/>
      <w:marRight w:val="0"/>
      <w:marTop w:val="0"/>
      <w:marBottom w:val="0"/>
      <w:divBdr>
        <w:top w:val="none" w:sz="0" w:space="0" w:color="auto"/>
        <w:left w:val="none" w:sz="0" w:space="0" w:color="auto"/>
        <w:bottom w:val="none" w:sz="0" w:space="0" w:color="auto"/>
        <w:right w:val="none" w:sz="0" w:space="0" w:color="auto"/>
      </w:divBdr>
    </w:div>
    <w:div w:id="457720064">
      <w:bodyDiv w:val="1"/>
      <w:marLeft w:val="0"/>
      <w:marRight w:val="0"/>
      <w:marTop w:val="0"/>
      <w:marBottom w:val="0"/>
      <w:divBdr>
        <w:top w:val="none" w:sz="0" w:space="0" w:color="auto"/>
        <w:left w:val="none" w:sz="0" w:space="0" w:color="auto"/>
        <w:bottom w:val="none" w:sz="0" w:space="0" w:color="auto"/>
        <w:right w:val="none" w:sz="0" w:space="0" w:color="auto"/>
      </w:divBdr>
    </w:div>
    <w:div w:id="461120054">
      <w:bodyDiv w:val="1"/>
      <w:marLeft w:val="0"/>
      <w:marRight w:val="0"/>
      <w:marTop w:val="0"/>
      <w:marBottom w:val="0"/>
      <w:divBdr>
        <w:top w:val="none" w:sz="0" w:space="0" w:color="auto"/>
        <w:left w:val="none" w:sz="0" w:space="0" w:color="auto"/>
        <w:bottom w:val="none" w:sz="0" w:space="0" w:color="auto"/>
        <w:right w:val="none" w:sz="0" w:space="0" w:color="auto"/>
      </w:divBdr>
    </w:div>
    <w:div w:id="478308312">
      <w:bodyDiv w:val="1"/>
      <w:marLeft w:val="0"/>
      <w:marRight w:val="0"/>
      <w:marTop w:val="0"/>
      <w:marBottom w:val="0"/>
      <w:divBdr>
        <w:top w:val="none" w:sz="0" w:space="0" w:color="auto"/>
        <w:left w:val="none" w:sz="0" w:space="0" w:color="auto"/>
        <w:bottom w:val="none" w:sz="0" w:space="0" w:color="auto"/>
        <w:right w:val="none" w:sz="0" w:space="0" w:color="auto"/>
      </w:divBdr>
    </w:div>
    <w:div w:id="486288818">
      <w:bodyDiv w:val="1"/>
      <w:marLeft w:val="0"/>
      <w:marRight w:val="0"/>
      <w:marTop w:val="0"/>
      <w:marBottom w:val="0"/>
      <w:divBdr>
        <w:top w:val="none" w:sz="0" w:space="0" w:color="auto"/>
        <w:left w:val="none" w:sz="0" w:space="0" w:color="auto"/>
        <w:bottom w:val="none" w:sz="0" w:space="0" w:color="auto"/>
        <w:right w:val="none" w:sz="0" w:space="0" w:color="auto"/>
      </w:divBdr>
    </w:div>
    <w:div w:id="486363322">
      <w:bodyDiv w:val="1"/>
      <w:marLeft w:val="0"/>
      <w:marRight w:val="0"/>
      <w:marTop w:val="0"/>
      <w:marBottom w:val="0"/>
      <w:divBdr>
        <w:top w:val="none" w:sz="0" w:space="0" w:color="auto"/>
        <w:left w:val="none" w:sz="0" w:space="0" w:color="auto"/>
        <w:bottom w:val="none" w:sz="0" w:space="0" w:color="auto"/>
        <w:right w:val="none" w:sz="0" w:space="0" w:color="auto"/>
      </w:divBdr>
    </w:div>
    <w:div w:id="494296484">
      <w:bodyDiv w:val="1"/>
      <w:marLeft w:val="0"/>
      <w:marRight w:val="0"/>
      <w:marTop w:val="0"/>
      <w:marBottom w:val="0"/>
      <w:divBdr>
        <w:top w:val="none" w:sz="0" w:space="0" w:color="auto"/>
        <w:left w:val="none" w:sz="0" w:space="0" w:color="auto"/>
        <w:bottom w:val="none" w:sz="0" w:space="0" w:color="auto"/>
        <w:right w:val="none" w:sz="0" w:space="0" w:color="auto"/>
      </w:divBdr>
    </w:div>
    <w:div w:id="507794514">
      <w:bodyDiv w:val="1"/>
      <w:marLeft w:val="0"/>
      <w:marRight w:val="0"/>
      <w:marTop w:val="0"/>
      <w:marBottom w:val="0"/>
      <w:divBdr>
        <w:top w:val="none" w:sz="0" w:space="0" w:color="auto"/>
        <w:left w:val="none" w:sz="0" w:space="0" w:color="auto"/>
        <w:bottom w:val="none" w:sz="0" w:space="0" w:color="auto"/>
        <w:right w:val="none" w:sz="0" w:space="0" w:color="auto"/>
      </w:divBdr>
    </w:div>
    <w:div w:id="528183356">
      <w:bodyDiv w:val="1"/>
      <w:marLeft w:val="0"/>
      <w:marRight w:val="0"/>
      <w:marTop w:val="0"/>
      <w:marBottom w:val="0"/>
      <w:divBdr>
        <w:top w:val="none" w:sz="0" w:space="0" w:color="auto"/>
        <w:left w:val="none" w:sz="0" w:space="0" w:color="auto"/>
        <w:bottom w:val="none" w:sz="0" w:space="0" w:color="auto"/>
        <w:right w:val="none" w:sz="0" w:space="0" w:color="auto"/>
      </w:divBdr>
    </w:div>
    <w:div w:id="529226627">
      <w:bodyDiv w:val="1"/>
      <w:marLeft w:val="0"/>
      <w:marRight w:val="0"/>
      <w:marTop w:val="0"/>
      <w:marBottom w:val="0"/>
      <w:divBdr>
        <w:top w:val="none" w:sz="0" w:space="0" w:color="auto"/>
        <w:left w:val="none" w:sz="0" w:space="0" w:color="auto"/>
        <w:bottom w:val="none" w:sz="0" w:space="0" w:color="auto"/>
        <w:right w:val="none" w:sz="0" w:space="0" w:color="auto"/>
      </w:divBdr>
    </w:div>
    <w:div w:id="535393871">
      <w:bodyDiv w:val="1"/>
      <w:marLeft w:val="0"/>
      <w:marRight w:val="0"/>
      <w:marTop w:val="0"/>
      <w:marBottom w:val="0"/>
      <w:divBdr>
        <w:top w:val="none" w:sz="0" w:space="0" w:color="auto"/>
        <w:left w:val="none" w:sz="0" w:space="0" w:color="auto"/>
        <w:bottom w:val="none" w:sz="0" w:space="0" w:color="auto"/>
        <w:right w:val="none" w:sz="0" w:space="0" w:color="auto"/>
      </w:divBdr>
    </w:div>
    <w:div w:id="537550651">
      <w:bodyDiv w:val="1"/>
      <w:marLeft w:val="0"/>
      <w:marRight w:val="0"/>
      <w:marTop w:val="0"/>
      <w:marBottom w:val="0"/>
      <w:divBdr>
        <w:top w:val="none" w:sz="0" w:space="0" w:color="auto"/>
        <w:left w:val="none" w:sz="0" w:space="0" w:color="auto"/>
        <w:bottom w:val="none" w:sz="0" w:space="0" w:color="auto"/>
        <w:right w:val="none" w:sz="0" w:space="0" w:color="auto"/>
      </w:divBdr>
    </w:div>
    <w:div w:id="544216163">
      <w:bodyDiv w:val="1"/>
      <w:marLeft w:val="0"/>
      <w:marRight w:val="0"/>
      <w:marTop w:val="0"/>
      <w:marBottom w:val="0"/>
      <w:divBdr>
        <w:top w:val="none" w:sz="0" w:space="0" w:color="auto"/>
        <w:left w:val="none" w:sz="0" w:space="0" w:color="auto"/>
        <w:bottom w:val="none" w:sz="0" w:space="0" w:color="auto"/>
        <w:right w:val="none" w:sz="0" w:space="0" w:color="auto"/>
      </w:divBdr>
    </w:div>
    <w:div w:id="564341841">
      <w:bodyDiv w:val="1"/>
      <w:marLeft w:val="0"/>
      <w:marRight w:val="0"/>
      <w:marTop w:val="0"/>
      <w:marBottom w:val="0"/>
      <w:divBdr>
        <w:top w:val="none" w:sz="0" w:space="0" w:color="auto"/>
        <w:left w:val="none" w:sz="0" w:space="0" w:color="auto"/>
        <w:bottom w:val="none" w:sz="0" w:space="0" w:color="auto"/>
        <w:right w:val="none" w:sz="0" w:space="0" w:color="auto"/>
      </w:divBdr>
    </w:div>
    <w:div w:id="589048851">
      <w:bodyDiv w:val="1"/>
      <w:marLeft w:val="0"/>
      <w:marRight w:val="0"/>
      <w:marTop w:val="0"/>
      <w:marBottom w:val="0"/>
      <w:divBdr>
        <w:top w:val="none" w:sz="0" w:space="0" w:color="auto"/>
        <w:left w:val="none" w:sz="0" w:space="0" w:color="auto"/>
        <w:bottom w:val="none" w:sz="0" w:space="0" w:color="auto"/>
        <w:right w:val="none" w:sz="0" w:space="0" w:color="auto"/>
      </w:divBdr>
    </w:div>
    <w:div w:id="593056008">
      <w:bodyDiv w:val="1"/>
      <w:marLeft w:val="0"/>
      <w:marRight w:val="0"/>
      <w:marTop w:val="0"/>
      <w:marBottom w:val="0"/>
      <w:divBdr>
        <w:top w:val="none" w:sz="0" w:space="0" w:color="auto"/>
        <w:left w:val="none" w:sz="0" w:space="0" w:color="auto"/>
        <w:bottom w:val="none" w:sz="0" w:space="0" w:color="auto"/>
        <w:right w:val="none" w:sz="0" w:space="0" w:color="auto"/>
      </w:divBdr>
    </w:div>
    <w:div w:id="600915057">
      <w:bodyDiv w:val="1"/>
      <w:marLeft w:val="0"/>
      <w:marRight w:val="0"/>
      <w:marTop w:val="0"/>
      <w:marBottom w:val="0"/>
      <w:divBdr>
        <w:top w:val="none" w:sz="0" w:space="0" w:color="auto"/>
        <w:left w:val="none" w:sz="0" w:space="0" w:color="auto"/>
        <w:bottom w:val="none" w:sz="0" w:space="0" w:color="auto"/>
        <w:right w:val="none" w:sz="0" w:space="0" w:color="auto"/>
      </w:divBdr>
    </w:div>
    <w:div w:id="602344344">
      <w:bodyDiv w:val="1"/>
      <w:marLeft w:val="0"/>
      <w:marRight w:val="0"/>
      <w:marTop w:val="0"/>
      <w:marBottom w:val="0"/>
      <w:divBdr>
        <w:top w:val="none" w:sz="0" w:space="0" w:color="auto"/>
        <w:left w:val="none" w:sz="0" w:space="0" w:color="auto"/>
        <w:bottom w:val="none" w:sz="0" w:space="0" w:color="auto"/>
        <w:right w:val="none" w:sz="0" w:space="0" w:color="auto"/>
      </w:divBdr>
    </w:div>
    <w:div w:id="605962256">
      <w:bodyDiv w:val="1"/>
      <w:marLeft w:val="0"/>
      <w:marRight w:val="0"/>
      <w:marTop w:val="0"/>
      <w:marBottom w:val="0"/>
      <w:divBdr>
        <w:top w:val="none" w:sz="0" w:space="0" w:color="auto"/>
        <w:left w:val="none" w:sz="0" w:space="0" w:color="auto"/>
        <w:bottom w:val="none" w:sz="0" w:space="0" w:color="auto"/>
        <w:right w:val="none" w:sz="0" w:space="0" w:color="auto"/>
      </w:divBdr>
    </w:div>
    <w:div w:id="613364044">
      <w:bodyDiv w:val="1"/>
      <w:marLeft w:val="0"/>
      <w:marRight w:val="0"/>
      <w:marTop w:val="0"/>
      <w:marBottom w:val="0"/>
      <w:divBdr>
        <w:top w:val="none" w:sz="0" w:space="0" w:color="auto"/>
        <w:left w:val="none" w:sz="0" w:space="0" w:color="auto"/>
        <w:bottom w:val="none" w:sz="0" w:space="0" w:color="auto"/>
        <w:right w:val="none" w:sz="0" w:space="0" w:color="auto"/>
      </w:divBdr>
    </w:div>
    <w:div w:id="613679829">
      <w:bodyDiv w:val="1"/>
      <w:marLeft w:val="0"/>
      <w:marRight w:val="0"/>
      <w:marTop w:val="0"/>
      <w:marBottom w:val="0"/>
      <w:divBdr>
        <w:top w:val="none" w:sz="0" w:space="0" w:color="auto"/>
        <w:left w:val="none" w:sz="0" w:space="0" w:color="auto"/>
        <w:bottom w:val="none" w:sz="0" w:space="0" w:color="auto"/>
        <w:right w:val="none" w:sz="0" w:space="0" w:color="auto"/>
      </w:divBdr>
    </w:div>
    <w:div w:id="621763442">
      <w:bodyDiv w:val="1"/>
      <w:marLeft w:val="0"/>
      <w:marRight w:val="0"/>
      <w:marTop w:val="0"/>
      <w:marBottom w:val="0"/>
      <w:divBdr>
        <w:top w:val="none" w:sz="0" w:space="0" w:color="auto"/>
        <w:left w:val="none" w:sz="0" w:space="0" w:color="auto"/>
        <w:bottom w:val="none" w:sz="0" w:space="0" w:color="auto"/>
        <w:right w:val="none" w:sz="0" w:space="0" w:color="auto"/>
      </w:divBdr>
    </w:div>
    <w:div w:id="627400006">
      <w:bodyDiv w:val="1"/>
      <w:marLeft w:val="0"/>
      <w:marRight w:val="0"/>
      <w:marTop w:val="0"/>
      <w:marBottom w:val="0"/>
      <w:divBdr>
        <w:top w:val="none" w:sz="0" w:space="0" w:color="auto"/>
        <w:left w:val="none" w:sz="0" w:space="0" w:color="auto"/>
        <w:bottom w:val="none" w:sz="0" w:space="0" w:color="auto"/>
        <w:right w:val="none" w:sz="0" w:space="0" w:color="auto"/>
      </w:divBdr>
    </w:div>
    <w:div w:id="632901927">
      <w:bodyDiv w:val="1"/>
      <w:marLeft w:val="0"/>
      <w:marRight w:val="0"/>
      <w:marTop w:val="0"/>
      <w:marBottom w:val="0"/>
      <w:divBdr>
        <w:top w:val="none" w:sz="0" w:space="0" w:color="auto"/>
        <w:left w:val="none" w:sz="0" w:space="0" w:color="auto"/>
        <w:bottom w:val="none" w:sz="0" w:space="0" w:color="auto"/>
        <w:right w:val="none" w:sz="0" w:space="0" w:color="auto"/>
      </w:divBdr>
    </w:div>
    <w:div w:id="640304512">
      <w:bodyDiv w:val="1"/>
      <w:marLeft w:val="0"/>
      <w:marRight w:val="0"/>
      <w:marTop w:val="0"/>
      <w:marBottom w:val="0"/>
      <w:divBdr>
        <w:top w:val="none" w:sz="0" w:space="0" w:color="auto"/>
        <w:left w:val="none" w:sz="0" w:space="0" w:color="auto"/>
        <w:bottom w:val="none" w:sz="0" w:space="0" w:color="auto"/>
        <w:right w:val="none" w:sz="0" w:space="0" w:color="auto"/>
      </w:divBdr>
    </w:div>
    <w:div w:id="662583571">
      <w:bodyDiv w:val="1"/>
      <w:marLeft w:val="0"/>
      <w:marRight w:val="0"/>
      <w:marTop w:val="0"/>
      <w:marBottom w:val="0"/>
      <w:divBdr>
        <w:top w:val="none" w:sz="0" w:space="0" w:color="auto"/>
        <w:left w:val="none" w:sz="0" w:space="0" w:color="auto"/>
        <w:bottom w:val="none" w:sz="0" w:space="0" w:color="auto"/>
        <w:right w:val="none" w:sz="0" w:space="0" w:color="auto"/>
      </w:divBdr>
    </w:div>
    <w:div w:id="667488335">
      <w:bodyDiv w:val="1"/>
      <w:marLeft w:val="0"/>
      <w:marRight w:val="0"/>
      <w:marTop w:val="0"/>
      <w:marBottom w:val="0"/>
      <w:divBdr>
        <w:top w:val="none" w:sz="0" w:space="0" w:color="auto"/>
        <w:left w:val="none" w:sz="0" w:space="0" w:color="auto"/>
        <w:bottom w:val="none" w:sz="0" w:space="0" w:color="auto"/>
        <w:right w:val="none" w:sz="0" w:space="0" w:color="auto"/>
      </w:divBdr>
    </w:div>
    <w:div w:id="702905731">
      <w:bodyDiv w:val="1"/>
      <w:marLeft w:val="0"/>
      <w:marRight w:val="0"/>
      <w:marTop w:val="0"/>
      <w:marBottom w:val="0"/>
      <w:divBdr>
        <w:top w:val="none" w:sz="0" w:space="0" w:color="auto"/>
        <w:left w:val="none" w:sz="0" w:space="0" w:color="auto"/>
        <w:bottom w:val="none" w:sz="0" w:space="0" w:color="auto"/>
        <w:right w:val="none" w:sz="0" w:space="0" w:color="auto"/>
      </w:divBdr>
    </w:div>
    <w:div w:id="703333244">
      <w:bodyDiv w:val="1"/>
      <w:marLeft w:val="0"/>
      <w:marRight w:val="0"/>
      <w:marTop w:val="0"/>
      <w:marBottom w:val="0"/>
      <w:divBdr>
        <w:top w:val="none" w:sz="0" w:space="0" w:color="auto"/>
        <w:left w:val="none" w:sz="0" w:space="0" w:color="auto"/>
        <w:bottom w:val="none" w:sz="0" w:space="0" w:color="auto"/>
        <w:right w:val="none" w:sz="0" w:space="0" w:color="auto"/>
      </w:divBdr>
    </w:div>
    <w:div w:id="770129973">
      <w:bodyDiv w:val="1"/>
      <w:marLeft w:val="0"/>
      <w:marRight w:val="0"/>
      <w:marTop w:val="0"/>
      <w:marBottom w:val="0"/>
      <w:divBdr>
        <w:top w:val="none" w:sz="0" w:space="0" w:color="auto"/>
        <w:left w:val="none" w:sz="0" w:space="0" w:color="auto"/>
        <w:bottom w:val="none" w:sz="0" w:space="0" w:color="auto"/>
        <w:right w:val="none" w:sz="0" w:space="0" w:color="auto"/>
      </w:divBdr>
    </w:div>
    <w:div w:id="772096547">
      <w:bodyDiv w:val="1"/>
      <w:marLeft w:val="0"/>
      <w:marRight w:val="0"/>
      <w:marTop w:val="0"/>
      <w:marBottom w:val="0"/>
      <w:divBdr>
        <w:top w:val="none" w:sz="0" w:space="0" w:color="auto"/>
        <w:left w:val="none" w:sz="0" w:space="0" w:color="auto"/>
        <w:bottom w:val="none" w:sz="0" w:space="0" w:color="auto"/>
        <w:right w:val="none" w:sz="0" w:space="0" w:color="auto"/>
      </w:divBdr>
    </w:div>
    <w:div w:id="791439168">
      <w:bodyDiv w:val="1"/>
      <w:marLeft w:val="0"/>
      <w:marRight w:val="0"/>
      <w:marTop w:val="0"/>
      <w:marBottom w:val="0"/>
      <w:divBdr>
        <w:top w:val="none" w:sz="0" w:space="0" w:color="auto"/>
        <w:left w:val="none" w:sz="0" w:space="0" w:color="auto"/>
        <w:bottom w:val="none" w:sz="0" w:space="0" w:color="auto"/>
        <w:right w:val="none" w:sz="0" w:space="0" w:color="auto"/>
      </w:divBdr>
    </w:div>
    <w:div w:id="796218597">
      <w:bodyDiv w:val="1"/>
      <w:marLeft w:val="0"/>
      <w:marRight w:val="0"/>
      <w:marTop w:val="0"/>
      <w:marBottom w:val="0"/>
      <w:divBdr>
        <w:top w:val="none" w:sz="0" w:space="0" w:color="auto"/>
        <w:left w:val="none" w:sz="0" w:space="0" w:color="auto"/>
        <w:bottom w:val="none" w:sz="0" w:space="0" w:color="auto"/>
        <w:right w:val="none" w:sz="0" w:space="0" w:color="auto"/>
      </w:divBdr>
    </w:div>
    <w:div w:id="802649517">
      <w:bodyDiv w:val="1"/>
      <w:marLeft w:val="0"/>
      <w:marRight w:val="0"/>
      <w:marTop w:val="0"/>
      <w:marBottom w:val="0"/>
      <w:divBdr>
        <w:top w:val="none" w:sz="0" w:space="0" w:color="auto"/>
        <w:left w:val="none" w:sz="0" w:space="0" w:color="auto"/>
        <w:bottom w:val="none" w:sz="0" w:space="0" w:color="auto"/>
        <w:right w:val="none" w:sz="0" w:space="0" w:color="auto"/>
      </w:divBdr>
    </w:div>
    <w:div w:id="806512509">
      <w:bodyDiv w:val="1"/>
      <w:marLeft w:val="0"/>
      <w:marRight w:val="0"/>
      <w:marTop w:val="0"/>
      <w:marBottom w:val="0"/>
      <w:divBdr>
        <w:top w:val="none" w:sz="0" w:space="0" w:color="auto"/>
        <w:left w:val="none" w:sz="0" w:space="0" w:color="auto"/>
        <w:bottom w:val="none" w:sz="0" w:space="0" w:color="auto"/>
        <w:right w:val="none" w:sz="0" w:space="0" w:color="auto"/>
      </w:divBdr>
    </w:div>
    <w:div w:id="821581342">
      <w:bodyDiv w:val="1"/>
      <w:marLeft w:val="0"/>
      <w:marRight w:val="0"/>
      <w:marTop w:val="0"/>
      <w:marBottom w:val="0"/>
      <w:divBdr>
        <w:top w:val="none" w:sz="0" w:space="0" w:color="auto"/>
        <w:left w:val="none" w:sz="0" w:space="0" w:color="auto"/>
        <w:bottom w:val="none" w:sz="0" w:space="0" w:color="auto"/>
        <w:right w:val="none" w:sz="0" w:space="0" w:color="auto"/>
      </w:divBdr>
    </w:div>
    <w:div w:id="83094723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7579814">
      <w:bodyDiv w:val="1"/>
      <w:marLeft w:val="0"/>
      <w:marRight w:val="0"/>
      <w:marTop w:val="0"/>
      <w:marBottom w:val="0"/>
      <w:divBdr>
        <w:top w:val="none" w:sz="0" w:space="0" w:color="auto"/>
        <w:left w:val="none" w:sz="0" w:space="0" w:color="auto"/>
        <w:bottom w:val="none" w:sz="0" w:space="0" w:color="auto"/>
        <w:right w:val="none" w:sz="0" w:space="0" w:color="auto"/>
      </w:divBdr>
    </w:div>
    <w:div w:id="848370076">
      <w:bodyDiv w:val="1"/>
      <w:marLeft w:val="0"/>
      <w:marRight w:val="0"/>
      <w:marTop w:val="0"/>
      <w:marBottom w:val="0"/>
      <w:divBdr>
        <w:top w:val="none" w:sz="0" w:space="0" w:color="auto"/>
        <w:left w:val="none" w:sz="0" w:space="0" w:color="auto"/>
        <w:bottom w:val="none" w:sz="0" w:space="0" w:color="auto"/>
        <w:right w:val="none" w:sz="0" w:space="0" w:color="auto"/>
      </w:divBdr>
    </w:div>
    <w:div w:id="869680975">
      <w:bodyDiv w:val="1"/>
      <w:marLeft w:val="0"/>
      <w:marRight w:val="0"/>
      <w:marTop w:val="0"/>
      <w:marBottom w:val="0"/>
      <w:divBdr>
        <w:top w:val="none" w:sz="0" w:space="0" w:color="auto"/>
        <w:left w:val="none" w:sz="0" w:space="0" w:color="auto"/>
        <w:bottom w:val="none" w:sz="0" w:space="0" w:color="auto"/>
        <w:right w:val="none" w:sz="0" w:space="0" w:color="auto"/>
      </w:divBdr>
    </w:div>
    <w:div w:id="900484355">
      <w:bodyDiv w:val="1"/>
      <w:marLeft w:val="0"/>
      <w:marRight w:val="0"/>
      <w:marTop w:val="0"/>
      <w:marBottom w:val="0"/>
      <w:divBdr>
        <w:top w:val="none" w:sz="0" w:space="0" w:color="auto"/>
        <w:left w:val="none" w:sz="0" w:space="0" w:color="auto"/>
        <w:bottom w:val="none" w:sz="0" w:space="0" w:color="auto"/>
        <w:right w:val="none" w:sz="0" w:space="0" w:color="auto"/>
      </w:divBdr>
    </w:div>
    <w:div w:id="901451893">
      <w:bodyDiv w:val="1"/>
      <w:marLeft w:val="0"/>
      <w:marRight w:val="0"/>
      <w:marTop w:val="0"/>
      <w:marBottom w:val="0"/>
      <w:divBdr>
        <w:top w:val="none" w:sz="0" w:space="0" w:color="auto"/>
        <w:left w:val="none" w:sz="0" w:space="0" w:color="auto"/>
        <w:bottom w:val="none" w:sz="0" w:space="0" w:color="auto"/>
        <w:right w:val="none" w:sz="0" w:space="0" w:color="auto"/>
      </w:divBdr>
    </w:div>
    <w:div w:id="923731577">
      <w:bodyDiv w:val="1"/>
      <w:marLeft w:val="0"/>
      <w:marRight w:val="0"/>
      <w:marTop w:val="0"/>
      <w:marBottom w:val="0"/>
      <w:divBdr>
        <w:top w:val="none" w:sz="0" w:space="0" w:color="auto"/>
        <w:left w:val="none" w:sz="0" w:space="0" w:color="auto"/>
        <w:bottom w:val="none" w:sz="0" w:space="0" w:color="auto"/>
        <w:right w:val="none" w:sz="0" w:space="0" w:color="auto"/>
      </w:divBdr>
    </w:div>
    <w:div w:id="936907172">
      <w:bodyDiv w:val="1"/>
      <w:marLeft w:val="0"/>
      <w:marRight w:val="0"/>
      <w:marTop w:val="0"/>
      <w:marBottom w:val="0"/>
      <w:divBdr>
        <w:top w:val="none" w:sz="0" w:space="0" w:color="auto"/>
        <w:left w:val="none" w:sz="0" w:space="0" w:color="auto"/>
        <w:bottom w:val="none" w:sz="0" w:space="0" w:color="auto"/>
        <w:right w:val="none" w:sz="0" w:space="0" w:color="auto"/>
      </w:divBdr>
    </w:div>
    <w:div w:id="963269567">
      <w:bodyDiv w:val="1"/>
      <w:marLeft w:val="0"/>
      <w:marRight w:val="0"/>
      <w:marTop w:val="0"/>
      <w:marBottom w:val="0"/>
      <w:divBdr>
        <w:top w:val="none" w:sz="0" w:space="0" w:color="auto"/>
        <w:left w:val="none" w:sz="0" w:space="0" w:color="auto"/>
        <w:bottom w:val="none" w:sz="0" w:space="0" w:color="auto"/>
        <w:right w:val="none" w:sz="0" w:space="0" w:color="auto"/>
      </w:divBdr>
    </w:div>
    <w:div w:id="973019496">
      <w:bodyDiv w:val="1"/>
      <w:marLeft w:val="0"/>
      <w:marRight w:val="0"/>
      <w:marTop w:val="0"/>
      <w:marBottom w:val="0"/>
      <w:divBdr>
        <w:top w:val="none" w:sz="0" w:space="0" w:color="auto"/>
        <w:left w:val="none" w:sz="0" w:space="0" w:color="auto"/>
        <w:bottom w:val="none" w:sz="0" w:space="0" w:color="auto"/>
        <w:right w:val="none" w:sz="0" w:space="0" w:color="auto"/>
      </w:divBdr>
    </w:div>
    <w:div w:id="980428750">
      <w:bodyDiv w:val="1"/>
      <w:marLeft w:val="0"/>
      <w:marRight w:val="0"/>
      <w:marTop w:val="0"/>
      <w:marBottom w:val="0"/>
      <w:divBdr>
        <w:top w:val="none" w:sz="0" w:space="0" w:color="auto"/>
        <w:left w:val="none" w:sz="0" w:space="0" w:color="auto"/>
        <w:bottom w:val="none" w:sz="0" w:space="0" w:color="auto"/>
        <w:right w:val="none" w:sz="0" w:space="0" w:color="auto"/>
      </w:divBdr>
    </w:div>
    <w:div w:id="990215177">
      <w:bodyDiv w:val="1"/>
      <w:marLeft w:val="0"/>
      <w:marRight w:val="0"/>
      <w:marTop w:val="0"/>
      <w:marBottom w:val="0"/>
      <w:divBdr>
        <w:top w:val="none" w:sz="0" w:space="0" w:color="auto"/>
        <w:left w:val="none" w:sz="0" w:space="0" w:color="auto"/>
        <w:bottom w:val="none" w:sz="0" w:space="0" w:color="auto"/>
        <w:right w:val="none" w:sz="0" w:space="0" w:color="auto"/>
      </w:divBdr>
    </w:div>
    <w:div w:id="1000816159">
      <w:bodyDiv w:val="1"/>
      <w:marLeft w:val="0"/>
      <w:marRight w:val="0"/>
      <w:marTop w:val="0"/>
      <w:marBottom w:val="0"/>
      <w:divBdr>
        <w:top w:val="none" w:sz="0" w:space="0" w:color="auto"/>
        <w:left w:val="none" w:sz="0" w:space="0" w:color="auto"/>
        <w:bottom w:val="none" w:sz="0" w:space="0" w:color="auto"/>
        <w:right w:val="none" w:sz="0" w:space="0" w:color="auto"/>
      </w:divBdr>
    </w:div>
    <w:div w:id="1005019028">
      <w:bodyDiv w:val="1"/>
      <w:marLeft w:val="0"/>
      <w:marRight w:val="0"/>
      <w:marTop w:val="0"/>
      <w:marBottom w:val="0"/>
      <w:divBdr>
        <w:top w:val="none" w:sz="0" w:space="0" w:color="auto"/>
        <w:left w:val="none" w:sz="0" w:space="0" w:color="auto"/>
        <w:bottom w:val="none" w:sz="0" w:space="0" w:color="auto"/>
        <w:right w:val="none" w:sz="0" w:space="0" w:color="auto"/>
      </w:divBdr>
    </w:div>
    <w:div w:id="1012956348">
      <w:bodyDiv w:val="1"/>
      <w:marLeft w:val="0"/>
      <w:marRight w:val="0"/>
      <w:marTop w:val="0"/>
      <w:marBottom w:val="0"/>
      <w:divBdr>
        <w:top w:val="none" w:sz="0" w:space="0" w:color="auto"/>
        <w:left w:val="none" w:sz="0" w:space="0" w:color="auto"/>
        <w:bottom w:val="none" w:sz="0" w:space="0" w:color="auto"/>
        <w:right w:val="none" w:sz="0" w:space="0" w:color="auto"/>
      </w:divBdr>
    </w:div>
    <w:div w:id="1018583213">
      <w:bodyDiv w:val="1"/>
      <w:marLeft w:val="0"/>
      <w:marRight w:val="0"/>
      <w:marTop w:val="0"/>
      <w:marBottom w:val="0"/>
      <w:divBdr>
        <w:top w:val="none" w:sz="0" w:space="0" w:color="auto"/>
        <w:left w:val="none" w:sz="0" w:space="0" w:color="auto"/>
        <w:bottom w:val="none" w:sz="0" w:space="0" w:color="auto"/>
        <w:right w:val="none" w:sz="0" w:space="0" w:color="auto"/>
      </w:divBdr>
    </w:div>
    <w:div w:id="1042637526">
      <w:bodyDiv w:val="1"/>
      <w:marLeft w:val="0"/>
      <w:marRight w:val="0"/>
      <w:marTop w:val="0"/>
      <w:marBottom w:val="0"/>
      <w:divBdr>
        <w:top w:val="none" w:sz="0" w:space="0" w:color="auto"/>
        <w:left w:val="none" w:sz="0" w:space="0" w:color="auto"/>
        <w:bottom w:val="none" w:sz="0" w:space="0" w:color="auto"/>
        <w:right w:val="none" w:sz="0" w:space="0" w:color="auto"/>
      </w:divBdr>
    </w:div>
    <w:div w:id="1052388897">
      <w:bodyDiv w:val="1"/>
      <w:marLeft w:val="0"/>
      <w:marRight w:val="0"/>
      <w:marTop w:val="0"/>
      <w:marBottom w:val="0"/>
      <w:divBdr>
        <w:top w:val="none" w:sz="0" w:space="0" w:color="auto"/>
        <w:left w:val="none" w:sz="0" w:space="0" w:color="auto"/>
        <w:bottom w:val="none" w:sz="0" w:space="0" w:color="auto"/>
        <w:right w:val="none" w:sz="0" w:space="0" w:color="auto"/>
      </w:divBdr>
    </w:div>
    <w:div w:id="1075324874">
      <w:bodyDiv w:val="1"/>
      <w:marLeft w:val="0"/>
      <w:marRight w:val="0"/>
      <w:marTop w:val="0"/>
      <w:marBottom w:val="0"/>
      <w:divBdr>
        <w:top w:val="none" w:sz="0" w:space="0" w:color="auto"/>
        <w:left w:val="none" w:sz="0" w:space="0" w:color="auto"/>
        <w:bottom w:val="none" w:sz="0" w:space="0" w:color="auto"/>
        <w:right w:val="none" w:sz="0" w:space="0" w:color="auto"/>
      </w:divBdr>
    </w:div>
    <w:div w:id="1081293894">
      <w:bodyDiv w:val="1"/>
      <w:marLeft w:val="0"/>
      <w:marRight w:val="0"/>
      <w:marTop w:val="0"/>
      <w:marBottom w:val="0"/>
      <w:divBdr>
        <w:top w:val="none" w:sz="0" w:space="0" w:color="auto"/>
        <w:left w:val="none" w:sz="0" w:space="0" w:color="auto"/>
        <w:bottom w:val="none" w:sz="0" w:space="0" w:color="auto"/>
        <w:right w:val="none" w:sz="0" w:space="0" w:color="auto"/>
      </w:divBdr>
    </w:div>
    <w:div w:id="1112434061">
      <w:bodyDiv w:val="1"/>
      <w:marLeft w:val="0"/>
      <w:marRight w:val="0"/>
      <w:marTop w:val="0"/>
      <w:marBottom w:val="0"/>
      <w:divBdr>
        <w:top w:val="none" w:sz="0" w:space="0" w:color="auto"/>
        <w:left w:val="none" w:sz="0" w:space="0" w:color="auto"/>
        <w:bottom w:val="none" w:sz="0" w:space="0" w:color="auto"/>
        <w:right w:val="none" w:sz="0" w:space="0" w:color="auto"/>
      </w:divBdr>
    </w:div>
    <w:div w:id="1131288269">
      <w:bodyDiv w:val="1"/>
      <w:marLeft w:val="0"/>
      <w:marRight w:val="0"/>
      <w:marTop w:val="0"/>
      <w:marBottom w:val="0"/>
      <w:divBdr>
        <w:top w:val="none" w:sz="0" w:space="0" w:color="auto"/>
        <w:left w:val="none" w:sz="0" w:space="0" w:color="auto"/>
        <w:bottom w:val="none" w:sz="0" w:space="0" w:color="auto"/>
        <w:right w:val="none" w:sz="0" w:space="0" w:color="auto"/>
      </w:divBdr>
    </w:div>
    <w:div w:id="1136871587">
      <w:bodyDiv w:val="1"/>
      <w:marLeft w:val="0"/>
      <w:marRight w:val="0"/>
      <w:marTop w:val="0"/>
      <w:marBottom w:val="0"/>
      <w:divBdr>
        <w:top w:val="none" w:sz="0" w:space="0" w:color="auto"/>
        <w:left w:val="none" w:sz="0" w:space="0" w:color="auto"/>
        <w:bottom w:val="none" w:sz="0" w:space="0" w:color="auto"/>
        <w:right w:val="none" w:sz="0" w:space="0" w:color="auto"/>
      </w:divBdr>
    </w:div>
    <w:div w:id="1144270805">
      <w:bodyDiv w:val="1"/>
      <w:marLeft w:val="0"/>
      <w:marRight w:val="0"/>
      <w:marTop w:val="0"/>
      <w:marBottom w:val="0"/>
      <w:divBdr>
        <w:top w:val="none" w:sz="0" w:space="0" w:color="auto"/>
        <w:left w:val="none" w:sz="0" w:space="0" w:color="auto"/>
        <w:bottom w:val="none" w:sz="0" w:space="0" w:color="auto"/>
        <w:right w:val="none" w:sz="0" w:space="0" w:color="auto"/>
      </w:divBdr>
    </w:div>
    <w:div w:id="1145514283">
      <w:bodyDiv w:val="1"/>
      <w:marLeft w:val="0"/>
      <w:marRight w:val="0"/>
      <w:marTop w:val="0"/>
      <w:marBottom w:val="0"/>
      <w:divBdr>
        <w:top w:val="none" w:sz="0" w:space="0" w:color="auto"/>
        <w:left w:val="none" w:sz="0" w:space="0" w:color="auto"/>
        <w:bottom w:val="none" w:sz="0" w:space="0" w:color="auto"/>
        <w:right w:val="none" w:sz="0" w:space="0" w:color="auto"/>
      </w:divBdr>
    </w:div>
    <w:div w:id="116386102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50641">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5174274">
      <w:bodyDiv w:val="1"/>
      <w:marLeft w:val="0"/>
      <w:marRight w:val="0"/>
      <w:marTop w:val="0"/>
      <w:marBottom w:val="0"/>
      <w:divBdr>
        <w:top w:val="none" w:sz="0" w:space="0" w:color="auto"/>
        <w:left w:val="none" w:sz="0" w:space="0" w:color="auto"/>
        <w:bottom w:val="none" w:sz="0" w:space="0" w:color="auto"/>
        <w:right w:val="none" w:sz="0" w:space="0" w:color="auto"/>
      </w:divBdr>
    </w:div>
    <w:div w:id="120640525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6234865">
      <w:bodyDiv w:val="1"/>
      <w:marLeft w:val="0"/>
      <w:marRight w:val="0"/>
      <w:marTop w:val="0"/>
      <w:marBottom w:val="0"/>
      <w:divBdr>
        <w:top w:val="none" w:sz="0" w:space="0" w:color="auto"/>
        <w:left w:val="none" w:sz="0" w:space="0" w:color="auto"/>
        <w:bottom w:val="none" w:sz="0" w:space="0" w:color="auto"/>
        <w:right w:val="none" w:sz="0" w:space="0" w:color="auto"/>
      </w:divBdr>
    </w:div>
    <w:div w:id="1259093988">
      <w:bodyDiv w:val="1"/>
      <w:marLeft w:val="0"/>
      <w:marRight w:val="0"/>
      <w:marTop w:val="0"/>
      <w:marBottom w:val="0"/>
      <w:divBdr>
        <w:top w:val="none" w:sz="0" w:space="0" w:color="auto"/>
        <w:left w:val="none" w:sz="0" w:space="0" w:color="auto"/>
        <w:bottom w:val="none" w:sz="0" w:space="0" w:color="auto"/>
        <w:right w:val="none" w:sz="0" w:space="0" w:color="auto"/>
      </w:divBdr>
    </w:div>
    <w:div w:id="1278028261">
      <w:bodyDiv w:val="1"/>
      <w:marLeft w:val="0"/>
      <w:marRight w:val="0"/>
      <w:marTop w:val="0"/>
      <w:marBottom w:val="0"/>
      <w:divBdr>
        <w:top w:val="none" w:sz="0" w:space="0" w:color="auto"/>
        <w:left w:val="none" w:sz="0" w:space="0" w:color="auto"/>
        <w:bottom w:val="none" w:sz="0" w:space="0" w:color="auto"/>
        <w:right w:val="none" w:sz="0" w:space="0" w:color="auto"/>
      </w:divBdr>
    </w:div>
    <w:div w:id="1292711693">
      <w:bodyDiv w:val="1"/>
      <w:marLeft w:val="0"/>
      <w:marRight w:val="0"/>
      <w:marTop w:val="0"/>
      <w:marBottom w:val="0"/>
      <w:divBdr>
        <w:top w:val="none" w:sz="0" w:space="0" w:color="auto"/>
        <w:left w:val="none" w:sz="0" w:space="0" w:color="auto"/>
        <w:bottom w:val="none" w:sz="0" w:space="0" w:color="auto"/>
        <w:right w:val="none" w:sz="0" w:space="0" w:color="auto"/>
      </w:divBdr>
    </w:div>
    <w:div w:id="1306811577">
      <w:bodyDiv w:val="1"/>
      <w:marLeft w:val="0"/>
      <w:marRight w:val="0"/>
      <w:marTop w:val="0"/>
      <w:marBottom w:val="0"/>
      <w:divBdr>
        <w:top w:val="none" w:sz="0" w:space="0" w:color="auto"/>
        <w:left w:val="none" w:sz="0" w:space="0" w:color="auto"/>
        <w:bottom w:val="none" w:sz="0" w:space="0" w:color="auto"/>
        <w:right w:val="none" w:sz="0" w:space="0" w:color="auto"/>
      </w:divBdr>
    </w:div>
    <w:div w:id="1313676034">
      <w:bodyDiv w:val="1"/>
      <w:marLeft w:val="0"/>
      <w:marRight w:val="0"/>
      <w:marTop w:val="0"/>
      <w:marBottom w:val="0"/>
      <w:divBdr>
        <w:top w:val="none" w:sz="0" w:space="0" w:color="auto"/>
        <w:left w:val="none" w:sz="0" w:space="0" w:color="auto"/>
        <w:bottom w:val="none" w:sz="0" w:space="0" w:color="auto"/>
        <w:right w:val="none" w:sz="0" w:space="0" w:color="auto"/>
      </w:divBdr>
    </w:div>
    <w:div w:id="1319580438">
      <w:bodyDiv w:val="1"/>
      <w:marLeft w:val="0"/>
      <w:marRight w:val="0"/>
      <w:marTop w:val="0"/>
      <w:marBottom w:val="0"/>
      <w:divBdr>
        <w:top w:val="none" w:sz="0" w:space="0" w:color="auto"/>
        <w:left w:val="none" w:sz="0" w:space="0" w:color="auto"/>
        <w:bottom w:val="none" w:sz="0" w:space="0" w:color="auto"/>
        <w:right w:val="none" w:sz="0" w:space="0" w:color="auto"/>
      </w:divBdr>
    </w:div>
    <w:div w:id="1346980439">
      <w:bodyDiv w:val="1"/>
      <w:marLeft w:val="0"/>
      <w:marRight w:val="0"/>
      <w:marTop w:val="0"/>
      <w:marBottom w:val="0"/>
      <w:divBdr>
        <w:top w:val="none" w:sz="0" w:space="0" w:color="auto"/>
        <w:left w:val="none" w:sz="0" w:space="0" w:color="auto"/>
        <w:bottom w:val="none" w:sz="0" w:space="0" w:color="auto"/>
        <w:right w:val="none" w:sz="0" w:space="0" w:color="auto"/>
      </w:divBdr>
    </w:div>
    <w:div w:id="1367635645">
      <w:bodyDiv w:val="1"/>
      <w:marLeft w:val="0"/>
      <w:marRight w:val="0"/>
      <w:marTop w:val="0"/>
      <w:marBottom w:val="0"/>
      <w:divBdr>
        <w:top w:val="none" w:sz="0" w:space="0" w:color="auto"/>
        <w:left w:val="none" w:sz="0" w:space="0" w:color="auto"/>
        <w:bottom w:val="none" w:sz="0" w:space="0" w:color="auto"/>
        <w:right w:val="none" w:sz="0" w:space="0" w:color="auto"/>
      </w:divBdr>
    </w:div>
    <w:div w:id="1368677448">
      <w:bodyDiv w:val="1"/>
      <w:marLeft w:val="0"/>
      <w:marRight w:val="0"/>
      <w:marTop w:val="0"/>
      <w:marBottom w:val="0"/>
      <w:divBdr>
        <w:top w:val="none" w:sz="0" w:space="0" w:color="auto"/>
        <w:left w:val="none" w:sz="0" w:space="0" w:color="auto"/>
        <w:bottom w:val="none" w:sz="0" w:space="0" w:color="auto"/>
        <w:right w:val="none" w:sz="0" w:space="0" w:color="auto"/>
      </w:divBdr>
    </w:div>
    <w:div w:id="1387872697">
      <w:bodyDiv w:val="1"/>
      <w:marLeft w:val="0"/>
      <w:marRight w:val="0"/>
      <w:marTop w:val="0"/>
      <w:marBottom w:val="0"/>
      <w:divBdr>
        <w:top w:val="none" w:sz="0" w:space="0" w:color="auto"/>
        <w:left w:val="none" w:sz="0" w:space="0" w:color="auto"/>
        <w:bottom w:val="none" w:sz="0" w:space="0" w:color="auto"/>
        <w:right w:val="none" w:sz="0" w:space="0" w:color="auto"/>
      </w:divBdr>
    </w:div>
    <w:div w:id="1402172349">
      <w:bodyDiv w:val="1"/>
      <w:marLeft w:val="0"/>
      <w:marRight w:val="0"/>
      <w:marTop w:val="0"/>
      <w:marBottom w:val="0"/>
      <w:divBdr>
        <w:top w:val="none" w:sz="0" w:space="0" w:color="auto"/>
        <w:left w:val="none" w:sz="0" w:space="0" w:color="auto"/>
        <w:bottom w:val="none" w:sz="0" w:space="0" w:color="auto"/>
        <w:right w:val="none" w:sz="0" w:space="0" w:color="auto"/>
      </w:divBdr>
    </w:div>
    <w:div w:id="1404110134">
      <w:bodyDiv w:val="1"/>
      <w:marLeft w:val="0"/>
      <w:marRight w:val="0"/>
      <w:marTop w:val="0"/>
      <w:marBottom w:val="0"/>
      <w:divBdr>
        <w:top w:val="none" w:sz="0" w:space="0" w:color="auto"/>
        <w:left w:val="none" w:sz="0" w:space="0" w:color="auto"/>
        <w:bottom w:val="none" w:sz="0" w:space="0" w:color="auto"/>
        <w:right w:val="none" w:sz="0" w:space="0" w:color="auto"/>
      </w:divBdr>
    </w:div>
    <w:div w:id="1411462109">
      <w:bodyDiv w:val="1"/>
      <w:marLeft w:val="0"/>
      <w:marRight w:val="0"/>
      <w:marTop w:val="0"/>
      <w:marBottom w:val="0"/>
      <w:divBdr>
        <w:top w:val="none" w:sz="0" w:space="0" w:color="auto"/>
        <w:left w:val="none" w:sz="0" w:space="0" w:color="auto"/>
        <w:bottom w:val="none" w:sz="0" w:space="0" w:color="auto"/>
        <w:right w:val="none" w:sz="0" w:space="0" w:color="auto"/>
      </w:divBdr>
    </w:div>
    <w:div w:id="1412193346">
      <w:bodyDiv w:val="1"/>
      <w:marLeft w:val="0"/>
      <w:marRight w:val="0"/>
      <w:marTop w:val="0"/>
      <w:marBottom w:val="0"/>
      <w:divBdr>
        <w:top w:val="none" w:sz="0" w:space="0" w:color="auto"/>
        <w:left w:val="none" w:sz="0" w:space="0" w:color="auto"/>
        <w:bottom w:val="none" w:sz="0" w:space="0" w:color="auto"/>
        <w:right w:val="none" w:sz="0" w:space="0" w:color="auto"/>
      </w:divBdr>
    </w:div>
    <w:div w:id="1415202141">
      <w:bodyDiv w:val="1"/>
      <w:marLeft w:val="0"/>
      <w:marRight w:val="0"/>
      <w:marTop w:val="0"/>
      <w:marBottom w:val="0"/>
      <w:divBdr>
        <w:top w:val="none" w:sz="0" w:space="0" w:color="auto"/>
        <w:left w:val="none" w:sz="0" w:space="0" w:color="auto"/>
        <w:bottom w:val="none" w:sz="0" w:space="0" w:color="auto"/>
        <w:right w:val="none" w:sz="0" w:space="0" w:color="auto"/>
      </w:divBdr>
    </w:div>
    <w:div w:id="1425877198">
      <w:bodyDiv w:val="1"/>
      <w:marLeft w:val="0"/>
      <w:marRight w:val="0"/>
      <w:marTop w:val="0"/>
      <w:marBottom w:val="0"/>
      <w:divBdr>
        <w:top w:val="none" w:sz="0" w:space="0" w:color="auto"/>
        <w:left w:val="none" w:sz="0" w:space="0" w:color="auto"/>
        <w:bottom w:val="none" w:sz="0" w:space="0" w:color="auto"/>
        <w:right w:val="none" w:sz="0" w:space="0" w:color="auto"/>
      </w:divBdr>
    </w:div>
    <w:div w:id="1429305921">
      <w:bodyDiv w:val="1"/>
      <w:marLeft w:val="0"/>
      <w:marRight w:val="0"/>
      <w:marTop w:val="0"/>
      <w:marBottom w:val="0"/>
      <w:divBdr>
        <w:top w:val="none" w:sz="0" w:space="0" w:color="auto"/>
        <w:left w:val="none" w:sz="0" w:space="0" w:color="auto"/>
        <w:bottom w:val="none" w:sz="0" w:space="0" w:color="auto"/>
        <w:right w:val="none" w:sz="0" w:space="0" w:color="auto"/>
      </w:divBdr>
    </w:div>
    <w:div w:id="1434742090">
      <w:bodyDiv w:val="1"/>
      <w:marLeft w:val="0"/>
      <w:marRight w:val="0"/>
      <w:marTop w:val="0"/>
      <w:marBottom w:val="0"/>
      <w:divBdr>
        <w:top w:val="none" w:sz="0" w:space="0" w:color="auto"/>
        <w:left w:val="none" w:sz="0" w:space="0" w:color="auto"/>
        <w:bottom w:val="none" w:sz="0" w:space="0" w:color="auto"/>
        <w:right w:val="none" w:sz="0" w:space="0" w:color="auto"/>
      </w:divBdr>
    </w:div>
    <w:div w:id="1437092646">
      <w:bodyDiv w:val="1"/>
      <w:marLeft w:val="0"/>
      <w:marRight w:val="0"/>
      <w:marTop w:val="0"/>
      <w:marBottom w:val="0"/>
      <w:divBdr>
        <w:top w:val="none" w:sz="0" w:space="0" w:color="auto"/>
        <w:left w:val="none" w:sz="0" w:space="0" w:color="auto"/>
        <w:bottom w:val="none" w:sz="0" w:space="0" w:color="auto"/>
        <w:right w:val="none" w:sz="0" w:space="0" w:color="auto"/>
      </w:divBdr>
    </w:div>
    <w:div w:id="1452674133">
      <w:bodyDiv w:val="1"/>
      <w:marLeft w:val="0"/>
      <w:marRight w:val="0"/>
      <w:marTop w:val="0"/>
      <w:marBottom w:val="0"/>
      <w:divBdr>
        <w:top w:val="none" w:sz="0" w:space="0" w:color="auto"/>
        <w:left w:val="none" w:sz="0" w:space="0" w:color="auto"/>
        <w:bottom w:val="none" w:sz="0" w:space="0" w:color="auto"/>
        <w:right w:val="none" w:sz="0" w:space="0" w:color="auto"/>
      </w:divBdr>
    </w:div>
    <w:div w:id="1482455494">
      <w:bodyDiv w:val="1"/>
      <w:marLeft w:val="0"/>
      <w:marRight w:val="0"/>
      <w:marTop w:val="0"/>
      <w:marBottom w:val="0"/>
      <w:divBdr>
        <w:top w:val="none" w:sz="0" w:space="0" w:color="auto"/>
        <w:left w:val="none" w:sz="0" w:space="0" w:color="auto"/>
        <w:bottom w:val="none" w:sz="0" w:space="0" w:color="auto"/>
        <w:right w:val="none" w:sz="0" w:space="0" w:color="auto"/>
      </w:divBdr>
    </w:div>
    <w:div w:id="1482698525">
      <w:bodyDiv w:val="1"/>
      <w:marLeft w:val="0"/>
      <w:marRight w:val="0"/>
      <w:marTop w:val="0"/>
      <w:marBottom w:val="0"/>
      <w:divBdr>
        <w:top w:val="none" w:sz="0" w:space="0" w:color="auto"/>
        <w:left w:val="none" w:sz="0" w:space="0" w:color="auto"/>
        <w:bottom w:val="none" w:sz="0" w:space="0" w:color="auto"/>
        <w:right w:val="none" w:sz="0" w:space="0" w:color="auto"/>
      </w:divBdr>
    </w:div>
    <w:div w:id="1543706169">
      <w:bodyDiv w:val="1"/>
      <w:marLeft w:val="0"/>
      <w:marRight w:val="0"/>
      <w:marTop w:val="0"/>
      <w:marBottom w:val="0"/>
      <w:divBdr>
        <w:top w:val="none" w:sz="0" w:space="0" w:color="auto"/>
        <w:left w:val="none" w:sz="0" w:space="0" w:color="auto"/>
        <w:bottom w:val="none" w:sz="0" w:space="0" w:color="auto"/>
        <w:right w:val="none" w:sz="0" w:space="0" w:color="auto"/>
      </w:divBdr>
    </w:div>
    <w:div w:id="1546478057">
      <w:bodyDiv w:val="1"/>
      <w:marLeft w:val="0"/>
      <w:marRight w:val="0"/>
      <w:marTop w:val="0"/>
      <w:marBottom w:val="0"/>
      <w:divBdr>
        <w:top w:val="none" w:sz="0" w:space="0" w:color="auto"/>
        <w:left w:val="none" w:sz="0" w:space="0" w:color="auto"/>
        <w:bottom w:val="none" w:sz="0" w:space="0" w:color="auto"/>
        <w:right w:val="none" w:sz="0" w:space="0" w:color="auto"/>
      </w:divBdr>
    </w:div>
    <w:div w:id="1565216994">
      <w:bodyDiv w:val="1"/>
      <w:marLeft w:val="0"/>
      <w:marRight w:val="0"/>
      <w:marTop w:val="0"/>
      <w:marBottom w:val="0"/>
      <w:divBdr>
        <w:top w:val="none" w:sz="0" w:space="0" w:color="auto"/>
        <w:left w:val="none" w:sz="0" w:space="0" w:color="auto"/>
        <w:bottom w:val="none" w:sz="0" w:space="0" w:color="auto"/>
        <w:right w:val="none" w:sz="0" w:space="0" w:color="auto"/>
      </w:divBdr>
    </w:div>
    <w:div w:id="1590234844">
      <w:bodyDiv w:val="1"/>
      <w:marLeft w:val="0"/>
      <w:marRight w:val="0"/>
      <w:marTop w:val="0"/>
      <w:marBottom w:val="0"/>
      <w:divBdr>
        <w:top w:val="none" w:sz="0" w:space="0" w:color="auto"/>
        <w:left w:val="none" w:sz="0" w:space="0" w:color="auto"/>
        <w:bottom w:val="none" w:sz="0" w:space="0" w:color="auto"/>
        <w:right w:val="none" w:sz="0" w:space="0" w:color="auto"/>
      </w:divBdr>
    </w:div>
    <w:div w:id="1615941237">
      <w:bodyDiv w:val="1"/>
      <w:marLeft w:val="0"/>
      <w:marRight w:val="0"/>
      <w:marTop w:val="0"/>
      <w:marBottom w:val="0"/>
      <w:divBdr>
        <w:top w:val="none" w:sz="0" w:space="0" w:color="auto"/>
        <w:left w:val="none" w:sz="0" w:space="0" w:color="auto"/>
        <w:bottom w:val="none" w:sz="0" w:space="0" w:color="auto"/>
        <w:right w:val="none" w:sz="0" w:space="0" w:color="auto"/>
      </w:divBdr>
    </w:div>
    <w:div w:id="1650090897">
      <w:bodyDiv w:val="1"/>
      <w:marLeft w:val="0"/>
      <w:marRight w:val="0"/>
      <w:marTop w:val="0"/>
      <w:marBottom w:val="0"/>
      <w:divBdr>
        <w:top w:val="none" w:sz="0" w:space="0" w:color="auto"/>
        <w:left w:val="none" w:sz="0" w:space="0" w:color="auto"/>
        <w:bottom w:val="none" w:sz="0" w:space="0" w:color="auto"/>
        <w:right w:val="none" w:sz="0" w:space="0" w:color="auto"/>
      </w:divBdr>
    </w:div>
    <w:div w:id="1667202037">
      <w:bodyDiv w:val="1"/>
      <w:marLeft w:val="0"/>
      <w:marRight w:val="0"/>
      <w:marTop w:val="0"/>
      <w:marBottom w:val="0"/>
      <w:divBdr>
        <w:top w:val="none" w:sz="0" w:space="0" w:color="auto"/>
        <w:left w:val="none" w:sz="0" w:space="0" w:color="auto"/>
        <w:bottom w:val="none" w:sz="0" w:space="0" w:color="auto"/>
        <w:right w:val="none" w:sz="0" w:space="0" w:color="auto"/>
      </w:divBdr>
    </w:div>
    <w:div w:id="1718581350">
      <w:bodyDiv w:val="1"/>
      <w:marLeft w:val="0"/>
      <w:marRight w:val="0"/>
      <w:marTop w:val="0"/>
      <w:marBottom w:val="0"/>
      <w:divBdr>
        <w:top w:val="none" w:sz="0" w:space="0" w:color="auto"/>
        <w:left w:val="none" w:sz="0" w:space="0" w:color="auto"/>
        <w:bottom w:val="none" w:sz="0" w:space="0" w:color="auto"/>
        <w:right w:val="none" w:sz="0" w:space="0" w:color="auto"/>
      </w:divBdr>
    </w:div>
    <w:div w:id="1741319682">
      <w:bodyDiv w:val="1"/>
      <w:marLeft w:val="0"/>
      <w:marRight w:val="0"/>
      <w:marTop w:val="0"/>
      <w:marBottom w:val="0"/>
      <w:divBdr>
        <w:top w:val="none" w:sz="0" w:space="0" w:color="auto"/>
        <w:left w:val="none" w:sz="0" w:space="0" w:color="auto"/>
        <w:bottom w:val="none" w:sz="0" w:space="0" w:color="auto"/>
        <w:right w:val="none" w:sz="0" w:space="0" w:color="auto"/>
      </w:divBdr>
    </w:div>
    <w:div w:id="1770391340">
      <w:bodyDiv w:val="1"/>
      <w:marLeft w:val="0"/>
      <w:marRight w:val="0"/>
      <w:marTop w:val="0"/>
      <w:marBottom w:val="0"/>
      <w:divBdr>
        <w:top w:val="none" w:sz="0" w:space="0" w:color="auto"/>
        <w:left w:val="none" w:sz="0" w:space="0" w:color="auto"/>
        <w:bottom w:val="none" w:sz="0" w:space="0" w:color="auto"/>
        <w:right w:val="none" w:sz="0" w:space="0" w:color="auto"/>
      </w:divBdr>
    </w:div>
    <w:div w:id="1778940520">
      <w:bodyDiv w:val="1"/>
      <w:marLeft w:val="0"/>
      <w:marRight w:val="0"/>
      <w:marTop w:val="0"/>
      <w:marBottom w:val="0"/>
      <w:divBdr>
        <w:top w:val="none" w:sz="0" w:space="0" w:color="auto"/>
        <w:left w:val="none" w:sz="0" w:space="0" w:color="auto"/>
        <w:bottom w:val="none" w:sz="0" w:space="0" w:color="auto"/>
        <w:right w:val="none" w:sz="0" w:space="0" w:color="auto"/>
      </w:divBdr>
    </w:div>
    <w:div w:id="1786848185">
      <w:bodyDiv w:val="1"/>
      <w:marLeft w:val="0"/>
      <w:marRight w:val="0"/>
      <w:marTop w:val="0"/>
      <w:marBottom w:val="0"/>
      <w:divBdr>
        <w:top w:val="none" w:sz="0" w:space="0" w:color="auto"/>
        <w:left w:val="none" w:sz="0" w:space="0" w:color="auto"/>
        <w:bottom w:val="none" w:sz="0" w:space="0" w:color="auto"/>
        <w:right w:val="none" w:sz="0" w:space="0" w:color="auto"/>
      </w:divBdr>
    </w:div>
    <w:div w:id="1796294497">
      <w:bodyDiv w:val="1"/>
      <w:marLeft w:val="0"/>
      <w:marRight w:val="0"/>
      <w:marTop w:val="0"/>
      <w:marBottom w:val="0"/>
      <w:divBdr>
        <w:top w:val="none" w:sz="0" w:space="0" w:color="auto"/>
        <w:left w:val="none" w:sz="0" w:space="0" w:color="auto"/>
        <w:bottom w:val="none" w:sz="0" w:space="0" w:color="auto"/>
        <w:right w:val="none" w:sz="0" w:space="0" w:color="auto"/>
      </w:divBdr>
    </w:div>
    <w:div w:id="1800027421">
      <w:bodyDiv w:val="1"/>
      <w:marLeft w:val="0"/>
      <w:marRight w:val="0"/>
      <w:marTop w:val="0"/>
      <w:marBottom w:val="0"/>
      <w:divBdr>
        <w:top w:val="none" w:sz="0" w:space="0" w:color="auto"/>
        <w:left w:val="none" w:sz="0" w:space="0" w:color="auto"/>
        <w:bottom w:val="none" w:sz="0" w:space="0" w:color="auto"/>
        <w:right w:val="none" w:sz="0" w:space="0" w:color="auto"/>
      </w:divBdr>
    </w:div>
    <w:div w:id="1844078603">
      <w:bodyDiv w:val="1"/>
      <w:marLeft w:val="0"/>
      <w:marRight w:val="0"/>
      <w:marTop w:val="0"/>
      <w:marBottom w:val="0"/>
      <w:divBdr>
        <w:top w:val="none" w:sz="0" w:space="0" w:color="auto"/>
        <w:left w:val="none" w:sz="0" w:space="0" w:color="auto"/>
        <w:bottom w:val="none" w:sz="0" w:space="0" w:color="auto"/>
        <w:right w:val="none" w:sz="0" w:space="0" w:color="auto"/>
      </w:divBdr>
    </w:div>
    <w:div w:id="1847406554">
      <w:bodyDiv w:val="1"/>
      <w:marLeft w:val="0"/>
      <w:marRight w:val="0"/>
      <w:marTop w:val="0"/>
      <w:marBottom w:val="0"/>
      <w:divBdr>
        <w:top w:val="none" w:sz="0" w:space="0" w:color="auto"/>
        <w:left w:val="none" w:sz="0" w:space="0" w:color="auto"/>
        <w:bottom w:val="none" w:sz="0" w:space="0" w:color="auto"/>
        <w:right w:val="none" w:sz="0" w:space="0" w:color="auto"/>
      </w:divBdr>
    </w:div>
    <w:div w:id="1849174635">
      <w:bodyDiv w:val="1"/>
      <w:marLeft w:val="0"/>
      <w:marRight w:val="0"/>
      <w:marTop w:val="0"/>
      <w:marBottom w:val="0"/>
      <w:divBdr>
        <w:top w:val="none" w:sz="0" w:space="0" w:color="auto"/>
        <w:left w:val="none" w:sz="0" w:space="0" w:color="auto"/>
        <w:bottom w:val="none" w:sz="0" w:space="0" w:color="auto"/>
        <w:right w:val="none" w:sz="0" w:space="0" w:color="auto"/>
      </w:divBdr>
    </w:div>
    <w:div w:id="1855917785">
      <w:bodyDiv w:val="1"/>
      <w:marLeft w:val="0"/>
      <w:marRight w:val="0"/>
      <w:marTop w:val="0"/>
      <w:marBottom w:val="0"/>
      <w:divBdr>
        <w:top w:val="none" w:sz="0" w:space="0" w:color="auto"/>
        <w:left w:val="none" w:sz="0" w:space="0" w:color="auto"/>
        <w:bottom w:val="none" w:sz="0" w:space="0" w:color="auto"/>
        <w:right w:val="none" w:sz="0" w:space="0" w:color="auto"/>
      </w:divBdr>
    </w:div>
    <w:div w:id="1865317894">
      <w:bodyDiv w:val="1"/>
      <w:marLeft w:val="0"/>
      <w:marRight w:val="0"/>
      <w:marTop w:val="0"/>
      <w:marBottom w:val="0"/>
      <w:divBdr>
        <w:top w:val="none" w:sz="0" w:space="0" w:color="auto"/>
        <w:left w:val="none" w:sz="0" w:space="0" w:color="auto"/>
        <w:bottom w:val="none" w:sz="0" w:space="0" w:color="auto"/>
        <w:right w:val="none" w:sz="0" w:space="0" w:color="auto"/>
      </w:divBdr>
    </w:div>
    <w:div w:id="1870794455">
      <w:bodyDiv w:val="1"/>
      <w:marLeft w:val="0"/>
      <w:marRight w:val="0"/>
      <w:marTop w:val="0"/>
      <w:marBottom w:val="0"/>
      <w:divBdr>
        <w:top w:val="none" w:sz="0" w:space="0" w:color="auto"/>
        <w:left w:val="none" w:sz="0" w:space="0" w:color="auto"/>
        <w:bottom w:val="none" w:sz="0" w:space="0" w:color="auto"/>
        <w:right w:val="none" w:sz="0" w:space="0" w:color="auto"/>
      </w:divBdr>
    </w:div>
    <w:div w:id="1882787460">
      <w:bodyDiv w:val="1"/>
      <w:marLeft w:val="0"/>
      <w:marRight w:val="0"/>
      <w:marTop w:val="0"/>
      <w:marBottom w:val="0"/>
      <w:divBdr>
        <w:top w:val="none" w:sz="0" w:space="0" w:color="auto"/>
        <w:left w:val="none" w:sz="0" w:space="0" w:color="auto"/>
        <w:bottom w:val="none" w:sz="0" w:space="0" w:color="auto"/>
        <w:right w:val="none" w:sz="0" w:space="0" w:color="auto"/>
      </w:divBdr>
    </w:div>
    <w:div w:id="1894996381">
      <w:bodyDiv w:val="1"/>
      <w:marLeft w:val="0"/>
      <w:marRight w:val="0"/>
      <w:marTop w:val="0"/>
      <w:marBottom w:val="0"/>
      <w:divBdr>
        <w:top w:val="none" w:sz="0" w:space="0" w:color="auto"/>
        <w:left w:val="none" w:sz="0" w:space="0" w:color="auto"/>
        <w:bottom w:val="none" w:sz="0" w:space="0" w:color="auto"/>
        <w:right w:val="none" w:sz="0" w:space="0" w:color="auto"/>
      </w:divBdr>
    </w:div>
    <w:div w:id="1912305210">
      <w:bodyDiv w:val="1"/>
      <w:marLeft w:val="0"/>
      <w:marRight w:val="0"/>
      <w:marTop w:val="0"/>
      <w:marBottom w:val="0"/>
      <w:divBdr>
        <w:top w:val="none" w:sz="0" w:space="0" w:color="auto"/>
        <w:left w:val="none" w:sz="0" w:space="0" w:color="auto"/>
        <w:bottom w:val="none" w:sz="0" w:space="0" w:color="auto"/>
        <w:right w:val="none" w:sz="0" w:space="0" w:color="auto"/>
      </w:divBdr>
    </w:div>
    <w:div w:id="1915890638">
      <w:bodyDiv w:val="1"/>
      <w:marLeft w:val="0"/>
      <w:marRight w:val="0"/>
      <w:marTop w:val="0"/>
      <w:marBottom w:val="0"/>
      <w:divBdr>
        <w:top w:val="none" w:sz="0" w:space="0" w:color="auto"/>
        <w:left w:val="none" w:sz="0" w:space="0" w:color="auto"/>
        <w:bottom w:val="none" w:sz="0" w:space="0" w:color="auto"/>
        <w:right w:val="none" w:sz="0" w:space="0" w:color="auto"/>
      </w:divBdr>
    </w:div>
    <w:div w:id="1927760264">
      <w:bodyDiv w:val="1"/>
      <w:marLeft w:val="0"/>
      <w:marRight w:val="0"/>
      <w:marTop w:val="0"/>
      <w:marBottom w:val="0"/>
      <w:divBdr>
        <w:top w:val="none" w:sz="0" w:space="0" w:color="auto"/>
        <w:left w:val="none" w:sz="0" w:space="0" w:color="auto"/>
        <w:bottom w:val="none" w:sz="0" w:space="0" w:color="auto"/>
        <w:right w:val="none" w:sz="0" w:space="0" w:color="auto"/>
      </w:divBdr>
    </w:div>
    <w:div w:id="1929465945">
      <w:bodyDiv w:val="1"/>
      <w:marLeft w:val="0"/>
      <w:marRight w:val="0"/>
      <w:marTop w:val="0"/>
      <w:marBottom w:val="0"/>
      <w:divBdr>
        <w:top w:val="none" w:sz="0" w:space="0" w:color="auto"/>
        <w:left w:val="none" w:sz="0" w:space="0" w:color="auto"/>
        <w:bottom w:val="none" w:sz="0" w:space="0" w:color="auto"/>
        <w:right w:val="none" w:sz="0" w:space="0" w:color="auto"/>
      </w:divBdr>
    </w:div>
    <w:div w:id="195108714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0016587">
      <w:bodyDiv w:val="1"/>
      <w:marLeft w:val="0"/>
      <w:marRight w:val="0"/>
      <w:marTop w:val="0"/>
      <w:marBottom w:val="0"/>
      <w:divBdr>
        <w:top w:val="none" w:sz="0" w:space="0" w:color="auto"/>
        <w:left w:val="none" w:sz="0" w:space="0" w:color="auto"/>
        <w:bottom w:val="none" w:sz="0" w:space="0" w:color="auto"/>
        <w:right w:val="none" w:sz="0" w:space="0" w:color="auto"/>
      </w:divBdr>
    </w:div>
    <w:div w:id="2012642713">
      <w:bodyDiv w:val="1"/>
      <w:marLeft w:val="0"/>
      <w:marRight w:val="0"/>
      <w:marTop w:val="0"/>
      <w:marBottom w:val="0"/>
      <w:divBdr>
        <w:top w:val="none" w:sz="0" w:space="0" w:color="auto"/>
        <w:left w:val="none" w:sz="0" w:space="0" w:color="auto"/>
        <w:bottom w:val="none" w:sz="0" w:space="0" w:color="auto"/>
        <w:right w:val="none" w:sz="0" w:space="0" w:color="auto"/>
      </w:divBdr>
    </w:div>
    <w:div w:id="2013755810">
      <w:bodyDiv w:val="1"/>
      <w:marLeft w:val="0"/>
      <w:marRight w:val="0"/>
      <w:marTop w:val="0"/>
      <w:marBottom w:val="0"/>
      <w:divBdr>
        <w:top w:val="none" w:sz="0" w:space="0" w:color="auto"/>
        <w:left w:val="none" w:sz="0" w:space="0" w:color="auto"/>
        <w:bottom w:val="none" w:sz="0" w:space="0" w:color="auto"/>
        <w:right w:val="none" w:sz="0" w:space="0" w:color="auto"/>
      </w:divBdr>
    </w:div>
    <w:div w:id="2017998865">
      <w:bodyDiv w:val="1"/>
      <w:marLeft w:val="0"/>
      <w:marRight w:val="0"/>
      <w:marTop w:val="0"/>
      <w:marBottom w:val="0"/>
      <w:divBdr>
        <w:top w:val="none" w:sz="0" w:space="0" w:color="auto"/>
        <w:left w:val="none" w:sz="0" w:space="0" w:color="auto"/>
        <w:bottom w:val="none" w:sz="0" w:space="0" w:color="auto"/>
        <w:right w:val="none" w:sz="0" w:space="0" w:color="auto"/>
      </w:divBdr>
    </w:div>
    <w:div w:id="2032225101">
      <w:bodyDiv w:val="1"/>
      <w:marLeft w:val="0"/>
      <w:marRight w:val="0"/>
      <w:marTop w:val="0"/>
      <w:marBottom w:val="0"/>
      <w:divBdr>
        <w:top w:val="none" w:sz="0" w:space="0" w:color="auto"/>
        <w:left w:val="none" w:sz="0" w:space="0" w:color="auto"/>
        <w:bottom w:val="none" w:sz="0" w:space="0" w:color="auto"/>
        <w:right w:val="none" w:sz="0" w:space="0" w:color="auto"/>
      </w:divBdr>
    </w:div>
    <w:div w:id="2049913340">
      <w:bodyDiv w:val="1"/>
      <w:marLeft w:val="0"/>
      <w:marRight w:val="0"/>
      <w:marTop w:val="0"/>
      <w:marBottom w:val="0"/>
      <w:divBdr>
        <w:top w:val="none" w:sz="0" w:space="0" w:color="auto"/>
        <w:left w:val="none" w:sz="0" w:space="0" w:color="auto"/>
        <w:bottom w:val="none" w:sz="0" w:space="0" w:color="auto"/>
        <w:right w:val="none" w:sz="0" w:space="0" w:color="auto"/>
      </w:divBdr>
    </w:div>
    <w:div w:id="2070574019">
      <w:bodyDiv w:val="1"/>
      <w:marLeft w:val="0"/>
      <w:marRight w:val="0"/>
      <w:marTop w:val="0"/>
      <w:marBottom w:val="0"/>
      <w:divBdr>
        <w:top w:val="none" w:sz="0" w:space="0" w:color="auto"/>
        <w:left w:val="none" w:sz="0" w:space="0" w:color="auto"/>
        <w:bottom w:val="none" w:sz="0" w:space="0" w:color="auto"/>
        <w:right w:val="none" w:sz="0" w:space="0" w:color="auto"/>
      </w:divBdr>
    </w:div>
    <w:div w:id="2099279245">
      <w:bodyDiv w:val="1"/>
      <w:marLeft w:val="0"/>
      <w:marRight w:val="0"/>
      <w:marTop w:val="0"/>
      <w:marBottom w:val="0"/>
      <w:divBdr>
        <w:top w:val="none" w:sz="0" w:space="0" w:color="auto"/>
        <w:left w:val="none" w:sz="0" w:space="0" w:color="auto"/>
        <w:bottom w:val="none" w:sz="0" w:space="0" w:color="auto"/>
        <w:right w:val="none" w:sz="0" w:space="0" w:color="auto"/>
      </w:divBdr>
    </w:div>
    <w:div w:id="2104523876">
      <w:bodyDiv w:val="1"/>
      <w:marLeft w:val="0"/>
      <w:marRight w:val="0"/>
      <w:marTop w:val="0"/>
      <w:marBottom w:val="0"/>
      <w:divBdr>
        <w:top w:val="none" w:sz="0" w:space="0" w:color="auto"/>
        <w:left w:val="none" w:sz="0" w:space="0" w:color="auto"/>
        <w:bottom w:val="none" w:sz="0" w:space="0" w:color="auto"/>
        <w:right w:val="none" w:sz="0" w:space="0" w:color="auto"/>
      </w:divBdr>
    </w:div>
    <w:div w:id="2108429912">
      <w:bodyDiv w:val="1"/>
      <w:marLeft w:val="0"/>
      <w:marRight w:val="0"/>
      <w:marTop w:val="0"/>
      <w:marBottom w:val="0"/>
      <w:divBdr>
        <w:top w:val="none" w:sz="0" w:space="0" w:color="auto"/>
        <w:left w:val="none" w:sz="0" w:space="0" w:color="auto"/>
        <w:bottom w:val="none" w:sz="0" w:space="0" w:color="auto"/>
        <w:right w:val="none" w:sz="0" w:space="0" w:color="auto"/>
      </w:divBdr>
    </w:div>
    <w:div w:id="2123451199">
      <w:bodyDiv w:val="1"/>
      <w:marLeft w:val="0"/>
      <w:marRight w:val="0"/>
      <w:marTop w:val="0"/>
      <w:marBottom w:val="0"/>
      <w:divBdr>
        <w:top w:val="none" w:sz="0" w:space="0" w:color="auto"/>
        <w:left w:val="none" w:sz="0" w:space="0" w:color="auto"/>
        <w:bottom w:val="none" w:sz="0" w:space="0" w:color="auto"/>
        <w:right w:val="none" w:sz="0" w:space="0" w:color="auto"/>
      </w:divBdr>
    </w:div>
    <w:div w:id="2141655328">
      <w:bodyDiv w:val="1"/>
      <w:marLeft w:val="0"/>
      <w:marRight w:val="0"/>
      <w:marTop w:val="0"/>
      <w:marBottom w:val="0"/>
      <w:divBdr>
        <w:top w:val="none" w:sz="0" w:space="0" w:color="auto"/>
        <w:left w:val="none" w:sz="0" w:space="0" w:color="auto"/>
        <w:bottom w:val="none" w:sz="0" w:space="0" w:color="auto"/>
        <w:right w:val="none" w:sz="0" w:space="0" w:color="auto"/>
      </w:divBdr>
    </w:div>
    <w:div w:id="21463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healthpro/explanatory-notes/front/fee"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clinicaltrials.gov/study/NCT06016842" TargetMode="External"/><Relationship Id="rId7" Type="http://schemas.openxmlformats.org/officeDocument/2006/relationships/hyperlink" Target="https://clinicaltrials.gov/study/NCT02308111" TargetMode="External"/><Relationship Id="rId2" Type="http://schemas.openxmlformats.org/officeDocument/2006/relationships/hyperlink" Target="https://clinicaltrials.gov/study/NCT02308111" TargetMode="External"/><Relationship Id="rId1" Type="http://schemas.openxmlformats.org/officeDocument/2006/relationships/hyperlink" Target="https://www.ema.europa.eu/en/news/ema-recommends-revoking-conditional-marketing-authorisation-ocaliva" TargetMode="External"/><Relationship Id="rId6" Type="http://schemas.openxmlformats.org/officeDocument/2006/relationships/hyperlink" Target="https://www.accessdata.fda.gov/drugsatfda_docs/appletter/2024/218860Orig1s000ltr.pdf" TargetMode="External"/><Relationship Id="rId5" Type="http://schemas.openxmlformats.org/officeDocument/2006/relationships/hyperlink" Target="https://www.fda.gov/news-events/press-announcements/fda-approves-ocaliva-rare-chronic-liver-disease" TargetMode="External"/><Relationship Id="rId4" Type="http://schemas.openxmlformats.org/officeDocument/2006/relationships/hyperlink" Target="https://www.accessdata.fda.gov/drugsatfda_docs/appletter/2024/218860Orig1s000l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7E9129A6-1C9A-4DA2-89A4-7D1D1BD00A03}"/>
</file>

<file path=customXml/itemProps3.xml><?xml version="1.0" encoding="utf-8"?>
<ds:datastoreItem xmlns:ds="http://schemas.openxmlformats.org/officeDocument/2006/customXml" ds:itemID="{B7CE81ED-22FA-44ED-AA1B-B774303A7C6B}"/>
</file>

<file path=customXml/itemProps4.xml><?xml version="1.0" encoding="utf-8"?>
<ds:datastoreItem xmlns:ds="http://schemas.openxmlformats.org/officeDocument/2006/customXml" ds:itemID="{9B212887-7E71-431D-A64A-96E06D67F63D}"/>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19847</Words>
  <Characters>113130</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2025-06-26T00:00:00Z</dcterms:created>
  <dcterms:modified xsi:type="dcterms:W3CDTF">2025-06-26T00:00:00Z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