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91FB0E9" w:rsidR="00B60939" w:rsidRPr="004A6040" w:rsidRDefault="001F1573" w:rsidP="004A6040">
      <w:pPr>
        <w:pStyle w:val="1-MainHeading"/>
      </w:pPr>
      <w:bookmarkStart w:id="0" w:name="_Toc188441757"/>
      <w:r>
        <w:t>5</w:t>
      </w:r>
      <w:r w:rsidR="00433044" w:rsidRPr="00C12C14">
        <w:t>.</w:t>
      </w:r>
      <w:r>
        <w:t>04</w:t>
      </w:r>
      <w:r w:rsidR="00163F66">
        <w:tab/>
      </w:r>
      <w:r w:rsidR="00805FF8" w:rsidRPr="00805FF8">
        <w:t>EFLORNITHINE</w:t>
      </w:r>
      <w:r w:rsidR="00163F66">
        <w:t>,</w:t>
      </w:r>
      <w:r w:rsidR="00163F66">
        <w:br/>
      </w:r>
      <w:r w:rsidR="00805FF8">
        <w:t>Tablet</w:t>
      </w:r>
      <w:r w:rsidR="00461A89">
        <w:t xml:space="preserve"> </w:t>
      </w:r>
      <w:r w:rsidR="00805FF8">
        <w:t>192</w:t>
      </w:r>
      <w:r w:rsidR="00CC390D">
        <w:t xml:space="preserve"> </w:t>
      </w:r>
      <w:r w:rsidR="00805FF8">
        <w:t>mg (as hydrochloride)</w:t>
      </w:r>
      <w:r w:rsidR="00163F66">
        <w:t>,</w:t>
      </w:r>
      <w:r w:rsidR="00163F66">
        <w:br/>
      </w:r>
      <w:r w:rsidR="00805FF8">
        <w:t>Ifinwil</w:t>
      </w:r>
      <w:r w:rsidR="00B60939" w:rsidRPr="004A6040">
        <w:rPr>
          <w:vertAlign w:val="superscript"/>
        </w:rPr>
        <w:t>®</w:t>
      </w:r>
      <w:r w:rsidR="004A6040" w:rsidRPr="004A6040">
        <w:t>,</w:t>
      </w:r>
      <w:r w:rsidR="004A6040" w:rsidRPr="004A6040">
        <w:br/>
      </w:r>
      <w:r w:rsidR="00805FF8">
        <w:t>Norgine Pty Ltd</w:t>
      </w:r>
      <w:r w:rsidR="00B60939" w:rsidRPr="004A6040">
        <w:t>.</w:t>
      </w:r>
      <w:bookmarkEnd w:id="0"/>
    </w:p>
    <w:p w14:paraId="11C00795" w14:textId="3DFB6D23" w:rsidR="00B50DB8" w:rsidRPr="00407F2D" w:rsidRDefault="00B50DB8" w:rsidP="004A6040">
      <w:pPr>
        <w:pStyle w:val="2-SectionHeading"/>
      </w:pPr>
      <w:bookmarkStart w:id="1" w:name="_Toc188441759"/>
      <w:r w:rsidRPr="00407F2D">
        <w:t xml:space="preserve">Purpose of </w:t>
      </w:r>
      <w:r w:rsidR="00CD7193">
        <w:t>s</w:t>
      </w:r>
      <w:r w:rsidR="00BB3A45">
        <w:t>ubmission</w:t>
      </w:r>
      <w:bookmarkEnd w:id="1"/>
    </w:p>
    <w:p w14:paraId="6D879D82" w14:textId="54661C38" w:rsidR="00D137A3" w:rsidRPr="008B1757" w:rsidRDefault="00D137A3" w:rsidP="00D137A3">
      <w:pPr>
        <w:pStyle w:val="3-BodyText"/>
      </w:pPr>
      <w:r w:rsidRPr="7F2A1B4F">
        <w:t>The Category 1 submission requested Authority Required (Written) listing for eflornithine for post-maintenance treatment</w:t>
      </w:r>
      <w:r w:rsidR="000D09B8" w:rsidRPr="7F2A1B4F">
        <w:t xml:space="preserve"> to prevent relapse in</w:t>
      </w:r>
      <w:r w:rsidRPr="7F2A1B4F">
        <w:t xml:space="preserve"> patients with high-risk neuroblastoma (HRNB) who are in remission</w:t>
      </w:r>
      <w:r w:rsidR="00EB6769">
        <w:t xml:space="preserve"> (i)</w:t>
      </w:r>
      <w:r w:rsidRPr="7F2A1B4F">
        <w:t xml:space="preserve"> at the end of upfront therapy</w:t>
      </w:r>
      <w:r w:rsidR="00B36541" w:rsidRPr="7F2A1B4F">
        <w:t>;</w:t>
      </w:r>
      <w:r w:rsidRPr="7F2A1B4F">
        <w:t xml:space="preserve"> or </w:t>
      </w:r>
      <w:r w:rsidR="007113A3" w:rsidRPr="7F2A1B4F">
        <w:t xml:space="preserve">(ii) </w:t>
      </w:r>
      <w:r w:rsidRPr="7F2A1B4F">
        <w:t>after any previous treatment for relapsed or refractory disease.</w:t>
      </w:r>
    </w:p>
    <w:p w14:paraId="06B28542" w14:textId="6959B2C1" w:rsidR="00D137A3" w:rsidRDefault="00D137A3" w:rsidP="00D137A3">
      <w:pPr>
        <w:pStyle w:val="3-BodyText"/>
      </w:pPr>
      <w:r w:rsidRPr="7F2A1B4F">
        <w:t>Listing was requested on the basis of a cost-effectiveness analysis versus standard of care (</w:t>
      </w:r>
      <w:r w:rsidR="006D3A26" w:rsidRPr="7F2A1B4F">
        <w:t>SOC</w:t>
      </w:r>
      <w:r w:rsidRPr="7F2A1B4F">
        <w:t>).</w:t>
      </w:r>
    </w:p>
    <w:p w14:paraId="09AEE05D" w14:textId="092FED8A" w:rsidR="00D137A3" w:rsidRPr="004A6040" w:rsidRDefault="00D137A3" w:rsidP="7F2A1B4F">
      <w:pPr>
        <w:pStyle w:val="TableFigureHeading"/>
        <w:rPr>
          <w:rStyle w:val="CommentReference"/>
          <w:b/>
        </w:rPr>
      </w:pPr>
      <w:r w:rsidRPr="7F2A1B4F">
        <w:t xml:space="preserve">Table </w:t>
      </w:r>
      <w:r w:rsidRPr="7F2A1B4F">
        <w:fldChar w:fldCharType="begin" w:fldLock="1"/>
      </w:r>
      <w:r>
        <w:instrText xml:space="preserve"> SEQ Table \* ARABIC </w:instrText>
      </w:r>
      <w:r w:rsidRPr="7F2A1B4F">
        <w:fldChar w:fldCharType="separate"/>
      </w:r>
      <w:r w:rsidR="00AF2AB7">
        <w:rPr>
          <w:noProof/>
        </w:rPr>
        <w:t>1</w:t>
      </w:r>
      <w:r w:rsidRPr="7F2A1B4F">
        <w:rPr>
          <w:noProof/>
        </w:rPr>
        <w:fldChar w:fldCharType="end"/>
      </w:r>
      <w:r w:rsidRPr="7F2A1B4F">
        <w:t>:</w:t>
      </w:r>
      <w:r w:rsidRPr="7F2A1B4F">
        <w:rPr>
          <w:rStyle w:val="CommentReference"/>
          <w:b/>
        </w:rPr>
        <w:t xml:space="preserve"> Key components of the clinical issue addressed by the submission (as stated in the submission)</w:t>
      </w:r>
    </w:p>
    <w:tbl>
      <w:tblPr>
        <w:tblStyle w:val="PBAClayout"/>
        <w:tblW w:w="5000" w:type="pct"/>
        <w:tblLook w:val="04A0" w:firstRow="1" w:lastRow="0" w:firstColumn="1" w:lastColumn="0" w:noHBand="0" w:noVBand="1"/>
        <w:tblCaption w:val="Table 1"/>
        <w:tblDescription w:val="Key components of the clinical issue addressed by the submission "/>
      </w:tblPr>
      <w:tblGrid>
        <w:gridCol w:w="1414"/>
        <w:gridCol w:w="7603"/>
      </w:tblGrid>
      <w:tr w:rsidR="00D137A3" w:rsidRPr="00711038" w14:paraId="4F9C8FF7" w14:textId="77777777" w:rsidTr="7F2A1B4F">
        <w:tc>
          <w:tcPr>
            <w:tcW w:w="784" w:type="pct"/>
          </w:tcPr>
          <w:p w14:paraId="14E209C8" w14:textId="77777777" w:rsidR="00D137A3" w:rsidRPr="00711038" w:rsidRDefault="00D137A3" w:rsidP="00D137A3">
            <w:pPr>
              <w:pStyle w:val="In-tableHeading"/>
              <w:rPr>
                <w:szCs w:val="20"/>
              </w:rPr>
            </w:pPr>
            <w:r w:rsidRPr="00711038">
              <w:t>Component</w:t>
            </w:r>
          </w:p>
        </w:tc>
        <w:tc>
          <w:tcPr>
            <w:tcW w:w="4216" w:type="pct"/>
          </w:tcPr>
          <w:p w14:paraId="3E9E07C3" w14:textId="77777777" w:rsidR="00D137A3" w:rsidRPr="00711038" w:rsidRDefault="00D137A3" w:rsidP="00D137A3">
            <w:pPr>
              <w:pStyle w:val="In-tableHeading"/>
            </w:pPr>
            <w:r w:rsidRPr="00711038">
              <w:t>Description</w:t>
            </w:r>
          </w:p>
        </w:tc>
      </w:tr>
      <w:tr w:rsidR="00D137A3" w:rsidRPr="00711038" w14:paraId="2E4FE337" w14:textId="77777777" w:rsidTr="7F2A1B4F">
        <w:tc>
          <w:tcPr>
            <w:tcW w:w="784" w:type="pct"/>
          </w:tcPr>
          <w:p w14:paraId="444BE58D" w14:textId="77777777" w:rsidR="00D137A3" w:rsidRPr="00711038" w:rsidRDefault="00D137A3" w:rsidP="00D137A3">
            <w:pPr>
              <w:pStyle w:val="TableText0"/>
            </w:pPr>
            <w:r w:rsidRPr="00711038">
              <w:t>Population</w:t>
            </w:r>
          </w:p>
        </w:tc>
        <w:tc>
          <w:tcPr>
            <w:tcW w:w="4216" w:type="pct"/>
          </w:tcPr>
          <w:p w14:paraId="2EB21E80" w14:textId="77777777" w:rsidR="00D137A3" w:rsidRPr="00711038" w:rsidRDefault="00D137A3" w:rsidP="00D137A3">
            <w:pPr>
              <w:pStyle w:val="TableText0"/>
            </w:pPr>
            <w:r w:rsidRPr="00711038">
              <w:t>Patients aged 1 year and older with high</w:t>
            </w:r>
            <w:r w:rsidRPr="00711038">
              <w:rPr>
                <w:rFonts w:ascii="Cambria Math" w:hAnsi="Cambria Math" w:cs="Cambria Math"/>
              </w:rPr>
              <w:t>‑</w:t>
            </w:r>
            <w:r w:rsidRPr="00711038">
              <w:t>risk neuroblastoma (HRNB) who have responded to prior multiagent, multimodality therapy:</w:t>
            </w:r>
          </w:p>
          <w:p w14:paraId="0248EAE5" w14:textId="0859169E" w:rsidR="00D137A3" w:rsidRPr="00711038" w:rsidRDefault="00D137A3" w:rsidP="7F2A1B4F">
            <w:pPr>
              <w:pStyle w:val="TableText0"/>
              <w:rPr>
                <w:vertAlign w:val="superscript"/>
              </w:rPr>
            </w:pPr>
            <w:r w:rsidRPr="7F2A1B4F">
              <w:t>-</w:t>
            </w:r>
            <w:r>
              <w:tab/>
            </w:r>
            <w:r w:rsidRPr="7F2A1B4F">
              <w:t>Stratum 1: Patients who were in remission at the end of upfront therapy</w:t>
            </w:r>
            <w:r w:rsidR="0087224A">
              <w:t xml:space="preserve"> </w:t>
            </w:r>
            <w:r w:rsidR="007B473A" w:rsidRPr="7F2A1B4F">
              <w:rPr>
                <w:vertAlign w:val="superscript"/>
              </w:rPr>
              <w:t>a</w:t>
            </w:r>
          </w:p>
          <w:p w14:paraId="4268173A" w14:textId="7F66084B" w:rsidR="00D137A3" w:rsidRPr="00711038" w:rsidRDefault="00D137A3" w:rsidP="7F2A1B4F">
            <w:pPr>
              <w:pStyle w:val="TableText0"/>
              <w:rPr>
                <w:vertAlign w:val="superscript"/>
              </w:rPr>
            </w:pPr>
            <w:r w:rsidRPr="7F2A1B4F">
              <w:t>-</w:t>
            </w:r>
            <w:r>
              <w:tab/>
            </w:r>
            <w:r w:rsidRPr="7F2A1B4F">
              <w:t>Stratum 2: Patients who were in remission after any previous relapse or refractory therapy</w:t>
            </w:r>
            <w:r w:rsidR="0087224A">
              <w:t xml:space="preserve"> </w:t>
            </w:r>
            <w:r w:rsidR="007B473A" w:rsidRPr="7F2A1B4F">
              <w:rPr>
                <w:vertAlign w:val="superscript"/>
              </w:rPr>
              <w:t>b</w:t>
            </w:r>
          </w:p>
        </w:tc>
      </w:tr>
      <w:tr w:rsidR="00D137A3" w:rsidRPr="00711038" w14:paraId="5C1B7649" w14:textId="77777777" w:rsidTr="7F2A1B4F">
        <w:tc>
          <w:tcPr>
            <w:tcW w:w="784" w:type="pct"/>
          </w:tcPr>
          <w:p w14:paraId="49CC88FA" w14:textId="77777777" w:rsidR="00D137A3" w:rsidRPr="00711038" w:rsidRDefault="00D137A3" w:rsidP="00D137A3">
            <w:pPr>
              <w:pStyle w:val="TableText0"/>
            </w:pPr>
            <w:r w:rsidRPr="00711038">
              <w:t>Intervention</w:t>
            </w:r>
          </w:p>
        </w:tc>
        <w:tc>
          <w:tcPr>
            <w:tcW w:w="4216" w:type="pct"/>
          </w:tcPr>
          <w:p w14:paraId="46AFAA0C" w14:textId="6D8AC2F4" w:rsidR="00D137A3" w:rsidRPr="00711038" w:rsidRDefault="00D137A3" w:rsidP="00D137A3">
            <w:pPr>
              <w:pStyle w:val="TableText0"/>
            </w:pPr>
            <w:r w:rsidRPr="7F2A1B4F">
              <w:t>Eflornithine oral tablet twice a day for 2 years or until recurrence of disease or unacceptable toxicity occurs (plus</w:t>
            </w:r>
            <w:r w:rsidRPr="7F2A1B4F">
              <w:rPr>
                <w:i/>
                <w:iCs/>
              </w:rPr>
              <w:t xml:space="preserve"> </w:t>
            </w:r>
            <w:r w:rsidRPr="7F2A1B4F">
              <w:t xml:space="preserve">standard of care, </w:t>
            </w:r>
            <w:r w:rsidR="006D3A26" w:rsidRPr="7F2A1B4F">
              <w:t>SOC</w:t>
            </w:r>
            <w:r w:rsidRPr="7F2A1B4F">
              <w:t xml:space="preserve">). The eflornithine dose is determined based on body surface area (BSA). Dose range is 1 to 4 </w:t>
            </w:r>
            <w:r w:rsidR="00EA3388" w:rsidRPr="7F2A1B4F">
              <w:t xml:space="preserve">x 250 mg </w:t>
            </w:r>
            <w:r w:rsidRPr="7F2A1B4F">
              <w:t>tablets twice a day; tablets may be swallowed whole, chewed, or crushed and mixed with soft food or liquid</w:t>
            </w:r>
            <w:r w:rsidR="0087224A">
              <w:t xml:space="preserve"> </w:t>
            </w:r>
            <w:r w:rsidR="007B473A" w:rsidRPr="7F2A1B4F">
              <w:rPr>
                <w:vertAlign w:val="superscript"/>
              </w:rPr>
              <w:t>c</w:t>
            </w:r>
            <w:r w:rsidR="007B473A" w:rsidRPr="7F2A1B4F">
              <w:t>.</w:t>
            </w:r>
          </w:p>
        </w:tc>
      </w:tr>
      <w:tr w:rsidR="00D137A3" w:rsidRPr="00711038" w14:paraId="3E3202B7" w14:textId="77777777" w:rsidTr="7F2A1B4F">
        <w:tc>
          <w:tcPr>
            <w:tcW w:w="784" w:type="pct"/>
          </w:tcPr>
          <w:p w14:paraId="2495A5E3" w14:textId="77777777" w:rsidR="00D137A3" w:rsidRPr="00711038" w:rsidRDefault="00D137A3" w:rsidP="00D137A3">
            <w:pPr>
              <w:pStyle w:val="TableText0"/>
            </w:pPr>
            <w:r w:rsidRPr="00711038">
              <w:t>Comparator</w:t>
            </w:r>
          </w:p>
        </w:tc>
        <w:tc>
          <w:tcPr>
            <w:tcW w:w="4216" w:type="pct"/>
          </w:tcPr>
          <w:p w14:paraId="1C09C75D" w14:textId="700D14C7" w:rsidR="00D137A3" w:rsidRPr="00711038" w:rsidRDefault="006D3A26" w:rsidP="00D137A3">
            <w:pPr>
              <w:pStyle w:val="TableText0"/>
            </w:pPr>
            <w:r w:rsidRPr="00711038">
              <w:t>S</w:t>
            </w:r>
            <w:r>
              <w:t>O</w:t>
            </w:r>
            <w:r w:rsidRPr="00711038">
              <w:t xml:space="preserve">C </w:t>
            </w:r>
            <w:r w:rsidR="00D137A3" w:rsidRPr="00711038">
              <w:t>defined as follow-up care and monitoring</w:t>
            </w:r>
          </w:p>
        </w:tc>
      </w:tr>
      <w:tr w:rsidR="00D137A3" w:rsidRPr="00711038" w14:paraId="18E5C244" w14:textId="77777777" w:rsidTr="7F2A1B4F">
        <w:tc>
          <w:tcPr>
            <w:tcW w:w="784" w:type="pct"/>
          </w:tcPr>
          <w:p w14:paraId="1F9F0EB5" w14:textId="77777777" w:rsidR="00D137A3" w:rsidRPr="00711038" w:rsidRDefault="00D137A3" w:rsidP="00D137A3">
            <w:pPr>
              <w:pStyle w:val="TableText0"/>
            </w:pPr>
            <w:r w:rsidRPr="00711038">
              <w:t>Outcomes</w:t>
            </w:r>
          </w:p>
        </w:tc>
        <w:tc>
          <w:tcPr>
            <w:tcW w:w="4216" w:type="pct"/>
          </w:tcPr>
          <w:p w14:paraId="340402A2" w14:textId="77777777" w:rsidR="00D137A3" w:rsidRPr="00711038" w:rsidRDefault="00D137A3" w:rsidP="00D137A3">
            <w:pPr>
              <w:pStyle w:val="TableText0"/>
              <w:rPr>
                <w:rFonts w:eastAsia="Times New Roman" w:cs="Arial"/>
                <w:bCs w:val="0"/>
                <w:snapToGrid w:val="0"/>
                <w:szCs w:val="20"/>
              </w:rPr>
            </w:pPr>
            <w:r w:rsidRPr="00711038">
              <w:t>EFS, OS, safety</w:t>
            </w:r>
          </w:p>
        </w:tc>
      </w:tr>
      <w:tr w:rsidR="00D137A3" w:rsidRPr="00711038" w14:paraId="3E39A6F5" w14:textId="77777777" w:rsidTr="7F2A1B4F">
        <w:tc>
          <w:tcPr>
            <w:tcW w:w="784" w:type="pct"/>
          </w:tcPr>
          <w:p w14:paraId="415A7422" w14:textId="77777777" w:rsidR="00D137A3" w:rsidRPr="00711038" w:rsidRDefault="00D137A3" w:rsidP="00D137A3">
            <w:pPr>
              <w:pStyle w:val="TableText0"/>
            </w:pPr>
            <w:r w:rsidRPr="00711038">
              <w:t>Clinical claim</w:t>
            </w:r>
          </w:p>
        </w:tc>
        <w:tc>
          <w:tcPr>
            <w:tcW w:w="4216" w:type="pct"/>
          </w:tcPr>
          <w:p w14:paraId="4626167E" w14:textId="5F59608B" w:rsidR="00D137A3" w:rsidRPr="00711038" w:rsidRDefault="00D137A3" w:rsidP="00D137A3">
            <w:pPr>
              <w:pStyle w:val="TableText0"/>
              <w:rPr>
                <w:rFonts w:eastAsia="Times New Roman" w:cs="Arial"/>
                <w:bCs w:val="0"/>
                <w:snapToGrid w:val="0"/>
                <w:szCs w:val="20"/>
              </w:rPr>
            </w:pPr>
            <w:r w:rsidRPr="00711038">
              <w:t xml:space="preserve">In patients ≥ 1 year old with HRNB, eflornithine + </w:t>
            </w:r>
            <w:r w:rsidR="006D3A26" w:rsidRPr="00711038">
              <w:t>S</w:t>
            </w:r>
            <w:r w:rsidR="006D3A26">
              <w:t>O</w:t>
            </w:r>
            <w:r w:rsidR="006D3A26" w:rsidRPr="00711038">
              <w:t xml:space="preserve">C </w:t>
            </w:r>
            <w:r w:rsidRPr="00711038">
              <w:t xml:space="preserve">is superior to </w:t>
            </w:r>
            <w:r w:rsidR="006D3A26" w:rsidRPr="00711038">
              <w:t>S</w:t>
            </w:r>
            <w:r w:rsidR="006D3A26">
              <w:t>O</w:t>
            </w:r>
            <w:r w:rsidR="006D3A26" w:rsidRPr="00711038">
              <w:t xml:space="preserve">C </w:t>
            </w:r>
            <w:r w:rsidRPr="00711038">
              <w:t>alone at improving EFS and OS, with a manageable adverse event safety profile.</w:t>
            </w:r>
          </w:p>
        </w:tc>
      </w:tr>
    </w:tbl>
    <w:p w14:paraId="44C6CDE9" w14:textId="77777777" w:rsidR="00D137A3" w:rsidRDefault="00D137A3" w:rsidP="00D137A3">
      <w:pPr>
        <w:pStyle w:val="FooterTableFigure"/>
      </w:pPr>
      <w:r>
        <w:t xml:space="preserve">Source: Table1-1, p18 </w:t>
      </w:r>
      <w:r w:rsidRPr="00D13A3E">
        <w:t xml:space="preserve">of the </w:t>
      </w:r>
      <w:r>
        <w:t>submission.</w:t>
      </w:r>
    </w:p>
    <w:p w14:paraId="19D6335F" w14:textId="35A07D76" w:rsidR="00D137A3" w:rsidRDefault="007B473A" w:rsidP="00D137A3">
      <w:pPr>
        <w:pStyle w:val="FooterTableFigure"/>
        <w:ind w:left="165" w:hanging="165"/>
      </w:pPr>
      <w:r w:rsidRPr="7F2A1B4F">
        <w:rPr>
          <w:vertAlign w:val="superscript"/>
        </w:rPr>
        <w:t>a</w:t>
      </w:r>
      <w:r>
        <w:tab/>
      </w:r>
      <w:r w:rsidR="00D137A3" w:rsidRPr="7F2A1B4F">
        <w:t>Defined in Study NMTRC003b as: chemotherapy (5-7 cycles), surgery as indicated, consolidation therapy as indicated, radiation therapy as indicated, or anti-ganglioside 2 (GD2) antibody therapy with retinoic acid up to 6 cycles.</w:t>
      </w:r>
    </w:p>
    <w:p w14:paraId="497D812D" w14:textId="68F9EF75" w:rsidR="00D137A3" w:rsidRDefault="007B473A" w:rsidP="00D137A3">
      <w:pPr>
        <w:pStyle w:val="FooterTableFigure"/>
      </w:pPr>
      <w:r w:rsidRPr="7F2A1B4F">
        <w:rPr>
          <w:vertAlign w:val="superscript"/>
        </w:rPr>
        <w:t>b</w:t>
      </w:r>
      <w:r>
        <w:tab/>
      </w:r>
      <w:r w:rsidR="00D137A3" w:rsidRPr="7F2A1B4F">
        <w:t>Defined as any patient who received additional therapy due to a suboptimal response to standard therapy.</w:t>
      </w:r>
    </w:p>
    <w:p w14:paraId="6ED187FE" w14:textId="5764424E" w:rsidR="00D137A3" w:rsidRPr="003976C5" w:rsidRDefault="007B473A" w:rsidP="00D137A3">
      <w:pPr>
        <w:pStyle w:val="FooterTableFigure"/>
      </w:pPr>
      <w:r w:rsidRPr="7F2A1B4F">
        <w:rPr>
          <w:vertAlign w:val="superscript"/>
        </w:rPr>
        <w:t>c</w:t>
      </w:r>
      <w:r>
        <w:tab/>
      </w:r>
      <w:r w:rsidR="00D137A3" w:rsidRPr="7F2A1B4F">
        <w:t>Draft product information (PI) 2024</w:t>
      </w:r>
    </w:p>
    <w:p w14:paraId="775B03A5" w14:textId="02D9AE09" w:rsidR="00D137A3" w:rsidRPr="004A6040" w:rsidRDefault="00D137A3" w:rsidP="00D137A3">
      <w:pPr>
        <w:pStyle w:val="FooterTableFigure"/>
        <w:rPr>
          <w:sz w:val="20"/>
        </w:rPr>
      </w:pPr>
      <w:r>
        <w:t xml:space="preserve">BSA=body surface area; EFS=event free survival; HRNB=high-risk neuroblastoma; OS=overall survival; PI=product information; </w:t>
      </w:r>
      <w:r w:rsidR="006D3A26">
        <w:t>SOC</w:t>
      </w:r>
      <w:r>
        <w:t>=standard of care</w:t>
      </w:r>
    </w:p>
    <w:p w14:paraId="79A7D231" w14:textId="77777777" w:rsidR="00D137A3" w:rsidRPr="00407F2D" w:rsidRDefault="00D137A3" w:rsidP="00D137A3">
      <w:pPr>
        <w:pStyle w:val="2-SectionHeading"/>
        <w:numPr>
          <w:ilvl w:val="0"/>
          <w:numId w:val="1"/>
        </w:numPr>
      </w:pPr>
      <w:bookmarkStart w:id="2" w:name="_Toc107927619"/>
      <w:bookmarkStart w:id="3" w:name="_Toc188441760"/>
      <w:r w:rsidRPr="00407F2D">
        <w:t>Background</w:t>
      </w:r>
      <w:bookmarkEnd w:id="2"/>
      <w:bookmarkEnd w:id="3"/>
    </w:p>
    <w:p w14:paraId="36378861" w14:textId="77777777" w:rsidR="00D137A3" w:rsidRDefault="00D137A3" w:rsidP="00D137A3">
      <w:pPr>
        <w:pStyle w:val="4-SubsectionHeading"/>
      </w:pPr>
      <w:bookmarkStart w:id="4" w:name="_Toc22897638"/>
      <w:bookmarkStart w:id="5" w:name="_Toc107927620"/>
      <w:bookmarkStart w:id="6" w:name="_Toc188441761"/>
      <w:r w:rsidRPr="004151CF">
        <w:t>Registration status</w:t>
      </w:r>
      <w:bookmarkEnd w:id="4"/>
      <w:bookmarkEnd w:id="5"/>
      <w:bookmarkEnd w:id="6"/>
    </w:p>
    <w:p w14:paraId="0B77BE58" w14:textId="6D1F2140" w:rsidR="00D137A3" w:rsidRDefault="00D137A3" w:rsidP="00D137A3">
      <w:pPr>
        <w:pStyle w:val="3-BodyText"/>
      </w:pPr>
      <w:r w:rsidRPr="7F2A1B4F">
        <w:t>Eflornithine was granted orphan drug designation by the TGA on 7 December 2022. The submission was made under the TGA/PBAC Parallel Process for the indication: ‘treatment of</w:t>
      </w:r>
      <w:r w:rsidR="0006209C" w:rsidRPr="7F2A1B4F">
        <w:t xml:space="preserve"> adults and paediatric</w:t>
      </w:r>
      <w:r w:rsidRPr="7F2A1B4F">
        <w:t xml:space="preserve"> patients aged 1 year and older with high-risk neuroblastoma (HRNB) who have responded to prior multiagent, multimodality therapy.’</w:t>
      </w:r>
    </w:p>
    <w:p w14:paraId="4323ABAA" w14:textId="7A3C7508" w:rsidR="00E803D3" w:rsidRPr="00E803D3" w:rsidRDefault="00D137A3" w:rsidP="00D137A3">
      <w:pPr>
        <w:pStyle w:val="3-BodyText"/>
      </w:pPr>
      <w:bookmarkStart w:id="7" w:name="_Ref190590324"/>
      <w:r w:rsidRPr="7F2A1B4F">
        <w:t>T</w:t>
      </w:r>
      <w:r w:rsidRPr="7F2A1B4F">
        <w:rPr>
          <w:rFonts w:cstheme="minorBidi"/>
        </w:rPr>
        <w:t>he TGA us</w:t>
      </w:r>
      <w:r w:rsidR="0045235F">
        <w:rPr>
          <w:rFonts w:cstheme="minorBidi"/>
        </w:rPr>
        <w:t>ed</w:t>
      </w:r>
      <w:r w:rsidRPr="7F2A1B4F">
        <w:rPr>
          <w:rFonts w:cstheme="minorBidi"/>
        </w:rPr>
        <w:t xml:space="preserve"> the FDA’s assessment aid in lieu of a TGA Clinical Evaluation Report.</w:t>
      </w:r>
      <w:r w:rsidR="00D7008E">
        <w:rPr>
          <w:rFonts w:cstheme="minorBidi"/>
        </w:rPr>
        <w:t xml:space="preserve"> </w:t>
      </w:r>
      <w:r w:rsidR="00BF7E0E">
        <w:rPr>
          <w:rFonts w:cstheme="minorBidi"/>
        </w:rPr>
        <w:t>A positive</w:t>
      </w:r>
      <w:r w:rsidR="00BF7E0E" w:rsidRPr="002C48FA">
        <w:rPr>
          <w:rFonts w:cstheme="minorBidi"/>
        </w:rPr>
        <w:t xml:space="preserve"> </w:t>
      </w:r>
      <w:r w:rsidR="00434B9E" w:rsidRPr="002C48FA">
        <w:rPr>
          <w:rFonts w:cstheme="minorBidi"/>
        </w:rPr>
        <w:t>TGA</w:t>
      </w:r>
      <w:r w:rsidR="00AD0FAE" w:rsidRPr="002C48FA">
        <w:rPr>
          <w:rFonts w:cstheme="minorBidi"/>
        </w:rPr>
        <w:t xml:space="preserve"> Delegate’s Overview </w:t>
      </w:r>
      <w:r w:rsidR="000B7F74" w:rsidRPr="002C48FA">
        <w:rPr>
          <w:rFonts w:cstheme="minorBidi"/>
        </w:rPr>
        <w:t>was</w:t>
      </w:r>
      <w:r w:rsidR="00AD0FAE" w:rsidRPr="002C48FA">
        <w:rPr>
          <w:rFonts w:cstheme="minorBidi"/>
        </w:rPr>
        <w:t xml:space="preserve"> </w:t>
      </w:r>
      <w:r w:rsidR="00C2572C" w:rsidRPr="002C48FA">
        <w:rPr>
          <w:rFonts w:cstheme="minorBidi"/>
        </w:rPr>
        <w:t>available</w:t>
      </w:r>
      <w:r w:rsidR="000B7F74" w:rsidRPr="002C48FA">
        <w:rPr>
          <w:rFonts w:cstheme="minorBidi"/>
        </w:rPr>
        <w:t xml:space="preserve"> </w:t>
      </w:r>
      <w:r w:rsidR="00EC2A57" w:rsidRPr="002C48FA">
        <w:rPr>
          <w:rFonts w:cstheme="minorBidi"/>
        </w:rPr>
        <w:t>prior to the ESC meeting</w:t>
      </w:r>
      <w:r w:rsidR="00C2572C" w:rsidRPr="002C48FA">
        <w:rPr>
          <w:rFonts w:cstheme="minorBidi"/>
        </w:rPr>
        <w:t>.</w:t>
      </w:r>
      <w:r w:rsidR="002B7EC3" w:rsidRPr="002C48FA">
        <w:rPr>
          <w:rFonts w:cstheme="minorBidi"/>
        </w:rPr>
        <w:t xml:space="preserve"> The </w:t>
      </w:r>
      <w:r w:rsidR="002B7EC3" w:rsidRPr="002C48FA">
        <w:rPr>
          <w:rFonts w:cstheme="minorBidi"/>
        </w:rPr>
        <w:lastRenderedPageBreak/>
        <w:t xml:space="preserve">Delegate </w:t>
      </w:r>
      <w:r w:rsidR="00105AF5" w:rsidRPr="002C48FA">
        <w:rPr>
          <w:rFonts w:cstheme="minorBidi"/>
        </w:rPr>
        <w:t xml:space="preserve">proposed to approve eflornithine </w:t>
      </w:r>
      <w:r w:rsidR="004F26B1" w:rsidRPr="002C48FA">
        <w:rPr>
          <w:rFonts w:cstheme="minorBidi"/>
        </w:rPr>
        <w:t xml:space="preserve">with the following conditions of registration: </w:t>
      </w:r>
    </w:p>
    <w:p w14:paraId="3AD06064" w14:textId="24B4B4CA" w:rsidR="00E803D3" w:rsidRDefault="00E803D3" w:rsidP="00510314">
      <w:pPr>
        <w:pStyle w:val="3-BodyText"/>
        <w:numPr>
          <w:ilvl w:val="0"/>
          <w:numId w:val="35"/>
        </w:numPr>
        <w:ind w:left="1134" w:hanging="425"/>
        <w:rPr>
          <w:rFonts w:cstheme="minorBidi"/>
        </w:rPr>
      </w:pPr>
      <w:r>
        <w:rPr>
          <w:rFonts w:cstheme="minorBidi"/>
        </w:rPr>
        <w:t>S</w:t>
      </w:r>
      <w:r w:rsidR="009163ED" w:rsidRPr="002C48FA">
        <w:rPr>
          <w:rFonts w:cstheme="minorBidi"/>
        </w:rPr>
        <w:t xml:space="preserve">ubmit to the TGA the same data that </w:t>
      </w:r>
      <w:r w:rsidR="004C795C">
        <w:rPr>
          <w:rFonts w:cstheme="minorBidi"/>
        </w:rPr>
        <w:t>were</w:t>
      </w:r>
      <w:r w:rsidR="004C795C" w:rsidRPr="002C48FA">
        <w:rPr>
          <w:rFonts w:cstheme="minorBidi"/>
        </w:rPr>
        <w:t xml:space="preserve"> </w:t>
      </w:r>
      <w:r w:rsidR="009163ED" w:rsidRPr="002C48FA">
        <w:rPr>
          <w:rFonts w:cstheme="minorBidi"/>
        </w:rPr>
        <w:t>submitted to the FDA</w:t>
      </w:r>
      <w:r w:rsidR="00BE56CF" w:rsidRPr="002C48FA">
        <w:rPr>
          <w:rFonts w:cstheme="minorBidi"/>
        </w:rPr>
        <w:t xml:space="preserve"> regarding a post-marketing requirement </w:t>
      </w:r>
      <w:r w:rsidR="00DF32C1" w:rsidRPr="002C48FA">
        <w:rPr>
          <w:rFonts w:cstheme="minorBidi"/>
        </w:rPr>
        <w:t>to conduct an integrated safety analysis of clinical trial data to assess the serious risk of ototoxicity and to characteri</w:t>
      </w:r>
      <w:r w:rsidR="00FB46B4" w:rsidRPr="002C48FA">
        <w:rPr>
          <w:rFonts w:cstheme="minorBidi"/>
        </w:rPr>
        <w:t>s</w:t>
      </w:r>
      <w:r w:rsidR="00DF32C1" w:rsidRPr="002C48FA">
        <w:rPr>
          <w:rFonts w:cstheme="minorBidi"/>
        </w:rPr>
        <w:t xml:space="preserve">e the serious risks of severe adverse reactions including myelosuppression and hepatotoxicity and their sequelae; and to identify risk factors for development of these adverse reactions; and </w:t>
      </w:r>
    </w:p>
    <w:p w14:paraId="7AE41F1D" w14:textId="4388786F" w:rsidR="00EE3F5A" w:rsidRPr="00EE3F5A" w:rsidRDefault="00E803D3" w:rsidP="00510314">
      <w:pPr>
        <w:pStyle w:val="3-BodyText"/>
        <w:numPr>
          <w:ilvl w:val="0"/>
          <w:numId w:val="35"/>
        </w:numPr>
        <w:ind w:left="1134" w:hanging="425"/>
      </w:pPr>
      <w:r>
        <w:rPr>
          <w:rFonts w:cstheme="minorBidi"/>
        </w:rPr>
        <w:t>A</w:t>
      </w:r>
      <w:r w:rsidR="007311F6" w:rsidRPr="002C48FA">
        <w:rPr>
          <w:rFonts w:cstheme="minorBidi"/>
        </w:rPr>
        <w:t>dhere to</w:t>
      </w:r>
      <w:r w:rsidR="001704F6" w:rsidRPr="002C48FA">
        <w:rPr>
          <w:rFonts w:cstheme="minorBidi"/>
        </w:rPr>
        <w:t xml:space="preserve"> the </w:t>
      </w:r>
      <w:r w:rsidR="00F25EE6" w:rsidRPr="002C48FA">
        <w:rPr>
          <w:rFonts w:cstheme="minorBidi"/>
        </w:rPr>
        <w:t>Risk Management Plan</w:t>
      </w:r>
      <w:r w:rsidR="001704F6" w:rsidRPr="002C48FA">
        <w:rPr>
          <w:rFonts w:cstheme="minorBidi"/>
        </w:rPr>
        <w:t xml:space="preserve"> evaluator recommendations, including</w:t>
      </w:r>
      <w:r w:rsidR="003252F8" w:rsidRPr="002C48FA">
        <w:rPr>
          <w:rFonts w:cstheme="minorBidi"/>
        </w:rPr>
        <w:t xml:space="preserve"> implementing the</w:t>
      </w:r>
      <w:r w:rsidR="001704F6" w:rsidRPr="002C48FA">
        <w:rPr>
          <w:rFonts w:cstheme="minorBidi"/>
        </w:rPr>
        <w:t xml:space="preserve"> black triangle scheme </w:t>
      </w:r>
      <w:r w:rsidR="00157092" w:rsidRPr="002C48FA">
        <w:rPr>
          <w:rFonts w:cstheme="minorBidi"/>
        </w:rPr>
        <w:t>to report suspected adverse events</w:t>
      </w:r>
      <w:r w:rsidR="005B37B7" w:rsidRPr="002C48FA">
        <w:rPr>
          <w:rFonts w:cstheme="minorBidi"/>
        </w:rPr>
        <w:t xml:space="preserve"> (AEs)</w:t>
      </w:r>
      <w:r w:rsidR="00157092" w:rsidRPr="002C48FA">
        <w:rPr>
          <w:rFonts w:cstheme="minorBidi"/>
        </w:rPr>
        <w:t xml:space="preserve"> related to new medicines</w:t>
      </w:r>
      <w:r w:rsidR="001704F6" w:rsidRPr="002C48FA">
        <w:rPr>
          <w:rFonts w:cstheme="minorBidi"/>
        </w:rPr>
        <w:t>.</w:t>
      </w:r>
    </w:p>
    <w:p w14:paraId="0BCDE5ED" w14:textId="0A554BBD" w:rsidR="00D137A3" w:rsidRPr="002C48FA" w:rsidRDefault="00EE3F5A" w:rsidP="00FE32E3">
      <w:pPr>
        <w:pStyle w:val="3-BodyText"/>
        <w:numPr>
          <w:ilvl w:val="0"/>
          <w:numId w:val="0"/>
        </w:numPr>
        <w:ind w:left="1004" w:firstLine="130"/>
      </w:pPr>
      <w:r w:rsidRPr="00C33D30">
        <w:rPr>
          <w:i/>
        </w:rPr>
        <w:t>For more detail on PBAC’s view, see section 7 PBAC outcome.</w:t>
      </w:r>
      <w:r w:rsidR="00F6759F">
        <w:rPr>
          <w:rFonts w:cstheme="minorBidi"/>
        </w:rPr>
        <w:t xml:space="preserve"> </w:t>
      </w:r>
      <w:bookmarkEnd w:id="7"/>
    </w:p>
    <w:p w14:paraId="46FA9085" w14:textId="77777777" w:rsidR="00D137A3" w:rsidRPr="00882085" w:rsidRDefault="00D137A3" w:rsidP="00F3295A">
      <w:pPr>
        <w:pStyle w:val="2-SectionHeading"/>
        <w:keepLines/>
        <w:numPr>
          <w:ilvl w:val="0"/>
          <w:numId w:val="1"/>
        </w:numPr>
      </w:pPr>
      <w:bookmarkStart w:id="8" w:name="_Toc107902078"/>
      <w:bookmarkStart w:id="9" w:name="_Toc107927622"/>
      <w:bookmarkStart w:id="10" w:name="_Toc188441762"/>
      <w:bookmarkEnd w:id="8"/>
      <w:r w:rsidRPr="00407F2D">
        <w:t>Requested listing</w:t>
      </w:r>
      <w:bookmarkEnd w:id="9"/>
      <w:bookmarkEnd w:id="10"/>
    </w:p>
    <w:p w14:paraId="15872173" w14:textId="6C136A50" w:rsidR="00D137A3" w:rsidRPr="00006CD7" w:rsidRDefault="00200121" w:rsidP="00101589">
      <w:pPr>
        <w:pStyle w:val="3-BodyText"/>
        <w:rPr>
          <w:iCs/>
        </w:rPr>
      </w:pPr>
      <w:r>
        <w:rPr>
          <w:rFonts w:cs="Calibri"/>
          <w:bCs/>
          <w:iCs/>
        </w:rPr>
        <w:t xml:space="preserve">The requested listing is presented below. </w:t>
      </w:r>
      <w:r w:rsidR="00B631EE" w:rsidRPr="00911028">
        <w:t>Suggestions and additions proposed by the Secretariat are added in italics and suggested deletions are crossed out with strikethrough.</w:t>
      </w:r>
    </w:p>
    <w:p w14:paraId="29757E8F" w14:textId="52DED85A" w:rsidR="00006CD7" w:rsidRPr="00006CD7" w:rsidRDefault="00006CD7" w:rsidP="0087224A">
      <w:pPr>
        <w:pStyle w:val="3-SubsectionHeading"/>
        <w:rPr>
          <w:iCs/>
        </w:rPr>
      </w:pPr>
      <w:r w:rsidRPr="00006CD7">
        <w:t>Initial Restriction</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itial restriction"/>
      </w:tblPr>
      <w:tblGrid>
        <w:gridCol w:w="1272"/>
        <w:gridCol w:w="1842"/>
        <w:gridCol w:w="1636"/>
        <w:gridCol w:w="812"/>
        <w:gridCol w:w="811"/>
        <w:gridCol w:w="812"/>
        <w:gridCol w:w="1888"/>
      </w:tblGrid>
      <w:tr w:rsidR="00211288" w:rsidRPr="00006CD7" w14:paraId="1535BE2D" w14:textId="77777777">
        <w:trPr>
          <w:cantSplit/>
          <w:trHeight w:val="20"/>
        </w:trPr>
        <w:tc>
          <w:tcPr>
            <w:tcW w:w="3113" w:type="dxa"/>
            <w:gridSpan w:val="2"/>
            <w:vAlign w:val="center"/>
          </w:tcPr>
          <w:p w14:paraId="5AF507F3" w14:textId="77777777" w:rsidR="00211288" w:rsidRPr="00006CD7" w:rsidRDefault="00211288" w:rsidP="001D7BD8">
            <w:pPr>
              <w:rPr>
                <w:rFonts w:ascii="Arial Narrow" w:hAnsi="Arial Narrow"/>
                <w:b/>
                <w:bCs/>
                <w:sz w:val="20"/>
                <w:szCs w:val="20"/>
              </w:rPr>
            </w:pPr>
            <w:r w:rsidRPr="00006CD7">
              <w:rPr>
                <w:rFonts w:ascii="Arial Narrow" w:hAnsi="Arial Narrow"/>
                <w:b/>
                <w:bCs/>
                <w:sz w:val="20"/>
                <w:szCs w:val="20"/>
              </w:rPr>
              <w:t>MEDICINAL PRODUCT</w:t>
            </w:r>
          </w:p>
          <w:p w14:paraId="053ED1D1" w14:textId="77777777" w:rsidR="00211288" w:rsidRPr="00006CD7" w:rsidRDefault="00211288" w:rsidP="001D7BD8">
            <w:r w:rsidRPr="00006CD7">
              <w:rPr>
                <w:rFonts w:ascii="Arial Narrow" w:hAnsi="Arial Narrow"/>
                <w:b/>
                <w:bCs/>
                <w:sz w:val="20"/>
                <w:szCs w:val="20"/>
              </w:rPr>
              <w:t>medicinal product pack</w:t>
            </w:r>
          </w:p>
        </w:tc>
        <w:tc>
          <w:tcPr>
            <w:tcW w:w="1636" w:type="dxa"/>
            <w:vAlign w:val="center"/>
          </w:tcPr>
          <w:p w14:paraId="5603FEEA" w14:textId="54B829B2" w:rsidR="00211288" w:rsidRPr="00006CD7" w:rsidRDefault="00C5045F">
            <w:pPr>
              <w:keepLines/>
              <w:jc w:val="center"/>
              <w:rPr>
                <w:rFonts w:ascii="Arial Narrow" w:hAnsi="Arial Narrow"/>
                <w:b/>
                <w:sz w:val="20"/>
                <w:szCs w:val="20"/>
              </w:rPr>
            </w:pPr>
            <w:r>
              <w:rPr>
                <w:rFonts w:ascii="Arial Narrow" w:hAnsi="Arial Narrow"/>
                <w:b/>
                <w:sz w:val="20"/>
                <w:szCs w:val="20"/>
              </w:rPr>
              <w:t>DPMQ (published)</w:t>
            </w:r>
          </w:p>
        </w:tc>
        <w:tc>
          <w:tcPr>
            <w:tcW w:w="812" w:type="dxa"/>
            <w:vAlign w:val="center"/>
          </w:tcPr>
          <w:p w14:paraId="7257357D" w14:textId="77777777" w:rsidR="00211288" w:rsidRPr="00006CD7" w:rsidRDefault="00211288">
            <w:pPr>
              <w:keepLines/>
              <w:jc w:val="center"/>
              <w:rPr>
                <w:rFonts w:ascii="Arial Narrow" w:hAnsi="Arial Narrow"/>
                <w:b/>
                <w:sz w:val="20"/>
                <w:szCs w:val="20"/>
              </w:rPr>
            </w:pPr>
            <w:r w:rsidRPr="00006CD7">
              <w:rPr>
                <w:rFonts w:ascii="Arial Narrow" w:hAnsi="Arial Narrow"/>
                <w:b/>
                <w:sz w:val="20"/>
                <w:szCs w:val="20"/>
              </w:rPr>
              <w:t>Max. qty packs</w:t>
            </w:r>
          </w:p>
        </w:tc>
        <w:tc>
          <w:tcPr>
            <w:tcW w:w="811" w:type="dxa"/>
            <w:vAlign w:val="center"/>
          </w:tcPr>
          <w:p w14:paraId="16ABFE7D" w14:textId="77777777" w:rsidR="00211288" w:rsidRPr="00006CD7" w:rsidRDefault="00211288">
            <w:pPr>
              <w:keepLines/>
              <w:jc w:val="center"/>
              <w:rPr>
                <w:rFonts w:ascii="Arial Narrow" w:hAnsi="Arial Narrow"/>
                <w:b/>
                <w:sz w:val="20"/>
                <w:szCs w:val="20"/>
              </w:rPr>
            </w:pPr>
            <w:r w:rsidRPr="00006CD7">
              <w:rPr>
                <w:rFonts w:ascii="Arial Narrow" w:hAnsi="Arial Narrow"/>
                <w:b/>
                <w:sz w:val="20"/>
                <w:szCs w:val="20"/>
              </w:rPr>
              <w:t>Max. qty units</w:t>
            </w:r>
          </w:p>
        </w:tc>
        <w:tc>
          <w:tcPr>
            <w:tcW w:w="812" w:type="dxa"/>
            <w:vAlign w:val="center"/>
          </w:tcPr>
          <w:p w14:paraId="5F4EC179" w14:textId="77777777" w:rsidR="00211288" w:rsidRPr="00006CD7" w:rsidRDefault="00211288">
            <w:pPr>
              <w:keepLines/>
              <w:jc w:val="center"/>
              <w:rPr>
                <w:rFonts w:ascii="Arial Narrow" w:hAnsi="Arial Narrow"/>
                <w:b/>
                <w:sz w:val="20"/>
                <w:szCs w:val="20"/>
              </w:rPr>
            </w:pPr>
            <w:r w:rsidRPr="00006CD7">
              <w:rPr>
                <w:rFonts w:ascii="Arial Narrow" w:hAnsi="Arial Narrow"/>
                <w:b/>
                <w:sz w:val="20"/>
                <w:szCs w:val="20"/>
              </w:rPr>
              <w:t>№.of</w:t>
            </w:r>
          </w:p>
          <w:p w14:paraId="6B612468" w14:textId="77777777" w:rsidR="00211288" w:rsidRPr="00006CD7" w:rsidRDefault="00211288">
            <w:pPr>
              <w:keepLines/>
              <w:jc w:val="center"/>
              <w:rPr>
                <w:rFonts w:ascii="Arial Narrow" w:hAnsi="Arial Narrow"/>
                <w:b/>
                <w:sz w:val="20"/>
                <w:szCs w:val="20"/>
              </w:rPr>
            </w:pPr>
            <w:r w:rsidRPr="00006CD7">
              <w:rPr>
                <w:rFonts w:ascii="Arial Narrow" w:hAnsi="Arial Narrow"/>
                <w:b/>
                <w:sz w:val="20"/>
                <w:szCs w:val="20"/>
              </w:rPr>
              <w:t>Rpts</w:t>
            </w:r>
          </w:p>
        </w:tc>
        <w:tc>
          <w:tcPr>
            <w:tcW w:w="1888" w:type="dxa"/>
            <w:vAlign w:val="center"/>
          </w:tcPr>
          <w:p w14:paraId="08BEA7BD" w14:textId="77777777" w:rsidR="00211288" w:rsidRPr="00006CD7" w:rsidRDefault="00211288">
            <w:pPr>
              <w:keepLines/>
              <w:rPr>
                <w:rFonts w:ascii="Arial Narrow" w:hAnsi="Arial Narrow"/>
                <w:b/>
                <w:sz w:val="20"/>
                <w:szCs w:val="20"/>
                <w:lang w:val="fr-FR"/>
              </w:rPr>
            </w:pPr>
            <w:r w:rsidRPr="00006CD7">
              <w:rPr>
                <w:rFonts w:ascii="Arial Narrow" w:hAnsi="Arial Narrow"/>
                <w:b/>
                <w:sz w:val="20"/>
                <w:szCs w:val="20"/>
              </w:rPr>
              <w:t>Available brands</w:t>
            </w:r>
          </w:p>
        </w:tc>
      </w:tr>
      <w:tr w:rsidR="00211288" w:rsidRPr="00006CD7" w14:paraId="6CBC7154" w14:textId="77777777">
        <w:trPr>
          <w:cantSplit/>
          <w:trHeight w:val="20"/>
        </w:trPr>
        <w:tc>
          <w:tcPr>
            <w:tcW w:w="9072" w:type="dxa"/>
            <w:gridSpan w:val="7"/>
            <w:vAlign w:val="center"/>
          </w:tcPr>
          <w:p w14:paraId="49CD86E2" w14:textId="77777777" w:rsidR="00211288" w:rsidRPr="00006CD7" w:rsidRDefault="00211288">
            <w:pPr>
              <w:keepLines/>
              <w:rPr>
                <w:rFonts w:ascii="Arial Narrow" w:hAnsi="Arial Narrow"/>
                <w:sz w:val="20"/>
                <w:szCs w:val="20"/>
              </w:rPr>
            </w:pPr>
            <w:r w:rsidRPr="00006CD7">
              <w:rPr>
                <w:rFonts w:ascii="Arial Narrow" w:hAnsi="Arial Narrow"/>
                <w:sz w:val="20"/>
                <w:szCs w:val="20"/>
              </w:rPr>
              <w:t xml:space="preserve">EFLORNITHINE </w:t>
            </w:r>
          </w:p>
        </w:tc>
      </w:tr>
      <w:tr w:rsidR="00211288" w:rsidRPr="00006CD7" w14:paraId="0ABB8532" w14:textId="77777777">
        <w:trPr>
          <w:cantSplit/>
          <w:trHeight w:val="20"/>
        </w:trPr>
        <w:tc>
          <w:tcPr>
            <w:tcW w:w="3113" w:type="dxa"/>
            <w:gridSpan w:val="2"/>
            <w:vAlign w:val="center"/>
          </w:tcPr>
          <w:p w14:paraId="14548C91" w14:textId="77777777" w:rsidR="00211288" w:rsidRPr="00006CD7" w:rsidRDefault="00211288">
            <w:pPr>
              <w:keepLines/>
              <w:rPr>
                <w:rFonts w:ascii="Arial Narrow" w:hAnsi="Arial Narrow"/>
                <w:strike/>
                <w:sz w:val="20"/>
                <w:szCs w:val="20"/>
              </w:rPr>
            </w:pPr>
            <w:r w:rsidRPr="00006CD7">
              <w:rPr>
                <w:rFonts w:ascii="Arial Narrow" w:hAnsi="Arial Narrow"/>
                <w:strike/>
                <w:sz w:val="20"/>
                <w:szCs w:val="20"/>
              </w:rPr>
              <w:t>Eflornithine, 250 mg tablet, 100</w:t>
            </w:r>
          </w:p>
        </w:tc>
        <w:tc>
          <w:tcPr>
            <w:tcW w:w="1636" w:type="dxa"/>
            <w:vAlign w:val="center"/>
          </w:tcPr>
          <w:p w14:paraId="0AA163A1" w14:textId="588792EE" w:rsidR="00211288" w:rsidRPr="00A509FC" w:rsidRDefault="0076044D" w:rsidP="0097060C">
            <w:pPr>
              <w:keepLines/>
              <w:jc w:val="center"/>
              <w:rPr>
                <w:rFonts w:ascii="Arial Narrow" w:hAnsi="Arial Narrow"/>
                <w:iCs/>
                <w:strike/>
                <w:sz w:val="20"/>
                <w:szCs w:val="16"/>
              </w:rPr>
            </w:pPr>
            <w:r w:rsidRPr="00A509FC">
              <w:rPr>
                <w:rFonts w:ascii="Arial Narrow" w:hAnsi="Arial Narrow"/>
                <w:iCs/>
                <w:strike/>
                <w:sz w:val="20"/>
                <w:szCs w:val="16"/>
              </w:rPr>
              <w:t>$</w:t>
            </w:r>
            <w:r w:rsidR="008C30A7" w:rsidRPr="008C30A7">
              <w:rPr>
                <w:rFonts w:ascii="Arial Narrow" w:hAnsi="Arial Narrow"/>
                <w:iCs/>
                <w:strike/>
                <w:color w:val="000000"/>
                <w:sz w:val="20"/>
                <w:szCs w:val="16"/>
                <w:shd w:val="solid" w:color="000000" w:fill="000000"/>
                <w14:textFill>
                  <w14:solidFill>
                    <w14:srgbClr w14:val="000000">
                      <w14:alpha w14:val="100000"/>
                    </w14:srgbClr>
                  </w14:solidFill>
                </w14:textFill>
              </w:rPr>
              <w:t>|</w:t>
            </w:r>
          </w:p>
        </w:tc>
        <w:tc>
          <w:tcPr>
            <w:tcW w:w="812" w:type="dxa"/>
            <w:vAlign w:val="center"/>
          </w:tcPr>
          <w:p w14:paraId="6C77DFDE"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3</w:t>
            </w:r>
          </w:p>
        </w:tc>
        <w:tc>
          <w:tcPr>
            <w:tcW w:w="811" w:type="dxa"/>
            <w:vAlign w:val="center"/>
          </w:tcPr>
          <w:p w14:paraId="4DD43352"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300</w:t>
            </w:r>
          </w:p>
        </w:tc>
        <w:tc>
          <w:tcPr>
            <w:tcW w:w="812" w:type="dxa"/>
            <w:vAlign w:val="center"/>
          </w:tcPr>
          <w:p w14:paraId="60C1AB60"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2</w:t>
            </w:r>
          </w:p>
        </w:tc>
        <w:tc>
          <w:tcPr>
            <w:tcW w:w="1888" w:type="dxa"/>
            <w:vAlign w:val="center"/>
          </w:tcPr>
          <w:p w14:paraId="00D872DF"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Ifinwil</w:t>
            </w:r>
          </w:p>
        </w:tc>
      </w:tr>
      <w:tr w:rsidR="00211288" w:rsidRPr="00006CD7" w14:paraId="63E0C3DD" w14:textId="77777777">
        <w:trPr>
          <w:cantSplit/>
          <w:trHeight w:val="20"/>
        </w:trPr>
        <w:tc>
          <w:tcPr>
            <w:tcW w:w="3113" w:type="dxa"/>
            <w:gridSpan w:val="2"/>
            <w:vAlign w:val="center"/>
          </w:tcPr>
          <w:p w14:paraId="56F17AC6" w14:textId="77777777" w:rsidR="00211288" w:rsidRPr="00006CD7" w:rsidRDefault="00211288">
            <w:pPr>
              <w:keepLines/>
              <w:rPr>
                <w:rFonts w:ascii="Arial Narrow" w:hAnsi="Arial Narrow"/>
                <w:strike/>
                <w:sz w:val="20"/>
                <w:szCs w:val="20"/>
              </w:rPr>
            </w:pPr>
            <w:r w:rsidRPr="00006CD7">
              <w:rPr>
                <w:rFonts w:ascii="Arial Narrow" w:hAnsi="Arial Narrow"/>
                <w:strike/>
                <w:sz w:val="20"/>
                <w:szCs w:val="20"/>
              </w:rPr>
              <w:t>Eflornithine, 250 mg tablet, 100</w:t>
            </w:r>
          </w:p>
        </w:tc>
        <w:tc>
          <w:tcPr>
            <w:tcW w:w="1636" w:type="dxa"/>
          </w:tcPr>
          <w:p w14:paraId="08FFD856" w14:textId="6FFB554E" w:rsidR="00211288" w:rsidRPr="00A509FC" w:rsidRDefault="001E5AFD" w:rsidP="0097060C">
            <w:pPr>
              <w:keepLines/>
              <w:jc w:val="center"/>
              <w:rPr>
                <w:rFonts w:ascii="Arial Narrow" w:hAnsi="Arial Narrow"/>
                <w:iCs/>
                <w:strike/>
                <w:sz w:val="20"/>
                <w:szCs w:val="16"/>
              </w:rPr>
            </w:pPr>
            <w:r w:rsidRPr="00A509FC">
              <w:rPr>
                <w:rFonts w:ascii="Arial Narrow" w:hAnsi="Arial Narrow"/>
                <w:iCs/>
                <w:strike/>
                <w:sz w:val="20"/>
                <w:szCs w:val="16"/>
              </w:rPr>
              <w:t>$</w:t>
            </w:r>
            <w:r w:rsidR="008C30A7" w:rsidRPr="008C30A7">
              <w:rPr>
                <w:rFonts w:ascii="Arial Narrow" w:hAnsi="Arial Narrow"/>
                <w:iCs/>
                <w:strike/>
                <w:color w:val="000000"/>
                <w:sz w:val="20"/>
                <w:szCs w:val="16"/>
                <w:shd w:val="solid" w:color="000000" w:fill="000000"/>
                <w14:textFill>
                  <w14:solidFill>
                    <w14:srgbClr w14:val="000000">
                      <w14:alpha w14:val="100000"/>
                    </w14:srgbClr>
                  </w14:solidFill>
                </w14:textFill>
              </w:rPr>
              <w:t>|</w:t>
            </w:r>
          </w:p>
        </w:tc>
        <w:tc>
          <w:tcPr>
            <w:tcW w:w="812" w:type="dxa"/>
            <w:vAlign w:val="center"/>
          </w:tcPr>
          <w:p w14:paraId="5A1B014E"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2</w:t>
            </w:r>
          </w:p>
        </w:tc>
        <w:tc>
          <w:tcPr>
            <w:tcW w:w="811" w:type="dxa"/>
            <w:vAlign w:val="center"/>
          </w:tcPr>
          <w:p w14:paraId="590DF1AA"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200</w:t>
            </w:r>
          </w:p>
        </w:tc>
        <w:tc>
          <w:tcPr>
            <w:tcW w:w="812" w:type="dxa"/>
            <w:vAlign w:val="center"/>
          </w:tcPr>
          <w:p w14:paraId="06FCE8EB"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2</w:t>
            </w:r>
          </w:p>
        </w:tc>
        <w:tc>
          <w:tcPr>
            <w:tcW w:w="1888" w:type="dxa"/>
          </w:tcPr>
          <w:p w14:paraId="2F8030E6" w14:textId="77777777" w:rsidR="00211288" w:rsidRPr="00006CD7" w:rsidRDefault="00211288">
            <w:pPr>
              <w:keepLines/>
              <w:jc w:val="center"/>
              <w:rPr>
                <w:rFonts w:ascii="Arial Narrow" w:hAnsi="Arial Narrow"/>
                <w:strike/>
                <w:sz w:val="20"/>
                <w:szCs w:val="20"/>
              </w:rPr>
            </w:pPr>
            <w:r w:rsidRPr="00006CD7">
              <w:rPr>
                <w:rFonts w:ascii="Arial Narrow" w:hAnsi="Arial Narrow"/>
                <w:strike/>
                <w:sz w:val="20"/>
                <w:szCs w:val="20"/>
              </w:rPr>
              <w:t>Ifinwil</w:t>
            </w:r>
          </w:p>
        </w:tc>
      </w:tr>
      <w:tr w:rsidR="00211288" w:rsidRPr="00006CD7" w14:paraId="73938027" w14:textId="77777777">
        <w:trPr>
          <w:cantSplit/>
          <w:trHeight w:val="20"/>
        </w:trPr>
        <w:tc>
          <w:tcPr>
            <w:tcW w:w="3113" w:type="dxa"/>
            <w:gridSpan w:val="2"/>
            <w:vAlign w:val="center"/>
          </w:tcPr>
          <w:p w14:paraId="40C6ED19" w14:textId="77777777" w:rsidR="00211288" w:rsidRPr="00006CD7" w:rsidRDefault="00211288">
            <w:pPr>
              <w:keepNext/>
              <w:tabs>
                <w:tab w:val="left" w:pos="1077"/>
              </w:tabs>
              <w:rPr>
                <w:rFonts w:ascii="Arial Narrow" w:hAnsi="Arial Narrow"/>
                <w:strike/>
                <w:sz w:val="20"/>
                <w:szCs w:val="20"/>
              </w:rPr>
            </w:pPr>
            <w:r w:rsidRPr="00006CD7">
              <w:rPr>
                <w:rFonts w:ascii="Arial Narrow" w:hAnsi="Arial Narrow"/>
                <w:strike/>
                <w:sz w:val="20"/>
                <w:szCs w:val="20"/>
              </w:rPr>
              <w:t>Eflornithine, 250 mg tablet, 100</w:t>
            </w:r>
          </w:p>
        </w:tc>
        <w:tc>
          <w:tcPr>
            <w:tcW w:w="1636" w:type="dxa"/>
          </w:tcPr>
          <w:p w14:paraId="2A829C91" w14:textId="49FF27D3" w:rsidR="00211288" w:rsidRPr="00A509FC" w:rsidRDefault="000C5180">
            <w:pPr>
              <w:keepNext/>
              <w:jc w:val="center"/>
              <w:rPr>
                <w:rFonts w:ascii="Arial Narrow" w:hAnsi="Arial Narrow"/>
                <w:iCs/>
                <w:strike/>
                <w:sz w:val="20"/>
                <w:szCs w:val="20"/>
              </w:rPr>
            </w:pPr>
            <w:r w:rsidRPr="00A509FC">
              <w:rPr>
                <w:rFonts w:ascii="Arial Narrow" w:hAnsi="Arial Narrow"/>
                <w:iCs/>
                <w:strike/>
                <w:sz w:val="20"/>
                <w:szCs w:val="20"/>
              </w:rPr>
              <w:t>$</w:t>
            </w:r>
            <w:r w:rsidR="008C30A7" w:rsidRPr="008C30A7">
              <w:rPr>
                <w:rFonts w:ascii="Arial Narrow" w:hAnsi="Arial Narrow"/>
                <w:iCs/>
                <w:strike/>
                <w:color w:val="000000"/>
                <w:sz w:val="20"/>
                <w:szCs w:val="20"/>
                <w:shd w:val="solid" w:color="000000" w:fill="000000"/>
                <w14:textFill>
                  <w14:solidFill>
                    <w14:srgbClr w14:val="000000">
                      <w14:alpha w14:val="100000"/>
                    </w14:srgbClr>
                  </w14:solidFill>
                </w14:textFill>
              </w:rPr>
              <w:t>|</w:t>
            </w:r>
          </w:p>
        </w:tc>
        <w:tc>
          <w:tcPr>
            <w:tcW w:w="812" w:type="dxa"/>
            <w:vAlign w:val="center"/>
          </w:tcPr>
          <w:p w14:paraId="6FBD4143" w14:textId="77777777" w:rsidR="00211288" w:rsidRPr="00006CD7" w:rsidRDefault="00211288">
            <w:pPr>
              <w:keepNext/>
              <w:jc w:val="center"/>
              <w:rPr>
                <w:rFonts w:ascii="Arial Narrow" w:hAnsi="Arial Narrow"/>
                <w:strike/>
                <w:sz w:val="20"/>
                <w:szCs w:val="20"/>
              </w:rPr>
            </w:pPr>
            <w:r w:rsidRPr="00006CD7">
              <w:rPr>
                <w:rFonts w:ascii="Arial Narrow" w:hAnsi="Arial Narrow"/>
                <w:strike/>
                <w:sz w:val="20"/>
                <w:szCs w:val="20"/>
              </w:rPr>
              <w:t>2</w:t>
            </w:r>
          </w:p>
        </w:tc>
        <w:tc>
          <w:tcPr>
            <w:tcW w:w="811" w:type="dxa"/>
            <w:vAlign w:val="center"/>
          </w:tcPr>
          <w:p w14:paraId="4A7D9855" w14:textId="77777777" w:rsidR="00211288" w:rsidRPr="00006CD7" w:rsidRDefault="00211288">
            <w:pPr>
              <w:keepNext/>
              <w:jc w:val="center"/>
              <w:rPr>
                <w:rFonts w:ascii="Arial Narrow" w:hAnsi="Arial Narrow"/>
                <w:strike/>
                <w:sz w:val="20"/>
                <w:szCs w:val="20"/>
              </w:rPr>
            </w:pPr>
            <w:r w:rsidRPr="00006CD7">
              <w:rPr>
                <w:rFonts w:ascii="Arial Narrow" w:hAnsi="Arial Narrow"/>
                <w:strike/>
                <w:sz w:val="20"/>
                <w:szCs w:val="20"/>
              </w:rPr>
              <w:t>200</w:t>
            </w:r>
          </w:p>
        </w:tc>
        <w:tc>
          <w:tcPr>
            <w:tcW w:w="812" w:type="dxa"/>
            <w:vAlign w:val="center"/>
          </w:tcPr>
          <w:p w14:paraId="4F49CB6C" w14:textId="77777777" w:rsidR="00211288" w:rsidRPr="00006CD7" w:rsidRDefault="00211288">
            <w:pPr>
              <w:keepNext/>
              <w:jc w:val="center"/>
              <w:rPr>
                <w:rFonts w:ascii="Arial Narrow" w:hAnsi="Arial Narrow"/>
                <w:strike/>
                <w:sz w:val="20"/>
                <w:szCs w:val="20"/>
              </w:rPr>
            </w:pPr>
            <w:r w:rsidRPr="00006CD7">
              <w:rPr>
                <w:rFonts w:ascii="Arial Narrow" w:hAnsi="Arial Narrow"/>
                <w:strike/>
                <w:sz w:val="20"/>
                <w:szCs w:val="20"/>
              </w:rPr>
              <w:t>1</w:t>
            </w:r>
          </w:p>
        </w:tc>
        <w:tc>
          <w:tcPr>
            <w:tcW w:w="1888" w:type="dxa"/>
          </w:tcPr>
          <w:p w14:paraId="5D0DC034" w14:textId="77777777" w:rsidR="00211288" w:rsidRPr="00006CD7" w:rsidRDefault="00211288">
            <w:pPr>
              <w:keepNext/>
              <w:jc w:val="center"/>
              <w:rPr>
                <w:rFonts w:ascii="Arial Narrow" w:hAnsi="Arial Narrow"/>
                <w:strike/>
                <w:sz w:val="20"/>
                <w:szCs w:val="20"/>
              </w:rPr>
            </w:pPr>
            <w:r w:rsidRPr="00006CD7">
              <w:rPr>
                <w:rFonts w:ascii="Arial Narrow" w:hAnsi="Arial Narrow"/>
                <w:strike/>
                <w:sz w:val="20"/>
                <w:szCs w:val="20"/>
              </w:rPr>
              <w:t>Ifinwil</w:t>
            </w:r>
          </w:p>
        </w:tc>
      </w:tr>
      <w:tr w:rsidR="00211288" w:rsidRPr="00006CD7" w14:paraId="78A736F8" w14:textId="77777777">
        <w:trPr>
          <w:cantSplit/>
          <w:trHeight w:val="20"/>
        </w:trPr>
        <w:tc>
          <w:tcPr>
            <w:tcW w:w="3113" w:type="dxa"/>
            <w:gridSpan w:val="2"/>
            <w:vAlign w:val="center"/>
          </w:tcPr>
          <w:p w14:paraId="7CA83C45" w14:textId="77777777" w:rsidR="00211288" w:rsidRPr="00006CD7" w:rsidRDefault="00211288">
            <w:pPr>
              <w:keepNext/>
              <w:tabs>
                <w:tab w:val="left" w:pos="1077"/>
              </w:tabs>
              <w:rPr>
                <w:rFonts w:ascii="Arial Narrow" w:hAnsi="Arial Narrow"/>
                <w:sz w:val="20"/>
                <w:szCs w:val="20"/>
              </w:rPr>
            </w:pPr>
            <w:r w:rsidRPr="00006CD7">
              <w:rPr>
                <w:rFonts w:ascii="Arial Narrow" w:hAnsi="Arial Narrow"/>
                <w:sz w:val="20"/>
                <w:szCs w:val="20"/>
              </w:rPr>
              <w:t>Eflornithine, 250 mg tablet, 100</w:t>
            </w:r>
          </w:p>
        </w:tc>
        <w:tc>
          <w:tcPr>
            <w:tcW w:w="1636" w:type="dxa"/>
          </w:tcPr>
          <w:p w14:paraId="5D1D16AE" w14:textId="43C9F51F" w:rsidR="00211288" w:rsidRPr="00B358C5" w:rsidRDefault="0097060C">
            <w:pPr>
              <w:keepNext/>
              <w:jc w:val="center"/>
              <w:rPr>
                <w:rFonts w:ascii="Arial Narrow" w:hAnsi="Arial Narrow"/>
                <w:iCs/>
                <w:sz w:val="20"/>
                <w:szCs w:val="20"/>
              </w:rPr>
            </w:pPr>
            <w:r w:rsidRPr="00B358C5">
              <w:rPr>
                <w:rFonts w:ascii="Arial Narrow" w:hAnsi="Arial Narrow"/>
                <w:iCs/>
                <w:sz w:val="20"/>
                <w:szCs w:val="20"/>
              </w:rPr>
              <w:t>$</w:t>
            </w:r>
            <w:r w:rsidR="008C30A7" w:rsidRPr="008C30A7">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812" w:type="dxa"/>
            <w:vAlign w:val="center"/>
          </w:tcPr>
          <w:p w14:paraId="3FFBF58A" w14:textId="77777777" w:rsidR="00211288" w:rsidRPr="00006CD7" w:rsidRDefault="00211288">
            <w:pPr>
              <w:keepNext/>
              <w:jc w:val="center"/>
              <w:rPr>
                <w:rFonts w:ascii="Arial Narrow" w:hAnsi="Arial Narrow"/>
                <w:sz w:val="20"/>
                <w:szCs w:val="20"/>
              </w:rPr>
            </w:pPr>
            <w:r w:rsidRPr="00006CD7">
              <w:rPr>
                <w:rFonts w:ascii="Arial Narrow" w:hAnsi="Arial Narrow"/>
                <w:sz w:val="20"/>
                <w:szCs w:val="20"/>
              </w:rPr>
              <w:t>1</w:t>
            </w:r>
          </w:p>
        </w:tc>
        <w:tc>
          <w:tcPr>
            <w:tcW w:w="811" w:type="dxa"/>
            <w:vAlign w:val="center"/>
          </w:tcPr>
          <w:p w14:paraId="4007914A" w14:textId="77777777" w:rsidR="00211288" w:rsidRPr="00006CD7" w:rsidRDefault="00211288">
            <w:pPr>
              <w:keepNext/>
              <w:jc w:val="center"/>
              <w:rPr>
                <w:rFonts w:ascii="Arial Narrow" w:hAnsi="Arial Narrow"/>
                <w:sz w:val="20"/>
                <w:szCs w:val="20"/>
              </w:rPr>
            </w:pPr>
            <w:r w:rsidRPr="00006CD7">
              <w:rPr>
                <w:rFonts w:ascii="Arial Narrow" w:hAnsi="Arial Narrow"/>
                <w:sz w:val="20"/>
                <w:szCs w:val="20"/>
              </w:rPr>
              <w:t>100</w:t>
            </w:r>
          </w:p>
        </w:tc>
        <w:tc>
          <w:tcPr>
            <w:tcW w:w="812" w:type="dxa"/>
            <w:vAlign w:val="center"/>
          </w:tcPr>
          <w:p w14:paraId="7D5D9BC5" w14:textId="77777777" w:rsidR="00211288" w:rsidRPr="00006CD7" w:rsidRDefault="00211288">
            <w:pPr>
              <w:keepNext/>
              <w:jc w:val="center"/>
              <w:rPr>
                <w:rFonts w:ascii="Arial Narrow" w:hAnsi="Arial Narrow"/>
                <w:sz w:val="20"/>
                <w:szCs w:val="20"/>
              </w:rPr>
            </w:pPr>
            <w:r w:rsidRPr="00006CD7">
              <w:rPr>
                <w:rFonts w:ascii="Arial Narrow" w:hAnsi="Arial Narrow"/>
                <w:sz w:val="20"/>
                <w:szCs w:val="20"/>
              </w:rPr>
              <w:t>1</w:t>
            </w:r>
          </w:p>
        </w:tc>
        <w:tc>
          <w:tcPr>
            <w:tcW w:w="1888" w:type="dxa"/>
          </w:tcPr>
          <w:p w14:paraId="0B2DD73F" w14:textId="77777777" w:rsidR="00211288" w:rsidRPr="00006CD7" w:rsidRDefault="00211288">
            <w:pPr>
              <w:keepNext/>
              <w:jc w:val="center"/>
              <w:rPr>
                <w:rFonts w:ascii="Arial Narrow" w:hAnsi="Arial Narrow"/>
                <w:sz w:val="20"/>
                <w:szCs w:val="20"/>
              </w:rPr>
            </w:pPr>
            <w:r w:rsidRPr="00006CD7">
              <w:rPr>
                <w:rFonts w:ascii="Arial Narrow" w:hAnsi="Arial Narrow"/>
                <w:sz w:val="20"/>
                <w:szCs w:val="20"/>
              </w:rPr>
              <w:t>Ifinwil</w:t>
            </w:r>
          </w:p>
        </w:tc>
      </w:tr>
      <w:tr w:rsidR="00211288" w:rsidRPr="00006CD7" w14:paraId="6381A249" w14:textId="77777777">
        <w:tblPrEx>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41F4B2F1" w14:textId="77777777" w:rsidR="00211288" w:rsidRPr="00006CD7" w:rsidRDefault="00211288">
            <w:pPr>
              <w:rPr>
                <w:rFonts w:ascii="Arial Narrow" w:hAnsi="Arial Narrow"/>
                <w:sz w:val="20"/>
                <w:szCs w:val="20"/>
              </w:rPr>
            </w:pPr>
          </w:p>
        </w:tc>
      </w:tr>
      <w:tr w:rsidR="00211288" w:rsidRPr="00006CD7" w14:paraId="33AC0F14" w14:textId="77777777">
        <w:tblPrEx>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7F3BC972" w14:textId="1B60C0A6" w:rsidR="00211288" w:rsidRPr="00006CD7" w:rsidRDefault="00211288">
            <w:pPr>
              <w:keepLines/>
              <w:rPr>
                <w:rFonts w:ascii="Arial Narrow" w:hAnsi="Arial Narrow"/>
                <w:b/>
                <w:sz w:val="20"/>
                <w:szCs w:val="20"/>
              </w:rPr>
            </w:pPr>
            <w:r w:rsidRPr="00006CD7">
              <w:rPr>
                <w:rFonts w:ascii="Arial Narrow" w:hAnsi="Arial Narrow"/>
                <w:b/>
                <w:sz w:val="20"/>
                <w:szCs w:val="20"/>
              </w:rPr>
              <w:t xml:space="preserve">Restriction Summary / Treatment of Concept: </w:t>
            </w:r>
          </w:p>
        </w:tc>
      </w:tr>
      <w:tr w:rsidR="00211288" w:rsidRPr="00006CD7" w14:paraId="17ED5B5A"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ACB450F" w14:textId="6AB56817" w:rsidR="00211288" w:rsidRPr="00006CD7" w:rsidRDefault="00211288">
            <w:pPr>
              <w:jc w:val="center"/>
              <w:rPr>
                <w:rFonts w:ascii="Arial Narrow" w:hAnsi="Arial Narrow"/>
                <w:b/>
                <w:sz w:val="20"/>
                <w:szCs w:val="20"/>
              </w:rPr>
            </w:pPr>
          </w:p>
        </w:tc>
        <w:tc>
          <w:tcPr>
            <w:tcW w:w="7801" w:type="dxa"/>
            <w:gridSpan w:val="6"/>
            <w:tcBorders>
              <w:top w:val="single" w:sz="4" w:space="0" w:color="auto"/>
              <w:left w:val="single" w:sz="4" w:space="0" w:color="auto"/>
              <w:bottom w:val="single" w:sz="4" w:space="0" w:color="auto"/>
              <w:right w:val="single" w:sz="4" w:space="0" w:color="auto"/>
            </w:tcBorders>
            <w:vAlign w:val="center"/>
          </w:tcPr>
          <w:p w14:paraId="132545A4" w14:textId="6B99BF91" w:rsidR="00211288" w:rsidRPr="00006CD7" w:rsidRDefault="00211288">
            <w:pPr>
              <w:keepLines/>
              <w:rPr>
                <w:rFonts w:ascii="Arial Narrow" w:hAnsi="Arial Narrow"/>
                <w:sz w:val="20"/>
                <w:szCs w:val="20"/>
              </w:rPr>
            </w:pPr>
            <w:r w:rsidRPr="00006CD7">
              <w:rPr>
                <w:rFonts w:ascii="Arial Narrow" w:hAnsi="Arial Narrow"/>
                <w:b/>
                <w:sz w:val="20"/>
                <w:szCs w:val="20"/>
              </w:rPr>
              <w:t>Category / Program:</w:t>
            </w:r>
            <w:r w:rsidRPr="00006CD7">
              <w:rPr>
                <w:rFonts w:ascii="Arial Narrow" w:hAnsi="Arial Narrow"/>
                <w:sz w:val="20"/>
                <w:szCs w:val="20"/>
              </w:rPr>
              <w:t xml:space="preserve"> </w:t>
            </w:r>
            <w:r w:rsidRPr="00006CD7">
              <w:rPr>
                <w:rFonts w:ascii="Arial Narrow" w:eastAsia="Calibri" w:hAnsi="Arial Narrow"/>
                <w:sz w:val="20"/>
                <w:szCs w:val="20"/>
              </w:rPr>
              <w:fldChar w:fldCharType="begin" w:fldLock="1">
                <w:ffData>
                  <w:name w:val=""/>
                  <w:enabled/>
                  <w:calcOnExit w:val="0"/>
                  <w:checkBox>
                    <w:sizeAuto/>
                    <w:default w:val="1"/>
                  </w:checkBox>
                </w:ffData>
              </w:fldChar>
            </w:r>
            <w:r w:rsidRPr="00006CD7">
              <w:rPr>
                <w:rFonts w:ascii="Arial Narrow" w:eastAsia="Calibri" w:hAnsi="Arial Narrow"/>
                <w:sz w:val="20"/>
                <w:szCs w:val="20"/>
              </w:rPr>
              <w:instrText xml:space="preserve"> FORMCHECKBOX </w:instrText>
            </w:r>
            <w:r w:rsidRPr="00006CD7">
              <w:rPr>
                <w:rFonts w:ascii="Arial Narrow" w:eastAsia="Calibri" w:hAnsi="Arial Narrow"/>
                <w:sz w:val="20"/>
                <w:szCs w:val="20"/>
              </w:rPr>
            </w:r>
            <w:r w:rsidRPr="00006CD7">
              <w:rPr>
                <w:rFonts w:ascii="Arial Narrow" w:eastAsia="Calibri" w:hAnsi="Arial Narrow"/>
                <w:sz w:val="20"/>
                <w:szCs w:val="20"/>
              </w:rPr>
              <w:fldChar w:fldCharType="separate"/>
            </w:r>
            <w:r w:rsidRPr="00006CD7">
              <w:rPr>
                <w:rFonts w:ascii="Arial Narrow" w:eastAsia="Calibri" w:hAnsi="Arial Narrow"/>
                <w:sz w:val="20"/>
                <w:szCs w:val="20"/>
              </w:rPr>
              <w:fldChar w:fldCharType="end"/>
            </w:r>
            <w:r w:rsidRPr="00006CD7">
              <w:rPr>
                <w:rFonts w:ascii="Arial Narrow" w:eastAsia="Calibri" w:hAnsi="Arial Narrow"/>
                <w:sz w:val="20"/>
                <w:szCs w:val="20"/>
              </w:rPr>
              <w:t xml:space="preserve"> </w:t>
            </w:r>
            <w:r w:rsidRPr="00923EC7">
              <w:rPr>
                <w:rFonts w:ascii="Arial Narrow" w:eastAsia="Calibri" w:hAnsi="Arial Narrow"/>
                <w:strike/>
                <w:sz w:val="20"/>
                <w:szCs w:val="20"/>
              </w:rPr>
              <w:t>General Schedule (Code GE – Schedule 85)</w:t>
            </w:r>
            <w:r w:rsidR="00923EC7">
              <w:rPr>
                <w:rFonts w:ascii="Arial Narrow" w:eastAsia="Calibri" w:hAnsi="Arial Narrow"/>
                <w:sz w:val="20"/>
                <w:szCs w:val="20"/>
              </w:rPr>
              <w:t xml:space="preserve"> </w:t>
            </w:r>
            <w:r w:rsidR="00923EC7" w:rsidRPr="00923EC7">
              <w:rPr>
                <w:rFonts w:ascii="Arial Narrow" w:eastAsia="Calibri" w:hAnsi="Arial Narrow"/>
                <w:i/>
                <w:iCs/>
                <w:sz w:val="20"/>
                <w:szCs w:val="20"/>
              </w:rPr>
              <w:t>Section 100</w:t>
            </w:r>
            <w:r w:rsidR="00BF5990">
              <w:rPr>
                <w:rFonts w:ascii="Arial Narrow" w:eastAsia="Calibri" w:hAnsi="Arial Narrow"/>
                <w:i/>
                <w:iCs/>
                <w:sz w:val="20"/>
                <w:szCs w:val="20"/>
              </w:rPr>
              <w:t xml:space="preserve"> – Highly Specialised Drugs Program – Public (Code HB)/ Private (Code HS)</w:t>
            </w:r>
          </w:p>
        </w:tc>
      </w:tr>
      <w:tr w:rsidR="00211288" w:rsidRPr="00006CD7" w14:paraId="0742ACCD" w14:textId="77777777">
        <w:tblPrEx>
          <w:tblCellMar>
            <w:top w:w="15" w:type="dxa"/>
            <w:bottom w:w="15" w:type="dxa"/>
          </w:tblCellMar>
          <w:tblLook w:val="04A0" w:firstRow="1" w:lastRow="0" w:firstColumn="1" w:lastColumn="0" w:noHBand="0" w:noVBand="1"/>
        </w:tblPrEx>
        <w:trPr>
          <w:trHeight w:val="20"/>
        </w:trPr>
        <w:tc>
          <w:tcPr>
            <w:tcW w:w="1271" w:type="dxa"/>
            <w:vMerge/>
          </w:tcPr>
          <w:p w14:paraId="07D65D12" w14:textId="77777777" w:rsidR="00211288" w:rsidRPr="00006CD7" w:rsidRDefault="00211288">
            <w:pPr>
              <w:rPr>
                <w:rFonts w:ascii="Arial Narrow" w:hAnsi="Arial Narrow"/>
                <w:sz w:val="20"/>
                <w:szCs w:val="20"/>
              </w:rPr>
            </w:pPr>
          </w:p>
        </w:tc>
        <w:tc>
          <w:tcPr>
            <w:tcW w:w="7801" w:type="dxa"/>
            <w:gridSpan w:val="6"/>
            <w:tcBorders>
              <w:top w:val="single" w:sz="4" w:space="0" w:color="auto"/>
              <w:left w:val="single" w:sz="4" w:space="0" w:color="auto"/>
              <w:bottom w:val="single" w:sz="4" w:space="0" w:color="auto"/>
              <w:right w:val="single" w:sz="4" w:space="0" w:color="auto"/>
            </w:tcBorders>
            <w:vAlign w:val="center"/>
          </w:tcPr>
          <w:p w14:paraId="45BD390E" w14:textId="77777777" w:rsidR="00211288" w:rsidRPr="00006CD7" w:rsidRDefault="00211288">
            <w:pPr>
              <w:keepLines/>
              <w:rPr>
                <w:rFonts w:ascii="Arial Narrow" w:hAnsi="Arial Narrow"/>
                <w:b/>
                <w:sz w:val="20"/>
                <w:szCs w:val="20"/>
              </w:rPr>
            </w:pPr>
            <w:r w:rsidRPr="00006CD7">
              <w:rPr>
                <w:rFonts w:ascii="Arial Narrow" w:hAnsi="Arial Narrow"/>
                <w:b/>
                <w:sz w:val="20"/>
                <w:szCs w:val="20"/>
              </w:rPr>
              <w:t xml:space="preserve">Prescriber type: </w:t>
            </w:r>
            <w:r w:rsidRPr="00006CD7">
              <w:rPr>
                <w:rFonts w:ascii="Arial Narrow" w:hAnsi="Arial Narrow"/>
                <w:sz w:val="20"/>
                <w:szCs w:val="20"/>
              </w:rPr>
              <w:fldChar w:fldCharType="begin" w:fldLock="1">
                <w:ffData>
                  <w:name w:val=""/>
                  <w:enabled/>
                  <w:calcOnExit w:val="0"/>
                  <w:checkBox>
                    <w:sizeAuto/>
                    <w:default w:val="1"/>
                  </w:checkBox>
                </w:ffData>
              </w:fldChar>
            </w:r>
            <w:r w:rsidRPr="00006CD7">
              <w:rPr>
                <w:rFonts w:ascii="Arial Narrow" w:hAnsi="Arial Narrow"/>
                <w:sz w:val="20"/>
                <w:szCs w:val="20"/>
              </w:rPr>
              <w:instrText xml:space="preserve"> FORMCHECKBOX </w:instrText>
            </w:r>
            <w:r w:rsidRPr="00006CD7">
              <w:rPr>
                <w:rFonts w:ascii="Arial Narrow" w:hAnsi="Arial Narrow"/>
                <w:sz w:val="20"/>
                <w:szCs w:val="20"/>
              </w:rPr>
            </w:r>
            <w:r w:rsidRPr="00006CD7">
              <w:rPr>
                <w:rFonts w:ascii="Arial Narrow" w:hAnsi="Arial Narrow"/>
                <w:sz w:val="20"/>
                <w:szCs w:val="20"/>
              </w:rPr>
              <w:fldChar w:fldCharType="separate"/>
            </w:r>
            <w:r w:rsidRPr="00006CD7">
              <w:rPr>
                <w:rFonts w:ascii="Arial Narrow" w:hAnsi="Arial Narrow"/>
                <w:sz w:val="20"/>
                <w:szCs w:val="20"/>
              </w:rPr>
              <w:fldChar w:fldCharType="end"/>
            </w:r>
            <w:r w:rsidRPr="00006CD7">
              <w:rPr>
                <w:rFonts w:ascii="Arial Narrow" w:hAnsi="Arial Narrow"/>
                <w:sz w:val="20"/>
                <w:szCs w:val="20"/>
              </w:rPr>
              <w:t xml:space="preserve">Medical Practitioners </w:t>
            </w:r>
          </w:p>
        </w:tc>
      </w:tr>
      <w:tr w:rsidR="00211288" w:rsidRPr="00006CD7" w14:paraId="68630868" w14:textId="77777777">
        <w:tblPrEx>
          <w:tblCellMar>
            <w:top w:w="15" w:type="dxa"/>
            <w:bottom w:w="15" w:type="dxa"/>
          </w:tblCellMar>
          <w:tblLook w:val="04A0" w:firstRow="1" w:lastRow="0" w:firstColumn="1" w:lastColumn="0" w:noHBand="0" w:noVBand="1"/>
        </w:tblPrEx>
        <w:trPr>
          <w:trHeight w:val="20"/>
        </w:trPr>
        <w:tc>
          <w:tcPr>
            <w:tcW w:w="1271" w:type="dxa"/>
            <w:vMerge/>
          </w:tcPr>
          <w:p w14:paraId="23EBD85E" w14:textId="77777777" w:rsidR="00211288" w:rsidRPr="00006CD7" w:rsidRDefault="00211288">
            <w:pPr>
              <w:rPr>
                <w:rFonts w:ascii="Arial Narrow" w:hAnsi="Arial Narrow"/>
                <w:sz w:val="20"/>
                <w:szCs w:val="20"/>
              </w:rPr>
            </w:pPr>
          </w:p>
        </w:tc>
        <w:tc>
          <w:tcPr>
            <w:tcW w:w="7801" w:type="dxa"/>
            <w:gridSpan w:val="6"/>
            <w:tcBorders>
              <w:top w:val="single" w:sz="4" w:space="0" w:color="auto"/>
              <w:left w:val="single" w:sz="4" w:space="0" w:color="auto"/>
              <w:bottom w:val="single" w:sz="4" w:space="0" w:color="auto"/>
              <w:right w:val="single" w:sz="4" w:space="0" w:color="auto"/>
            </w:tcBorders>
            <w:vAlign w:val="center"/>
          </w:tcPr>
          <w:p w14:paraId="29D841DA" w14:textId="77777777" w:rsidR="00211288" w:rsidRPr="00006CD7" w:rsidRDefault="00211288">
            <w:pPr>
              <w:keepLines/>
              <w:rPr>
                <w:rFonts w:ascii="Arial Narrow" w:eastAsia="Calibri" w:hAnsi="Arial Narrow"/>
                <w:sz w:val="20"/>
                <w:szCs w:val="20"/>
              </w:rPr>
            </w:pPr>
            <w:r w:rsidRPr="00006CD7">
              <w:rPr>
                <w:rFonts w:ascii="Arial Narrow" w:hAnsi="Arial Narrow"/>
                <w:b/>
                <w:sz w:val="20"/>
                <w:szCs w:val="20"/>
              </w:rPr>
              <w:t xml:space="preserve">Restriction type: </w:t>
            </w:r>
            <w:r w:rsidRPr="00006CD7">
              <w:rPr>
                <w:rFonts w:ascii="Arial Narrow" w:eastAsia="Calibri" w:hAnsi="Arial Narrow"/>
                <w:sz w:val="20"/>
                <w:szCs w:val="20"/>
              </w:rPr>
              <w:fldChar w:fldCharType="begin" w:fldLock="1">
                <w:ffData>
                  <w:name w:val="Check3"/>
                  <w:enabled/>
                  <w:calcOnExit w:val="0"/>
                  <w:checkBox>
                    <w:sizeAuto/>
                    <w:default w:val="1"/>
                  </w:checkBox>
                </w:ffData>
              </w:fldChar>
            </w:r>
            <w:r w:rsidRPr="00006CD7">
              <w:rPr>
                <w:rFonts w:ascii="Arial Narrow" w:eastAsia="Calibri" w:hAnsi="Arial Narrow"/>
                <w:sz w:val="20"/>
                <w:szCs w:val="20"/>
              </w:rPr>
              <w:instrText xml:space="preserve"> FORMCHECKBOX </w:instrText>
            </w:r>
            <w:r w:rsidRPr="00006CD7">
              <w:rPr>
                <w:rFonts w:ascii="Arial Narrow" w:eastAsia="Calibri" w:hAnsi="Arial Narrow"/>
                <w:sz w:val="20"/>
                <w:szCs w:val="20"/>
              </w:rPr>
            </w:r>
            <w:r w:rsidRPr="00006CD7">
              <w:rPr>
                <w:rFonts w:ascii="Arial Narrow" w:eastAsia="Calibri" w:hAnsi="Arial Narrow"/>
                <w:sz w:val="20"/>
                <w:szCs w:val="20"/>
              </w:rPr>
              <w:fldChar w:fldCharType="separate"/>
            </w:r>
            <w:r w:rsidRPr="00006CD7">
              <w:rPr>
                <w:rFonts w:ascii="Arial Narrow" w:eastAsia="Calibri" w:hAnsi="Arial Narrow"/>
                <w:sz w:val="20"/>
                <w:szCs w:val="20"/>
              </w:rPr>
              <w:fldChar w:fldCharType="end"/>
            </w:r>
            <w:r w:rsidRPr="00006CD7">
              <w:rPr>
                <w:rFonts w:ascii="Arial Narrow" w:eastAsia="Calibri" w:hAnsi="Arial Narrow"/>
                <w:sz w:val="20"/>
                <w:szCs w:val="20"/>
              </w:rPr>
              <w:t>Authority Required (FULL assessment - written)</w:t>
            </w:r>
          </w:p>
        </w:tc>
      </w:tr>
      <w:tr w:rsidR="00211288" w:rsidRPr="00006CD7" w14:paraId="642BC86E" w14:textId="77777777">
        <w:tblPrEx>
          <w:tblCellMar>
            <w:top w:w="15" w:type="dxa"/>
            <w:bottom w:w="15" w:type="dxa"/>
          </w:tblCellMar>
          <w:tblLook w:val="04A0" w:firstRow="1" w:lastRow="0" w:firstColumn="1" w:lastColumn="0" w:noHBand="0" w:noVBand="1"/>
        </w:tblPrEx>
        <w:trPr>
          <w:cantSplit/>
          <w:trHeight w:val="20"/>
        </w:trPr>
        <w:tc>
          <w:tcPr>
            <w:tcW w:w="1271" w:type="dxa"/>
            <w:vMerge w:val="restart"/>
            <w:vAlign w:val="center"/>
          </w:tcPr>
          <w:p w14:paraId="3A46712C" w14:textId="77777777" w:rsidR="00211288" w:rsidRPr="00006CD7" w:rsidRDefault="00211288">
            <w:pPr>
              <w:keepLines/>
              <w:jc w:val="center"/>
              <w:rPr>
                <w:rFonts w:ascii="Arial Narrow" w:hAnsi="Arial Narrow"/>
                <w:sz w:val="20"/>
                <w:szCs w:val="20"/>
              </w:rPr>
            </w:pPr>
          </w:p>
        </w:tc>
        <w:tc>
          <w:tcPr>
            <w:tcW w:w="7801" w:type="dxa"/>
            <w:gridSpan w:val="6"/>
            <w:vAlign w:val="center"/>
          </w:tcPr>
          <w:p w14:paraId="3B707456" w14:textId="77777777" w:rsidR="00211288" w:rsidRPr="00006CD7" w:rsidRDefault="00211288">
            <w:pPr>
              <w:keepLines/>
              <w:rPr>
                <w:rFonts w:ascii="Arial Narrow" w:hAnsi="Arial Narrow"/>
                <w:bCs/>
                <w:sz w:val="20"/>
                <w:szCs w:val="20"/>
              </w:rPr>
            </w:pPr>
            <w:r w:rsidRPr="00006CD7">
              <w:rPr>
                <w:rFonts w:ascii="Arial Narrow" w:hAnsi="Arial Narrow"/>
                <w:b/>
                <w:bCs/>
                <w:color w:val="BFBFBF" w:themeColor="background1" w:themeShade="BF"/>
                <w:sz w:val="20"/>
                <w:szCs w:val="20"/>
              </w:rPr>
              <w:t xml:space="preserve">Episodicity: </w:t>
            </w:r>
            <w:r w:rsidRPr="00006CD7">
              <w:rPr>
                <w:rFonts w:ascii="Arial Narrow" w:hAnsi="Arial Narrow"/>
                <w:bCs/>
                <w:color w:val="BFBFBF" w:themeColor="background1" w:themeShade="BF"/>
                <w:sz w:val="20"/>
                <w:szCs w:val="20"/>
              </w:rPr>
              <w:t>n/a</w:t>
            </w:r>
          </w:p>
        </w:tc>
      </w:tr>
      <w:tr w:rsidR="00211288" w:rsidRPr="00006CD7" w14:paraId="561CF64D" w14:textId="77777777">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7EB4FED8" w14:textId="77777777" w:rsidR="00211288" w:rsidRPr="00006CD7" w:rsidRDefault="00211288">
            <w:pPr>
              <w:keepLines/>
              <w:jc w:val="center"/>
              <w:rPr>
                <w:rFonts w:ascii="Arial Narrow" w:hAnsi="Arial Narrow"/>
                <w:sz w:val="20"/>
                <w:szCs w:val="20"/>
              </w:rPr>
            </w:pPr>
          </w:p>
        </w:tc>
        <w:tc>
          <w:tcPr>
            <w:tcW w:w="7801" w:type="dxa"/>
            <w:gridSpan w:val="6"/>
            <w:vAlign w:val="center"/>
          </w:tcPr>
          <w:p w14:paraId="00A1B157" w14:textId="77777777" w:rsidR="00211288" w:rsidRPr="00006CD7" w:rsidRDefault="00211288">
            <w:pPr>
              <w:keepLines/>
              <w:rPr>
                <w:rFonts w:ascii="Arial Narrow" w:hAnsi="Arial Narrow"/>
                <w:b/>
                <w:bCs/>
                <w:i/>
                <w:iCs/>
                <w:sz w:val="20"/>
                <w:szCs w:val="20"/>
              </w:rPr>
            </w:pPr>
            <w:r w:rsidRPr="00006CD7">
              <w:rPr>
                <w:rFonts w:ascii="Arial Narrow" w:hAnsi="Arial Narrow"/>
                <w:b/>
                <w:bCs/>
                <w:i/>
                <w:iCs/>
                <w:sz w:val="20"/>
                <w:szCs w:val="20"/>
              </w:rPr>
              <w:t xml:space="preserve">Severity: </w:t>
            </w:r>
            <w:r w:rsidRPr="00006CD7">
              <w:rPr>
                <w:rFonts w:ascii="Arial Narrow" w:hAnsi="Arial Narrow"/>
                <w:bCs/>
                <w:i/>
                <w:iCs/>
                <w:sz w:val="20"/>
                <w:szCs w:val="20"/>
              </w:rPr>
              <w:t xml:space="preserve">High-risk </w:t>
            </w:r>
          </w:p>
        </w:tc>
      </w:tr>
      <w:tr w:rsidR="00211288" w:rsidRPr="00006CD7" w14:paraId="1AF2ECB2" w14:textId="77777777">
        <w:tblPrEx>
          <w:tblCellMar>
            <w:top w:w="15" w:type="dxa"/>
            <w:bottom w:w="15" w:type="dxa"/>
          </w:tblCellMar>
          <w:tblLook w:val="04A0" w:firstRow="1" w:lastRow="0" w:firstColumn="1" w:lastColumn="0" w:noHBand="0" w:noVBand="1"/>
        </w:tblPrEx>
        <w:trPr>
          <w:cantSplit/>
          <w:trHeight w:val="20"/>
        </w:trPr>
        <w:tc>
          <w:tcPr>
            <w:tcW w:w="1271" w:type="dxa"/>
            <w:vMerge/>
            <w:vAlign w:val="center"/>
          </w:tcPr>
          <w:p w14:paraId="3021BB72" w14:textId="77777777" w:rsidR="00211288" w:rsidRPr="00006CD7" w:rsidRDefault="00211288">
            <w:pPr>
              <w:keepLines/>
              <w:jc w:val="center"/>
              <w:rPr>
                <w:rFonts w:ascii="Arial Narrow" w:hAnsi="Arial Narrow"/>
                <w:sz w:val="20"/>
                <w:szCs w:val="20"/>
              </w:rPr>
            </w:pPr>
          </w:p>
        </w:tc>
        <w:tc>
          <w:tcPr>
            <w:tcW w:w="7801" w:type="dxa"/>
            <w:gridSpan w:val="6"/>
            <w:vAlign w:val="center"/>
          </w:tcPr>
          <w:p w14:paraId="1920D0B2" w14:textId="77777777" w:rsidR="00211288" w:rsidRPr="00006CD7" w:rsidRDefault="00211288">
            <w:pPr>
              <w:keepLines/>
              <w:rPr>
                <w:rFonts w:ascii="Arial Narrow" w:hAnsi="Arial Narrow"/>
                <w:b/>
                <w:bCs/>
                <w:i/>
                <w:iCs/>
                <w:sz w:val="20"/>
                <w:szCs w:val="20"/>
              </w:rPr>
            </w:pPr>
            <w:r w:rsidRPr="00006CD7">
              <w:rPr>
                <w:rFonts w:ascii="Arial Narrow" w:hAnsi="Arial Narrow"/>
                <w:b/>
                <w:bCs/>
                <w:i/>
                <w:iCs/>
                <w:sz w:val="20"/>
                <w:szCs w:val="20"/>
              </w:rPr>
              <w:t xml:space="preserve">Condition: </w:t>
            </w:r>
            <w:r w:rsidRPr="00006CD7">
              <w:rPr>
                <w:rFonts w:ascii="Arial Narrow" w:hAnsi="Arial Narrow"/>
                <w:bCs/>
                <w:i/>
                <w:iCs/>
                <w:sz w:val="20"/>
                <w:szCs w:val="20"/>
              </w:rPr>
              <w:t>Neuroblastoma</w:t>
            </w:r>
          </w:p>
        </w:tc>
      </w:tr>
      <w:tr w:rsidR="00211288" w:rsidRPr="00006CD7" w14:paraId="2E7DA30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46F2CB2" w14:textId="77777777" w:rsidR="00211288" w:rsidRPr="00006CD7" w:rsidRDefault="00211288">
            <w:pPr>
              <w:keepLines/>
              <w:jc w:val="center"/>
              <w:rPr>
                <w:rFonts w:ascii="Arial Narrow" w:hAnsi="Arial Narrow"/>
                <w:sz w:val="20"/>
                <w:szCs w:val="20"/>
              </w:rPr>
            </w:pPr>
          </w:p>
        </w:tc>
        <w:tc>
          <w:tcPr>
            <w:tcW w:w="7801" w:type="dxa"/>
            <w:gridSpan w:val="6"/>
            <w:vAlign w:val="center"/>
            <w:hideMark/>
          </w:tcPr>
          <w:p w14:paraId="6812A62B" w14:textId="77777777" w:rsidR="00211288" w:rsidRPr="00006CD7" w:rsidRDefault="00211288">
            <w:pPr>
              <w:keepLines/>
              <w:rPr>
                <w:rFonts w:ascii="Arial Narrow" w:hAnsi="Arial Narrow"/>
                <w:sz w:val="20"/>
                <w:szCs w:val="20"/>
              </w:rPr>
            </w:pPr>
            <w:r w:rsidRPr="00006CD7">
              <w:rPr>
                <w:rFonts w:ascii="Arial Narrow" w:hAnsi="Arial Narrow"/>
                <w:b/>
                <w:bCs/>
                <w:sz w:val="20"/>
                <w:szCs w:val="20"/>
              </w:rPr>
              <w:t>Indication:</w:t>
            </w:r>
            <w:r w:rsidRPr="00006CD7">
              <w:rPr>
                <w:rFonts w:ascii="Arial Narrow" w:hAnsi="Arial Narrow"/>
                <w:sz w:val="20"/>
                <w:szCs w:val="20"/>
              </w:rPr>
              <w:t xml:space="preserve"> </w:t>
            </w:r>
            <w:r w:rsidRPr="00006CD7">
              <w:rPr>
                <w:rFonts w:ascii="Arial Narrow" w:hAnsi="Arial Narrow"/>
                <w:strike/>
                <w:sz w:val="20"/>
                <w:szCs w:val="20"/>
              </w:rPr>
              <w:t>Eflornithine is indicated for the treatment of patients aged 1 year and older with high risk neuroblastoma (HRNB) who have responded to prior multiagent, multimodality therapy</w:t>
            </w:r>
            <w:r w:rsidRPr="00006CD7">
              <w:rPr>
                <w:rFonts w:ascii="Arial Narrow" w:hAnsi="Arial Narrow"/>
                <w:sz w:val="20"/>
                <w:szCs w:val="20"/>
              </w:rPr>
              <w:t xml:space="preserve"> </w:t>
            </w:r>
            <w:r w:rsidRPr="00006CD7">
              <w:rPr>
                <w:rFonts w:ascii="Arial Narrow" w:hAnsi="Arial Narrow"/>
                <w:i/>
                <w:iCs/>
                <w:sz w:val="20"/>
                <w:szCs w:val="20"/>
              </w:rPr>
              <w:t>High-risk neuroblastoma</w:t>
            </w:r>
          </w:p>
        </w:tc>
      </w:tr>
      <w:tr w:rsidR="00211288" w:rsidRPr="00006CD7" w14:paraId="08EF84D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4E504FD" w14:textId="77777777" w:rsidR="00211288" w:rsidRPr="00006CD7" w:rsidRDefault="00211288">
            <w:pPr>
              <w:jc w:val="center"/>
              <w:rPr>
                <w:rFonts w:ascii="Arial Narrow" w:hAnsi="Arial Narrow"/>
                <w:sz w:val="20"/>
                <w:szCs w:val="20"/>
              </w:rPr>
            </w:pPr>
          </w:p>
        </w:tc>
        <w:tc>
          <w:tcPr>
            <w:tcW w:w="7801" w:type="dxa"/>
            <w:gridSpan w:val="6"/>
            <w:vAlign w:val="center"/>
            <w:hideMark/>
          </w:tcPr>
          <w:p w14:paraId="00FD1A88" w14:textId="77777777" w:rsidR="00211288" w:rsidRPr="00006CD7" w:rsidRDefault="00211288">
            <w:pPr>
              <w:rPr>
                <w:rFonts w:ascii="Arial Narrow" w:hAnsi="Arial Narrow"/>
                <w:sz w:val="20"/>
                <w:szCs w:val="20"/>
              </w:rPr>
            </w:pPr>
            <w:r w:rsidRPr="00006CD7">
              <w:rPr>
                <w:rFonts w:ascii="Arial Narrow" w:hAnsi="Arial Narrow"/>
                <w:b/>
                <w:bCs/>
                <w:sz w:val="20"/>
                <w:szCs w:val="20"/>
              </w:rPr>
              <w:t>Treatment Phase:</w:t>
            </w:r>
            <w:r w:rsidRPr="00006CD7">
              <w:rPr>
                <w:rFonts w:ascii="Arial Narrow" w:hAnsi="Arial Narrow"/>
                <w:sz w:val="20"/>
                <w:szCs w:val="20"/>
              </w:rPr>
              <w:t xml:space="preserve"> Initial </w:t>
            </w:r>
            <w:r w:rsidRPr="00006CD7">
              <w:rPr>
                <w:rFonts w:ascii="Arial Narrow" w:hAnsi="Arial Narrow"/>
                <w:strike/>
                <w:sz w:val="20"/>
                <w:szCs w:val="20"/>
              </w:rPr>
              <w:t xml:space="preserve">and Continuing </w:t>
            </w:r>
            <w:r w:rsidRPr="00006CD7">
              <w:rPr>
                <w:rFonts w:ascii="Arial Narrow" w:hAnsi="Arial Narrow"/>
                <w:sz w:val="20"/>
                <w:szCs w:val="20"/>
              </w:rPr>
              <w:t>Treatment</w:t>
            </w:r>
            <w:r w:rsidRPr="00006CD7">
              <w:rPr>
                <w:rFonts w:ascii="Arial Narrow" w:hAnsi="Arial Narrow"/>
                <w:strike/>
                <w:sz w:val="20"/>
                <w:szCs w:val="20"/>
              </w:rPr>
              <w:t xml:space="preserve"> </w:t>
            </w:r>
            <w:r w:rsidRPr="00006CD7">
              <w:rPr>
                <w:rFonts w:ascii="Arial Narrow" w:hAnsi="Arial Narrow"/>
                <w:i/>
                <w:iCs/>
                <w:strike/>
                <w:sz w:val="20"/>
                <w:szCs w:val="20"/>
              </w:rPr>
              <w:t>and Grandfathered arrangements</w:t>
            </w:r>
          </w:p>
        </w:tc>
      </w:tr>
      <w:tr w:rsidR="00211288" w:rsidRPr="00006CD7" w14:paraId="112E34A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7C8C144" w14:textId="77777777" w:rsidR="00211288" w:rsidRPr="00006CD7" w:rsidRDefault="00211288">
            <w:pPr>
              <w:jc w:val="center"/>
              <w:rPr>
                <w:rFonts w:ascii="Arial Narrow" w:hAnsi="Arial Narrow"/>
                <w:sz w:val="20"/>
                <w:szCs w:val="20"/>
              </w:rPr>
            </w:pPr>
          </w:p>
        </w:tc>
        <w:tc>
          <w:tcPr>
            <w:tcW w:w="7801" w:type="dxa"/>
            <w:gridSpan w:val="6"/>
            <w:vAlign w:val="center"/>
            <w:hideMark/>
          </w:tcPr>
          <w:p w14:paraId="1BAB2EC6" w14:textId="77777777" w:rsidR="00211288" w:rsidRPr="00006CD7" w:rsidRDefault="00211288">
            <w:pPr>
              <w:rPr>
                <w:rFonts w:ascii="Arial Narrow" w:hAnsi="Arial Narrow"/>
                <w:sz w:val="20"/>
                <w:szCs w:val="20"/>
              </w:rPr>
            </w:pPr>
            <w:r w:rsidRPr="00006CD7">
              <w:rPr>
                <w:rFonts w:ascii="Arial Narrow" w:hAnsi="Arial Narrow"/>
                <w:b/>
                <w:bCs/>
                <w:sz w:val="20"/>
                <w:szCs w:val="20"/>
              </w:rPr>
              <w:t xml:space="preserve">Clinical criteria: </w:t>
            </w:r>
          </w:p>
        </w:tc>
      </w:tr>
      <w:tr w:rsidR="00211288" w:rsidRPr="00006CD7" w14:paraId="10D38B3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4A6B286" w14:textId="77777777" w:rsidR="00211288" w:rsidRPr="00006CD7" w:rsidRDefault="00211288">
            <w:pPr>
              <w:jc w:val="center"/>
              <w:rPr>
                <w:rFonts w:ascii="Arial Narrow" w:hAnsi="Arial Narrow"/>
                <w:sz w:val="20"/>
                <w:szCs w:val="20"/>
              </w:rPr>
            </w:pPr>
          </w:p>
        </w:tc>
        <w:tc>
          <w:tcPr>
            <w:tcW w:w="7801" w:type="dxa"/>
            <w:gridSpan w:val="6"/>
            <w:vAlign w:val="center"/>
          </w:tcPr>
          <w:p w14:paraId="7A1B9FEF" w14:textId="6209F0E2" w:rsidR="00211288" w:rsidRPr="00006CD7" w:rsidRDefault="00211288">
            <w:pPr>
              <w:rPr>
                <w:rFonts w:ascii="Arial Narrow" w:hAnsi="Arial Narrow"/>
                <w:b/>
                <w:bCs/>
                <w:sz w:val="20"/>
                <w:szCs w:val="20"/>
              </w:rPr>
            </w:pPr>
            <w:r w:rsidRPr="00006CD7">
              <w:rPr>
                <w:rFonts w:ascii="Arial Narrow" w:hAnsi="Arial Narrow"/>
                <w:bCs/>
                <w:sz w:val="20"/>
                <w:szCs w:val="20"/>
              </w:rPr>
              <w:t>Patient must have high risk neuroblastoma according to the</w:t>
            </w:r>
            <w:r w:rsidRPr="00006CD7">
              <w:rPr>
                <w:rFonts w:ascii="Arial Narrow" w:hAnsi="Arial Narrow"/>
                <w:bCs/>
                <w:i/>
                <w:iCs/>
                <w:sz w:val="20"/>
                <w:szCs w:val="20"/>
              </w:rPr>
              <w:t xml:space="preserve"> least one of the following risk classification system: (i)</w:t>
            </w:r>
            <w:r w:rsidRPr="00006CD7">
              <w:rPr>
                <w:rFonts w:ascii="Arial Narrow" w:hAnsi="Arial Narrow"/>
                <w:bCs/>
                <w:sz w:val="20"/>
                <w:szCs w:val="20"/>
              </w:rPr>
              <w:t xml:space="preserve"> International Neuroblastoma Risk Group </w:t>
            </w:r>
            <w:r w:rsidRPr="00006CD7">
              <w:rPr>
                <w:rFonts w:ascii="Arial Narrow" w:hAnsi="Arial Narrow"/>
                <w:bCs/>
                <w:i/>
                <w:iCs/>
                <w:sz w:val="20"/>
                <w:szCs w:val="20"/>
              </w:rPr>
              <w:t>(INRG);</w:t>
            </w:r>
            <w:r w:rsidRPr="00006CD7">
              <w:rPr>
                <w:rFonts w:ascii="Arial Narrow" w:hAnsi="Arial Narrow"/>
                <w:bCs/>
                <w:sz w:val="20"/>
                <w:szCs w:val="20"/>
              </w:rPr>
              <w:t xml:space="preserve"> </w:t>
            </w:r>
            <w:r w:rsidRPr="00006CD7">
              <w:rPr>
                <w:rFonts w:ascii="Arial Narrow" w:hAnsi="Arial Narrow"/>
                <w:bCs/>
                <w:strike/>
                <w:sz w:val="20"/>
                <w:szCs w:val="20"/>
              </w:rPr>
              <w:t>or</w:t>
            </w:r>
            <w:r w:rsidRPr="00006CD7">
              <w:rPr>
                <w:rFonts w:ascii="Arial Narrow" w:hAnsi="Arial Narrow"/>
                <w:bCs/>
                <w:sz w:val="20"/>
                <w:szCs w:val="20"/>
              </w:rPr>
              <w:t xml:space="preserve"> </w:t>
            </w:r>
            <w:r w:rsidRPr="00006CD7">
              <w:rPr>
                <w:rFonts w:ascii="Arial Narrow" w:hAnsi="Arial Narrow"/>
                <w:bCs/>
                <w:i/>
                <w:iCs/>
                <w:sz w:val="20"/>
                <w:szCs w:val="20"/>
              </w:rPr>
              <w:t>(ii)</w:t>
            </w:r>
            <w:r w:rsidRPr="00006CD7">
              <w:rPr>
                <w:rFonts w:ascii="Arial Narrow" w:hAnsi="Arial Narrow"/>
                <w:bCs/>
                <w:sz w:val="20"/>
                <w:szCs w:val="20"/>
              </w:rPr>
              <w:t xml:space="preserve"> Children’s Oncology Group (COG); </w:t>
            </w:r>
            <w:r w:rsidRPr="00006CD7">
              <w:rPr>
                <w:rFonts w:ascii="Arial Narrow" w:hAnsi="Arial Narrow"/>
                <w:bCs/>
                <w:strike/>
                <w:sz w:val="20"/>
                <w:szCs w:val="20"/>
              </w:rPr>
              <w:t>or</w:t>
            </w:r>
            <w:r w:rsidRPr="00006CD7">
              <w:rPr>
                <w:rFonts w:ascii="Arial Narrow" w:hAnsi="Arial Narrow"/>
                <w:bCs/>
                <w:sz w:val="20"/>
                <w:szCs w:val="20"/>
              </w:rPr>
              <w:t xml:space="preserve"> </w:t>
            </w:r>
            <w:r w:rsidRPr="00006CD7">
              <w:rPr>
                <w:rFonts w:ascii="Arial Narrow" w:hAnsi="Arial Narrow"/>
                <w:bCs/>
                <w:i/>
                <w:iCs/>
                <w:sz w:val="20"/>
                <w:szCs w:val="20"/>
              </w:rPr>
              <w:t>(iii)</w:t>
            </w:r>
            <w:r w:rsidRPr="00006CD7">
              <w:rPr>
                <w:rFonts w:ascii="Arial Narrow" w:hAnsi="Arial Narrow"/>
                <w:bCs/>
                <w:sz w:val="20"/>
                <w:szCs w:val="20"/>
              </w:rPr>
              <w:t xml:space="preserve"> </w:t>
            </w:r>
            <w:r w:rsidRPr="00006CD7">
              <w:rPr>
                <w:rFonts w:ascii="Arial Narrow" w:hAnsi="Arial Narrow"/>
                <w:bCs/>
                <w:i/>
                <w:iCs/>
                <w:sz w:val="20"/>
                <w:szCs w:val="20"/>
              </w:rPr>
              <w:t>International Society of Paediatric Oncology Europe Neuroblastoma</w:t>
            </w:r>
            <w:r w:rsidRPr="00006CD7">
              <w:rPr>
                <w:rFonts w:ascii="Arial Narrow" w:hAnsi="Arial Narrow"/>
                <w:bCs/>
                <w:sz w:val="20"/>
                <w:szCs w:val="20"/>
              </w:rPr>
              <w:t xml:space="preserve"> </w:t>
            </w:r>
            <w:r w:rsidRPr="00006CD7">
              <w:rPr>
                <w:rFonts w:ascii="Arial Narrow" w:hAnsi="Arial Narrow"/>
                <w:bCs/>
                <w:i/>
                <w:iCs/>
                <w:sz w:val="20"/>
                <w:szCs w:val="20"/>
              </w:rPr>
              <w:t>(</w:t>
            </w:r>
            <w:r w:rsidRPr="00006CD7">
              <w:rPr>
                <w:rFonts w:ascii="Arial Narrow" w:hAnsi="Arial Narrow"/>
                <w:bCs/>
                <w:sz w:val="20"/>
                <w:szCs w:val="20"/>
              </w:rPr>
              <w:t>SIOPEN</w:t>
            </w:r>
            <w:r w:rsidRPr="00006CD7">
              <w:rPr>
                <w:rFonts w:ascii="Arial Narrow" w:hAnsi="Arial Narrow"/>
                <w:bCs/>
                <w:i/>
                <w:iCs/>
                <w:sz w:val="20"/>
                <w:szCs w:val="20"/>
              </w:rPr>
              <w:t>)</w:t>
            </w:r>
            <w:r w:rsidRPr="00006CD7">
              <w:rPr>
                <w:rFonts w:ascii="Arial Narrow" w:hAnsi="Arial Narrow"/>
                <w:bCs/>
                <w:sz w:val="20"/>
                <w:szCs w:val="20"/>
              </w:rPr>
              <w:t xml:space="preserve"> </w:t>
            </w:r>
            <w:r w:rsidRPr="00006CD7">
              <w:rPr>
                <w:rFonts w:ascii="Arial Narrow" w:hAnsi="Arial Narrow"/>
                <w:bCs/>
                <w:strike/>
                <w:sz w:val="20"/>
                <w:szCs w:val="20"/>
              </w:rPr>
              <w:t xml:space="preserve">risk classification system </w:t>
            </w:r>
          </w:p>
        </w:tc>
      </w:tr>
      <w:tr w:rsidR="00211288" w:rsidRPr="00006CD7" w14:paraId="34D309B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8F718D" w14:textId="77777777" w:rsidR="00211288" w:rsidRPr="00006CD7" w:rsidRDefault="00211288">
            <w:pPr>
              <w:jc w:val="center"/>
              <w:rPr>
                <w:rFonts w:ascii="Arial Narrow" w:hAnsi="Arial Narrow"/>
                <w:sz w:val="20"/>
                <w:szCs w:val="20"/>
              </w:rPr>
            </w:pPr>
          </w:p>
        </w:tc>
        <w:tc>
          <w:tcPr>
            <w:tcW w:w="7801" w:type="dxa"/>
            <w:gridSpan w:val="6"/>
            <w:vAlign w:val="center"/>
            <w:hideMark/>
          </w:tcPr>
          <w:p w14:paraId="00040226" w14:textId="77777777" w:rsidR="00211288" w:rsidRPr="00006CD7" w:rsidRDefault="00211288">
            <w:pPr>
              <w:rPr>
                <w:rFonts w:ascii="Arial Narrow" w:hAnsi="Arial Narrow"/>
                <w:sz w:val="20"/>
                <w:szCs w:val="20"/>
              </w:rPr>
            </w:pPr>
            <w:r w:rsidRPr="00006CD7">
              <w:rPr>
                <w:rFonts w:ascii="Arial Narrow" w:hAnsi="Arial Narrow"/>
                <w:b/>
                <w:bCs/>
                <w:sz w:val="20"/>
                <w:szCs w:val="20"/>
              </w:rPr>
              <w:t>AND</w:t>
            </w:r>
          </w:p>
        </w:tc>
      </w:tr>
      <w:tr w:rsidR="00211288" w:rsidRPr="00006CD7" w14:paraId="434D35C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280414" w14:textId="77777777" w:rsidR="00211288" w:rsidRPr="00006CD7" w:rsidRDefault="00211288">
            <w:pPr>
              <w:jc w:val="center"/>
              <w:rPr>
                <w:rFonts w:ascii="Arial Narrow" w:hAnsi="Arial Narrow"/>
                <w:sz w:val="20"/>
                <w:szCs w:val="20"/>
              </w:rPr>
            </w:pPr>
          </w:p>
        </w:tc>
        <w:tc>
          <w:tcPr>
            <w:tcW w:w="7801" w:type="dxa"/>
            <w:gridSpan w:val="6"/>
            <w:vAlign w:val="center"/>
            <w:hideMark/>
          </w:tcPr>
          <w:p w14:paraId="5D3131B8" w14:textId="77777777" w:rsidR="00211288" w:rsidRPr="00006CD7" w:rsidRDefault="00211288">
            <w:pPr>
              <w:rPr>
                <w:rFonts w:ascii="Arial Narrow" w:hAnsi="Arial Narrow"/>
                <w:sz w:val="20"/>
                <w:szCs w:val="20"/>
              </w:rPr>
            </w:pPr>
            <w:r w:rsidRPr="00006CD7">
              <w:rPr>
                <w:rFonts w:ascii="Arial Narrow" w:hAnsi="Arial Narrow"/>
                <w:b/>
                <w:bCs/>
                <w:sz w:val="20"/>
                <w:szCs w:val="20"/>
              </w:rPr>
              <w:t>Clinical criteria:</w:t>
            </w:r>
          </w:p>
        </w:tc>
      </w:tr>
      <w:tr w:rsidR="00211288" w:rsidRPr="00006CD7" w14:paraId="04F9D65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13D714" w14:textId="77777777" w:rsidR="00211288" w:rsidRPr="00006CD7" w:rsidRDefault="00211288">
            <w:pPr>
              <w:jc w:val="center"/>
              <w:rPr>
                <w:rFonts w:ascii="Arial Narrow" w:hAnsi="Arial Narrow"/>
                <w:sz w:val="20"/>
                <w:szCs w:val="20"/>
              </w:rPr>
            </w:pPr>
          </w:p>
        </w:tc>
        <w:tc>
          <w:tcPr>
            <w:tcW w:w="7801" w:type="dxa"/>
            <w:gridSpan w:val="6"/>
            <w:vAlign w:val="center"/>
            <w:hideMark/>
          </w:tcPr>
          <w:p w14:paraId="082EC2F5" w14:textId="681C2C5E" w:rsidR="00211288" w:rsidRPr="00006CD7" w:rsidRDefault="00211288">
            <w:pPr>
              <w:rPr>
                <w:rFonts w:ascii="Arial Narrow" w:hAnsi="Arial Narrow"/>
                <w:sz w:val="20"/>
                <w:szCs w:val="20"/>
              </w:rPr>
            </w:pPr>
            <w:r w:rsidRPr="000613EA">
              <w:rPr>
                <w:rFonts w:ascii="Arial Narrow" w:hAnsi="Arial Narrow"/>
                <w:sz w:val="20"/>
                <w:szCs w:val="20"/>
              </w:rPr>
              <w:t>Patient must be in remission</w:t>
            </w:r>
            <w:r w:rsidR="00EC6510">
              <w:rPr>
                <w:rFonts w:ascii="Arial Narrow" w:hAnsi="Arial Narrow"/>
                <w:sz w:val="20"/>
                <w:szCs w:val="20"/>
              </w:rPr>
              <w:t xml:space="preserve"> </w:t>
            </w:r>
            <w:r w:rsidR="00EC6510" w:rsidRPr="002414BC">
              <w:rPr>
                <w:rFonts w:ascii="Arial Narrow" w:hAnsi="Arial Narrow"/>
                <w:strike/>
                <w:sz w:val="20"/>
                <w:szCs w:val="20"/>
              </w:rPr>
              <w:t>at the end of upfront therapy</w:t>
            </w:r>
            <w:r w:rsidR="002414BC" w:rsidRPr="002414BC">
              <w:rPr>
                <w:rFonts w:ascii="Arial Narrow" w:hAnsi="Arial Narrow"/>
                <w:strike/>
                <w:sz w:val="20"/>
                <w:szCs w:val="20"/>
              </w:rPr>
              <w:t xml:space="preserve"> for high risk neuroblastoma</w:t>
            </w:r>
            <w:r w:rsidRPr="00006CD7">
              <w:rPr>
                <w:rFonts w:ascii="Arial Narrow" w:hAnsi="Arial Narrow"/>
                <w:i/>
                <w:iCs/>
                <w:sz w:val="20"/>
                <w:szCs w:val="20"/>
              </w:rPr>
              <w:t xml:space="preserve">, with at least a partial response, at the end of multiagent, multimodality </w:t>
            </w:r>
            <w:r w:rsidRPr="00DC21B2">
              <w:rPr>
                <w:rFonts w:ascii="Arial Narrow" w:hAnsi="Arial Narrow"/>
                <w:i/>
                <w:iCs/>
                <w:sz w:val="20"/>
                <w:szCs w:val="20"/>
              </w:rPr>
              <w:t xml:space="preserve">therapy </w:t>
            </w:r>
            <w:r w:rsidRPr="00477E68">
              <w:rPr>
                <w:rFonts w:ascii="Arial Narrow" w:hAnsi="Arial Narrow"/>
                <w:i/>
                <w:iCs/>
                <w:sz w:val="20"/>
                <w:szCs w:val="20"/>
              </w:rPr>
              <w:t>including anti-GD2 immunotherapy</w:t>
            </w:r>
            <w:r w:rsidRPr="00006CD7">
              <w:rPr>
                <w:rFonts w:ascii="Arial Narrow" w:hAnsi="Arial Narrow"/>
                <w:i/>
                <w:iCs/>
                <w:sz w:val="20"/>
                <w:szCs w:val="20"/>
              </w:rPr>
              <w:t xml:space="preserve"> for high-risk neuroblastoma;</w:t>
            </w:r>
            <w:r w:rsidRPr="00006CD7">
              <w:rPr>
                <w:rFonts w:ascii="Arial Narrow" w:hAnsi="Arial Narrow"/>
                <w:sz w:val="20"/>
                <w:szCs w:val="20"/>
              </w:rPr>
              <w:t xml:space="preserve"> OR </w:t>
            </w:r>
          </w:p>
        </w:tc>
      </w:tr>
      <w:tr w:rsidR="00211288" w:rsidRPr="00006CD7" w14:paraId="4F9893A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F9FCCCB" w14:textId="77777777" w:rsidR="00211288" w:rsidRPr="00006CD7" w:rsidRDefault="00211288">
            <w:pPr>
              <w:jc w:val="center"/>
              <w:rPr>
                <w:rFonts w:ascii="Arial Narrow" w:hAnsi="Arial Narrow"/>
                <w:sz w:val="20"/>
                <w:szCs w:val="20"/>
              </w:rPr>
            </w:pPr>
          </w:p>
        </w:tc>
        <w:tc>
          <w:tcPr>
            <w:tcW w:w="7801" w:type="dxa"/>
            <w:gridSpan w:val="6"/>
            <w:vAlign w:val="center"/>
          </w:tcPr>
          <w:p w14:paraId="3080931D" w14:textId="77777777" w:rsidR="00211288" w:rsidRPr="00006CD7" w:rsidRDefault="00211288">
            <w:pPr>
              <w:rPr>
                <w:rFonts w:ascii="Arial Narrow" w:hAnsi="Arial Narrow"/>
                <w:sz w:val="20"/>
                <w:szCs w:val="20"/>
              </w:rPr>
            </w:pPr>
            <w:r w:rsidRPr="00006CD7">
              <w:rPr>
                <w:rFonts w:ascii="Arial Narrow" w:hAnsi="Arial Narrow"/>
                <w:sz w:val="20"/>
                <w:szCs w:val="20"/>
              </w:rPr>
              <w:t>Patient must be in remission after any previous relapse or refractory therapy for high-risk neuroblastoma</w:t>
            </w:r>
          </w:p>
        </w:tc>
      </w:tr>
      <w:tr w:rsidR="00211288" w:rsidRPr="00006CD7" w14:paraId="0B736B1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665361" w14:textId="77777777" w:rsidR="00211288" w:rsidRPr="00006CD7" w:rsidRDefault="00211288">
            <w:pPr>
              <w:jc w:val="center"/>
              <w:rPr>
                <w:rFonts w:ascii="Arial Narrow" w:hAnsi="Arial Narrow"/>
                <w:sz w:val="20"/>
                <w:szCs w:val="20"/>
              </w:rPr>
            </w:pPr>
          </w:p>
        </w:tc>
        <w:tc>
          <w:tcPr>
            <w:tcW w:w="7801" w:type="dxa"/>
            <w:gridSpan w:val="6"/>
            <w:vAlign w:val="center"/>
            <w:hideMark/>
          </w:tcPr>
          <w:p w14:paraId="0F996990" w14:textId="77777777" w:rsidR="00211288" w:rsidRPr="00006CD7" w:rsidRDefault="00211288">
            <w:pPr>
              <w:rPr>
                <w:rFonts w:ascii="Arial Narrow" w:hAnsi="Arial Narrow"/>
                <w:sz w:val="20"/>
                <w:szCs w:val="20"/>
              </w:rPr>
            </w:pPr>
            <w:r w:rsidRPr="00006CD7">
              <w:rPr>
                <w:rFonts w:ascii="Arial Narrow" w:hAnsi="Arial Narrow"/>
                <w:b/>
                <w:bCs/>
                <w:sz w:val="20"/>
                <w:szCs w:val="20"/>
              </w:rPr>
              <w:t>AND</w:t>
            </w:r>
          </w:p>
        </w:tc>
      </w:tr>
      <w:tr w:rsidR="00211288" w:rsidRPr="00006CD7" w14:paraId="130EF6E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DF3607" w14:textId="77777777" w:rsidR="00211288" w:rsidRPr="00006CD7" w:rsidRDefault="00211288">
            <w:pPr>
              <w:jc w:val="center"/>
              <w:rPr>
                <w:rFonts w:ascii="Arial Narrow" w:hAnsi="Arial Narrow"/>
                <w:sz w:val="20"/>
                <w:szCs w:val="20"/>
              </w:rPr>
            </w:pPr>
          </w:p>
        </w:tc>
        <w:tc>
          <w:tcPr>
            <w:tcW w:w="7801" w:type="dxa"/>
            <w:gridSpan w:val="6"/>
            <w:vAlign w:val="center"/>
            <w:hideMark/>
          </w:tcPr>
          <w:p w14:paraId="3F2895FE" w14:textId="77777777" w:rsidR="00211288" w:rsidRPr="00006CD7" w:rsidRDefault="00211288">
            <w:pPr>
              <w:rPr>
                <w:rFonts w:ascii="Arial Narrow" w:hAnsi="Arial Narrow"/>
                <w:sz w:val="20"/>
                <w:szCs w:val="20"/>
              </w:rPr>
            </w:pPr>
            <w:r w:rsidRPr="00006CD7">
              <w:rPr>
                <w:rFonts w:ascii="Arial Narrow" w:hAnsi="Arial Narrow"/>
                <w:b/>
                <w:bCs/>
                <w:sz w:val="20"/>
                <w:szCs w:val="20"/>
              </w:rPr>
              <w:t>Clinical criteria:</w:t>
            </w:r>
          </w:p>
        </w:tc>
      </w:tr>
      <w:tr w:rsidR="00211288" w:rsidRPr="00006CD7" w14:paraId="0091846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220C20" w14:textId="77777777" w:rsidR="00211288" w:rsidRPr="00006CD7" w:rsidRDefault="00211288">
            <w:pPr>
              <w:jc w:val="center"/>
              <w:rPr>
                <w:rFonts w:ascii="Arial Narrow" w:hAnsi="Arial Narrow"/>
                <w:sz w:val="20"/>
                <w:szCs w:val="20"/>
              </w:rPr>
            </w:pPr>
          </w:p>
        </w:tc>
        <w:tc>
          <w:tcPr>
            <w:tcW w:w="7801" w:type="dxa"/>
            <w:gridSpan w:val="6"/>
            <w:vAlign w:val="center"/>
            <w:hideMark/>
          </w:tcPr>
          <w:p w14:paraId="75380129" w14:textId="77777777" w:rsidR="00211288" w:rsidRPr="00006CD7" w:rsidRDefault="00211288">
            <w:pPr>
              <w:rPr>
                <w:rFonts w:ascii="Arial Narrow" w:hAnsi="Arial Narrow"/>
                <w:sz w:val="20"/>
                <w:szCs w:val="20"/>
              </w:rPr>
            </w:pPr>
            <w:r w:rsidRPr="00006CD7">
              <w:rPr>
                <w:rFonts w:ascii="Arial Narrow" w:hAnsi="Arial Narrow"/>
                <w:sz w:val="20"/>
                <w:szCs w:val="20"/>
              </w:rPr>
              <w:t xml:space="preserve">The treatment must be initiated </w:t>
            </w:r>
            <w:r w:rsidRPr="00006CD7">
              <w:rPr>
                <w:rFonts w:ascii="Arial Narrow" w:hAnsi="Arial Narrow"/>
                <w:strike/>
                <w:sz w:val="20"/>
                <w:szCs w:val="20"/>
              </w:rPr>
              <w:t>within 120 days</w:t>
            </w:r>
            <w:r w:rsidRPr="00006CD7">
              <w:rPr>
                <w:rFonts w:ascii="Arial Narrow" w:hAnsi="Arial Narrow"/>
                <w:sz w:val="20"/>
                <w:szCs w:val="20"/>
              </w:rPr>
              <w:t xml:space="preserve"> after completing previous therapy</w:t>
            </w:r>
          </w:p>
        </w:tc>
      </w:tr>
      <w:tr w:rsidR="00211288" w:rsidRPr="00006CD7" w14:paraId="300DE39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91E6E4" w14:textId="77777777" w:rsidR="00211288" w:rsidRPr="00006CD7" w:rsidRDefault="00211288">
            <w:pPr>
              <w:jc w:val="center"/>
              <w:rPr>
                <w:rFonts w:ascii="Arial Narrow" w:hAnsi="Arial Narrow"/>
                <w:sz w:val="20"/>
                <w:szCs w:val="20"/>
              </w:rPr>
            </w:pPr>
          </w:p>
        </w:tc>
        <w:tc>
          <w:tcPr>
            <w:tcW w:w="7801" w:type="dxa"/>
            <w:gridSpan w:val="6"/>
            <w:vAlign w:val="center"/>
          </w:tcPr>
          <w:p w14:paraId="1D53B9DC" w14:textId="77777777" w:rsidR="00211288" w:rsidRPr="00006CD7" w:rsidRDefault="00211288">
            <w:pPr>
              <w:rPr>
                <w:rFonts w:ascii="Arial Narrow" w:hAnsi="Arial Narrow"/>
                <w:b/>
                <w:bCs/>
                <w:strike/>
                <w:sz w:val="20"/>
                <w:szCs w:val="20"/>
              </w:rPr>
            </w:pPr>
            <w:r w:rsidRPr="00006CD7">
              <w:rPr>
                <w:rFonts w:ascii="Arial Narrow" w:hAnsi="Arial Narrow"/>
                <w:b/>
                <w:bCs/>
                <w:strike/>
                <w:sz w:val="20"/>
                <w:szCs w:val="20"/>
              </w:rPr>
              <w:t>AND</w:t>
            </w:r>
          </w:p>
        </w:tc>
      </w:tr>
      <w:tr w:rsidR="00211288" w:rsidRPr="00006CD7" w14:paraId="67A5C64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E2152B" w14:textId="77777777" w:rsidR="00211288" w:rsidRPr="00006CD7" w:rsidRDefault="00211288">
            <w:pPr>
              <w:jc w:val="center"/>
              <w:rPr>
                <w:rFonts w:ascii="Arial Narrow" w:hAnsi="Arial Narrow"/>
                <w:strike/>
                <w:sz w:val="20"/>
                <w:szCs w:val="20"/>
              </w:rPr>
            </w:pPr>
          </w:p>
        </w:tc>
        <w:tc>
          <w:tcPr>
            <w:tcW w:w="7801" w:type="dxa"/>
            <w:gridSpan w:val="6"/>
            <w:vAlign w:val="center"/>
          </w:tcPr>
          <w:p w14:paraId="3F52D442" w14:textId="77777777" w:rsidR="00211288" w:rsidRPr="00006CD7" w:rsidRDefault="00211288">
            <w:pPr>
              <w:rPr>
                <w:rFonts w:ascii="Arial Narrow" w:hAnsi="Arial Narrow"/>
                <w:b/>
                <w:bCs/>
                <w:strike/>
                <w:sz w:val="20"/>
                <w:szCs w:val="20"/>
              </w:rPr>
            </w:pPr>
            <w:r w:rsidRPr="00006CD7">
              <w:rPr>
                <w:rFonts w:ascii="Arial Narrow" w:hAnsi="Arial Narrow"/>
                <w:b/>
                <w:bCs/>
                <w:strike/>
                <w:sz w:val="20"/>
                <w:szCs w:val="20"/>
              </w:rPr>
              <w:t>Clinical criteria:</w:t>
            </w:r>
          </w:p>
        </w:tc>
      </w:tr>
      <w:tr w:rsidR="00211288" w:rsidRPr="00006CD7" w14:paraId="2CFB18D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DB5B8D6" w14:textId="77777777" w:rsidR="00211288" w:rsidRPr="00006CD7" w:rsidRDefault="00211288">
            <w:pPr>
              <w:jc w:val="center"/>
              <w:rPr>
                <w:rFonts w:ascii="Arial Narrow" w:hAnsi="Arial Narrow"/>
                <w:strike/>
                <w:sz w:val="20"/>
                <w:szCs w:val="20"/>
              </w:rPr>
            </w:pPr>
          </w:p>
        </w:tc>
        <w:tc>
          <w:tcPr>
            <w:tcW w:w="7801" w:type="dxa"/>
            <w:gridSpan w:val="6"/>
            <w:vAlign w:val="center"/>
          </w:tcPr>
          <w:p w14:paraId="1F80D86A" w14:textId="77777777" w:rsidR="00211288" w:rsidRPr="00006CD7" w:rsidRDefault="00211288">
            <w:pPr>
              <w:rPr>
                <w:rFonts w:ascii="Arial Narrow" w:hAnsi="Arial Narrow"/>
                <w:strike/>
                <w:sz w:val="20"/>
                <w:szCs w:val="20"/>
              </w:rPr>
            </w:pPr>
            <w:r w:rsidRPr="00006CD7">
              <w:rPr>
                <w:rFonts w:ascii="Arial Narrow" w:hAnsi="Arial Narrow"/>
                <w:strike/>
                <w:sz w:val="20"/>
                <w:szCs w:val="20"/>
              </w:rPr>
              <w:t>Treatment must be ceased on disease progression or on completion of 27 cycles (equivalent to 2 years) of PBS-subsidised treatment under this restriction, whichever comes first</w:t>
            </w:r>
          </w:p>
        </w:tc>
      </w:tr>
      <w:tr w:rsidR="00211288" w:rsidRPr="00006CD7" w14:paraId="0EEECEED"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271" w:type="dxa"/>
            <w:tcBorders>
              <w:top w:val="single" w:sz="6" w:space="0" w:color="auto"/>
              <w:left w:val="single" w:sz="6" w:space="0" w:color="auto"/>
              <w:bottom w:val="single" w:sz="6" w:space="0" w:color="auto"/>
              <w:right w:val="single" w:sz="6" w:space="0" w:color="auto"/>
            </w:tcBorders>
            <w:vAlign w:val="center"/>
            <w:hideMark/>
          </w:tcPr>
          <w:p w14:paraId="37F51B78" w14:textId="77777777" w:rsidR="00211288" w:rsidRPr="00006CD7" w:rsidRDefault="00211288">
            <w:pPr>
              <w:jc w:val="center"/>
              <w:textAlignment w:val="baseline"/>
              <w:rPr>
                <w:rFonts w:ascii="Arial Narrow" w:hAnsi="Arial Narrow" w:cs="Segoe UI"/>
                <w:sz w:val="20"/>
                <w:szCs w:val="20"/>
              </w:rPr>
            </w:pPr>
          </w:p>
        </w:tc>
        <w:tc>
          <w:tcPr>
            <w:tcW w:w="7801" w:type="dxa"/>
            <w:gridSpan w:val="6"/>
            <w:tcBorders>
              <w:top w:val="single" w:sz="6" w:space="0" w:color="auto"/>
              <w:left w:val="single" w:sz="6" w:space="0" w:color="auto"/>
              <w:bottom w:val="single" w:sz="6" w:space="0" w:color="auto"/>
              <w:right w:val="single" w:sz="6" w:space="0" w:color="auto"/>
            </w:tcBorders>
            <w:vAlign w:val="center"/>
            <w:hideMark/>
          </w:tcPr>
          <w:p w14:paraId="512B8DE1" w14:textId="77777777" w:rsidR="00211288" w:rsidRPr="00006CD7" w:rsidRDefault="00211288">
            <w:pPr>
              <w:ind w:left="57"/>
              <w:textAlignment w:val="baseline"/>
              <w:rPr>
                <w:rFonts w:ascii="Arial Narrow" w:hAnsi="Arial Narrow" w:cs="Segoe UI"/>
                <w:sz w:val="20"/>
                <w:szCs w:val="20"/>
              </w:rPr>
            </w:pPr>
            <w:r w:rsidRPr="00006CD7">
              <w:rPr>
                <w:rFonts w:ascii="Arial Narrow" w:hAnsi="Arial Narrow" w:cs="Segoe UI"/>
                <w:b/>
                <w:bCs/>
                <w:i/>
                <w:iCs/>
                <w:sz w:val="20"/>
                <w:szCs w:val="20"/>
              </w:rPr>
              <w:t>Treatment Criteria:</w:t>
            </w:r>
            <w:r w:rsidRPr="00006CD7">
              <w:rPr>
                <w:rFonts w:ascii="Arial Narrow" w:hAnsi="Arial Narrow" w:cs="Segoe UI"/>
                <w:sz w:val="20"/>
                <w:szCs w:val="20"/>
              </w:rPr>
              <w:t> </w:t>
            </w:r>
          </w:p>
        </w:tc>
      </w:tr>
      <w:tr w:rsidR="00211288" w:rsidRPr="00006CD7" w14:paraId="5660FC53"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271" w:type="dxa"/>
            <w:tcBorders>
              <w:top w:val="single" w:sz="6" w:space="0" w:color="auto"/>
              <w:left w:val="single" w:sz="6" w:space="0" w:color="auto"/>
              <w:bottom w:val="single" w:sz="6" w:space="0" w:color="auto"/>
              <w:right w:val="single" w:sz="6" w:space="0" w:color="auto"/>
            </w:tcBorders>
            <w:vAlign w:val="center"/>
            <w:hideMark/>
          </w:tcPr>
          <w:p w14:paraId="7A8519EF" w14:textId="77777777" w:rsidR="00211288" w:rsidRPr="00006CD7" w:rsidRDefault="00211288">
            <w:pPr>
              <w:jc w:val="center"/>
              <w:textAlignment w:val="baseline"/>
              <w:rPr>
                <w:rFonts w:ascii="Arial Narrow" w:hAnsi="Arial Narrow" w:cs="Segoe UI"/>
                <w:sz w:val="20"/>
                <w:szCs w:val="20"/>
              </w:rPr>
            </w:pPr>
          </w:p>
        </w:tc>
        <w:tc>
          <w:tcPr>
            <w:tcW w:w="7801" w:type="dxa"/>
            <w:gridSpan w:val="6"/>
            <w:tcBorders>
              <w:top w:val="single" w:sz="6" w:space="0" w:color="auto"/>
              <w:left w:val="single" w:sz="6" w:space="0" w:color="auto"/>
              <w:bottom w:val="single" w:sz="6" w:space="0" w:color="auto"/>
              <w:right w:val="single" w:sz="6" w:space="0" w:color="auto"/>
            </w:tcBorders>
            <w:vAlign w:val="center"/>
            <w:hideMark/>
          </w:tcPr>
          <w:p w14:paraId="5F40DCBC" w14:textId="77777777" w:rsidR="00211288" w:rsidRPr="00006CD7" w:rsidRDefault="00211288">
            <w:pPr>
              <w:ind w:left="57"/>
              <w:textAlignment w:val="baseline"/>
              <w:rPr>
                <w:rFonts w:ascii="Arial Narrow" w:hAnsi="Arial Narrow" w:cs="Segoe UI"/>
                <w:sz w:val="20"/>
                <w:szCs w:val="20"/>
              </w:rPr>
            </w:pPr>
            <w:r w:rsidRPr="00006CD7">
              <w:rPr>
                <w:rFonts w:ascii="Arial Narrow" w:hAnsi="Arial Narrow" w:cs="Segoe UI"/>
                <w:i/>
                <w:iCs/>
                <w:sz w:val="20"/>
                <w:szCs w:val="20"/>
              </w:rPr>
              <w:t xml:space="preserve">Must be treated in a hospital/cancer centre for initial treatment by either a: (i) paediatric oncologist (ii) haematologist; </w:t>
            </w:r>
          </w:p>
        </w:tc>
      </w:tr>
      <w:tr w:rsidR="00211288" w:rsidRPr="00006CD7" w14:paraId="3AA0E9D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1BCE8CC" w14:textId="77777777" w:rsidR="00211288" w:rsidRPr="00006CD7" w:rsidRDefault="00211288">
            <w:pPr>
              <w:jc w:val="center"/>
              <w:rPr>
                <w:rFonts w:ascii="Arial Narrow" w:hAnsi="Arial Narrow"/>
                <w:strike/>
                <w:sz w:val="20"/>
                <w:szCs w:val="20"/>
              </w:rPr>
            </w:pPr>
          </w:p>
        </w:tc>
        <w:tc>
          <w:tcPr>
            <w:tcW w:w="7801" w:type="dxa"/>
            <w:gridSpan w:val="6"/>
            <w:vAlign w:val="center"/>
          </w:tcPr>
          <w:p w14:paraId="273BC27C" w14:textId="77777777" w:rsidR="00211288" w:rsidRPr="00006CD7" w:rsidRDefault="00211288">
            <w:pPr>
              <w:rPr>
                <w:rFonts w:ascii="Arial Narrow" w:hAnsi="Arial Narrow"/>
                <w:strike/>
                <w:sz w:val="20"/>
                <w:szCs w:val="20"/>
              </w:rPr>
            </w:pPr>
            <w:r w:rsidRPr="00006CD7">
              <w:rPr>
                <w:rFonts w:ascii="Arial Narrow" w:hAnsi="Arial Narrow"/>
                <w:b/>
                <w:bCs/>
                <w:strike/>
                <w:sz w:val="20"/>
                <w:szCs w:val="20"/>
              </w:rPr>
              <w:t>AND</w:t>
            </w:r>
          </w:p>
        </w:tc>
      </w:tr>
      <w:tr w:rsidR="00211288" w:rsidRPr="00006CD7" w14:paraId="733C32A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A387C75" w14:textId="77777777" w:rsidR="00211288" w:rsidRPr="00006CD7" w:rsidRDefault="00211288">
            <w:pPr>
              <w:jc w:val="center"/>
              <w:rPr>
                <w:rFonts w:ascii="Arial Narrow" w:hAnsi="Arial Narrow"/>
                <w:sz w:val="20"/>
                <w:szCs w:val="20"/>
              </w:rPr>
            </w:pPr>
          </w:p>
        </w:tc>
        <w:tc>
          <w:tcPr>
            <w:tcW w:w="7801" w:type="dxa"/>
            <w:gridSpan w:val="6"/>
            <w:vAlign w:val="center"/>
            <w:hideMark/>
          </w:tcPr>
          <w:p w14:paraId="740B5EAE" w14:textId="77777777" w:rsidR="00211288" w:rsidRPr="00006CD7" w:rsidRDefault="00211288">
            <w:pPr>
              <w:rPr>
                <w:rFonts w:ascii="Arial Narrow" w:hAnsi="Arial Narrow"/>
                <w:strike/>
                <w:sz w:val="20"/>
                <w:szCs w:val="20"/>
              </w:rPr>
            </w:pPr>
            <w:r w:rsidRPr="00006CD7">
              <w:rPr>
                <w:rFonts w:ascii="Arial Narrow" w:hAnsi="Arial Narrow"/>
                <w:b/>
                <w:bCs/>
                <w:strike/>
                <w:sz w:val="20"/>
                <w:szCs w:val="20"/>
              </w:rPr>
              <w:t>Population criteria:</w:t>
            </w:r>
          </w:p>
        </w:tc>
      </w:tr>
      <w:tr w:rsidR="00211288" w:rsidRPr="00006CD7" w14:paraId="3308422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6770B4E4" w14:textId="77777777" w:rsidR="00211288" w:rsidRPr="00006CD7" w:rsidRDefault="00211288">
            <w:pPr>
              <w:rPr>
                <w:rFonts w:ascii="Arial Narrow" w:hAnsi="Arial Narrow"/>
                <w:sz w:val="20"/>
                <w:szCs w:val="20"/>
              </w:rPr>
            </w:pPr>
          </w:p>
        </w:tc>
        <w:tc>
          <w:tcPr>
            <w:tcW w:w="7801" w:type="dxa"/>
            <w:gridSpan w:val="6"/>
            <w:vAlign w:val="center"/>
            <w:hideMark/>
          </w:tcPr>
          <w:p w14:paraId="69D888E2" w14:textId="77777777" w:rsidR="00211288" w:rsidRPr="00006CD7" w:rsidRDefault="00211288">
            <w:pPr>
              <w:rPr>
                <w:rFonts w:ascii="Arial Narrow" w:hAnsi="Arial Narrow"/>
                <w:strike/>
                <w:sz w:val="20"/>
                <w:szCs w:val="20"/>
              </w:rPr>
            </w:pPr>
            <w:r w:rsidRPr="00006CD7">
              <w:rPr>
                <w:rFonts w:ascii="Arial Narrow" w:hAnsi="Arial Narrow"/>
                <w:strike/>
                <w:sz w:val="20"/>
                <w:szCs w:val="20"/>
              </w:rPr>
              <w:t>Patients aged 1 year and older</w:t>
            </w:r>
          </w:p>
        </w:tc>
      </w:tr>
      <w:tr w:rsidR="00211288" w:rsidRPr="00006CD7" w14:paraId="31284FF9"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DFD71F" w14:textId="77777777" w:rsidR="00211288" w:rsidRPr="00006CD7" w:rsidRDefault="00211288">
            <w:pPr>
              <w:rPr>
                <w:rFonts w:ascii="Arial Narrow" w:hAnsi="Arial Narrow"/>
                <w:sz w:val="20"/>
                <w:szCs w:val="20"/>
              </w:rPr>
            </w:pPr>
          </w:p>
        </w:tc>
        <w:tc>
          <w:tcPr>
            <w:tcW w:w="7801" w:type="dxa"/>
            <w:gridSpan w:val="6"/>
            <w:vAlign w:val="center"/>
          </w:tcPr>
          <w:p w14:paraId="4C4C9621" w14:textId="77777777" w:rsidR="00211288" w:rsidRPr="00006CD7" w:rsidRDefault="00211288">
            <w:pPr>
              <w:rPr>
                <w:rFonts w:ascii="Arial Narrow" w:hAnsi="Arial Narrow"/>
                <w:strike/>
                <w:sz w:val="20"/>
                <w:szCs w:val="20"/>
              </w:rPr>
            </w:pPr>
            <w:r w:rsidRPr="00006CD7">
              <w:rPr>
                <w:rFonts w:ascii="Arial Narrow" w:hAnsi="Arial Narrow"/>
                <w:b/>
                <w:bCs/>
                <w:strike/>
                <w:sz w:val="20"/>
                <w:szCs w:val="20"/>
              </w:rPr>
              <w:t>AND</w:t>
            </w:r>
          </w:p>
        </w:tc>
      </w:tr>
      <w:tr w:rsidR="00211288" w:rsidRPr="00006CD7" w14:paraId="1DD1FD7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290D114" w14:textId="77777777" w:rsidR="00211288" w:rsidRPr="00006CD7" w:rsidRDefault="00211288">
            <w:pPr>
              <w:jc w:val="center"/>
              <w:rPr>
                <w:rFonts w:ascii="Arial Narrow" w:hAnsi="Arial Narrow"/>
                <w:sz w:val="20"/>
                <w:szCs w:val="20"/>
              </w:rPr>
            </w:pPr>
          </w:p>
        </w:tc>
        <w:tc>
          <w:tcPr>
            <w:tcW w:w="7801" w:type="dxa"/>
            <w:gridSpan w:val="6"/>
            <w:vAlign w:val="center"/>
          </w:tcPr>
          <w:p w14:paraId="38B1F35D" w14:textId="77777777" w:rsidR="00211288" w:rsidRPr="00006CD7" w:rsidRDefault="00211288">
            <w:pPr>
              <w:rPr>
                <w:rFonts w:ascii="Arial Narrow" w:hAnsi="Arial Narrow"/>
                <w:strike/>
                <w:sz w:val="20"/>
                <w:szCs w:val="20"/>
              </w:rPr>
            </w:pPr>
            <w:r w:rsidRPr="00006CD7">
              <w:rPr>
                <w:rFonts w:ascii="Arial Narrow" w:hAnsi="Arial Narrow"/>
                <w:b/>
                <w:bCs/>
                <w:strike/>
                <w:sz w:val="20"/>
                <w:szCs w:val="20"/>
              </w:rPr>
              <w:t>Population criteria:</w:t>
            </w:r>
          </w:p>
        </w:tc>
      </w:tr>
      <w:tr w:rsidR="00211288" w:rsidRPr="00006CD7" w14:paraId="6FD45AD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BF4BCE8" w14:textId="77777777" w:rsidR="00211288" w:rsidRPr="00006CD7" w:rsidRDefault="00211288">
            <w:pPr>
              <w:jc w:val="center"/>
              <w:rPr>
                <w:rFonts w:ascii="Arial Narrow" w:hAnsi="Arial Narrow"/>
                <w:sz w:val="20"/>
                <w:szCs w:val="20"/>
              </w:rPr>
            </w:pPr>
            <w:r w:rsidRPr="00006CD7">
              <w:rPr>
                <w:rFonts w:ascii="Arial Narrow" w:hAnsi="Arial Narrow"/>
                <w:sz w:val="20"/>
                <w:szCs w:val="20"/>
              </w:rPr>
              <w:t xml:space="preserve"> </w:t>
            </w:r>
          </w:p>
        </w:tc>
        <w:tc>
          <w:tcPr>
            <w:tcW w:w="7801" w:type="dxa"/>
            <w:gridSpan w:val="6"/>
            <w:vAlign w:val="center"/>
          </w:tcPr>
          <w:p w14:paraId="16FFD67E" w14:textId="5CEFDBAB" w:rsidR="00211288" w:rsidRPr="00006CD7" w:rsidRDefault="00211288">
            <w:pPr>
              <w:rPr>
                <w:rFonts w:ascii="Arial Narrow" w:hAnsi="Arial Narrow"/>
                <w:strike/>
                <w:sz w:val="20"/>
                <w:szCs w:val="20"/>
              </w:rPr>
            </w:pPr>
            <w:r w:rsidRPr="00006CD7">
              <w:rPr>
                <w:rFonts w:ascii="Arial Narrow" w:hAnsi="Arial Narrow"/>
                <w:strike/>
                <w:sz w:val="20"/>
                <w:szCs w:val="20"/>
              </w:rPr>
              <w:t>Patient must have body surface area &gt; 0.25 m2</w:t>
            </w:r>
            <w:r w:rsidR="00F6759F">
              <w:rPr>
                <w:rFonts w:ascii="Arial Narrow" w:hAnsi="Arial Narrow"/>
                <w:strike/>
                <w:sz w:val="20"/>
                <w:szCs w:val="20"/>
              </w:rPr>
              <w:t xml:space="preserve"> </w:t>
            </w:r>
          </w:p>
        </w:tc>
      </w:tr>
      <w:tr w:rsidR="00211288" w:rsidRPr="00006CD7" w14:paraId="513B603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0ACE2DC" w14:textId="77777777" w:rsidR="00211288" w:rsidRPr="00006CD7" w:rsidRDefault="00211288">
            <w:pPr>
              <w:jc w:val="center"/>
              <w:rPr>
                <w:rFonts w:ascii="Arial Narrow" w:hAnsi="Arial Narrow"/>
                <w:sz w:val="20"/>
                <w:szCs w:val="20"/>
              </w:rPr>
            </w:pPr>
          </w:p>
        </w:tc>
        <w:tc>
          <w:tcPr>
            <w:tcW w:w="7801" w:type="dxa"/>
            <w:gridSpan w:val="6"/>
            <w:vAlign w:val="center"/>
            <w:hideMark/>
          </w:tcPr>
          <w:p w14:paraId="4387F128" w14:textId="77777777" w:rsidR="00211288" w:rsidRPr="00006CD7" w:rsidRDefault="00211288">
            <w:pPr>
              <w:rPr>
                <w:rFonts w:ascii="Arial Narrow" w:hAnsi="Arial Narrow"/>
                <w:strike/>
                <w:sz w:val="20"/>
                <w:szCs w:val="20"/>
              </w:rPr>
            </w:pPr>
            <w:r w:rsidRPr="00006CD7">
              <w:rPr>
                <w:rFonts w:ascii="Arial Narrow" w:hAnsi="Arial Narrow"/>
                <w:b/>
                <w:bCs/>
                <w:strike/>
                <w:sz w:val="20"/>
                <w:szCs w:val="20"/>
              </w:rPr>
              <w:t xml:space="preserve">Prescribing Instructions: </w:t>
            </w:r>
            <w:r w:rsidRPr="00006CD7">
              <w:rPr>
                <w:rFonts w:ascii="Arial Narrow" w:hAnsi="Arial Narrow"/>
                <w:bCs/>
                <w:strike/>
                <w:sz w:val="20"/>
                <w:szCs w:val="20"/>
              </w:rPr>
              <w:t>The definition of remission (NAD = no active disease; NED = no evidence of disease) is defined as requiring an overall response of partial response or better at the end of upfront treatment or after taking at least one previous relapse therapy for relapsed or refractory disease, based on imaging studies and negative for disease in the bone marrow</w:t>
            </w:r>
          </w:p>
        </w:tc>
      </w:tr>
      <w:tr w:rsidR="00211288" w:rsidRPr="00006CD7" w14:paraId="7143D076"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hideMark/>
          </w:tcPr>
          <w:p w14:paraId="6DE6681B" w14:textId="3D5DA96D" w:rsidR="00211288" w:rsidRPr="00006CD7" w:rsidRDefault="00211288">
            <w:pPr>
              <w:jc w:val="center"/>
              <w:rPr>
                <w:rFonts w:ascii="Arial Narrow" w:hAnsi="Arial Narrow"/>
                <w:i/>
                <w:iCs/>
                <w:sz w:val="20"/>
                <w:szCs w:val="20"/>
              </w:rPr>
            </w:pPr>
          </w:p>
        </w:tc>
        <w:tc>
          <w:tcPr>
            <w:tcW w:w="7801" w:type="dxa"/>
            <w:gridSpan w:val="6"/>
            <w:tcBorders>
              <w:top w:val="single" w:sz="4" w:space="0" w:color="auto"/>
              <w:left w:val="single" w:sz="4" w:space="0" w:color="auto"/>
              <w:bottom w:val="single" w:sz="4" w:space="0" w:color="auto"/>
              <w:right w:val="single" w:sz="4" w:space="0" w:color="auto"/>
            </w:tcBorders>
            <w:vAlign w:val="center"/>
            <w:hideMark/>
          </w:tcPr>
          <w:p w14:paraId="3B34BD02" w14:textId="6D0F4F5D"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Prescribing Instructions: </w:t>
            </w:r>
            <w:r w:rsidRPr="00006CD7">
              <w:rPr>
                <w:rFonts w:ascii="Arial Narrow" w:hAnsi="Arial Narrow"/>
                <w:i/>
                <w:iCs/>
                <w:sz w:val="20"/>
                <w:szCs w:val="20"/>
              </w:rPr>
              <w:t>Prior to initiating treatment with Ifinwil, a complete blood count, liver function tests and baseline hearing assessments should be performed and documented in the patients’ medical records.</w:t>
            </w:r>
            <w:r w:rsidR="00F6759F">
              <w:rPr>
                <w:rFonts w:ascii="Arial Narrow" w:hAnsi="Arial Narrow"/>
                <w:b/>
                <w:bCs/>
                <w:i/>
                <w:iCs/>
                <w:sz w:val="20"/>
                <w:szCs w:val="20"/>
              </w:rPr>
              <w:t xml:space="preserve"> </w:t>
            </w:r>
          </w:p>
        </w:tc>
      </w:tr>
      <w:tr w:rsidR="00211288" w:rsidRPr="00006CD7" w14:paraId="08A7CE0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1CC898F" w14:textId="5AE72470" w:rsidR="00211288" w:rsidRPr="00006CD7" w:rsidRDefault="00211288">
            <w:pPr>
              <w:jc w:val="center"/>
              <w:rPr>
                <w:rFonts w:ascii="Arial Narrow" w:hAnsi="Arial Narrow"/>
                <w:i/>
                <w:iCs/>
                <w:sz w:val="20"/>
                <w:szCs w:val="20"/>
              </w:rPr>
            </w:pPr>
          </w:p>
        </w:tc>
        <w:tc>
          <w:tcPr>
            <w:tcW w:w="7801" w:type="dxa"/>
            <w:gridSpan w:val="6"/>
            <w:vAlign w:val="center"/>
          </w:tcPr>
          <w:p w14:paraId="0EC6139C"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Prescribing Instructions:</w:t>
            </w:r>
          </w:p>
          <w:p w14:paraId="5FEB0749" w14:textId="77777777" w:rsidR="00211288" w:rsidRPr="00006CD7" w:rsidRDefault="00211288">
            <w:pPr>
              <w:rPr>
                <w:rFonts w:ascii="Arial Narrow" w:hAnsi="Arial Narrow"/>
                <w:i/>
                <w:iCs/>
                <w:sz w:val="20"/>
                <w:szCs w:val="20"/>
              </w:rPr>
            </w:pPr>
            <w:r w:rsidRPr="00006CD7">
              <w:rPr>
                <w:rFonts w:ascii="Arial Narrow" w:hAnsi="Arial Narrow"/>
                <w:i/>
                <w:iCs/>
                <w:sz w:val="20"/>
                <w:szCs w:val="20"/>
              </w:rPr>
              <w:t>At the time of the authority application, the prescriber should request an appropriate number of packs and repeats based on the patients’ Body Surface Area (BSA), according to the dosing schedule in the TGA approved Product Information.</w:t>
            </w:r>
          </w:p>
          <w:p w14:paraId="56835D86" w14:textId="77777777" w:rsidR="00211288" w:rsidRPr="00006CD7" w:rsidRDefault="00211288">
            <w:pPr>
              <w:rPr>
                <w:rFonts w:ascii="Arial Narrow" w:hAnsi="Arial Narrow"/>
                <w:sz w:val="20"/>
                <w:szCs w:val="20"/>
              </w:rPr>
            </w:pPr>
            <w:r w:rsidRPr="00006CD7">
              <w:rPr>
                <w:rFonts w:ascii="Arial Narrow" w:hAnsi="Arial Narrow"/>
                <w:i/>
                <w:iCs/>
                <w:sz w:val="20"/>
                <w:szCs w:val="20"/>
              </w:rPr>
              <w:t xml:space="preserve">Up to a maximum of 3 packs (containing a total quantity of 300 tablets) and 2 repeats may be authorised under this restriction (providing 3 months of therapy for each prescription). </w:t>
            </w:r>
          </w:p>
        </w:tc>
      </w:tr>
      <w:tr w:rsidR="00211288" w:rsidRPr="00006CD7" w14:paraId="5777B26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969431" w14:textId="77777777" w:rsidR="00211288" w:rsidRPr="00006CD7" w:rsidRDefault="00211288">
            <w:pPr>
              <w:jc w:val="center"/>
              <w:rPr>
                <w:rFonts w:ascii="Arial Narrow" w:hAnsi="Arial Narrow"/>
                <w:i/>
                <w:iCs/>
                <w:sz w:val="20"/>
                <w:szCs w:val="20"/>
              </w:rPr>
            </w:pPr>
          </w:p>
        </w:tc>
        <w:tc>
          <w:tcPr>
            <w:tcW w:w="7801" w:type="dxa"/>
            <w:gridSpan w:val="6"/>
            <w:vAlign w:val="center"/>
          </w:tcPr>
          <w:p w14:paraId="33BFEC80" w14:textId="77777777" w:rsidR="00211288" w:rsidRPr="00006CD7" w:rsidRDefault="00211288">
            <w:pPr>
              <w:rPr>
                <w:rFonts w:ascii="Arial Narrow" w:hAnsi="Arial Narrow"/>
                <w:b/>
                <w:i/>
                <w:iCs/>
                <w:sz w:val="20"/>
                <w:szCs w:val="20"/>
              </w:rPr>
            </w:pPr>
            <w:r w:rsidRPr="00006CD7">
              <w:rPr>
                <w:rFonts w:ascii="Arial Narrow" w:hAnsi="Arial Narrow"/>
                <w:b/>
                <w:i/>
                <w:iCs/>
                <w:sz w:val="20"/>
                <w:szCs w:val="20"/>
              </w:rPr>
              <w:t>Prescribing Instructions:</w:t>
            </w:r>
          </w:p>
          <w:p w14:paraId="64E0B607" w14:textId="77777777" w:rsidR="00211288" w:rsidRPr="00006CD7" w:rsidRDefault="00211288">
            <w:pPr>
              <w:rPr>
                <w:rFonts w:ascii="Arial Narrow" w:hAnsi="Arial Narrow"/>
                <w:i/>
                <w:iCs/>
                <w:sz w:val="20"/>
                <w:szCs w:val="20"/>
              </w:rPr>
            </w:pPr>
            <w:r w:rsidRPr="00006CD7">
              <w:rPr>
                <w:rFonts w:ascii="Arial Narrow" w:hAnsi="Arial Narrow"/>
                <w:i/>
                <w:iCs/>
                <w:sz w:val="20"/>
                <w:szCs w:val="20"/>
              </w:rPr>
              <w:t>Authority applications for initial treatment must be made in writing and must include:</w:t>
            </w:r>
          </w:p>
          <w:p w14:paraId="1BB407FB" w14:textId="77777777" w:rsidR="00211288" w:rsidRPr="00006CD7" w:rsidRDefault="00211288">
            <w:pPr>
              <w:rPr>
                <w:rFonts w:ascii="Arial Narrow" w:hAnsi="Arial Narrow"/>
                <w:i/>
                <w:iCs/>
                <w:sz w:val="20"/>
                <w:szCs w:val="20"/>
              </w:rPr>
            </w:pPr>
            <w:r w:rsidRPr="00006CD7">
              <w:rPr>
                <w:rFonts w:ascii="Arial Narrow" w:hAnsi="Arial Narrow"/>
                <w:i/>
                <w:iCs/>
                <w:sz w:val="20"/>
                <w:szCs w:val="20"/>
              </w:rPr>
              <w:t>(a) details of the proposed prescription; and</w:t>
            </w:r>
          </w:p>
          <w:p w14:paraId="64A2EF10" w14:textId="77777777" w:rsidR="00211288" w:rsidRPr="00006CD7" w:rsidRDefault="00211288">
            <w:pPr>
              <w:rPr>
                <w:rFonts w:ascii="Arial Narrow" w:hAnsi="Arial Narrow"/>
                <w:i/>
                <w:iCs/>
                <w:sz w:val="20"/>
                <w:szCs w:val="20"/>
              </w:rPr>
            </w:pPr>
            <w:r w:rsidRPr="00006CD7">
              <w:rPr>
                <w:rFonts w:ascii="Arial Narrow" w:hAnsi="Arial Narrow"/>
                <w:i/>
                <w:iCs/>
                <w:sz w:val="20"/>
                <w:szCs w:val="20"/>
              </w:rPr>
              <w:t xml:space="preserve">(b) a completed PBS authority application form, </w:t>
            </w:r>
            <w:r w:rsidRPr="00006CD7">
              <w:rPr>
                <w:rFonts w:ascii="Arial Narrow" w:hAnsi="Arial Narrow"/>
                <w:bCs/>
                <w:i/>
                <w:iCs/>
                <w:sz w:val="20"/>
                <w:szCs w:val="20"/>
              </w:rPr>
              <w:t xml:space="preserve">relevant to the indication and treatment phase (the latest version is located on the website specified in the Administrative Advice) </w:t>
            </w:r>
            <w:r w:rsidRPr="00006CD7">
              <w:rPr>
                <w:rFonts w:ascii="Arial Narrow" w:hAnsi="Arial Narrow"/>
                <w:i/>
                <w:iCs/>
                <w:sz w:val="20"/>
                <w:szCs w:val="20"/>
              </w:rPr>
              <w:t>which includes the following:</w:t>
            </w:r>
          </w:p>
          <w:p w14:paraId="59BA3292" w14:textId="77777777" w:rsidR="00211288" w:rsidRPr="00006CD7" w:rsidRDefault="00211288">
            <w:pPr>
              <w:rPr>
                <w:rFonts w:ascii="Arial Narrow" w:hAnsi="Arial Narrow"/>
                <w:i/>
                <w:iCs/>
                <w:sz w:val="20"/>
                <w:szCs w:val="20"/>
              </w:rPr>
            </w:pPr>
            <w:r w:rsidRPr="00006CD7">
              <w:rPr>
                <w:rFonts w:ascii="Arial Narrow" w:hAnsi="Arial Narrow"/>
                <w:i/>
                <w:iCs/>
                <w:sz w:val="20"/>
                <w:szCs w:val="20"/>
              </w:rPr>
              <w:t>(i) Details of prior treatment for high-risk neuroblastoma [dosage, date of commencement and duration of therapy]; and</w:t>
            </w:r>
          </w:p>
          <w:p w14:paraId="5732EB3F" w14:textId="77777777" w:rsidR="00211288" w:rsidRPr="00006CD7" w:rsidRDefault="00211288">
            <w:pPr>
              <w:rPr>
                <w:rFonts w:ascii="Arial Narrow" w:hAnsi="Arial Narrow"/>
                <w:b/>
                <w:bCs/>
                <w:i/>
                <w:iCs/>
                <w:sz w:val="20"/>
                <w:szCs w:val="20"/>
              </w:rPr>
            </w:pPr>
            <w:r w:rsidRPr="00006CD7">
              <w:rPr>
                <w:rFonts w:ascii="Arial Narrow" w:hAnsi="Arial Narrow"/>
                <w:i/>
                <w:iCs/>
                <w:sz w:val="20"/>
                <w:szCs w:val="20"/>
              </w:rPr>
              <w:t>(iii) The patients’ BSA measurement</w:t>
            </w:r>
          </w:p>
        </w:tc>
      </w:tr>
      <w:tr w:rsidR="00211288" w:rsidRPr="00006CD7" w14:paraId="22FF33C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604873E" w14:textId="77777777" w:rsidR="00211288" w:rsidRPr="00006CD7" w:rsidRDefault="00211288">
            <w:pPr>
              <w:jc w:val="center"/>
              <w:rPr>
                <w:rFonts w:ascii="Arial Narrow" w:hAnsi="Arial Narrow"/>
                <w:i/>
                <w:iCs/>
                <w:sz w:val="20"/>
                <w:szCs w:val="20"/>
              </w:rPr>
            </w:pPr>
          </w:p>
        </w:tc>
        <w:tc>
          <w:tcPr>
            <w:tcW w:w="7801" w:type="dxa"/>
            <w:gridSpan w:val="6"/>
            <w:vAlign w:val="center"/>
          </w:tcPr>
          <w:p w14:paraId="16C51D3C" w14:textId="77777777" w:rsidR="00211288" w:rsidRPr="00006CD7" w:rsidRDefault="00211288">
            <w:pPr>
              <w:rPr>
                <w:rFonts w:ascii="Arial Narrow" w:hAnsi="Arial Narrow"/>
                <w:b/>
                <w:bCs/>
                <w:i/>
                <w:iCs/>
                <w:sz w:val="20"/>
                <w:szCs w:val="20"/>
              </w:rPr>
            </w:pPr>
          </w:p>
        </w:tc>
      </w:tr>
      <w:tr w:rsidR="00211288" w:rsidRPr="00006CD7" w14:paraId="76C7AF8C" w14:textId="77777777" w:rsidTr="00754F13">
        <w:tblPrEx>
          <w:tblCellMar>
            <w:top w:w="15" w:type="dxa"/>
            <w:bottom w:w="15" w:type="dxa"/>
          </w:tblCellMar>
          <w:tblLook w:val="04A0" w:firstRow="1" w:lastRow="0" w:firstColumn="1" w:lastColumn="0" w:noHBand="0" w:noVBand="1"/>
        </w:tblPrEx>
        <w:trPr>
          <w:trHeight w:val="20"/>
        </w:trPr>
        <w:tc>
          <w:tcPr>
            <w:tcW w:w="1271" w:type="dxa"/>
            <w:vAlign w:val="center"/>
          </w:tcPr>
          <w:p w14:paraId="1E3BDABF" w14:textId="77777777" w:rsidR="00211288" w:rsidRPr="00006CD7" w:rsidRDefault="00211288" w:rsidP="001F5004">
            <w:pPr>
              <w:jc w:val="center"/>
              <w:rPr>
                <w:rFonts w:ascii="Arial Narrow" w:hAnsi="Arial Narrow"/>
                <w:i/>
                <w:iCs/>
                <w:sz w:val="20"/>
                <w:szCs w:val="20"/>
              </w:rPr>
            </w:pPr>
          </w:p>
        </w:tc>
        <w:tc>
          <w:tcPr>
            <w:tcW w:w="7801" w:type="dxa"/>
            <w:gridSpan w:val="6"/>
            <w:vAlign w:val="center"/>
          </w:tcPr>
          <w:p w14:paraId="794392F2"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Administrative Advice:</w:t>
            </w:r>
          </w:p>
          <w:p w14:paraId="30694BA5" w14:textId="77777777" w:rsidR="00211288" w:rsidRPr="00006CD7" w:rsidRDefault="00211288">
            <w:pPr>
              <w:rPr>
                <w:rFonts w:ascii="Arial Narrow" w:hAnsi="Arial Narrow"/>
                <w:bCs/>
                <w:i/>
                <w:iCs/>
                <w:sz w:val="20"/>
                <w:szCs w:val="20"/>
              </w:rPr>
            </w:pPr>
            <w:r w:rsidRPr="00006CD7">
              <w:rPr>
                <w:rFonts w:ascii="Arial Narrow" w:hAnsi="Arial Narrow"/>
                <w:bCs/>
                <w:i/>
                <w:iCs/>
                <w:sz w:val="20"/>
                <w:szCs w:val="20"/>
              </w:rPr>
              <w:t>Any queries concerning the arrangements to prescribe may be directed to</w:t>
            </w:r>
            <w:r w:rsidRPr="00006CD7">
              <w:rPr>
                <w:rFonts w:ascii="Arial" w:hAnsi="Arial"/>
                <w:bCs/>
                <w:i/>
                <w:iCs/>
                <w:sz w:val="20"/>
                <w:szCs w:val="20"/>
              </w:rPr>
              <w:t> </w:t>
            </w:r>
            <w:r w:rsidRPr="00006CD7">
              <w:rPr>
                <w:rFonts w:ascii="Arial Narrow" w:hAnsi="Arial Narrow"/>
                <w:bCs/>
                <w:i/>
                <w:iCs/>
                <w:sz w:val="20"/>
                <w:szCs w:val="20"/>
              </w:rPr>
              <w:t>Services Australia</w:t>
            </w:r>
            <w:r w:rsidRPr="00006CD7">
              <w:rPr>
                <w:rFonts w:ascii="Arial" w:hAnsi="Arial"/>
                <w:bCs/>
                <w:i/>
                <w:iCs/>
                <w:sz w:val="20"/>
                <w:szCs w:val="20"/>
              </w:rPr>
              <w:t> </w:t>
            </w:r>
            <w:r w:rsidRPr="00006CD7">
              <w:rPr>
                <w:rFonts w:ascii="Arial Narrow" w:hAnsi="Arial Narrow"/>
                <w:bCs/>
                <w:i/>
                <w:iCs/>
                <w:sz w:val="20"/>
                <w:szCs w:val="20"/>
              </w:rPr>
              <w:t>on 1800 700 270 (hours of operation 8 a.m. to 5 p.m. Monday to Friday). </w:t>
            </w:r>
          </w:p>
          <w:p w14:paraId="5287CAFD" w14:textId="58FF04EB" w:rsidR="00211288" w:rsidRPr="00006CD7" w:rsidRDefault="00211288">
            <w:pPr>
              <w:rPr>
                <w:rFonts w:ascii="Arial Narrow" w:hAnsi="Arial Narrow"/>
                <w:bCs/>
                <w:i/>
                <w:iCs/>
                <w:sz w:val="20"/>
                <w:szCs w:val="20"/>
              </w:rPr>
            </w:pPr>
            <w:r w:rsidRPr="00006CD7">
              <w:rPr>
                <w:rFonts w:ascii="Arial Narrow" w:hAnsi="Arial Narrow"/>
                <w:bCs/>
                <w:i/>
                <w:iCs/>
                <w:sz w:val="20"/>
                <w:szCs w:val="20"/>
              </w:rPr>
              <w:t>Prescribing information (including Authority Application forms and other relevant documentation as applicable) is available on the</w:t>
            </w:r>
            <w:r w:rsidRPr="00006CD7">
              <w:rPr>
                <w:rFonts w:ascii="Arial" w:hAnsi="Arial"/>
                <w:bCs/>
                <w:i/>
                <w:iCs/>
                <w:sz w:val="20"/>
                <w:szCs w:val="20"/>
              </w:rPr>
              <w:t> </w:t>
            </w:r>
            <w:r w:rsidRPr="00006CD7">
              <w:rPr>
                <w:rFonts w:ascii="Arial Narrow" w:hAnsi="Arial Narrow"/>
                <w:bCs/>
                <w:i/>
                <w:iCs/>
                <w:sz w:val="20"/>
                <w:szCs w:val="20"/>
              </w:rPr>
              <w:t>Services Australia</w:t>
            </w:r>
            <w:r w:rsidRPr="00006CD7">
              <w:rPr>
                <w:rFonts w:ascii="Arial" w:hAnsi="Arial"/>
                <w:bCs/>
                <w:i/>
                <w:iCs/>
                <w:sz w:val="20"/>
                <w:szCs w:val="20"/>
              </w:rPr>
              <w:t> </w:t>
            </w:r>
            <w:r w:rsidRPr="00006CD7">
              <w:rPr>
                <w:rFonts w:ascii="Arial Narrow" w:hAnsi="Arial Narrow"/>
                <w:bCs/>
                <w:i/>
                <w:iCs/>
                <w:sz w:val="20"/>
                <w:szCs w:val="20"/>
              </w:rPr>
              <w:t xml:space="preserve">website at </w:t>
            </w:r>
            <w:hyperlink r:id="rId8" w:history="1">
              <w:r w:rsidRPr="00006CD7">
                <w:rPr>
                  <w:rStyle w:val="Hyperlink"/>
                  <w:rFonts w:ascii="Arial Narrow" w:hAnsi="Arial Narrow"/>
                  <w:bCs/>
                  <w:i/>
                  <w:iCs/>
                  <w:sz w:val="20"/>
                  <w:szCs w:val="20"/>
                </w:rPr>
                <w:t>www.servicesaustralia.gov.au</w:t>
              </w:r>
            </w:hyperlink>
            <w:r w:rsidRPr="00006CD7">
              <w:rPr>
                <w:rFonts w:ascii="Arial Narrow" w:hAnsi="Arial Narrow"/>
                <w:bCs/>
                <w:i/>
                <w:iCs/>
                <w:sz w:val="20"/>
                <w:szCs w:val="20"/>
              </w:rPr>
              <w:t> </w:t>
            </w:r>
          </w:p>
          <w:p w14:paraId="3E8321C7" w14:textId="3F95A1EB" w:rsidR="00211288" w:rsidRPr="00006CD7" w:rsidRDefault="00211288">
            <w:pPr>
              <w:rPr>
                <w:rFonts w:ascii="Arial Narrow" w:hAnsi="Arial Narrow"/>
                <w:bCs/>
                <w:i/>
                <w:iCs/>
                <w:sz w:val="20"/>
                <w:szCs w:val="20"/>
              </w:rPr>
            </w:pPr>
            <w:r w:rsidRPr="00006CD7">
              <w:rPr>
                <w:rFonts w:ascii="Arial Narrow" w:hAnsi="Arial Narrow"/>
                <w:bCs/>
                <w:i/>
                <w:iCs/>
                <w:sz w:val="20"/>
                <w:szCs w:val="20"/>
              </w:rPr>
              <w:t xml:space="preserve">Applications for authority to prescribe should be submitted online using the form upload facility in Health Professional Online Services (HPOS) at </w:t>
            </w:r>
            <w:hyperlink r:id="rId9" w:history="1">
              <w:r w:rsidRPr="00006CD7">
                <w:rPr>
                  <w:rStyle w:val="Hyperlink"/>
                  <w:rFonts w:ascii="Arial Narrow" w:hAnsi="Arial Narrow"/>
                  <w:bCs/>
                  <w:i/>
                  <w:iCs/>
                  <w:sz w:val="20"/>
                  <w:szCs w:val="20"/>
                </w:rPr>
                <w:t>www.servicesaustralia.gov.au/hpos</w:t>
              </w:r>
            </w:hyperlink>
            <w:r w:rsidRPr="00006CD7">
              <w:rPr>
                <w:rFonts w:ascii="Arial Narrow" w:hAnsi="Arial Narrow"/>
                <w:bCs/>
                <w:i/>
                <w:iCs/>
                <w:sz w:val="20"/>
                <w:szCs w:val="20"/>
              </w:rPr>
              <w:t> </w:t>
            </w:r>
          </w:p>
          <w:p w14:paraId="47B3AF47" w14:textId="77777777" w:rsidR="00211288" w:rsidRPr="00006CD7" w:rsidRDefault="00211288">
            <w:pPr>
              <w:rPr>
                <w:rFonts w:ascii="Arial Narrow" w:hAnsi="Arial Narrow"/>
                <w:bCs/>
                <w:i/>
                <w:iCs/>
                <w:sz w:val="20"/>
                <w:szCs w:val="20"/>
              </w:rPr>
            </w:pPr>
            <w:r w:rsidRPr="00006CD7">
              <w:rPr>
                <w:rFonts w:ascii="Arial Narrow" w:hAnsi="Arial Narrow"/>
                <w:bCs/>
                <w:i/>
                <w:iCs/>
                <w:sz w:val="20"/>
                <w:szCs w:val="20"/>
              </w:rPr>
              <w:lastRenderedPageBreak/>
              <w:t>Or mailed to: </w:t>
            </w:r>
          </w:p>
          <w:p w14:paraId="5358046B" w14:textId="77777777" w:rsidR="00211288" w:rsidRPr="00006CD7" w:rsidRDefault="00211288">
            <w:pPr>
              <w:rPr>
                <w:rFonts w:ascii="Arial Narrow" w:hAnsi="Arial Narrow"/>
                <w:bCs/>
                <w:i/>
                <w:iCs/>
                <w:sz w:val="20"/>
                <w:szCs w:val="20"/>
              </w:rPr>
            </w:pPr>
            <w:r w:rsidRPr="00006CD7">
              <w:rPr>
                <w:rFonts w:ascii="Arial Narrow" w:hAnsi="Arial Narrow"/>
                <w:bCs/>
                <w:i/>
                <w:iCs/>
                <w:sz w:val="20"/>
                <w:szCs w:val="20"/>
              </w:rPr>
              <w:t>Services Australia </w:t>
            </w:r>
          </w:p>
          <w:p w14:paraId="72AE5D9A" w14:textId="77777777" w:rsidR="00211288" w:rsidRPr="00006CD7" w:rsidRDefault="00211288">
            <w:pPr>
              <w:rPr>
                <w:rFonts w:ascii="Arial Narrow" w:hAnsi="Arial Narrow"/>
                <w:bCs/>
                <w:i/>
                <w:iCs/>
                <w:sz w:val="20"/>
                <w:szCs w:val="20"/>
              </w:rPr>
            </w:pPr>
            <w:r w:rsidRPr="00006CD7">
              <w:rPr>
                <w:rFonts w:ascii="Arial Narrow" w:hAnsi="Arial Narrow"/>
                <w:bCs/>
                <w:i/>
                <w:iCs/>
                <w:sz w:val="20"/>
                <w:szCs w:val="20"/>
              </w:rPr>
              <w:t>Complex Drugs </w:t>
            </w:r>
          </w:p>
          <w:p w14:paraId="2649C9E5" w14:textId="77777777" w:rsidR="00211288" w:rsidRPr="00006CD7" w:rsidRDefault="00211288">
            <w:pPr>
              <w:rPr>
                <w:rFonts w:ascii="Arial Narrow" w:hAnsi="Arial Narrow"/>
                <w:bCs/>
                <w:i/>
                <w:iCs/>
                <w:sz w:val="20"/>
                <w:szCs w:val="20"/>
              </w:rPr>
            </w:pPr>
            <w:r w:rsidRPr="00006CD7">
              <w:rPr>
                <w:rFonts w:ascii="Arial Narrow" w:hAnsi="Arial Narrow"/>
                <w:bCs/>
                <w:i/>
                <w:iCs/>
                <w:sz w:val="20"/>
                <w:szCs w:val="20"/>
              </w:rPr>
              <w:t>Reply Paid 9826 </w:t>
            </w:r>
          </w:p>
          <w:p w14:paraId="77D30DDC" w14:textId="77777777" w:rsidR="00211288" w:rsidRPr="00006CD7" w:rsidRDefault="00211288">
            <w:pPr>
              <w:rPr>
                <w:rFonts w:ascii="Arial Narrow" w:hAnsi="Arial Narrow"/>
                <w:bCs/>
                <w:i/>
                <w:iCs/>
                <w:sz w:val="20"/>
                <w:szCs w:val="20"/>
              </w:rPr>
            </w:pPr>
            <w:r w:rsidRPr="00006CD7">
              <w:rPr>
                <w:rFonts w:ascii="Arial Narrow" w:hAnsi="Arial Narrow"/>
                <w:bCs/>
                <w:i/>
                <w:iCs/>
                <w:sz w:val="20"/>
                <w:szCs w:val="20"/>
              </w:rPr>
              <w:t>HOBART TAS 7001 </w:t>
            </w:r>
          </w:p>
        </w:tc>
      </w:tr>
    </w:tbl>
    <w:p w14:paraId="65A68D29" w14:textId="77777777" w:rsidR="00211288" w:rsidRPr="00006CD7" w:rsidRDefault="00211288" w:rsidP="006868F0">
      <w:pPr>
        <w:pStyle w:val="3-BodyText"/>
        <w:numPr>
          <w:ilvl w:val="0"/>
          <w:numId w:val="0"/>
        </w:numPr>
        <w:spacing w:before="0" w:after="0"/>
        <w:ind w:left="720" w:hanging="720"/>
        <w:rPr>
          <w:rFonts w:ascii="Calibri" w:hAnsi="Calibri"/>
          <w:b/>
        </w:rPr>
      </w:pPr>
    </w:p>
    <w:p w14:paraId="41824F1D" w14:textId="77777777" w:rsidR="00211288" w:rsidRPr="00006CD7" w:rsidRDefault="00211288" w:rsidP="0087224A">
      <w:pPr>
        <w:pStyle w:val="3-SubsectionHeading"/>
      </w:pPr>
      <w:r w:rsidRPr="00006CD7">
        <w:t>Continuing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Description w:val="Continuing restriction"/>
      </w:tblPr>
      <w:tblGrid>
        <w:gridCol w:w="1271"/>
        <w:gridCol w:w="7746"/>
      </w:tblGrid>
      <w:tr w:rsidR="00211288" w:rsidRPr="00006CD7" w14:paraId="0F4D2960" w14:textId="77777777">
        <w:trPr>
          <w:cantSplit/>
          <w:trHeight w:val="20"/>
        </w:trPr>
        <w:tc>
          <w:tcPr>
            <w:tcW w:w="9016" w:type="dxa"/>
            <w:gridSpan w:val="2"/>
            <w:tcBorders>
              <w:top w:val="single" w:sz="4" w:space="0" w:color="auto"/>
              <w:left w:val="single" w:sz="4" w:space="0" w:color="auto"/>
              <w:right w:val="single" w:sz="4" w:space="0" w:color="auto"/>
            </w:tcBorders>
            <w:vAlign w:val="center"/>
          </w:tcPr>
          <w:p w14:paraId="3F21D09F" w14:textId="229C0015" w:rsidR="00211288" w:rsidRPr="00006CD7" w:rsidRDefault="00211288">
            <w:pPr>
              <w:rPr>
                <w:rFonts w:ascii="Arial Narrow" w:hAnsi="Arial Narrow"/>
                <w:b/>
                <w:bCs/>
                <w:i/>
                <w:iCs/>
                <w:sz w:val="20"/>
                <w:szCs w:val="20"/>
              </w:rPr>
            </w:pPr>
            <w:r w:rsidRPr="00006CD7">
              <w:rPr>
                <w:rFonts w:ascii="Arial Narrow" w:hAnsi="Arial Narrow"/>
                <w:b/>
                <w:i/>
                <w:iCs/>
                <w:sz w:val="20"/>
                <w:szCs w:val="20"/>
              </w:rPr>
              <w:t xml:space="preserve">Restriction Summary / Treatment of Concept: </w:t>
            </w:r>
          </w:p>
        </w:tc>
      </w:tr>
      <w:tr w:rsidR="00211288" w:rsidRPr="00006CD7" w14:paraId="7E4128DC" w14:textId="77777777">
        <w:trPr>
          <w:cantSplit/>
          <w:trHeight w:val="20"/>
        </w:trPr>
        <w:tc>
          <w:tcPr>
            <w:tcW w:w="1271" w:type="dxa"/>
            <w:vMerge w:val="restart"/>
            <w:tcBorders>
              <w:top w:val="single" w:sz="4" w:space="0" w:color="auto"/>
              <w:left w:val="single" w:sz="4" w:space="0" w:color="auto"/>
              <w:right w:val="single" w:sz="4" w:space="0" w:color="auto"/>
            </w:tcBorders>
            <w:vAlign w:val="center"/>
          </w:tcPr>
          <w:p w14:paraId="1E38F18A" w14:textId="58BF4EE8" w:rsidR="00211288" w:rsidRPr="00006CD7" w:rsidRDefault="00211288">
            <w:pPr>
              <w:jc w:val="center"/>
              <w:rPr>
                <w:rFonts w:ascii="Arial Narrow" w:hAnsi="Arial Narrow"/>
                <w:i/>
                <w:iCs/>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996EE50" w14:textId="63280102"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Category / Program: </w:t>
            </w:r>
            <w:r w:rsidRPr="00006CD7">
              <w:rPr>
                <w:rFonts w:ascii="Arial Narrow" w:hAnsi="Arial Narrow"/>
                <w:b/>
                <w:bCs/>
                <w:i/>
                <w:iCs/>
                <w:sz w:val="20"/>
                <w:szCs w:val="20"/>
              </w:rPr>
              <w:fldChar w:fldCharType="begin" w:fldLock="1">
                <w:ffData>
                  <w:name w:val=""/>
                  <w:enabled/>
                  <w:calcOnExit w:val="0"/>
                  <w:checkBox>
                    <w:sizeAuto/>
                    <w:default w:val="1"/>
                  </w:checkBox>
                </w:ffData>
              </w:fldChar>
            </w:r>
            <w:r w:rsidRPr="00006CD7">
              <w:rPr>
                <w:rFonts w:ascii="Arial Narrow" w:hAnsi="Arial Narrow"/>
                <w:b/>
                <w:bCs/>
                <w:i/>
                <w:iCs/>
                <w:sz w:val="20"/>
                <w:szCs w:val="20"/>
              </w:rPr>
              <w:instrText xml:space="preserve"> FORMCHECKBOX </w:instrText>
            </w:r>
            <w:r w:rsidRPr="00006CD7">
              <w:rPr>
                <w:rFonts w:ascii="Arial Narrow" w:hAnsi="Arial Narrow"/>
                <w:b/>
                <w:bCs/>
                <w:i/>
                <w:iCs/>
                <w:sz w:val="20"/>
                <w:szCs w:val="20"/>
              </w:rPr>
            </w:r>
            <w:r w:rsidRPr="00006CD7">
              <w:rPr>
                <w:rFonts w:ascii="Arial Narrow" w:hAnsi="Arial Narrow"/>
                <w:b/>
                <w:bCs/>
                <w:i/>
                <w:iCs/>
                <w:sz w:val="20"/>
                <w:szCs w:val="20"/>
              </w:rPr>
              <w:fldChar w:fldCharType="separate"/>
            </w:r>
            <w:r w:rsidRPr="00006CD7">
              <w:rPr>
                <w:rFonts w:ascii="Arial Narrow" w:hAnsi="Arial Narrow"/>
                <w:b/>
                <w:bCs/>
                <w:i/>
                <w:iCs/>
                <w:sz w:val="20"/>
                <w:szCs w:val="20"/>
              </w:rPr>
              <w:fldChar w:fldCharType="end"/>
            </w:r>
            <w:r w:rsidR="00923EC7">
              <w:rPr>
                <w:rFonts w:ascii="Arial Narrow" w:hAnsi="Arial Narrow"/>
                <w:i/>
                <w:iCs/>
                <w:sz w:val="20"/>
                <w:szCs w:val="20"/>
              </w:rPr>
              <w:t>Section 100</w:t>
            </w:r>
          </w:p>
        </w:tc>
      </w:tr>
      <w:tr w:rsidR="00211288" w:rsidRPr="00006CD7" w14:paraId="558D6273" w14:textId="77777777">
        <w:trPr>
          <w:cantSplit/>
          <w:trHeight w:val="20"/>
        </w:trPr>
        <w:tc>
          <w:tcPr>
            <w:tcW w:w="1271" w:type="dxa"/>
            <w:vMerge/>
            <w:tcBorders>
              <w:left w:val="single" w:sz="4" w:space="0" w:color="auto"/>
              <w:right w:val="single" w:sz="4" w:space="0" w:color="auto"/>
            </w:tcBorders>
            <w:vAlign w:val="center"/>
          </w:tcPr>
          <w:p w14:paraId="24C969CC" w14:textId="77777777" w:rsidR="00211288" w:rsidRPr="00006CD7" w:rsidRDefault="00211288">
            <w:pPr>
              <w:jc w:val="center"/>
              <w:rPr>
                <w:rFonts w:ascii="Arial Narrow" w:hAnsi="Arial Narrow"/>
                <w:i/>
                <w:iCs/>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DEC83E9"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Prescriber type: </w:t>
            </w:r>
            <w:r w:rsidRPr="00006CD7">
              <w:rPr>
                <w:rFonts w:ascii="Arial Narrow" w:hAnsi="Arial Narrow"/>
                <w:i/>
                <w:iCs/>
                <w:sz w:val="20"/>
                <w:szCs w:val="20"/>
              </w:rPr>
              <w:fldChar w:fldCharType="begin" w:fldLock="1">
                <w:ffData>
                  <w:name w:val=""/>
                  <w:enabled/>
                  <w:calcOnExit w:val="0"/>
                  <w:checkBox>
                    <w:sizeAuto/>
                    <w:default w:val="1"/>
                  </w:checkBox>
                </w:ffData>
              </w:fldChar>
            </w:r>
            <w:r w:rsidRPr="00006CD7">
              <w:rPr>
                <w:rFonts w:ascii="Arial Narrow" w:hAnsi="Arial Narrow"/>
                <w:i/>
                <w:iCs/>
                <w:sz w:val="20"/>
                <w:szCs w:val="20"/>
              </w:rPr>
              <w:instrText xml:space="preserve"> FORMCHECKBOX </w:instrText>
            </w:r>
            <w:r w:rsidRPr="00006CD7">
              <w:rPr>
                <w:rFonts w:ascii="Arial Narrow" w:hAnsi="Arial Narrow"/>
                <w:i/>
                <w:iCs/>
                <w:sz w:val="20"/>
                <w:szCs w:val="20"/>
              </w:rPr>
            </w:r>
            <w:r w:rsidRPr="00006CD7">
              <w:rPr>
                <w:rFonts w:ascii="Arial Narrow" w:hAnsi="Arial Narrow"/>
                <w:i/>
                <w:iCs/>
                <w:sz w:val="20"/>
                <w:szCs w:val="20"/>
              </w:rPr>
              <w:fldChar w:fldCharType="separate"/>
            </w:r>
            <w:r w:rsidRPr="00006CD7">
              <w:rPr>
                <w:rFonts w:ascii="Arial Narrow" w:hAnsi="Arial Narrow"/>
                <w:i/>
                <w:iCs/>
                <w:sz w:val="20"/>
                <w:szCs w:val="20"/>
              </w:rPr>
              <w:fldChar w:fldCharType="end"/>
            </w:r>
            <w:r w:rsidRPr="00006CD7">
              <w:rPr>
                <w:rFonts w:ascii="Arial Narrow" w:hAnsi="Arial Narrow"/>
                <w:i/>
                <w:iCs/>
                <w:sz w:val="20"/>
                <w:szCs w:val="20"/>
              </w:rPr>
              <w:t>Medical Practitioners</w:t>
            </w:r>
            <w:r w:rsidRPr="00006CD7">
              <w:rPr>
                <w:rFonts w:ascii="Arial Narrow" w:hAnsi="Arial Narrow"/>
                <w:b/>
                <w:bCs/>
                <w:i/>
                <w:iCs/>
                <w:sz w:val="20"/>
                <w:szCs w:val="20"/>
              </w:rPr>
              <w:t xml:space="preserve"> </w:t>
            </w:r>
          </w:p>
        </w:tc>
      </w:tr>
      <w:tr w:rsidR="00211288" w:rsidRPr="00006CD7" w14:paraId="5B5607E1" w14:textId="77777777">
        <w:trPr>
          <w:cantSplit/>
          <w:trHeight w:val="20"/>
        </w:trPr>
        <w:tc>
          <w:tcPr>
            <w:tcW w:w="1271" w:type="dxa"/>
            <w:vMerge/>
            <w:tcBorders>
              <w:left w:val="single" w:sz="4" w:space="0" w:color="auto"/>
              <w:bottom w:val="single" w:sz="4" w:space="0" w:color="auto"/>
              <w:right w:val="single" w:sz="4" w:space="0" w:color="auto"/>
            </w:tcBorders>
            <w:vAlign w:val="center"/>
          </w:tcPr>
          <w:p w14:paraId="2C06C9B1" w14:textId="77777777" w:rsidR="00211288" w:rsidRPr="00006CD7" w:rsidRDefault="00211288">
            <w:pPr>
              <w:jc w:val="center"/>
              <w:rPr>
                <w:rFonts w:ascii="Arial Narrow" w:hAnsi="Arial Narrow"/>
                <w:i/>
                <w:iCs/>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B746511"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Restriction type: </w:t>
            </w:r>
            <w:r w:rsidRPr="00006CD7">
              <w:rPr>
                <w:rFonts w:ascii="Arial Narrow" w:hAnsi="Arial Narrow"/>
                <w:i/>
                <w:iCs/>
                <w:sz w:val="20"/>
                <w:szCs w:val="20"/>
              </w:rPr>
              <w:fldChar w:fldCharType="begin" w:fldLock="1">
                <w:ffData>
                  <w:name w:val="Check3"/>
                  <w:enabled/>
                  <w:calcOnExit w:val="0"/>
                  <w:checkBox>
                    <w:sizeAuto/>
                    <w:default w:val="1"/>
                  </w:checkBox>
                </w:ffData>
              </w:fldChar>
            </w:r>
            <w:r w:rsidRPr="00006CD7">
              <w:rPr>
                <w:rFonts w:ascii="Arial Narrow" w:hAnsi="Arial Narrow"/>
                <w:i/>
                <w:iCs/>
                <w:sz w:val="20"/>
                <w:szCs w:val="20"/>
              </w:rPr>
              <w:instrText xml:space="preserve"> FORMCHECKBOX </w:instrText>
            </w:r>
            <w:r w:rsidRPr="00006CD7">
              <w:rPr>
                <w:rFonts w:ascii="Arial Narrow" w:hAnsi="Arial Narrow"/>
                <w:i/>
                <w:iCs/>
                <w:sz w:val="20"/>
                <w:szCs w:val="20"/>
              </w:rPr>
            </w:r>
            <w:r w:rsidRPr="00006CD7">
              <w:rPr>
                <w:rFonts w:ascii="Arial Narrow" w:hAnsi="Arial Narrow"/>
                <w:i/>
                <w:iCs/>
                <w:sz w:val="20"/>
                <w:szCs w:val="20"/>
              </w:rPr>
              <w:fldChar w:fldCharType="separate"/>
            </w:r>
            <w:r w:rsidRPr="00006CD7">
              <w:rPr>
                <w:rFonts w:ascii="Arial Narrow" w:hAnsi="Arial Narrow"/>
                <w:i/>
                <w:iCs/>
                <w:sz w:val="20"/>
                <w:szCs w:val="20"/>
              </w:rPr>
              <w:fldChar w:fldCharType="end"/>
            </w:r>
            <w:r w:rsidRPr="00006CD7">
              <w:rPr>
                <w:rFonts w:ascii="Arial Narrow" w:hAnsi="Arial Narrow"/>
                <w:i/>
                <w:iCs/>
                <w:sz w:val="20"/>
                <w:szCs w:val="20"/>
              </w:rPr>
              <w:t>Authority Required – Immediate assessment (Telephone/Online)</w:t>
            </w:r>
          </w:p>
        </w:tc>
      </w:tr>
      <w:tr w:rsidR="00211288" w:rsidRPr="00006CD7" w14:paraId="6EEB85B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E792041" w14:textId="77777777" w:rsidR="00211288" w:rsidRPr="00006CD7" w:rsidRDefault="00211288">
            <w:pPr>
              <w:jc w:val="center"/>
              <w:rPr>
                <w:rFonts w:ascii="Arial Narrow" w:hAnsi="Arial Narrow"/>
                <w:i/>
                <w:iCs/>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7D70519"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Episodicity: </w:t>
            </w:r>
            <w:r w:rsidRPr="00006CD7">
              <w:rPr>
                <w:rFonts w:ascii="Arial Narrow" w:hAnsi="Arial Narrow"/>
                <w:i/>
                <w:iCs/>
                <w:sz w:val="20"/>
                <w:szCs w:val="20"/>
              </w:rPr>
              <w:t>n/a</w:t>
            </w:r>
          </w:p>
        </w:tc>
      </w:tr>
      <w:tr w:rsidR="00211288" w:rsidRPr="00006CD7" w14:paraId="10A5C84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5C75C46D" w14:textId="77777777" w:rsidR="00211288" w:rsidRPr="00006CD7" w:rsidRDefault="00211288">
            <w:pPr>
              <w:jc w:val="center"/>
              <w:rPr>
                <w:rFonts w:ascii="Arial Narrow" w:hAnsi="Arial Narrow"/>
                <w:i/>
                <w:iCs/>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CFD68AF"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Severity: </w:t>
            </w:r>
            <w:r w:rsidRPr="00006CD7">
              <w:rPr>
                <w:rFonts w:ascii="Arial Narrow" w:hAnsi="Arial Narrow"/>
                <w:i/>
                <w:iCs/>
                <w:sz w:val="20"/>
                <w:szCs w:val="20"/>
              </w:rPr>
              <w:t>High-risk</w:t>
            </w:r>
            <w:r w:rsidRPr="00006CD7">
              <w:rPr>
                <w:rFonts w:ascii="Arial Narrow" w:hAnsi="Arial Narrow"/>
                <w:b/>
                <w:bCs/>
                <w:i/>
                <w:iCs/>
                <w:sz w:val="20"/>
                <w:szCs w:val="20"/>
              </w:rPr>
              <w:t xml:space="preserve"> </w:t>
            </w:r>
          </w:p>
        </w:tc>
      </w:tr>
      <w:tr w:rsidR="00211288" w:rsidRPr="00006CD7" w14:paraId="442F70F7"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43024428" w14:textId="77777777" w:rsidR="00211288" w:rsidRPr="00006CD7" w:rsidRDefault="00211288">
            <w:pPr>
              <w:jc w:val="center"/>
              <w:rPr>
                <w:rFonts w:ascii="Arial Narrow" w:hAnsi="Arial Narrow"/>
                <w:i/>
                <w:iCs/>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48FD9AFB"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Condition: </w:t>
            </w:r>
            <w:r w:rsidRPr="00006CD7">
              <w:rPr>
                <w:rFonts w:ascii="Arial Narrow" w:hAnsi="Arial Narrow"/>
                <w:i/>
                <w:iCs/>
                <w:sz w:val="20"/>
                <w:szCs w:val="20"/>
              </w:rPr>
              <w:t>Neuroblastoma</w:t>
            </w:r>
          </w:p>
        </w:tc>
      </w:tr>
      <w:tr w:rsidR="00211288" w:rsidRPr="00006CD7" w14:paraId="6AB22E4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6B0D8F24" w14:textId="77777777" w:rsidR="00211288" w:rsidRPr="00006CD7" w:rsidRDefault="00211288">
            <w:pPr>
              <w:jc w:val="center"/>
              <w:rPr>
                <w:rFonts w:ascii="Arial Narrow" w:hAnsi="Arial Narrow"/>
                <w:i/>
                <w:iCs/>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2394900"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Indication: </w:t>
            </w:r>
            <w:r w:rsidRPr="00006CD7">
              <w:rPr>
                <w:rFonts w:ascii="Arial Narrow" w:hAnsi="Arial Narrow"/>
                <w:i/>
                <w:iCs/>
                <w:sz w:val="20"/>
                <w:szCs w:val="20"/>
              </w:rPr>
              <w:t>High-risk neuroblastoma</w:t>
            </w:r>
          </w:p>
        </w:tc>
      </w:tr>
      <w:tr w:rsidR="00211288" w:rsidRPr="00006CD7" w14:paraId="2F3D82B4" w14:textId="77777777">
        <w:trPr>
          <w:cantSplit/>
          <w:trHeight w:val="20"/>
        </w:trPr>
        <w:tc>
          <w:tcPr>
            <w:tcW w:w="1271" w:type="dxa"/>
            <w:vAlign w:val="center"/>
          </w:tcPr>
          <w:p w14:paraId="50A68395" w14:textId="77777777" w:rsidR="00211288" w:rsidRPr="00006CD7" w:rsidRDefault="00211288">
            <w:pPr>
              <w:jc w:val="center"/>
              <w:rPr>
                <w:rFonts w:ascii="Arial Narrow" w:hAnsi="Arial Narrow"/>
                <w:i/>
                <w:iCs/>
                <w:sz w:val="20"/>
                <w:szCs w:val="20"/>
              </w:rPr>
            </w:pPr>
          </w:p>
        </w:tc>
        <w:tc>
          <w:tcPr>
            <w:tcW w:w="7745" w:type="dxa"/>
            <w:vAlign w:val="center"/>
          </w:tcPr>
          <w:p w14:paraId="1F12CC8A"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Treatment Phase:</w:t>
            </w:r>
            <w:r w:rsidRPr="00006CD7">
              <w:rPr>
                <w:rFonts w:ascii="Arial Narrow" w:hAnsi="Arial Narrow"/>
                <w:i/>
                <w:iCs/>
                <w:sz w:val="20"/>
                <w:szCs w:val="20"/>
              </w:rPr>
              <w:t xml:space="preserve"> Continuing Treatment</w:t>
            </w:r>
          </w:p>
        </w:tc>
      </w:tr>
      <w:tr w:rsidR="00211288" w:rsidRPr="00006CD7" w14:paraId="045BDD70" w14:textId="77777777">
        <w:trPr>
          <w:cantSplit/>
          <w:trHeight w:val="20"/>
        </w:trPr>
        <w:tc>
          <w:tcPr>
            <w:tcW w:w="1271" w:type="dxa"/>
            <w:vAlign w:val="center"/>
          </w:tcPr>
          <w:p w14:paraId="65CC128C" w14:textId="77777777" w:rsidR="00211288" w:rsidRPr="00006CD7" w:rsidRDefault="00211288">
            <w:pPr>
              <w:jc w:val="center"/>
              <w:rPr>
                <w:rFonts w:ascii="Arial Narrow" w:hAnsi="Arial Narrow"/>
                <w:i/>
                <w:iCs/>
                <w:sz w:val="20"/>
                <w:szCs w:val="20"/>
              </w:rPr>
            </w:pPr>
          </w:p>
        </w:tc>
        <w:tc>
          <w:tcPr>
            <w:tcW w:w="7745" w:type="dxa"/>
            <w:vAlign w:val="center"/>
          </w:tcPr>
          <w:p w14:paraId="60F078EC"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 xml:space="preserve">Clinical criteria: </w:t>
            </w:r>
          </w:p>
        </w:tc>
      </w:tr>
      <w:tr w:rsidR="00211288" w:rsidRPr="00006CD7" w14:paraId="027216FD" w14:textId="77777777">
        <w:trPr>
          <w:cantSplit/>
          <w:trHeight w:val="20"/>
        </w:trPr>
        <w:tc>
          <w:tcPr>
            <w:tcW w:w="1271" w:type="dxa"/>
            <w:vAlign w:val="center"/>
          </w:tcPr>
          <w:p w14:paraId="534AD426" w14:textId="4D67B681" w:rsidR="00211288" w:rsidRPr="00006CD7" w:rsidRDefault="00211288">
            <w:pPr>
              <w:jc w:val="center"/>
              <w:rPr>
                <w:rFonts w:ascii="Arial Narrow" w:hAnsi="Arial Narrow"/>
                <w:i/>
                <w:iCs/>
                <w:sz w:val="20"/>
                <w:szCs w:val="20"/>
              </w:rPr>
            </w:pPr>
          </w:p>
        </w:tc>
        <w:tc>
          <w:tcPr>
            <w:tcW w:w="7745" w:type="dxa"/>
            <w:vAlign w:val="center"/>
          </w:tcPr>
          <w:p w14:paraId="78B99410" w14:textId="77777777" w:rsidR="00211288" w:rsidRPr="00006CD7" w:rsidRDefault="00211288">
            <w:pPr>
              <w:rPr>
                <w:rFonts w:ascii="Arial Narrow" w:hAnsi="Arial Narrow"/>
                <w:b/>
                <w:bCs/>
                <w:i/>
                <w:iCs/>
                <w:sz w:val="20"/>
                <w:szCs w:val="20"/>
              </w:rPr>
            </w:pPr>
            <w:r w:rsidRPr="00006CD7">
              <w:rPr>
                <w:rFonts w:ascii="Arial Narrow" w:hAnsi="Arial Narrow"/>
                <w:i/>
                <w:iCs/>
                <w:sz w:val="20"/>
                <w:szCs w:val="20"/>
              </w:rPr>
              <w:t>Patient must have previously received PBS-subsidised treatment with this drug for this condition</w:t>
            </w:r>
          </w:p>
        </w:tc>
      </w:tr>
      <w:tr w:rsidR="00211288" w:rsidRPr="00006CD7" w14:paraId="0D161B26" w14:textId="77777777">
        <w:trPr>
          <w:cantSplit/>
          <w:trHeight w:val="20"/>
        </w:trPr>
        <w:tc>
          <w:tcPr>
            <w:tcW w:w="1271" w:type="dxa"/>
            <w:vAlign w:val="center"/>
          </w:tcPr>
          <w:p w14:paraId="6DE88E0C" w14:textId="77777777" w:rsidR="00211288" w:rsidRPr="00006CD7" w:rsidRDefault="00211288">
            <w:pPr>
              <w:jc w:val="center"/>
              <w:rPr>
                <w:rFonts w:ascii="Arial Narrow" w:hAnsi="Arial Narrow"/>
                <w:i/>
                <w:iCs/>
                <w:sz w:val="20"/>
                <w:szCs w:val="20"/>
              </w:rPr>
            </w:pPr>
          </w:p>
        </w:tc>
        <w:tc>
          <w:tcPr>
            <w:tcW w:w="7745" w:type="dxa"/>
            <w:vAlign w:val="center"/>
          </w:tcPr>
          <w:p w14:paraId="0D9E4DAA"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AND</w:t>
            </w:r>
          </w:p>
        </w:tc>
      </w:tr>
      <w:tr w:rsidR="00211288" w:rsidRPr="00006CD7" w14:paraId="50D07CC3" w14:textId="77777777">
        <w:trPr>
          <w:cantSplit/>
          <w:trHeight w:val="20"/>
        </w:trPr>
        <w:tc>
          <w:tcPr>
            <w:tcW w:w="1271" w:type="dxa"/>
            <w:vAlign w:val="center"/>
          </w:tcPr>
          <w:p w14:paraId="241C309C" w14:textId="77777777" w:rsidR="00211288" w:rsidRPr="00006CD7" w:rsidRDefault="00211288">
            <w:pPr>
              <w:jc w:val="center"/>
              <w:rPr>
                <w:rFonts w:ascii="Arial Narrow" w:hAnsi="Arial Narrow"/>
                <w:i/>
                <w:iCs/>
                <w:sz w:val="20"/>
                <w:szCs w:val="20"/>
              </w:rPr>
            </w:pPr>
          </w:p>
        </w:tc>
        <w:tc>
          <w:tcPr>
            <w:tcW w:w="7745" w:type="dxa"/>
            <w:vAlign w:val="center"/>
          </w:tcPr>
          <w:p w14:paraId="6881A62A"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Clinical criteria:</w:t>
            </w:r>
          </w:p>
        </w:tc>
      </w:tr>
      <w:tr w:rsidR="00211288" w:rsidRPr="00006CD7" w14:paraId="773A6D3E" w14:textId="77777777">
        <w:trPr>
          <w:cantSplit/>
          <w:trHeight w:val="20"/>
        </w:trPr>
        <w:tc>
          <w:tcPr>
            <w:tcW w:w="1271" w:type="dxa"/>
            <w:vAlign w:val="center"/>
          </w:tcPr>
          <w:p w14:paraId="694F2712" w14:textId="46B6DBA7" w:rsidR="00211288" w:rsidRPr="00006CD7" w:rsidRDefault="00211288">
            <w:pPr>
              <w:jc w:val="center"/>
              <w:rPr>
                <w:rFonts w:ascii="Arial Narrow" w:hAnsi="Arial Narrow"/>
                <w:i/>
                <w:iCs/>
                <w:sz w:val="20"/>
                <w:szCs w:val="20"/>
              </w:rPr>
            </w:pPr>
          </w:p>
        </w:tc>
        <w:tc>
          <w:tcPr>
            <w:tcW w:w="7745" w:type="dxa"/>
            <w:vAlign w:val="center"/>
          </w:tcPr>
          <w:p w14:paraId="1C9ABC67" w14:textId="5792D5A9" w:rsidR="00211288" w:rsidRPr="00006CD7" w:rsidRDefault="00211288">
            <w:pPr>
              <w:rPr>
                <w:rFonts w:ascii="Arial Narrow" w:hAnsi="Arial Narrow"/>
                <w:b/>
                <w:bCs/>
                <w:i/>
                <w:iCs/>
                <w:sz w:val="20"/>
                <w:szCs w:val="20"/>
              </w:rPr>
            </w:pPr>
            <w:r w:rsidRPr="00006CD7">
              <w:rPr>
                <w:rFonts w:ascii="Arial Narrow" w:eastAsia="Calibri" w:hAnsi="Arial Narrow"/>
                <w:i/>
                <w:iCs/>
                <w:sz w:val="20"/>
                <w:szCs w:val="20"/>
              </w:rPr>
              <w:t>Patient must not have developed disease progression while receiving treatment with this drug for this condition.</w:t>
            </w:r>
          </w:p>
        </w:tc>
      </w:tr>
      <w:tr w:rsidR="00211288" w:rsidRPr="00006CD7" w14:paraId="2B24699D" w14:textId="77777777">
        <w:trPr>
          <w:cantSplit/>
          <w:trHeight w:val="20"/>
        </w:trPr>
        <w:tc>
          <w:tcPr>
            <w:tcW w:w="1271" w:type="dxa"/>
            <w:vAlign w:val="center"/>
          </w:tcPr>
          <w:p w14:paraId="177DDBB6" w14:textId="77777777" w:rsidR="00211288" w:rsidRPr="00006CD7" w:rsidRDefault="00211288">
            <w:pPr>
              <w:jc w:val="center"/>
              <w:rPr>
                <w:rFonts w:ascii="Arial Narrow" w:hAnsi="Arial Narrow"/>
                <w:i/>
                <w:iCs/>
                <w:sz w:val="20"/>
                <w:szCs w:val="20"/>
              </w:rPr>
            </w:pPr>
          </w:p>
        </w:tc>
        <w:tc>
          <w:tcPr>
            <w:tcW w:w="7745" w:type="dxa"/>
            <w:vAlign w:val="center"/>
          </w:tcPr>
          <w:p w14:paraId="52629614" w14:textId="77777777" w:rsidR="00211288" w:rsidRPr="00006CD7" w:rsidRDefault="00211288">
            <w:pPr>
              <w:rPr>
                <w:rFonts w:ascii="Arial Narrow" w:hAnsi="Arial Narrow"/>
                <w:i/>
                <w:iCs/>
                <w:sz w:val="20"/>
                <w:szCs w:val="20"/>
              </w:rPr>
            </w:pPr>
            <w:r w:rsidRPr="00006CD7">
              <w:rPr>
                <w:rFonts w:ascii="Arial Narrow" w:hAnsi="Arial Narrow"/>
                <w:b/>
                <w:bCs/>
                <w:i/>
                <w:iCs/>
                <w:sz w:val="20"/>
                <w:szCs w:val="20"/>
              </w:rPr>
              <w:t>AND</w:t>
            </w:r>
          </w:p>
        </w:tc>
      </w:tr>
      <w:tr w:rsidR="00211288" w:rsidRPr="00006CD7" w14:paraId="4FD26936" w14:textId="77777777">
        <w:trPr>
          <w:cantSplit/>
          <w:trHeight w:val="20"/>
        </w:trPr>
        <w:tc>
          <w:tcPr>
            <w:tcW w:w="1271" w:type="dxa"/>
            <w:vAlign w:val="center"/>
          </w:tcPr>
          <w:p w14:paraId="2EF4788A" w14:textId="77777777" w:rsidR="00211288" w:rsidRPr="00006CD7" w:rsidRDefault="00211288">
            <w:pPr>
              <w:jc w:val="center"/>
              <w:rPr>
                <w:rFonts w:ascii="Arial Narrow" w:hAnsi="Arial Narrow"/>
                <w:i/>
                <w:iCs/>
                <w:sz w:val="20"/>
                <w:szCs w:val="20"/>
              </w:rPr>
            </w:pPr>
          </w:p>
        </w:tc>
        <w:tc>
          <w:tcPr>
            <w:tcW w:w="7745" w:type="dxa"/>
            <w:vAlign w:val="center"/>
          </w:tcPr>
          <w:p w14:paraId="73C10B10"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Clinical criteria:</w:t>
            </w:r>
          </w:p>
        </w:tc>
      </w:tr>
      <w:tr w:rsidR="00211288" w:rsidRPr="00006CD7" w14:paraId="5D7849EC" w14:textId="77777777">
        <w:trPr>
          <w:cantSplit/>
          <w:trHeight w:val="20"/>
        </w:trPr>
        <w:tc>
          <w:tcPr>
            <w:tcW w:w="1271" w:type="dxa"/>
            <w:vAlign w:val="center"/>
          </w:tcPr>
          <w:p w14:paraId="561B14F5" w14:textId="77777777" w:rsidR="00211288" w:rsidRPr="00006CD7" w:rsidRDefault="00211288">
            <w:pPr>
              <w:jc w:val="center"/>
              <w:rPr>
                <w:rFonts w:ascii="Arial Narrow" w:hAnsi="Arial Narrow"/>
                <w:i/>
                <w:iCs/>
                <w:sz w:val="20"/>
                <w:szCs w:val="20"/>
              </w:rPr>
            </w:pPr>
          </w:p>
        </w:tc>
        <w:tc>
          <w:tcPr>
            <w:tcW w:w="7745" w:type="dxa"/>
            <w:vAlign w:val="center"/>
          </w:tcPr>
          <w:p w14:paraId="67FFDAC3" w14:textId="77777777" w:rsidR="00211288" w:rsidRPr="00006CD7" w:rsidRDefault="00211288">
            <w:pPr>
              <w:rPr>
                <w:rFonts w:ascii="Arial Narrow" w:hAnsi="Arial Narrow"/>
                <w:b/>
                <w:bCs/>
                <w:i/>
                <w:iCs/>
                <w:sz w:val="20"/>
                <w:szCs w:val="20"/>
              </w:rPr>
            </w:pPr>
            <w:r w:rsidRPr="00006CD7">
              <w:rPr>
                <w:rFonts w:ascii="Arial Narrow" w:hAnsi="Arial Narrow"/>
                <w:bCs/>
                <w:i/>
                <w:iCs/>
                <w:sz w:val="20"/>
                <w:szCs w:val="20"/>
              </w:rPr>
              <w:t xml:space="preserve">The treatment must not exceed a total of </w:t>
            </w:r>
            <w:r w:rsidRPr="00006CD7">
              <w:rPr>
                <w:rFonts w:ascii="Arial Narrow" w:hAnsi="Arial Narrow"/>
                <w:i/>
                <w:iCs/>
                <w:sz w:val="20"/>
                <w:szCs w:val="20"/>
              </w:rPr>
              <w:t xml:space="preserve">27 cycles </w:t>
            </w:r>
            <w:r w:rsidRPr="00006CD7">
              <w:rPr>
                <w:rFonts w:ascii="Arial Narrow" w:hAnsi="Arial Narrow"/>
                <w:bCs/>
                <w:i/>
                <w:iCs/>
                <w:sz w:val="20"/>
                <w:szCs w:val="20"/>
              </w:rPr>
              <w:t>(based on a 4 weeks per cycle) from the first dose of this drug, regardless of whether it was PBS/non-PBS subsidised</w:t>
            </w:r>
          </w:p>
        </w:tc>
      </w:tr>
      <w:tr w:rsidR="00211288" w:rsidRPr="00006CD7" w14:paraId="605D9D8A" w14:textId="77777777">
        <w:trPr>
          <w:cantSplit/>
          <w:trHeight w:val="20"/>
        </w:trPr>
        <w:tc>
          <w:tcPr>
            <w:tcW w:w="1271" w:type="dxa"/>
            <w:vAlign w:val="center"/>
          </w:tcPr>
          <w:p w14:paraId="4F09E3D6" w14:textId="4728FADA" w:rsidR="00211288" w:rsidRPr="00006CD7" w:rsidRDefault="00211288">
            <w:pPr>
              <w:jc w:val="center"/>
              <w:rPr>
                <w:rFonts w:ascii="Arial Narrow" w:hAnsi="Arial Narrow"/>
                <w:i/>
                <w:iCs/>
                <w:sz w:val="20"/>
                <w:szCs w:val="20"/>
              </w:rPr>
            </w:pPr>
          </w:p>
        </w:tc>
        <w:tc>
          <w:tcPr>
            <w:tcW w:w="7745" w:type="dxa"/>
            <w:vAlign w:val="center"/>
          </w:tcPr>
          <w:p w14:paraId="49767131" w14:textId="77777777" w:rsidR="00211288" w:rsidRPr="00006CD7" w:rsidRDefault="00211288">
            <w:pPr>
              <w:rPr>
                <w:rFonts w:ascii="Arial Narrow" w:hAnsi="Arial Narrow"/>
                <w:b/>
                <w:bCs/>
                <w:i/>
                <w:iCs/>
                <w:sz w:val="20"/>
                <w:szCs w:val="20"/>
              </w:rPr>
            </w:pPr>
            <w:r w:rsidRPr="00006CD7">
              <w:rPr>
                <w:rFonts w:ascii="Arial Narrow" w:hAnsi="Arial Narrow"/>
                <w:b/>
                <w:bCs/>
                <w:i/>
                <w:iCs/>
                <w:sz w:val="20"/>
                <w:szCs w:val="20"/>
              </w:rPr>
              <w:t>Prescribing Instructions:</w:t>
            </w:r>
          </w:p>
          <w:p w14:paraId="5FE14695" w14:textId="77777777" w:rsidR="00211288" w:rsidRPr="00006CD7" w:rsidRDefault="00211288">
            <w:pPr>
              <w:rPr>
                <w:rFonts w:ascii="Arial Narrow" w:hAnsi="Arial Narrow"/>
                <w:bCs/>
                <w:i/>
                <w:iCs/>
                <w:sz w:val="20"/>
                <w:szCs w:val="20"/>
              </w:rPr>
            </w:pPr>
            <w:r w:rsidRPr="00006CD7">
              <w:rPr>
                <w:rFonts w:ascii="Arial Narrow" w:hAnsi="Arial Narrow"/>
                <w:i/>
                <w:iCs/>
                <w:sz w:val="20"/>
                <w:szCs w:val="20"/>
              </w:rPr>
              <w:t xml:space="preserve">At the time of the authority application, the prescriber should request an appropriate number of packs and repeats based on the patients’ Body Surface Area (BSA), according to the dosing schedule in the TGA approved Product Information. With the intention of providing 3 months of therapy for each prescription: up to a maximum of 3 packs (containing a total quantity of 300 tablets) and 2 repeats may be approved. </w:t>
            </w:r>
          </w:p>
        </w:tc>
      </w:tr>
      <w:tr w:rsidR="00211288" w:rsidRPr="009C3607" w14:paraId="4C859BB4" w14:textId="77777777">
        <w:trPr>
          <w:cantSplit/>
          <w:trHeight w:val="20"/>
        </w:trPr>
        <w:tc>
          <w:tcPr>
            <w:tcW w:w="1271" w:type="dxa"/>
            <w:vAlign w:val="center"/>
          </w:tcPr>
          <w:p w14:paraId="0271A80E" w14:textId="2166C00D" w:rsidR="00211288" w:rsidRPr="00006CD7" w:rsidRDefault="00211288" w:rsidP="006868F0">
            <w:pPr>
              <w:jc w:val="left"/>
              <w:rPr>
                <w:rFonts w:ascii="Arial Narrow" w:hAnsi="Arial Narrow"/>
                <w:i/>
                <w:iCs/>
                <w:sz w:val="20"/>
                <w:szCs w:val="20"/>
              </w:rPr>
            </w:pPr>
          </w:p>
        </w:tc>
        <w:tc>
          <w:tcPr>
            <w:tcW w:w="7745" w:type="dxa"/>
            <w:vAlign w:val="center"/>
          </w:tcPr>
          <w:p w14:paraId="5D48CA4C" w14:textId="234989B2" w:rsidR="00211288" w:rsidRPr="009C3607" w:rsidRDefault="00211288" w:rsidP="006868F0">
            <w:pPr>
              <w:jc w:val="left"/>
              <w:rPr>
                <w:rFonts w:ascii="Arial Narrow" w:hAnsi="Arial Narrow"/>
                <w:bCs/>
                <w:i/>
                <w:iCs/>
                <w:sz w:val="20"/>
                <w:szCs w:val="20"/>
              </w:rPr>
            </w:pPr>
            <w:r w:rsidRPr="00006CD7">
              <w:rPr>
                <w:rFonts w:ascii="Arial Narrow" w:hAnsi="Arial Narrow"/>
                <w:b/>
                <w:bCs/>
                <w:i/>
                <w:iCs/>
                <w:sz w:val="20"/>
                <w:szCs w:val="20"/>
              </w:rPr>
              <w:t xml:space="preserve">Administrative Advice: </w:t>
            </w:r>
            <w:r w:rsidRPr="00006CD7">
              <w:rPr>
                <w:rFonts w:ascii="Arial Narrow" w:hAnsi="Arial Narrow"/>
                <w:bCs/>
                <w:i/>
                <w:iCs/>
                <w:sz w:val="20"/>
                <w:szCs w:val="20"/>
              </w:rPr>
              <w:t xml:space="preserve">Applications for authorisation under this restriction may be made in real time using the Online PBS Authorities system (see </w:t>
            </w:r>
            <w:hyperlink r:id="rId10" w:history="1">
              <w:r w:rsidRPr="00006CD7">
                <w:rPr>
                  <w:rStyle w:val="Hyperlink"/>
                  <w:rFonts w:ascii="Arial Narrow" w:hAnsi="Arial Narrow"/>
                  <w:bCs/>
                  <w:i/>
                  <w:iCs/>
                  <w:sz w:val="20"/>
                  <w:szCs w:val="20"/>
                </w:rPr>
                <w:t>www.servicesaustralia.gov.au/HPOS</w:t>
              </w:r>
            </w:hyperlink>
            <w:r w:rsidRPr="00006CD7">
              <w:rPr>
                <w:rFonts w:ascii="Arial Narrow" w:hAnsi="Arial Narrow"/>
                <w:bCs/>
                <w:i/>
                <w:iCs/>
                <w:sz w:val="20"/>
                <w:szCs w:val="20"/>
              </w:rPr>
              <w:t>) or by telephone by contacting Services Australia on 1800 700 270 (hours of operation 8 a.m. to 5 p.m. Monday to Friday).</w:t>
            </w:r>
          </w:p>
        </w:tc>
      </w:tr>
    </w:tbl>
    <w:p w14:paraId="4CF9B283" w14:textId="77777777" w:rsidR="00101589" w:rsidRDefault="00101589" w:rsidP="006868F0">
      <w:pPr>
        <w:pStyle w:val="TableText0"/>
        <w:keepNext w:val="0"/>
        <w:keepLines/>
      </w:pPr>
    </w:p>
    <w:p w14:paraId="7F55EC60" w14:textId="52913872" w:rsidR="003355BC" w:rsidRPr="003355BC" w:rsidRDefault="003355BC" w:rsidP="00D137A3">
      <w:pPr>
        <w:pStyle w:val="3-BodyText"/>
        <w:rPr>
          <w:rStyle w:val="normaltextrun"/>
        </w:rPr>
      </w:pPr>
      <w:bookmarkStart w:id="11" w:name="_Ref193379506"/>
      <w:r>
        <w:rPr>
          <w:rStyle w:val="normaltextrun"/>
        </w:rPr>
        <w:t>The submission requested an ex-manufacturer price of $</w:t>
      </w:r>
      <w:r w:rsidR="008C30A7" w:rsidRPr="00F6759F">
        <w:rPr>
          <w:rStyle w:val="normaltextrun"/>
          <w:color w:val="000000"/>
          <w:spacing w:val="6"/>
          <w:w w:val="60"/>
          <w:shd w:val="solid" w:color="000000" w:fill="000000"/>
          <w:fitText w:val="468" w:id="-694446080"/>
          <w14:textFill>
            <w14:solidFill>
              <w14:srgbClr w14:val="000000">
                <w14:alpha w14:val="100000"/>
              </w14:srgbClr>
            </w14:solidFill>
          </w14:textFill>
        </w:rPr>
        <w:t>|||</w:t>
      </w:r>
      <w:r w:rsidR="00F6759F" w:rsidRPr="00F6759F">
        <w:rPr>
          <w:rStyle w:val="normaltextrun"/>
          <w:color w:val="000000"/>
          <w:spacing w:val="6"/>
          <w:w w:val="60"/>
          <w:shd w:val="solid" w:color="000000" w:fill="000000"/>
          <w:fitText w:val="468" w:id="-694446080"/>
          <w14:textFill>
            <w14:solidFill>
              <w14:srgbClr w14:val="000000">
                <w14:alpha w14:val="100000"/>
              </w14:srgbClr>
            </w14:solidFill>
          </w14:textFill>
        </w:rPr>
        <w:t xml:space="preserve"> </w:t>
      </w:r>
      <w:r w:rsidR="008C30A7" w:rsidRPr="00F6759F">
        <w:rPr>
          <w:rStyle w:val="normaltextrun"/>
          <w:color w:val="000000"/>
          <w:spacing w:val="6"/>
          <w:w w:val="60"/>
          <w:shd w:val="solid" w:color="000000" w:fill="000000"/>
          <w:fitText w:val="468" w:id="-694446080"/>
          <w14:textFill>
            <w14:solidFill>
              <w14:srgbClr w14:val="000000">
                <w14:alpha w14:val="100000"/>
              </w14:srgbClr>
            </w14:solidFill>
          </w14:textFill>
        </w:rPr>
        <w:t>||</w:t>
      </w:r>
      <w:r w:rsidR="008C30A7" w:rsidRPr="00F6759F">
        <w:rPr>
          <w:rStyle w:val="normaltextrun"/>
          <w:color w:val="000000"/>
          <w:spacing w:val="2"/>
          <w:w w:val="60"/>
          <w:shd w:val="solid" w:color="000000" w:fill="000000"/>
          <w:fitText w:val="468" w:id="-694446080"/>
          <w14:textFill>
            <w14:solidFill>
              <w14:srgbClr w14:val="000000">
                <w14:alpha w14:val="100000"/>
              </w14:srgbClr>
            </w14:solidFill>
          </w14:textFill>
        </w:rPr>
        <w:t>|</w:t>
      </w:r>
      <w:r>
        <w:rPr>
          <w:rStyle w:val="normaltextrun"/>
        </w:rPr>
        <w:t xml:space="preserve"> per 100 tablets.</w:t>
      </w:r>
    </w:p>
    <w:p w14:paraId="418241B4" w14:textId="3C4E31F0" w:rsidR="00B55E62" w:rsidRPr="00BA7F63" w:rsidRDefault="00650693" w:rsidP="00D137A3">
      <w:pPr>
        <w:pStyle w:val="3-BodyText"/>
      </w:pPr>
      <w:r w:rsidRPr="00BA7F63">
        <w:rPr>
          <w:rStyle w:val="normaltextrun"/>
          <w:rFonts w:ascii="Calibri" w:eastAsiaTheme="majorEastAsia" w:hAnsi="Calibri" w:cs="Calibri"/>
        </w:rPr>
        <w:t>Th</w:t>
      </w:r>
      <w:r w:rsidR="00BA7F63" w:rsidRPr="00BA7F63">
        <w:rPr>
          <w:rStyle w:val="normaltextrun"/>
          <w:rFonts w:ascii="Calibri" w:eastAsiaTheme="majorEastAsia" w:hAnsi="Calibri" w:cs="Calibri"/>
        </w:rPr>
        <w:t>e</w:t>
      </w:r>
      <w:r w:rsidRPr="00BA7F63">
        <w:rPr>
          <w:rStyle w:val="normaltextrun"/>
          <w:rFonts w:ascii="Calibri" w:eastAsiaTheme="majorEastAsia" w:hAnsi="Calibri" w:cs="Calibri"/>
        </w:rPr>
        <w:t xml:space="preserve"> submission relie</w:t>
      </w:r>
      <w:r w:rsidR="00BA7F63" w:rsidRPr="00BA7F63">
        <w:rPr>
          <w:rStyle w:val="normaltextrun"/>
          <w:rFonts w:ascii="Calibri" w:eastAsiaTheme="majorEastAsia" w:hAnsi="Calibri" w:cs="Calibri"/>
        </w:rPr>
        <w:t>d</w:t>
      </w:r>
      <w:r w:rsidRPr="00BA7F63">
        <w:rPr>
          <w:rStyle w:val="normaltextrun"/>
          <w:rFonts w:ascii="Calibri" w:eastAsiaTheme="majorEastAsia" w:hAnsi="Calibri" w:cs="Calibri"/>
        </w:rPr>
        <w:t xml:space="preserve"> on a clinical algorithm that divides patients into 2 groups that would both be eligible for treatment with eflornithine:</w:t>
      </w:r>
      <w:r w:rsidR="00F6759F">
        <w:rPr>
          <w:rStyle w:val="normaltextrun"/>
          <w:rFonts w:ascii="Calibri" w:eastAsiaTheme="majorEastAsia" w:hAnsi="Calibri" w:cs="Calibri"/>
        </w:rPr>
        <w:t xml:space="preserve"> </w:t>
      </w:r>
      <w:r w:rsidRPr="00BA7F63">
        <w:rPr>
          <w:rStyle w:val="normaltextrun"/>
          <w:rFonts w:ascii="Calibri" w:eastAsiaTheme="majorEastAsia" w:hAnsi="Calibri" w:cs="Calibri"/>
        </w:rPr>
        <w:t>Stratum 1 (described in the restriction as ‘Patient must be in remission at the end of upfront therapy for high-risk neuroblastoma’) and Stratum 2 (described in the restriction as ‘Patient must be in remission after any previous relapse or refractory therapy for high-risk neuroblastoma’).</w:t>
      </w:r>
      <w:bookmarkEnd w:id="11"/>
      <w:r w:rsidR="00650A9B">
        <w:rPr>
          <w:rStyle w:val="normaltextrun"/>
          <w:rFonts w:ascii="Calibri" w:eastAsiaTheme="majorEastAsia" w:hAnsi="Calibri" w:cs="Calibri"/>
        </w:rPr>
        <w:t xml:space="preserve"> </w:t>
      </w:r>
      <w:r w:rsidR="00DD4923" w:rsidRPr="00DD4923">
        <w:rPr>
          <w:rStyle w:val="normaltextrun"/>
          <w:rFonts w:ascii="Calibri" w:eastAsiaTheme="majorEastAsia" w:hAnsi="Calibri" w:cs="Calibri"/>
        </w:rPr>
        <w:t xml:space="preserve">The PBAC considered it would be appropriate to not differentiate </w:t>
      </w:r>
      <w:r w:rsidR="00DD4923">
        <w:rPr>
          <w:rStyle w:val="normaltextrun"/>
          <w:rFonts w:ascii="Calibri" w:eastAsiaTheme="majorEastAsia" w:hAnsi="Calibri" w:cs="Calibri"/>
        </w:rPr>
        <w:t>Stratum 1 and Stratum 2 patients in</w:t>
      </w:r>
      <w:r w:rsidR="00DD4923" w:rsidRPr="00DD4923">
        <w:rPr>
          <w:rStyle w:val="normaltextrun"/>
          <w:rFonts w:ascii="Calibri" w:eastAsiaTheme="majorEastAsia" w:hAnsi="Calibri" w:cs="Calibri"/>
        </w:rPr>
        <w:t xml:space="preserve"> the listing and make eflornithine available for patients in remission after receiving multiagent, multimodality therapy, consistent with the proposed TGA indication.</w:t>
      </w:r>
    </w:p>
    <w:p w14:paraId="7059482B" w14:textId="56396048" w:rsidR="00C3404C" w:rsidRDefault="00D137A3" w:rsidP="00D137A3">
      <w:pPr>
        <w:pStyle w:val="3-BodyText"/>
      </w:pPr>
      <w:r w:rsidRPr="004B3390">
        <w:lastRenderedPageBreak/>
        <w:t>The submission proposed listing of eflornithine 250 mg tablets under four items with different maximum quantities and number of repeats, to provide a sufficient duration of supply for the recommended dosing regimen by body surface area</w:t>
      </w:r>
      <w:r>
        <w:t xml:space="preserve"> (BSA)</w:t>
      </w:r>
      <w:r w:rsidRPr="004B3390">
        <w:t>.</w:t>
      </w:r>
      <w:r w:rsidR="00C3404C">
        <w:t xml:space="preserve"> </w:t>
      </w:r>
      <w:r w:rsidR="00C3404C" w:rsidRPr="00C3404C">
        <w:rPr>
          <w:rStyle w:val="eop"/>
          <w:rFonts w:cs="Calibri"/>
          <w:shd w:val="clear" w:color="auto" w:fill="FFFFFF"/>
        </w:rPr>
        <w:t>However, a</w:t>
      </w:r>
      <w:r w:rsidR="00C3404C" w:rsidRPr="00C3404C">
        <w:rPr>
          <w:rFonts w:eastAsiaTheme="minorEastAsia" w:cs="Calibri"/>
        </w:rPr>
        <w:t>s there is only one pack-size and dose available, the Secretariat suggested that there should be one listing where the prescriber can adjust the quantity and repeats according to the patient’s BSA, in line with the dosage requirements specified in the TGA P</w:t>
      </w:r>
      <w:r w:rsidR="008C5DA2">
        <w:rPr>
          <w:rFonts w:eastAsiaTheme="minorEastAsia" w:cs="Calibri"/>
        </w:rPr>
        <w:t xml:space="preserve">roduct </w:t>
      </w:r>
      <w:r w:rsidR="00C3404C" w:rsidRPr="00C3404C">
        <w:rPr>
          <w:rFonts w:eastAsiaTheme="minorEastAsia" w:cs="Calibri"/>
        </w:rPr>
        <w:t>I</w:t>
      </w:r>
      <w:r w:rsidR="008C5DA2">
        <w:rPr>
          <w:rFonts w:eastAsiaTheme="minorEastAsia" w:cs="Calibri"/>
        </w:rPr>
        <w:t>nformation (PI</w:t>
      </w:r>
      <w:r w:rsidR="009200E1">
        <w:rPr>
          <w:rFonts w:eastAsiaTheme="minorEastAsia" w:cs="Calibri"/>
        </w:rPr>
        <w:t>)</w:t>
      </w:r>
      <w:r w:rsidR="00C3404C" w:rsidRPr="00C3404C">
        <w:rPr>
          <w:rFonts w:eastAsiaTheme="minorEastAsia" w:cs="Calibri"/>
        </w:rPr>
        <w:t>.</w:t>
      </w:r>
      <w:r w:rsidRPr="004B3390">
        <w:t xml:space="preserve"> </w:t>
      </w:r>
    </w:p>
    <w:p w14:paraId="4930127C" w14:textId="36C81BAC" w:rsidR="00D137A3" w:rsidRPr="00714BDD" w:rsidRDefault="00D137A3" w:rsidP="00D137A3">
      <w:pPr>
        <w:pStyle w:val="3-BodyText"/>
      </w:pPr>
      <w:r w:rsidRPr="004B3390">
        <w:t>For each dose, the requested maximum quantity and number of repeats provides for 100 to 112 days’</w:t>
      </w:r>
      <w:r w:rsidR="000D4842">
        <w:t xml:space="preserve"> (at least 3 months)</w:t>
      </w:r>
      <w:r w:rsidRPr="004B3390">
        <w:t xml:space="preserve"> supply. The draft </w:t>
      </w:r>
      <w:r>
        <w:t>PI</w:t>
      </w:r>
      <w:r w:rsidRPr="004B3390">
        <w:t xml:space="preserve"> recommends that in growing children, change in BSA should be </w:t>
      </w:r>
      <w:r w:rsidRPr="00714BDD">
        <w:t>assessed every 3 months from initiation of treatment and the dose adjusted accordingly.</w:t>
      </w:r>
      <w:r w:rsidR="002C6E36">
        <w:t xml:space="preserve"> </w:t>
      </w:r>
      <w:r w:rsidR="00AA584B" w:rsidRPr="002C6E36">
        <w:rPr>
          <w:rFonts w:eastAsiaTheme="minorEastAsia" w:cs="Calibri"/>
        </w:rPr>
        <w:t>The Secretariat suggest</w:t>
      </w:r>
      <w:r w:rsidR="002C6E36" w:rsidRPr="002C6E36">
        <w:rPr>
          <w:rFonts w:eastAsiaTheme="minorEastAsia" w:cs="Calibri"/>
        </w:rPr>
        <w:t>ed</w:t>
      </w:r>
      <w:r w:rsidR="00AA584B" w:rsidRPr="002C6E36">
        <w:rPr>
          <w:rFonts w:eastAsiaTheme="minorEastAsia" w:cs="Calibri"/>
        </w:rPr>
        <w:t xml:space="preserve"> a cap on the limit be enforced as a Prescribing Instruction (i.e. 300 tablets with 2 repeats) to align with the proposal that each prescription be reflective of 3 months of therapy.</w:t>
      </w:r>
    </w:p>
    <w:p w14:paraId="0E9BC4E1" w14:textId="00B0C01C" w:rsidR="00462A64" w:rsidRDefault="00D137A3" w:rsidP="00D137A3">
      <w:pPr>
        <w:pStyle w:val="3-BodyText"/>
      </w:pPr>
      <w:bookmarkStart w:id="12" w:name="_Ref187842830"/>
      <w:r w:rsidRPr="7F2A1B4F">
        <w:t xml:space="preserve">The submission requested Section 85 Authority Required (In Writing) listing of eflornithine for patients with </w:t>
      </w:r>
      <w:r w:rsidR="00E11E9B" w:rsidRPr="7F2A1B4F">
        <w:t>HRNB</w:t>
      </w:r>
      <w:r w:rsidRPr="7F2A1B4F">
        <w:t xml:space="preserve"> who have responded to prior multiagent, multimodal therapy. </w:t>
      </w:r>
      <w:r w:rsidR="00E4789B" w:rsidRPr="00BA35DC">
        <w:rPr>
          <w:rFonts w:ascii="Calibri" w:eastAsiaTheme="minorEastAsia" w:hAnsi="Calibri" w:cs="Calibri"/>
        </w:rPr>
        <w:t xml:space="preserve">Given that neuroblastoma is a rare type of cancer where patients require specialised care and close monitoring for dosing, the </w:t>
      </w:r>
      <w:r w:rsidR="00F9072D" w:rsidRPr="00BA35DC">
        <w:rPr>
          <w:rFonts w:ascii="Calibri" w:eastAsiaTheme="minorEastAsia" w:hAnsi="Calibri" w:cs="Calibri"/>
        </w:rPr>
        <w:t>Secretariat</w:t>
      </w:r>
      <w:r w:rsidR="00E4789B" w:rsidRPr="00BA35DC">
        <w:rPr>
          <w:rFonts w:ascii="Calibri" w:eastAsiaTheme="minorEastAsia" w:hAnsi="Calibri" w:cs="Calibri"/>
        </w:rPr>
        <w:t xml:space="preserve"> consider</w:t>
      </w:r>
      <w:r w:rsidR="00F9072D" w:rsidRPr="00BA35DC">
        <w:rPr>
          <w:rFonts w:ascii="Calibri" w:eastAsiaTheme="minorEastAsia" w:hAnsi="Calibri" w:cs="Calibri"/>
        </w:rPr>
        <w:t>ed</w:t>
      </w:r>
      <w:r w:rsidR="00E4789B" w:rsidRPr="00BA35DC">
        <w:rPr>
          <w:rFonts w:ascii="Calibri" w:eastAsiaTheme="minorEastAsia" w:hAnsi="Calibri" w:cs="Calibri"/>
        </w:rPr>
        <w:t xml:space="preserve"> </w:t>
      </w:r>
      <w:r w:rsidR="00F9072D" w:rsidRPr="00BA35DC">
        <w:rPr>
          <w:rFonts w:ascii="Calibri" w:eastAsiaTheme="minorEastAsia" w:hAnsi="Calibri" w:cs="Calibri"/>
        </w:rPr>
        <w:t>that</w:t>
      </w:r>
      <w:r w:rsidR="00E4789B" w:rsidRPr="00BA35DC">
        <w:rPr>
          <w:rFonts w:ascii="Calibri" w:eastAsiaTheme="minorEastAsia" w:hAnsi="Calibri" w:cs="Calibri"/>
        </w:rPr>
        <w:t xml:space="preserve"> a Section 100 </w:t>
      </w:r>
      <w:r w:rsidR="00A379E5">
        <w:rPr>
          <w:rFonts w:ascii="Calibri" w:eastAsiaTheme="minorEastAsia" w:hAnsi="Calibri" w:cs="Calibri"/>
        </w:rPr>
        <w:t xml:space="preserve">Highly Specialised Drugs (HSD) Program </w:t>
      </w:r>
      <w:r w:rsidR="00E4789B" w:rsidRPr="00BA35DC">
        <w:rPr>
          <w:rFonts w:ascii="Calibri" w:eastAsiaTheme="minorEastAsia" w:hAnsi="Calibri" w:cs="Calibri"/>
        </w:rPr>
        <w:t xml:space="preserve">listing </w:t>
      </w:r>
      <w:r w:rsidR="00D350CA" w:rsidRPr="00BA35DC">
        <w:rPr>
          <w:rFonts w:ascii="Calibri" w:eastAsiaTheme="minorEastAsia" w:hAnsi="Calibri" w:cs="Calibri"/>
        </w:rPr>
        <w:t>may be</w:t>
      </w:r>
      <w:r w:rsidR="00E4789B" w:rsidRPr="00BA35DC">
        <w:rPr>
          <w:rFonts w:ascii="Calibri" w:eastAsiaTheme="minorEastAsia" w:hAnsi="Calibri" w:cs="Calibri"/>
        </w:rPr>
        <w:t xml:space="preserve"> more appropriate than a Section 85 listing.</w:t>
      </w:r>
    </w:p>
    <w:p w14:paraId="6928CE36" w14:textId="77777777" w:rsidR="008E30B8" w:rsidRPr="00A759F6" w:rsidRDefault="00BC73E2" w:rsidP="00D137A3">
      <w:pPr>
        <w:pStyle w:val="3-BodyText"/>
      </w:pPr>
      <w:r w:rsidRPr="7F2A1B4F">
        <w:t xml:space="preserve">According to the </w:t>
      </w:r>
      <w:r w:rsidRPr="00A759F6">
        <w:t>request, p</w:t>
      </w:r>
      <w:r w:rsidR="00D137A3" w:rsidRPr="00A759F6">
        <w:t>atients must</w:t>
      </w:r>
      <w:r w:rsidR="008E30B8" w:rsidRPr="00A759F6">
        <w:t>:</w:t>
      </w:r>
      <w:r w:rsidR="00D137A3" w:rsidRPr="00A759F6">
        <w:t xml:space="preserve"> </w:t>
      </w:r>
    </w:p>
    <w:p w14:paraId="50F3B47C" w14:textId="315E28E3" w:rsidR="002A5FF5" w:rsidRPr="00A759F6" w:rsidRDefault="00A759F6" w:rsidP="004B0787">
      <w:pPr>
        <w:pStyle w:val="3-BodyText"/>
        <w:numPr>
          <w:ilvl w:val="0"/>
          <w:numId w:val="36"/>
        </w:numPr>
        <w:ind w:left="1276" w:hanging="480"/>
      </w:pPr>
      <w:r w:rsidRPr="00A759F6">
        <w:t>B</w:t>
      </w:r>
      <w:r w:rsidR="00D137A3" w:rsidRPr="00A759F6">
        <w:t>e aged 1 year and older with BSA &gt; 0.25 m</w:t>
      </w:r>
      <w:r w:rsidR="00D137A3" w:rsidRPr="00A759F6">
        <w:rPr>
          <w:vertAlign w:val="superscript"/>
        </w:rPr>
        <w:t>2</w:t>
      </w:r>
      <w:r w:rsidR="000E396F" w:rsidRPr="00A759F6">
        <w:t xml:space="preserve">; </w:t>
      </w:r>
      <w:r w:rsidR="000E396F" w:rsidRPr="00A759F6">
        <w:rPr>
          <w:rStyle w:val="normaltextrun"/>
          <w:rFonts w:ascii="Calibri" w:eastAsiaTheme="majorEastAsia" w:hAnsi="Calibri" w:cs="Calibri"/>
        </w:rPr>
        <w:t>the Secretariat noted that it may be appropriate for the restriction to be age agnostic</w:t>
      </w:r>
      <w:r w:rsidR="00974DE0" w:rsidRPr="00A759F6">
        <w:rPr>
          <w:rStyle w:val="normaltextrun"/>
          <w:rFonts w:ascii="Calibri" w:eastAsiaTheme="majorEastAsia" w:hAnsi="Calibri" w:cs="Calibri"/>
        </w:rPr>
        <w:t xml:space="preserve"> because </w:t>
      </w:r>
      <w:r w:rsidRPr="00A759F6">
        <w:rPr>
          <w:rStyle w:val="normaltextrun"/>
          <w:rFonts w:ascii="Calibri" w:eastAsiaTheme="majorEastAsia" w:hAnsi="Calibri" w:cs="Calibri"/>
        </w:rPr>
        <w:t>patients must receive a substantial amount of prior induction/ consolidation/ maintenance therapy, over a period of approximately 18 months, before receiving treatment with eflornithine.</w:t>
      </w:r>
      <w:r w:rsidR="00D137A3" w:rsidRPr="00A759F6">
        <w:t xml:space="preserve"> </w:t>
      </w:r>
    </w:p>
    <w:p w14:paraId="03BA8CC6" w14:textId="2CFA80F5" w:rsidR="00F72E37" w:rsidRDefault="00A759F6" w:rsidP="004B0787">
      <w:pPr>
        <w:pStyle w:val="3-BodyText"/>
        <w:numPr>
          <w:ilvl w:val="0"/>
          <w:numId w:val="36"/>
        </w:numPr>
        <w:ind w:left="1276" w:hanging="480"/>
      </w:pPr>
      <w:r>
        <w:t>B</w:t>
      </w:r>
      <w:r w:rsidR="00D137A3" w:rsidRPr="7F2A1B4F">
        <w:t xml:space="preserve">e in remission either following upfront therapy or after any previous relapse or refractory </w:t>
      </w:r>
      <w:r w:rsidR="00236C0C" w:rsidRPr="7F2A1B4F">
        <w:t xml:space="preserve">to </w:t>
      </w:r>
      <w:r w:rsidR="00D137A3" w:rsidRPr="7F2A1B4F">
        <w:t>therapy</w:t>
      </w:r>
      <w:r w:rsidR="005C17E6">
        <w:t>.</w:t>
      </w:r>
      <w:r w:rsidR="00D137A3" w:rsidRPr="7F2A1B4F">
        <w:t xml:space="preserve"> </w:t>
      </w:r>
    </w:p>
    <w:p w14:paraId="4F8EAA27" w14:textId="2028C1FC" w:rsidR="00A51B72" w:rsidRDefault="00A759F6" w:rsidP="004B0787">
      <w:pPr>
        <w:pStyle w:val="3-BodyText"/>
        <w:numPr>
          <w:ilvl w:val="0"/>
          <w:numId w:val="36"/>
        </w:numPr>
        <w:ind w:left="1276" w:hanging="480"/>
      </w:pPr>
      <w:r>
        <w:t>I</w:t>
      </w:r>
      <w:r w:rsidR="00D137A3" w:rsidRPr="7F2A1B4F">
        <w:t>nitiate treatment within 120 days of previous treatment</w:t>
      </w:r>
      <w:r w:rsidR="00587985">
        <w:t xml:space="preserve">; the Secretariat noted that this </w:t>
      </w:r>
      <w:r w:rsidR="00BC2A09">
        <w:t>criterion may be either unnecessary</w:t>
      </w:r>
      <w:r w:rsidR="00A60543">
        <w:t xml:space="preserve"> </w:t>
      </w:r>
      <w:r w:rsidR="00365F5B">
        <w:t>(</w:t>
      </w:r>
      <w:r w:rsidR="00A60543">
        <w:t>given that most families</w:t>
      </w:r>
      <w:r w:rsidR="00F4481D">
        <w:t xml:space="preserve"> are motivated to </w:t>
      </w:r>
      <w:r w:rsidR="00D55581">
        <w:t>commence eflornithine as soon</w:t>
      </w:r>
      <w:r w:rsidR="00647CB9">
        <w:t xml:space="preserve"> as possible</w:t>
      </w:r>
      <w:r w:rsidR="00365F5B">
        <w:t>)</w:t>
      </w:r>
      <w:r w:rsidR="00647CB9">
        <w:t>,</w:t>
      </w:r>
      <w:r w:rsidR="00F432A5">
        <w:t xml:space="preserve"> or</w:t>
      </w:r>
      <w:r w:rsidR="00C5245B">
        <w:t xml:space="preserve"> unduly</w:t>
      </w:r>
      <w:r w:rsidR="00F432A5">
        <w:t xml:space="preserve"> </w:t>
      </w:r>
      <w:r w:rsidR="000F7752">
        <w:t>restrictive</w:t>
      </w:r>
      <w:r w:rsidR="00365F5B">
        <w:t xml:space="preserve"> (</w:t>
      </w:r>
      <w:r w:rsidR="000F7752">
        <w:t xml:space="preserve">given that some patients </w:t>
      </w:r>
      <w:r w:rsidR="001C35C3">
        <w:t>may be excluded from treatment</w:t>
      </w:r>
      <w:r w:rsidR="00712ABE">
        <w:t xml:space="preserve"> despite being in remission</w:t>
      </w:r>
      <w:r w:rsidR="00365F5B">
        <w:t>)</w:t>
      </w:r>
      <w:r w:rsidR="00712ABE">
        <w:t>.</w:t>
      </w:r>
    </w:p>
    <w:p w14:paraId="3FED9138" w14:textId="2A097835" w:rsidR="00244CA6" w:rsidRDefault="00A759F6" w:rsidP="004B0787">
      <w:pPr>
        <w:pStyle w:val="3-BodyText"/>
        <w:numPr>
          <w:ilvl w:val="0"/>
          <w:numId w:val="36"/>
        </w:numPr>
        <w:ind w:left="1276" w:hanging="480"/>
      </w:pPr>
      <w:r>
        <w:t>C</w:t>
      </w:r>
      <w:r w:rsidR="00D137A3" w:rsidRPr="7F2A1B4F">
        <w:t>ease</w:t>
      </w:r>
      <w:r w:rsidR="006C1B69">
        <w:t xml:space="preserve"> treatment</w:t>
      </w:r>
      <w:r w:rsidR="00D137A3" w:rsidRPr="7F2A1B4F">
        <w:t xml:space="preserve"> on disease progression or on completion of 27 cycles (equivalent to 2 years) of treatment</w:t>
      </w:r>
      <w:r w:rsidR="000B215F">
        <w:t xml:space="preserve">, </w:t>
      </w:r>
      <w:r w:rsidR="000B215F" w:rsidRPr="002E73B6">
        <w:t>whichever comes first</w:t>
      </w:r>
      <w:r w:rsidR="000D0CE7">
        <w:t>; t</w:t>
      </w:r>
      <w:r w:rsidR="00A60F7B" w:rsidRPr="002E73B6">
        <w:t xml:space="preserve">he </w:t>
      </w:r>
      <w:r w:rsidR="00293D34" w:rsidRPr="002E73B6">
        <w:t>Secretariat</w:t>
      </w:r>
      <w:r w:rsidR="00A60F7B" w:rsidRPr="002E73B6">
        <w:t xml:space="preserve"> </w:t>
      </w:r>
      <w:r w:rsidR="0083687F" w:rsidRPr="002E73B6">
        <w:t>noted that</w:t>
      </w:r>
      <w:r w:rsidR="008B21AF" w:rsidRPr="002E73B6">
        <w:t xml:space="preserve"> patients in</w:t>
      </w:r>
      <w:r w:rsidR="0083687F" w:rsidRPr="002E73B6">
        <w:t xml:space="preserve"> </w:t>
      </w:r>
      <w:r w:rsidR="0083687F" w:rsidRPr="002E73B6">
        <w:rPr>
          <w:rStyle w:val="normaltextrun"/>
          <w:rFonts w:ascii="Calibri" w:eastAsiaTheme="majorEastAsia" w:hAnsi="Calibri" w:cs="Calibri"/>
          <w:lang w:val="en-GB"/>
        </w:rPr>
        <w:t>the</w:t>
      </w:r>
      <w:r w:rsidR="00645F29" w:rsidRPr="002E73B6">
        <w:rPr>
          <w:rStyle w:val="normaltextrun"/>
          <w:rFonts w:ascii="Calibri" w:eastAsiaTheme="majorEastAsia" w:hAnsi="Calibri" w:cs="Calibri"/>
          <w:lang w:val="en-GB"/>
        </w:rPr>
        <w:t xml:space="preserve"> pivotal Study 3b</w:t>
      </w:r>
      <w:r w:rsidR="0083687F" w:rsidRPr="002E73B6">
        <w:rPr>
          <w:rStyle w:val="normaltextrun"/>
          <w:rFonts w:ascii="Calibri" w:eastAsiaTheme="majorEastAsia" w:hAnsi="Calibri" w:cs="Calibri"/>
          <w:lang w:val="en-GB"/>
        </w:rPr>
        <w:t xml:space="preserve"> </w:t>
      </w:r>
      <w:r w:rsidR="0083687F" w:rsidRPr="002E73B6">
        <w:rPr>
          <w:rStyle w:val="normaltextrun"/>
          <w:rFonts w:ascii="Calibri" w:eastAsiaTheme="majorEastAsia" w:hAnsi="Calibri" w:cs="Calibri"/>
        </w:rPr>
        <w:t xml:space="preserve">who had a treatment interruption went on to complete 27 4-weekly cycles of </w:t>
      </w:r>
      <w:r w:rsidR="0083687F" w:rsidRPr="002E73B6">
        <w:rPr>
          <w:rStyle w:val="normaltextrun"/>
          <w:rFonts w:ascii="Calibri" w:eastAsiaTheme="majorEastAsia" w:hAnsi="Calibri" w:cs="Calibri"/>
          <w:lang w:val="en-GB"/>
        </w:rPr>
        <w:t xml:space="preserve">eflornithine (in addition to </w:t>
      </w:r>
      <w:r w:rsidR="007667A5" w:rsidRPr="002E73B6">
        <w:rPr>
          <w:rStyle w:val="normaltextrun"/>
          <w:rFonts w:ascii="Calibri" w:eastAsiaTheme="majorEastAsia" w:hAnsi="Calibri" w:cs="Calibri"/>
          <w:lang w:val="en-GB"/>
        </w:rPr>
        <w:t>any</w:t>
      </w:r>
      <w:r w:rsidR="0083687F" w:rsidRPr="002E73B6">
        <w:rPr>
          <w:rStyle w:val="normaltextrun"/>
          <w:rFonts w:ascii="Calibri" w:eastAsiaTheme="majorEastAsia" w:hAnsi="Calibri" w:cs="Calibri"/>
          <w:lang w:val="en-GB"/>
        </w:rPr>
        <w:t xml:space="preserve"> treatment interruptions)</w:t>
      </w:r>
      <w:r w:rsidR="00CB799F" w:rsidRPr="002E73B6">
        <w:rPr>
          <w:rStyle w:val="normaltextrun"/>
          <w:rFonts w:ascii="Calibri" w:eastAsiaTheme="majorEastAsia" w:hAnsi="Calibri" w:cs="Calibri"/>
          <w:lang w:val="en-GB"/>
        </w:rPr>
        <w:t>, and therefore this criterion has been amended to ensure treatment interruptions are not counted towards the total number of cycles or 2-year timeframe.</w:t>
      </w:r>
      <w:r w:rsidR="00D137A3" w:rsidRPr="7F2A1B4F">
        <w:t xml:space="preserve"> </w:t>
      </w:r>
    </w:p>
    <w:p w14:paraId="11A80B21" w14:textId="5912F7A2" w:rsidR="00356782" w:rsidRDefault="00D137A3" w:rsidP="00D137A3">
      <w:pPr>
        <w:pStyle w:val="3-BodyText"/>
      </w:pPr>
      <w:bookmarkStart w:id="13" w:name="_Ref193796793"/>
      <w:r w:rsidRPr="7F2A1B4F">
        <w:lastRenderedPageBreak/>
        <w:t>The</w:t>
      </w:r>
      <w:r w:rsidR="006E3C63" w:rsidRPr="7F2A1B4F">
        <w:t xml:space="preserve"> proposed</w:t>
      </w:r>
      <w:r w:rsidRPr="7F2A1B4F">
        <w:t xml:space="preserve"> restriction defined ‘high-risk’ disease according to the Children’s Oncology Group (COG) or International Society of Paediatric Oncology Europe Neuroblastoma (SIOPEN) risk classification systems and ‘remission’ as requiring an overall response of partial response or better to previous treatment based on imaging studies plus being negative for disease in bone marrow.</w:t>
      </w:r>
      <w:bookmarkEnd w:id="12"/>
      <w:r w:rsidR="006A0688" w:rsidRPr="7F2A1B4F">
        <w:t xml:space="preserve"> </w:t>
      </w:r>
      <w:r w:rsidR="00273DCB">
        <w:t xml:space="preserve">The Secretariat </w:t>
      </w:r>
      <w:r w:rsidR="005E207B">
        <w:t xml:space="preserve">noted that </w:t>
      </w:r>
      <w:r w:rsidR="005E207B" w:rsidRPr="00AA1240">
        <w:rPr>
          <w:iCs/>
        </w:rPr>
        <w:t>risk classification systems</w:t>
      </w:r>
      <w:r w:rsidR="005E207B">
        <w:rPr>
          <w:iCs/>
        </w:rPr>
        <w:t xml:space="preserve"> </w:t>
      </w:r>
      <w:r w:rsidR="005E207B" w:rsidRPr="00AA1240">
        <w:rPr>
          <w:iCs/>
        </w:rPr>
        <w:t>are subject to change over time</w:t>
      </w:r>
      <w:r w:rsidR="00101B7E">
        <w:rPr>
          <w:iCs/>
        </w:rPr>
        <w:t>,</w:t>
      </w:r>
      <w:r w:rsidR="00403B0D">
        <w:rPr>
          <w:iCs/>
        </w:rPr>
        <w:t xml:space="preserve"> and</w:t>
      </w:r>
      <w:r w:rsidR="005E207B" w:rsidRPr="00AA1240">
        <w:rPr>
          <w:iCs/>
        </w:rPr>
        <w:t xml:space="preserve"> HRNB is a rare disease treated by specialist paediatric oncologists and</w:t>
      </w:r>
      <w:r w:rsidR="006B5E69">
        <w:rPr>
          <w:iCs/>
        </w:rPr>
        <w:t xml:space="preserve"> therefore</w:t>
      </w:r>
      <w:r w:rsidR="005E207B" w:rsidRPr="00AA1240">
        <w:rPr>
          <w:iCs/>
        </w:rPr>
        <w:t xml:space="preserve"> misclassification is unlikely.</w:t>
      </w:r>
      <w:bookmarkEnd w:id="13"/>
    </w:p>
    <w:p w14:paraId="03128156" w14:textId="5FA824DF" w:rsidR="00D137A3" w:rsidRPr="00FE1714" w:rsidRDefault="006A0688" w:rsidP="00D137A3">
      <w:pPr>
        <w:pStyle w:val="3-BodyText"/>
        <w:rPr>
          <w:rStyle w:val="normaltextrun"/>
        </w:rPr>
      </w:pPr>
      <w:r w:rsidRPr="002C48FA">
        <w:t xml:space="preserve">The ESC indicated that the restriction </w:t>
      </w:r>
      <w:r w:rsidR="005126EA" w:rsidRPr="002C48FA">
        <w:t>should be age agnostic</w:t>
      </w:r>
      <w:r w:rsidR="00D06B57" w:rsidRPr="002C48FA">
        <w:t>,</w:t>
      </w:r>
      <w:r w:rsidR="00AD46AC" w:rsidRPr="002C48FA">
        <w:t xml:space="preserve"> rather than </w:t>
      </w:r>
      <w:r w:rsidR="00AD46AC" w:rsidRPr="002C48FA">
        <w:rPr>
          <w:rFonts w:cstheme="minorBidi"/>
        </w:rPr>
        <w:t>≥</w:t>
      </w:r>
      <w:r w:rsidR="00AD46AC" w:rsidRPr="002C48FA">
        <w:t>1 year</w:t>
      </w:r>
      <w:r w:rsidRPr="002C48FA">
        <w:t xml:space="preserve">, as </w:t>
      </w:r>
      <w:r w:rsidR="005126EA" w:rsidRPr="002C48FA">
        <w:rPr>
          <w:rStyle w:val="normaltextrun"/>
          <w:rFonts w:ascii="Calibri" w:eastAsiaTheme="majorEastAsia" w:hAnsi="Calibri" w:cs="Calibri"/>
        </w:rPr>
        <w:t>prior induction/ consolidation/ maintenance therapy typically occurs over a period of approximately 18 months before</w:t>
      </w:r>
      <w:r w:rsidR="00A10722" w:rsidRPr="002C48FA">
        <w:rPr>
          <w:rStyle w:val="normaltextrun"/>
          <w:rFonts w:ascii="Calibri" w:eastAsiaTheme="majorEastAsia" w:hAnsi="Calibri" w:cs="Calibri"/>
        </w:rPr>
        <w:t xml:space="preserve"> patients would</w:t>
      </w:r>
      <w:r w:rsidR="005126EA" w:rsidRPr="002C48FA">
        <w:rPr>
          <w:rStyle w:val="normaltextrun"/>
          <w:rFonts w:ascii="Calibri" w:eastAsiaTheme="majorEastAsia" w:hAnsi="Calibri" w:cs="Calibri"/>
        </w:rPr>
        <w:t xml:space="preserve"> receiv</w:t>
      </w:r>
      <w:r w:rsidR="00A10722" w:rsidRPr="002C48FA">
        <w:rPr>
          <w:rStyle w:val="normaltextrun"/>
          <w:rFonts w:ascii="Calibri" w:eastAsiaTheme="majorEastAsia" w:hAnsi="Calibri" w:cs="Calibri"/>
        </w:rPr>
        <w:t>e</w:t>
      </w:r>
      <w:r w:rsidR="005126EA" w:rsidRPr="002C48FA">
        <w:rPr>
          <w:rStyle w:val="normaltextrun"/>
          <w:rFonts w:ascii="Calibri" w:eastAsiaTheme="majorEastAsia" w:hAnsi="Calibri" w:cs="Calibri"/>
        </w:rPr>
        <w:t xml:space="preserve"> treatment with eflornithine.</w:t>
      </w:r>
    </w:p>
    <w:p w14:paraId="2F91D305" w14:textId="49BB875B" w:rsidR="00FE1714" w:rsidRPr="002C48FA" w:rsidRDefault="00FE1714" w:rsidP="00D137A3">
      <w:pPr>
        <w:pStyle w:val="3-BodyText"/>
      </w:pPr>
      <w:r w:rsidRPr="006F121B">
        <w:rPr>
          <w:rFonts w:ascii="Calibri" w:eastAsiaTheme="minorEastAsia" w:hAnsi="Calibri" w:cs="Calibri"/>
        </w:rPr>
        <w:t>The submission requested a single agnostic phase restriction to cover the initial and continuing treatment phases. The Secretariat suggest</w:t>
      </w:r>
      <w:r w:rsidR="00D21536" w:rsidRPr="006F121B">
        <w:rPr>
          <w:rFonts w:ascii="Calibri" w:eastAsiaTheme="minorEastAsia" w:hAnsi="Calibri" w:cs="Calibri"/>
        </w:rPr>
        <w:t>ed</w:t>
      </w:r>
      <w:r w:rsidRPr="006F121B">
        <w:rPr>
          <w:rFonts w:ascii="Calibri" w:eastAsiaTheme="minorEastAsia" w:hAnsi="Calibri" w:cs="Calibri"/>
        </w:rPr>
        <w:t xml:space="preserve"> that splitting the restrictions to an initial and continuing </w:t>
      </w:r>
      <w:r w:rsidR="00402CC2">
        <w:rPr>
          <w:rFonts w:ascii="Calibri" w:eastAsiaTheme="minorEastAsia" w:hAnsi="Calibri" w:cs="Calibri"/>
        </w:rPr>
        <w:t>phases</w:t>
      </w:r>
      <w:r w:rsidRPr="006F121B">
        <w:rPr>
          <w:rFonts w:ascii="Calibri" w:eastAsiaTheme="minorEastAsia" w:hAnsi="Calibri" w:cs="Calibri"/>
        </w:rPr>
        <w:t xml:space="preserve"> may be </w:t>
      </w:r>
      <w:r w:rsidR="00231F53">
        <w:rPr>
          <w:rFonts w:ascii="Calibri" w:eastAsiaTheme="minorEastAsia" w:hAnsi="Calibri" w:cs="Calibri"/>
        </w:rPr>
        <w:t>required</w:t>
      </w:r>
      <w:r w:rsidRPr="006F121B">
        <w:rPr>
          <w:rFonts w:ascii="Calibri" w:eastAsiaTheme="minorEastAsia" w:hAnsi="Calibri" w:cs="Calibri"/>
        </w:rPr>
        <w:t xml:space="preserve">. </w:t>
      </w:r>
      <w:r w:rsidRPr="006F121B">
        <w:rPr>
          <w:rStyle w:val="normaltextrun"/>
          <w:rFonts w:ascii="Calibri" w:hAnsi="Calibri" w:cs="Calibri"/>
          <w:shd w:val="clear" w:color="auto" w:fill="FFFFFF"/>
        </w:rPr>
        <w:t xml:space="preserve">The Secretariat noted that the submission did not propose any specific response or assessment criteria for continuing treatment with eflornithine after initiating treatment. </w:t>
      </w:r>
      <w:r w:rsidRPr="006F121B">
        <w:rPr>
          <w:rFonts w:ascii="Calibri" w:eastAsiaTheme="minorEastAsia" w:hAnsi="Calibri" w:cs="Calibri"/>
        </w:rPr>
        <w:t>As there is no assessment needed for the response criteria, the stopping rule would be disease progression or a total of 2 years</w:t>
      </w:r>
      <w:r w:rsidR="002C7F91">
        <w:rPr>
          <w:rFonts w:ascii="Calibri" w:eastAsiaTheme="minorEastAsia" w:hAnsi="Calibri" w:cs="Calibri"/>
        </w:rPr>
        <w:t xml:space="preserve"> (27 cycles)</w:t>
      </w:r>
      <w:r w:rsidRPr="006F121B">
        <w:rPr>
          <w:rFonts w:ascii="Calibri" w:eastAsiaTheme="minorEastAsia" w:hAnsi="Calibri" w:cs="Calibri"/>
        </w:rPr>
        <w:t xml:space="preserve"> of treatment </w:t>
      </w:r>
      <w:r w:rsidR="004213B0">
        <w:rPr>
          <w:rFonts w:ascii="Calibri" w:eastAsiaTheme="minorEastAsia" w:hAnsi="Calibri" w:cs="Calibri"/>
        </w:rPr>
        <w:t>(excluding treatment breaks</w:t>
      </w:r>
      <w:r w:rsidRPr="006F121B">
        <w:rPr>
          <w:rFonts w:ascii="Calibri" w:eastAsiaTheme="minorEastAsia" w:hAnsi="Calibri" w:cs="Calibri"/>
        </w:rPr>
        <w:t>)</w:t>
      </w:r>
      <w:r w:rsidR="006C0FB9" w:rsidRPr="006F121B">
        <w:rPr>
          <w:rFonts w:ascii="Calibri" w:eastAsiaTheme="minorEastAsia" w:hAnsi="Calibri" w:cs="Calibri"/>
        </w:rPr>
        <w:t>.</w:t>
      </w:r>
    </w:p>
    <w:p w14:paraId="77F88147" w14:textId="400B1060" w:rsidR="00D137A3" w:rsidRPr="00DF306F" w:rsidRDefault="00D137A3" w:rsidP="7F2A1B4F">
      <w:pPr>
        <w:pStyle w:val="3-BodyText"/>
        <w:rPr>
          <w:i/>
          <w:iCs/>
        </w:rPr>
      </w:pPr>
      <w:r w:rsidRPr="7F2A1B4F">
        <w:t>The submission stated that a grandfathering restriction would be necessary but did not propose any specific criteria. In July 2024, the Australian Government implemented an early funding pathway for eflornithine</w:t>
      </w:r>
      <w:r w:rsidR="0085743A">
        <w:t xml:space="preserve"> in</w:t>
      </w:r>
      <w:r w:rsidR="00DC1538">
        <w:t xml:space="preserve"> HRNB</w:t>
      </w:r>
      <w:r w:rsidR="0085743A">
        <w:t xml:space="preserve"> </w:t>
      </w:r>
      <w:r w:rsidRPr="7F2A1B4F">
        <w:t>(Butler 2024a</w:t>
      </w:r>
      <w:r w:rsidRPr="7F2A1B4F">
        <w:rPr>
          <w:rStyle w:val="FootnoteReference"/>
        </w:rPr>
        <w:footnoteReference w:id="2"/>
      </w:r>
      <w:r w:rsidRPr="7F2A1B4F">
        <w:t>). This one-off funding scheme continued until the sponsor’s Expanded Access Program (EAP) was established in October 2024 (Butler 2024b</w:t>
      </w:r>
      <w:r w:rsidRPr="7F2A1B4F">
        <w:rPr>
          <w:rStyle w:val="FootnoteReference"/>
        </w:rPr>
        <w:footnoteReference w:id="3"/>
      </w:r>
      <w:r w:rsidRPr="7F2A1B4F">
        <w:t xml:space="preserve">). </w:t>
      </w:r>
      <w:r w:rsidRPr="00DF306F">
        <w:t>It was anticipated</w:t>
      </w:r>
      <w:r w:rsidR="004E3CA5" w:rsidRPr="00DF306F">
        <w:t xml:space="preserve"> in the submission</w:t>
      </w:r>
      <w:r w:rsidRPr="00DF306F">
        <w:t xml:space="preserve"> that approximately </w:t>
      </w:r>
      <w:r w:rsidR="003635EA">
        <w:t>&lt; 500</w:t>
      </w:r>
      <w:r w:rsidRPr="00DF306F">
        <w:t xml:space="preserve"> patients would be grandfathered from the EAP, accounted for in the financial estimates.</w:t>
      </w:r>
      <w:r w:rsidR="00EF58BF" w:rsidRPr="00DF306F">
        <w:t xml:space="preserve"> </w:t>
      </w:r>
    </w:p>
    <w:p w14:paraId="7A2B889D" w14:textId="5A592722" w:rsidR="00EE3F5A" w:rsidRPr="00FA6ACE" w:rsidRDefault="00D137A3" w:rsidP="7F2A1B4F">
      <w:pPr>
        <w:pStyle w:val="3-BodyText"/>
        <w:rPr>
          <w:i/>
          <w:iCs/>
        </w:rPr>
      </w:pPr>
      <w:r w:rsidRPr="7F2A1B4F">
        <w:t>The wording of the requested restriction would likely permit re-treatment of patients for any subsequent periods of remission following disease relapse. The submission stated that the sponsor does not expect that a patient who uses eflornithine in their first remission would use it again in a subsequent remission. Considering the poor prognosis of relapsed patients, however, it is plausible that clinicians may consider prescribing eflornithine in patients who had previously used it. The submission did not present any evidence for the repeated use of eflornithine and the economic model assumed ‘once in a lifetime’ use.</w:t>
      </w:r>
      <w:r w:rsidR="00AB1474" w:rsidRPr="7F2A1B4F">
        <w:t xml:space="preserve"> </w:t>
      </w:r>
      <w:r w:rsidR="00B378AE" w:rsidRPr="002C48FA">
        <w:t xml:space="preserve">The </w:t>
      </w:r>
      <w:r w:rsidR="00994426" w:rsidRPr="00994426">
        <w:t xml:space="preserve">Pre-Sub-Committee Response </w:t>
      </w:r>
      <w:r w:rsidR="00994426">
        <w:t>(</w:t>
      </w:r>
      <w:r w:rsidR="00B378AE" w:rsidRPr="002C48FA">
        <w:t>PSCR</w:t>
      </w:r>
      <w:r w:rsidR="00994426">
        <w:t>)</w:t>
      </w:r>
      <w:r w:rsidR="00B378AE" w:rsidRPr="002C48FA">
        <w:t xml:space="preserve"> </w:t>
      </w:r>
      <w:r w:rsidR="00B378AE" w:rsidRPr="002C48FA">
        <w:rPr>
          <w:rFonts w:ascii="Calibri" w:hAnsi="Calibri"/>
        </w:rPr>
        <w:t>requested</w:t>
      </w:r>
      <w:r w:rsidR="00F6759F">
        <w:rPr>
          <w:rFonts w:ascii="Calibri" w:hAnsi="Calibri"/>
        </w:rPr>
        <w:t xml:space="preserve"> </w:t>
      </w:r>
      <w:r w:rsidR="00B378AE" w:rsidRPr="002C48FA">
        <w:rPr>
          <w:rFonts w:ascii="Calibri" w:hAnsi="Calibri"/>
        </w:rPr>
        <w:t xml:space="preserve">that wording is not added to the restriction that may prevent a second course and </w:t>
      </w:r>
      <w:r w:rsidR="00B378AE" w:rsidRPr="002C48FA">
        <w:rPr>
          <w:rFonts w:ascii="Calibri" w:hAnsi="Calibri"/>
        </w:rPr>
        <w:lastRenderedPageBreak/>
        <w:t>would prefer to include wording to state that re-treatment would be possible if the clinical need arose.</w:t>
      </w:r>
      <w:r w:rsidR="00B378AE" w:rsidRPr="7F2A1B4F">
        <w:rPr>
          <w:rFonts w:ascii="Calibri" w:hAnsi="Calibri"/>
          <w:i/>
          <w:iCs/>
        </w:rPr>
        <w:t xml:space="preserve"> </w:t>
      </w:r>
    </w:p>
    <w:p w14:paraId="4AD6232A" w14:textId="12080A31" w:rsidR="00FA6ACE" w:rsidRPr="00E77952" w:rsidRDefault="003755E0" w:rsidP="7F2A1B4F">
      <w:pPr>
        <w:pStyle w:val="3-BodyText"/>
        <w:rPr>
          <w:i/>
          <w:iCs/>
        </w:rPr>
      </w:pPr>
      <w:bookmarkStart w:id="14" w:name="_Ref193379518"/>
      <w:r>
        <w:t xml:space="preserve">The requested restriction </w:t>
      </w:r>
      <w:r w:rsidR="002B2FF3" w:rsidRPr="00E77952">
        <w:t xml:space="preserve">nominated </w:t>
      </w:r>
      <w:r w:rsidR="002B2FF3" w:rsidRPr="00E77952">
        <w:rPr>
          <w:rStyle w:val="normaltextrun"/>
          <w:rFonts w:ascii="Calibri" w:eastAsiaTheme="majorEastAsia" w:hAnsi="Calibri" w:cs="Calibri"/>
        </w:rPr>
        <w:t>medical practitioners as the prescriber type. The Secretariat noted that at the stage of eflornithine treatment, most patients are treated by a paediatric oncologist in a cancer centre and regional patients would likely be treated by a GP under supervision of a paediatric oncologist.</w:t>
      </w:r>
      <w:bookmarkEnd w:id="14"/>
    </w:p>
    <w:p w14:paraId="4B5B6DA3" w14:textId="29FA3EA8" w:rsidR="0030086D" w:rsidRPr="001074C7" w:rsidRDefault="00EE3F5A" w:rsidP="001074C7">
      <w:pPr>
        <w:pStyle w:val="3-BodyText"/>
        <w:numPr>
          <w:ilvl w:val="0"/>
          <w:numId w:val="0"/>
        </w:numPr>
        <w:ind w:left="720"/>
        <w:rPr>
          <w:rFonts w:ascii="Calibri" w:hAnsi="Calibri"/>
          <w:i/>
          <w:iCs/>
        </w:rPr>
      </w:pPr>
      <w:r w:rsidRPr="00C33D30">
        <w:rPr>
          <w:i/>
        </w:rPr>
        <w:t>For more detail on PBAC’s view, see section 7 PBAC outcome.</w:t>
      </w:r>
      <w:r w:rsidR="00B378AE" w:rsidRPr="7F2A1B4F">
        <w:rPr>
          <w:rFonts w:ascii="Calibri" w:hAnsi="Calibri"/>
          <w:i/>
          <w:iCs/>
        </w:rPr>
        <w:t xml:space="preserve"> </w:t>
      </w:r>
    </w:p>
    <w:p w14:paraId="15BEF2DD" w14:textId="77777777" w:rsidR="00D137A3" w:rsidRPr="00407F2D" w:rsidDel="00195452" w:rsidRDefault="00D137A3" w:rsidP="00D137A3">
      <w:pPr>
        <w:pStyle w:val="2-SectionHeading"/>
        <w:numPr>
          <w:ilvl w:val="0"/>
          <w:numId w:val="1"/>
        </w:numPr>
      </w:pPr>
      <w:bookmarkStart w:id="15" w:name="_Toc107927623"/>
      <w:bookmarkStart w:id="16" w:name="_Toc188441763"/>
      <w:r w:rsidDel="00195452">
        <w:t>Population and disease</w:t>
      </w:r>
      <w:bookmarkEnd w:id="15"/>
      <w:bookmarkEnd w:id="16"/>
    </w:p>
    <w:p w14:paraId="5977B3F8" w14:textId="4CF3D4D7" w:rsidR="00D137A3" w:rsidRDefault="00D137A3" w:rsidP="00D137A3">
      <w:pPr>
        <w:pStyle w:val="3-BodyText"/>
      </w:pPr>
      <w:r w:rsidRPr="7F2A1B4F">
        <w:t xml:space="preserve">Neuroblastoma is the most common extracranial solid tumour occurring in childhood with 90% </w:t>
      </w:r>
      <w:r w:rsidR="00051D2D" w:rsidRPr="7F2A1B4F">
        <w:t xml:space="preserve">of </w:t>
      </w:r>
      <w:r w:rsidRPr="7F2A1B4F">
        <w:t>cases being diagnosed before 5 years of age (Youlden 2020</w:t>
      </w:r>
      <w:r w:rsidRPr="7F2A1B4F">
        <w:rPr>
          <w:rStyle w:val="FootnoteReference"/>
        </w:rPr>
        <w:footnoteReference w:id="4"/>
      </w:r>
      <w:r w:rsidRPr="7F2A1B4F">
        <w:t>). The most common site is the adrenal glands, though tumours can develop anywhere within the sympathetic nervous system from the neck to the pelvis. Approximately half of patients present with metastatic disease, commonly in the bone marrow, liver or skin. The tumours vary greatly in clinical presentation and prognosis. Some tumours are associated with substantial morbidity, while others spontaneously and completely regress.</w:t>
      </w:r>
    </w:p>
    <w:p w14:paraId="38FA1CA0" w14:textId="77777777" w:rsidR="00845D53" w:rsidRDefault="07791651" w:rsidP="06A0E374">
      <w:pPr>
        <w:pStyle w:val="3-BodyText"/>
      </w:pPr>
      <w:r w:rsidRPr="7F2A1B4F">
        <w:t>Neuroblastoma is categorised as low-, intermediate- or high-risk. Risk stratification incorporates age, stage, histology and tumour biology, and informs prognosis and treatment. Neuroblastoma does not inevitably progress from low- to high-risk, and the divergent genomics and biology of the various risk groups suggest they are clinically and biologically different diseases (Youlden 2020). Approximately 50 Australian children are diagnosed with neuroblastoma each year, of which 20-25 are classified as having HRNB (ANZCHOG 2024</w:t>
      </w:r>
      <w:r w:rsidR="00D137A3" w:rsidRPr="7F2A1B4F">
        <w:rPr>
          <w:rStyle w:val="FootnoteReference"/>
        </w:rPr>
        <w:footnoteReference w:id="5"/>
      </w:r>
      <w:r w:rsidRPr="7F2A1B4F">
        <w:t xml:space="preserve">). </w:t>
      </w:r>
    </w:p>
    <w:p w14:paraId="604006F6" w14:textId="507ECA00" w:rsidR="00D137A3" w:rsidRPr="00AA1240" w:rsidRDefault="07791651" w:rsidP="06A0E374">
      <w:pPr>
        <w:pStyle w:val="3-BodyText"/>
      </w:pPr>
      <w:r w:rsidRPr="7F2A1B4F">
        <w:t xml:space="preserve">Diagnosis and risk </w:t>
      </w:r>
      <w:r w:rsidRPr="00DF39CA">
        <w:t>classification of neuroblastoma for</w:t>
      </w:r>
      <w:r w:rsidR="1C752E31" w:rsidRPr="00DF39CA">
        <w:t xml:space="preserve"> the pivotal</w:t>
      </w:r>
      <w:r w:rsidRPr="00DF39CA">
        <w:t xml:space="preserve"> Study 3b was based on the International Neuroblastoma Staging System (INSS), which was developed in 1986. </w:t>
      </w:r>
      <w:r w:rsidR="00E2769B" w:rsidRPr="00DF39CA">
        <w:t xml:space="preserve">High-risk disease in Study 3b was determined by the risk classification system devised by COG in 2000, based on the INSS. </w:t>
      </w:r>
      <w:r w:rsidRPr="00DF39CA">
        <w:t>The INSS determined stage</w:t>
      </w:r>
      <w:r w:rsidR="00D3125C" w:rsidRPr="00DF39CA">
        <w:t>,</w:t>
      </w:r>
      <w:r w:rsidRPr="00DF39CA">
        <w:t xml:space="preserve"> based on observations during surgery and </w:t>
      </w:r>
      <w:r w:rsidR="5822BE0D" w:rsidRPr="00DF39CA">
        <w:t xml:space="preserve">in the research setting, </w:t>
      </w:r>
      <w:r w:rsidRPr="00DF39CA">
        <w:t>has been largely replaced by the International Neuroblastoma Risk Group Staging System (INRGSS), which was developed in 2005 and uses results from imaging as well as prognostic factors to determine stage (Irwin 2021</w:t>
      </w:r>
      <w:r w:rsidR="00D137A3" w:rsidRPr="00DF39CA">
        <w:rPr>
          <w:rStyle w:val="FootnoteReference"/>
        </w:rPr>
        <w:footnoteReference w:id="6"/>
      </w:r>
      <w:r w:rsidRPr="00DF39CA">
        <w:t>).</w:t>
      </w:r>
      <w:r w:rsidR="4C38ABF5" w:rsidRPr="00DF39CA">
        <w:t xml:space="preserve"> In contrast, the proposed restriction in the submission</w:t>
      </w:r>
      <w:r w:rsidR="4C38ABF5" w:rsidRPr="7F2A1B4F">
        <w:t xml:space="preserve"> </w:t>
      </w:r>
      <w:r w:rsidR="4C38ABF5" w:rsidRPr="00592118">
        <w:lastRenderedPageBreak/>
        <w:t xml:space="preserve">defined ‘high-risk’ disease according to the </w:t>
      </w:r>
      <w:r w:rsidR="006C1BA1" w:rsidRPr="00592118">
        <w:t xml:space="preserve">current </w:t>
      </w:r>
      <w:r w:rsidR="4C38ABF5" w:rsidRPr="00592118">
        <w:t>COG or SIOPEN risk classification systems</w:t>
      </w:r>
      <w:r w:rsidR="0B3FCCC3" w:rsidRPr="00592118">
        <w:t>.</w:t>
      </w:r>
      <w:r w:rsidR="00E41D3E">
        <w:t xml:space="preserve"> The SIOPEN </w:t>
      </w:r>
      <w:r w:rsidR="00762237">
        <w:t xml:space="preserve">system was </w:t>
      </w:r>
      <w:r w:rsidR="0020466C">
        <w:t xml:space="preserve">developed </w:t>
      </w:r>
      <w:r w:rsidR="00834400">
        <w:t xml:space="preserve">from the </w:t>
      </w:r>
      <w:r w:rsidR="00834400" w:rsidRPr="00834400">
        <w:t>SIOPEN High-Risk Neuroblastoma Study</w:t>
      </w:r>
      <w:r w:rsidR="0003702B">
        <w:t>, which began in 2007</w:t>
      </w:r>
      <w:r w:rsidR="00CA2C56">
        <w:t xml:space="preserve"> and included</w:t>
      </w:r>
      <w:r w:rsidR="00D05326">
        <w:t xml:space="preserve"> various risk classifications</w:t>
      </w:r>
      <w:r w:rsidR="00312789">
        <w:t>.</w:t>
      </w:r>
    </w:p>
    <w:p w14:paraId="1357EB5A" w14:textId="5EFAB34F" w:rsidR="00D137A3" w:rsidRDefault="00D137A3" w:rsidP="001A5C2D">
      <w:pPr>
        <w:pStyle w:val="3-BodyText"/>
      </w:pPr>
      <w:r w:rsidRPr="7F2A1B4F">
        <w:t>The treatment of neuroblastoma varies depending on the risk category. Low-risk disease may be managed with observation or surgery (Bagatell 2023</w:t>
      </w:r>
      <w:r w:rsidRPr="7F2A1B4F">
        <w:rPr>
          <w:rStyle w:val="FootnoteReference"/>
        </w:rPr>
        <w:footnoteReference w:id="7"/>
      </w:r>
      <w:r w:rsidRPr="7F2A1B4F">
        <w:t>). Intermediate-risk disease is generally managed with lower intensity chemotherapy with or without surgery. High-risk disease is typically managed with an aggressive multimodality approach including (i) intensive induction multiagent chemotherapy and surgery, followed by (ii) consolidation therapy including high-dose chemotherapy, autologous stem cell transplant (ASCT) and radiation therapy, then (iii) post-consolidation or maintenance therapy with immunotherapy (ANZCHOG 2024). Survival has improved in recent years; 5-year survival rates for low</w:t>
      </w:r>
      <w:r>
        <w:noBreakHyphen/>
      </w:r>
      <w:r w:rsidRPr="7F2A1B4F">
        <w:t>, intermediate- and high-risk disease</w:t>
      </w:r>
      <w:r w:rsidR="00051D2D" w:rsidRPr="7F2A1B4F">
        <w:t>s</w:t>
      </w:r>
      <w:r w:rsidRPr="7F2A1B4F">
        <w:t xml:space="preserve"> are approximately 98%, 95% and 62%, respectively (Irwin 2021). Approximately 80% of HRNB patients respond to upfront therapy</w:t>
      </w:r>
      <w:r w:rsidR="001A5C2D" w:rsidRPr="7F2A1B4F">
        <w:t xml:space="preserve"> (with 20% being refractory)</w:t>
      </w:r>
      <w:r w:rsidRPr="7F2A1B4F">
        <w:t xml:space="preserve"> but relapse remains common in HRNB, particularly for children aged &gt;18 months at diagnosis (</w:t>
      </w:r>
      <w:r w:rsidR="001A5C2D" w:rsidRPr="7F2A1B4F">
        <w:t>DuBois 2022</w:t>
      </w:r>
      <w:r w:rsidR="001A5C2D" w:rsidRPr="7F2A1B4F">
        <w:rPr>
          <w:rStyle w:val="FootnoteReference"/>
        </w:rPr>
        <w:footnoteReference w:id="8"/>
      </w:r>
      <w:r w:rsidR="001A5C2D" w:rsidRPr="7F2A1B4F">
        <w:t xml:space="preserve">, </w:t>
      </w:r>
      <w:r w:rsidRPr="7F2A1B4F">
        <w:t>Youlden 2020). Approximately 50% of patients relapse</w:t>
      </w:r>
      <w:r w:rsidR="00051D2D" w:rsidRPr="7F2A1B4F">
        <w:t>,</w:t>
      </w:r>
      <w:r w:rsidRPr="7F2A1B4F">
        <w:t xml:space="preserve"> and the prognosis in relapsed and refractory patients is poor.</w:t>
      </w:r>
    </w:p>
    <w:p w14:paraId="6901CD49" w14:textId="10039042" w:rsidR="0081002D" w:rsidRPr="00AA1240" w:rsidRDefault="001A5C2D" w:rsidP="0081002D">
      <w:pPr>
        <w:pStyle w:val="3-BodyText"/>
      </w:pPr>
      <w:r w:rsidRPr="7F2A1B4F">
        <w:t>Under the proposed treatment algorithm, t</w:t>
      </w:r>
      <w:r w:rsidR="00D137A3" w:rsidRPr="7F2A1B4F">
        <w:t>reatment with eflornithine is proposed for post-maintenance therapy to prevent relapse in patients with HRNB who have responded to prior multiagent, multimodality therapy</w:t>
      </w:r>
      <w:r w:rsidR="00245F0E">
        <w:t xml:space="preserve"> and are in remission</w:t>
      </w:r>
      <w:r w:rsidR="00D137A3" w:rsidRPr="7F2A1B4F">
        <w:t xml:space="preserve">. </w:t>
      </w:r>
      <w:r w:rsidRPr="7F2A1B4F">
        <w:t xml:space="preserve">This includes treatment after ‘upfront’ therapy (i.e. induction, consolidation and maintenance) </w:t>
      </w:r>
      <w:r w:rsidR="0081002D" w:rsidRPr="7F2A1B4F">
        <w:t xml:space="preserve">as well as </w:t>
      </w:r>
      <w:r w:rsidRPr="7F2A1B4F">
        <w:t xml:space="preserve">treatment </w:t>
      </w:r>
      <w:r w:rsidR="0081002D" w:rsidRPr="7F2A1B4F">
        <w:t xml:space="preserve">following any previous treatment for refractory or relapsed disease. </w:t>
      </w:r>
      <w:r w:rsidR="00D137A3" w:rsidRPr="7F2A1B4F">
        <w:t>Patients taking eflornithine would continue to receive the standard follow-up care and monitoring recommended for HRNB.</w:t>
      </w:r>
      <w:r w:rsidR="00D137A3" w:rsidRPr="7F2A1B4F">
        <w:rPr>
          <w:i/>
          <w:iCs/>
        </w:rPr>
        <w:t xml:space="preserve"> </w:t>
      </w:r>
    </w:p>
    <w:p w14:paraId="6A1FDABD" w14:textId="58638E6A" w:rsidR="0081002D" w:rsidRDefault="0081002D" w:rsidP="0081002D">
      <w:pPr>
        <w:pStyle w:val="3-BodyText"/>
      </w:pPr>
      <w:r w:rsidRPr="7F2A1B4F">
        <w:t>Eflornithine hydrochloride (also known as difluoromethylornithine [DFMO]) is a structural analogue of ornithine. It acts as a specific and irreversible suicide inhibitor (an irreversible form of enzyme inhibition) of the ornithine decarboxylase (ODC), an enzyme that controls the synthesis of polyamines, which exist in all living cells. Inhibition of ODC activity interrupts polyamine synthesis and results in inhibition of growth and cell differentiation</w:t>
      </w:r>
      <w:r w:rsidR="009B1068" w:rsidRPr="7F2A1B4F">
        <w:t xml:space="preserve"> in</w:t>
      </w:r>
      <w:r w:rsidRPr="7F2A1B4F">
        <w:t xml:space="preserve"> a number of malignant and non-malignant mammalian cells, and has been shown to inhibit the promotion and progression phases of carcinogenesis. </w:t>
      </w:r>
    </w:p>
    <w:p w14:paraId="76C2B63B" w14:textId="4EA5A2E4" w:rsidR="00EE3F5A" w:rsidRDefault="00EE3F5A" w:rsidP="00EE3F5A">
      <w:pPr>
        <w:pStyle w:val="3-BodyText"/>
        <w:numPr>
          <w:ilvl w:val="0"/>
          <w:numId w:val="0"/>
        </w:numPr>
        <w:ind w:left="720"/>
      </w:pPr>
      <w:r w:rsidRPr="00C33D30">
        <w:rPr>
          <w:i/>
        </w:rPr>
        <w:t>For more detail on PBAC’s view, see section 7 PBAC outcome.</w:t>
      </w:r>
    </w:p>
    <w:p w14:paraId="5716CE43" w14:textId="77777777" w:rsidR="00D137A3" w:rsidRPr="00407F2D" w:rsidRDefault="00D137A3" w:rsidP="00D137A3">
      <w:pPr>
        <w:pStyle w:val="2-SectionHeading"/>
        <w:numPr>
          <w:ilvl w:val="0"/>
          <w:numId w:val="1"/>
        </w:numPr>
      </w:pPr>
      <w:bookmarkStart w:id="17" w:name="_Toc107927624"/>
      <w:bookmarkStart w:id="18" w:name="_Toc188441764"/>
      <w:r w:rsidRPr="00407F2D">
        <w:lastRenderedPageBreak/>
        <w:t>Comparator</w:t>
      </w:r>
      <w:bookmarkEnd w:id="17"/>
      <w:bookmarkEnd w:id="18"/>
    </w:p>
    <w:p w14:paraId="6762B383" w14:textId="77777777" w:rsidR="0071473F" w:rsidRDefault="00D137A3" w:rsidP="00933638">
      <w:pPr>
        <w:pStyle w:val="3-BodyText"/>
      </w:pPr>
      <w:r w:rsidRPr="7F2A1B4F">
        <w:t>The submission nominated standard of care (</w:t>
      </w:r>
      <w:r w:rsidR="006D3A26" w:rsidRPr="7F2A1B4F">
        <w:t>SOC</w:t>
      </w:r>
      <w:r w:rsidRPr="7F2A1B4F">
        <w:t xml:space="preserve">), defined as follow-up and monitoring, as the main comparator. The main arguments provided in support of this nomination were that there are no approved therapies designated for post-maintenance treatment for patients with HRNB, and there are no near market comparators. Eflornithine would not replace any medicine, and would be used in addition to </w:t>
      </w:r>
      <w:r w:rsidR="69083AB2" w:rsidRPr="7F2A1B4F">
        <w:t xml:space="preserve">current </w:t>
      </w:r>
      <w:r w:rsidR="006D3A26" w:rsidRPr="7F2A1B4F">
        <w:t>SOC</w:t>
      </w:r>
      <w:r w:rsidRPr="7F2A1B4F">
        <w:t xml:space="preserve">. </w:t>
      </w:r>
    </w:p>
    <w:p w14:paraId="20F3BE3A" w14:textId="2732EAB4" w:rsidR="00D137A3" w:rsidRDefault="007E0826" w:rsidP="00933638">
      <w:pPr>
        <w:pStyle w:val="3-BodyText"/>
      </w:pPr>
      <w:r w:rsidRPr="002C48FA">
        <w:t xml:space="preserve">The evaluation considered that </w:t>
      </w:r>
      <w:r w:rsidR="00671DBE" w:rsidRPr="002C48FA">
        <w:t>this</w:t>
      </w:r>
      <w:r w:rsidR="00841EF3" w:rsidRPr="002C48FA">
        <w:t xml:space="preserve"> choice of comparator</w:t>
      </w:r>
      <w:r w:rsidR="00671DBE" w:rsidRPr="002C48FA">
        <w:t xml:space="preserve"> was</w:t>
      </w:r>
      <w:r w:rsidR="00D137A3" w:rsidRPr="7F2A1B4F">
        <w:t xml:space="preserve"> appropriate, however</w:t>
      </w:r>
      <w:r w:rsidR="00587A58" w:rsidRPr="7F2A1B4F">
        <w:t xml:space="preserve"> </w:t>
      </w:r>
      <w:r w:rsidR="00587A58" w:rsidRPr="00737FB1">
        <w:t>noted that</w:t>
      </w:r>
      <w:r w:rsidR="00D137A3" w:rsidRPr="7F2A1B4F">
        <w:t xml:space="preserve"> the evidence presented for eflornithine </w:t>
      </w:r>
      <w:r w:rsidR="346B19BE" w:rsidRPr="7F2A1B4F">
        <w:t>is</w:t>
      </w:r>
      <w:r w:rsidR="00D137A3" w:rsidRPr="7F2A1B4F">
        <w:t xml:space="preserve"> from a single-arm study and the evidence for </w:t>
      </w:r>
      <w:r w:rsidR="006D3A26" w:rsidRPr="7F2A1B4F">
        <w:t>SOC</w:t>
      </w:r>
      <w:r w:rsidR="0060EBFF" w:rsidRPr="7F2A1B4F">
        <w:t xml:space="preserve"> as the comparator</w:t>
      </w:r>
      <w:r w:rsidR="006D3A26" w:rsidRPr="7F2A1B4F">
        <w:t xml:space="preserve"> </w:t>
      </w:r>
      <w:r w:rsidR="00D137A3" w:rsidRPr="7F2A1B4F">
        <w:t xml:space="preserve">is from historical controls. </w:t>
      </w:r>
    </w:p>
    <w:p w14:paraId="0995632C" w14:textId="2137B191" w:rsidR="00EE3F5A" w:rsidRPr="00AA1240" w:rsidRDefault="00EE3F5A" w:rsidP="00EE3F5A">
      <w:pPr>
        <w:pStyle w:val="3-BodyText"/>
        <w:numPr>
          <w:ilvl w:val="0"/>
          <w:numId w:val="0"/>
        </w:numPr>
        <w:ind w:left="720"/>
      </w:pPr>
      <w:r w:rsidRPr="00C33D30">
        <w:rPr>
          <w:i/>
        </w:rPr>
        <w:t>For more detail on PBAC’s view, see section 7 PBAC outcome.</w:t>
      </w:r>
    </w:p>
    <w:p w14:paraId="41D58166" w14:textId="77777777" w:rsidR="00D137A3" w:rsidRPr="00407F2D" w:rsidRDefault="00D137A3" w:rsidP="00D137A3">
      <w:pPr>
        <w:pStyle w:val="2-SectionHeading"/>
        <w:numPr>
          <w:ilvl w:val="0"/>
          <w:numId w:val="1"/>
        </w:numPr>
      </w:pPr>
      <w:bookmarkStart w:id="19" w:name="_Toc107927625"/>
      <w:bookmarkStart w:id="20" w:name="_Toc188441765"/>
      <w:bookmarkStart w:id="21" w:name="_Toc22897640"/>
      <w:r>
        <w:t>C</w:t>
      </w:r>
      <w:r w:rsidRPr="00407F2D">
        <w:t>onsideration of the evidence</w:t>
      </w:r>
      <w:bookmarkEnd w:id="19"/>
      <w:bookmarkEnd w:id="20"/>
    </w:p>
    <w:p w14:paraId="5D1075FD" w14:textId="77777777" w:rsidR="00E26131" w:rsidRPr="006E1229" w:rsidRDefault="00E26131" w:rsidP="00E26131">
      <w:pPr>
        <w:pStyle w:val="4-SubsectionHeading"/>
      </w:pPr>
      <w:bookmarkStart w:id="22" w:name="_Hlk76375935"/>
      <w:bookmarkStart w:id="23" w:name="_Toc107927626"/>
      <w:bookmarkStart w:id="24" w:name="_Toc188441766"/>
      <w:r w:rsidRPr="006E1229">
        <w:t>Sponsor hearing</w:t>
      </w:r>
    </w:p>
    <w:p w14:paraId="2E0DFABC" w14:textId="2A33E908" w:rsidR="00E26131" w:rsidRPr="00020184" w:rsidRDefault="00D248A6" w:rsidP="00020184">
      <w:pPr>
        <w:widowControl w:val="0"/>
        <w:numPr>
          <w:ilvl w:val="1"/>
          <w:numId w:val="1"/>
        </w:numPr>
        <w:spacing w:after="120"/>
        <w:rPr>
          <w:rFonts w:asciiTheme="minorHAnsi" w:hAnsiTheme="minorHAnsi"/>
          <w:bCs/>
          <w:snapToGrid w:val="0"/>
        </w:rPr>
      </w:pPr>
      <w:bookmarkStart w:id="25" w:name="_Hlk76382586"/>
      <w:r w:rsidRPr="00836F75">
        <w:rPr>
          <w:rFonts w:asciiTheme="minorHAnsi" w:hAnsiTheme="minorHAnsi"/>
          <w:bCs/>
          <w:snapToGrid w:val="0"/>
        </w:rPr>
        <w:t>The sponsor requested a hearing for this item. The clinician discussed the natural history of the disease</w:t>
      </w:r>
      <w:r w:rsidR="000C6A22">
        <w:rPr>
          <w:rFonts w:asciiTheme="minorHAnsi" w:hAnsiTheme="minorHAnsi"/>
          <w:bCs/>
          <w:snapToGrid w:val="0"/>
        </w:rPr>
        <w:t xml:space="preserve"> </w:t>
      </w:r>
      <w:r w:rsidR="005B2343">
        <w:rPr>
          <w:rFonts w:asciiTheme="minorHAnsi" w:hAnsiTheme="minorHAnsi"/>
          <w:bCs/>
          <w:snapToGrid w:val="0"/>
        </w:rPr>
        <w:t xml:space="preserve">including </w:t>
      </w:r>
      <w:r w:rsidR="000C6A22">
        <w:rPr>
          <w:rFonts w:asciiTheme="minorHAnsi" w:hAnsiTheme="minorHAnsi"/>
          <w:bCs/>
          <w:snapToGrid w:val="0"/>
        </w:rPr>
        <w:t>the challenges faced by patients and their families,</w:t>
      </w:r>
      <w:r w:rsidRPr="00836F75">
        <w:rPr>
          <w:rFonts w:asciiTheme="minorHAnsi" w:hAnsiTheme="minorHAnsi"/>
          <w:bCs/>
          <w:snapToGrid w:val="0"/>
        </w:rPr>
        <w:t xml:space="preserve"> </w:t>
      </w:r>
      <w:r>
        <w:rPr>
          <w:rFonts w:asciiTheme="minorHAnsi" w:hAnsiTheme="minorHAnsi"/>
          <w:bCs/>
          <w:snapToGrid w:val="0"/>
        </w:rPr>
        <w:t xml:space="preserve">and </w:t>
      </w:r>
      <w:r w:rsidRPr="00836F75">
        <w:rPr>
          <w:rFonts w:asciiTheme="minorHAnsi" w:hAnsiTheme="minorHAnsi"/>
          <w:bCs/>
          <w:snapToGrid w:val="0"/>
        </w:rPr>
        <w:t xml:space="preserve">how </w:t>
      </w:r>
      <w:r>
        <w:rPr>
          <w:rFonts w:asciiTheme="minorHAnsi" w:hAnsiTheme="minorHAnsi"/>
          <w:bCs/>
          <w:snapToGrid w:val="0"/>
        </w:rPr>
        <w:t>eflornithine</w:t>
      </w:r>
      <w:r w:rsidRPr="00836F75">
        <w:rPr>
          <w:rFonts w:asciiTheme="minorHAnsi" w:hAnsiTheme="minorHAnsi"/>
          <w:bCs/>
          <w:snapToGrid w:val="0"/>
        </w:rPr>
        <w:t xml:space="preserve"> would be used in practice</w:t>
      </w:r>
      <w:r>
        <w:rPr>
          <w:rFonts w:asciiTheme="minorHAnsi" w:hAnsiTheme="minorHAnsi"/>
          <w:bCs/>
          <w:snapToGrid w:val="0"/>
        </w:rPr>
        <w:t>.</w:t>
      </w:r>
      <w:r w:rsidR="00FB5D7E">
        <w:rPr>
          <w:rFonts w:asciiTheme="minorHAnsi" w:hAnsiTheme="minorHAnsi"/>
          <w:bCs/>
          <w:snapToGrid w:val="0"/>
        </w:rPr>
        <w:t xml:space="preserve"> The clinician referred to </w:t>
      </w:r>
      <w:r w:rsidR="000A3619">
        <w:rPr>
          <w:rFonts w:asciiTheme="minorHAnsi" w:hAnsiTheme="minorHAnsi"/>
          <w:bCs/>
          <w:snapToGrid w:val="0"/>
        </w:rPr>
        <w:t xml:space="preserve">treatment of both </w:t>
      </w:r>
      <w:r w:rsidR="001E7C25">
        <w:rPr>
          <w:rFonts w:asciiTheme="minorHAnsi" w:hAnsiTheme="minorHAnsi"/>
          <w:bCs/>
          <w:snapToGrid w:val="0"/>
        </w:rPr>
        <w:t>Stratum 1</w:t>
      </w:r>
      <w:r w:rsidR="00B04149">
        <w:rPr>
          <w:rFonts w:asciiTheme="minorHAnsi" w:hAnsiTheme="minorHAnsi"/>
          <w:bCs/>
          <w:snapToGrid w:val="0"/>
        </w:rPr>
        <w:t xml:space="preserve"> and Stratum 2</w:t>
      </w:r>
      <w:r w:rsidR="003B26B8">
        <w:rPr>
          <w:rFonts w:asciiTheme="minorHAnsi" w:hAnsiTheme="minorHAnsi"/>
          <w:bCs/>
          <w:snapToGrid w:val="0"/>
        </w:rPr>
        <w:t xml:space="preserve"> patients</w:t>
      </w:r>
      <w:r w:rsidR="00417790">
        <w:rPr>
          <w:rFonts w:asciiTheme="minorHAnsi" w:hAnsiTheme="minorHAnsi"/>
          <w:bCs/>
          <w:snapToGrid w:val="0"/>
        </w:rPr>
        <w:t xml:space="preserve"> with eflornithine</w:t>
      </w:r>
      <w:r w:rsidR="003B26B8">
        <w:rPr>
          <w:rFonts w:asciiTheme="minorHAnsi" w:hAnsiTheme="minorHAnsi"/>
          <w:bCs/>
          <w:snapToGrid w:val="0"/>
        </w:rPr>
        <w:t xml:space="preserve">, </w:t>
      </w:r>
      <w:r w:rsidR="00061976">
        <w:rPr>
          <w:rFonts w:asciiTheme="minorHAnsi" w:hAnsiTheme="minorHAnsi"/>
          <w:bCs/>
          <w:snapToGrid w:val="0"/>
        </w:rPr>
        <w:t>noting that</w:t>
      </w:r>
      <w:r w:rsidR="00785344">
        <w:rPr>
          <w:rFonts w:asciiTheme="minorHAnsi" w:hAnsiTheme="minorHAnsi"/>
          <w:bCs/>
          <w:snapToGrid w:val="0"/>
        </w:rPr>
        <w:t xml:space="preserve"> clinical</w:t>
      </w:r>
      <w:r w:rsidR="00061976">
        <w:rPr>
          <w:rFonts w:asciiTheme="minorHAnsi" w:hAnsiTheme="minorHAnsi"/>
          <w:bCs/>
          <w:snapToGrid w:val="0"/>
        </w:rPr>
        <w:t xml:space="preserve"> data for the latter group had been submitted to</w:t>
      </w:r>
      <w:r w:rsidR="00E06EBB">
        <w:rPr>
          <w:rFonts w:asciiTheme="minorHAnsi" w:hAnsiTheme="minorHAnsi"/>
          <w:bCs/>
          <w:snapToGrid w:val="0"/>
        </w:rPr>
        <w:t xml:space="preserve"> regulatory agencies</w:t>
      </w:r>
      <w:r w:rsidR="00061976">
        <w:rPr>
          <w:rFonts w:asciiTheme="minorHAnsi" w:hAnsiTheme="minorHAnsi"/>
          <w:bCs/>
          <w:snapToGrid w:val="0"/>
        </w:rPr>
        <w:t xml:space="preserve"> </w:t>
      </w:r>
      <w:r w:rsidR="00550EA4">
        <w:rPr>
          <w:rFonts w:asciiTheme="minorHAnsi" w:hAnsiTheme="minorHAnsi"/>
          <w:bCs/>
          <w:snapToGrid w:val="0"/>
        </w:rPr>
        <w:t xml:space="preserve">as part of the drug approval process </w:t>
      </w:r>
      <w:r w:rsidR="00884F72">
        <w:rPr>
          <w:rFonts w:asciiTheme="minorHAnsi" w:hAnsiTheme="minorHAnsi"/>
          <w:bCs/>
          <w:snapToGrid w:val="0"/>
        </w:rPr>
        <w:t xml:space="preserve">but had not yet been published in a peer reviewed journal. </w:t>
      </w:r>
      <w:r w:rsidRPr="00836F75">
        <w:rPr>
          <w:rFonts w:asciiTheme="minorHAnsi" w:hAnsiTheme="minorHAnsi"/>
          <w:bCs/>
          <w:snapToGrid w:val="0"/>
        </w:rPr>
        <w:t>The PBAC considered that the hearing was informative as it provided a clinical perspective on treating this uncommon disease.</w:t>
      </w:r>
      <w:bookmarkEnd w:id="25"/>
    </w:p>
    <w:p w14:paraId="6958BF2F" w14:textId="77777777" w:rsidR="00E26131" w:rsidRPr="006E1229" w:rsidRDefault="00E26131" w:rsidP="00E26131">
      <w:pPr>
        <w:pStyle w:val="4-SubsectionHeading"/>
      </w:pPr>
      <w:r w:rsidRPr="006E1229">
        <w:t>Consumer comments</w:t>
      </w:r>
    </w:p>
    <w:p w14:paraId="0CAB5375" w14:textId="5D1DCC63" w:rsidR="00E26131" w:rsidRDefault="00AC6FBC" w:rsidP="00E26131">
      <w:pPr>
        <w:widowControl w:val="0"/>
        <w:numPr>
          <w:ilvl w:val="1"/>
          <w:numId w:val="1"/>
        </w:numPr>
        <w:spacing w:after="120"/>
        <w:rPr>
          <w:rFonts w:asciiTheme="minorHAnsi" w:hAnsiTheme="minorHAnsi"/>
          <w:bCs/>
          <w:snapToGrid w:val="0"/>
        </w:rPr>
      </w:pPr>
      <w:bookmarkStart w:id="26" w:name="_Ref142041243"/>
      <w:bookmarkStart w:id="27" w:name="_Hlk76382618"/>
      <w:r w:rsidRPr="006B3F92">
        <w:rPr>
          <w:rFonts w:asciiTheme="minorHAnsi" w:hAnsiTheme="minorHAnsi"/>
          <w:bCs/>
          <w:snapToGrid w:val="0"/>
        </w:rPr>
        <w:t>The PBAC noted and welcomed the input from individuals (</w:t>
      </w:r>
      <w:r w:rsidR="00564DE4">
        <w:rPr>
          <w:rFonts w:asciiTheme="minorHAnsi" w:hAnsiTheme="minorHAnsi"/>
          <w:bCs/>
          <w:snapToGrid w:val="0"/>
        </w:rPr>
        <w:t>262</w:t>
      </w:r>
      <w:r w:rsidRPr="006B3F92">
        <w:rPr>
          <w:rFonts w:asciiTheme="minorHAnsi" w:hAnsiTheme="minorHAnsi"/>
          <w:bCs/>
          <w:snapToGrid w:val="0"/>
        </w:rPr>
        <w:t>), health care professionals (3) and organisations (</w:t>
      </w:r>
      <w:r w:rsidR="005C0F33">
        <w:rPr>
          <w:rFonts w:asciiTheme="minorHAnsi" w:hAnsiTheme="minorHAnsi"/>
          <w:bCs/>
          <w:snapToGrid w:val="0"/>
        </w:rPr>
        <w:t>5</w:t>
      </w:r>
      <w:r w:rsidRPr="006B3F92">
        <w:rPr>
          <w:rFonts w:asciiTheme="minorHAnsi" w:hAnsiTheme="minorHAnsi"/>
          <w:bCs/>
          <w:snapToGrid w:val="0"/>
        </w:rPr>
        <w:t>) via the Consumer Comments facility on the PBS website.</w:t>
      </w:r>
      <w:bookmarkEnd w:id="26"/>
    </w:p>
    <w:p w14:paraId="25912265" w14:textId="21161269" w:rsidR="004F7104" w:rsidRDefault="004F7104" w:rsidP="004F7104">
      <w:pPr>
        <w:pStyle w:val="3-BodyText"/>
        <w:rPr>
          <w:bCs/>
        </w:rPr>
      </w:pPr>
      <w:r>
        <w:rPr>
          <w:bCs/>
        </w:rPr>
        <w:t xml:space="preserve">The </w:t>
      </w:r>
      <w:r w:rsidRPr="004F7104">
        <w:rPr>
          <w:bCs/>
        </w:rPr>
        <w:t>Australian and New Zealand Children’s Haematology/ Oncology Group (ANZCHOG)</w:t>
      </w:r>
      <w:r w:rsidR="00B614EC">
        <w:rPr>
          <w:bCs/>
        </w:rPr>
        <w:t xml:space="preserve"> Solid Tumour Group</w:t>
      </w:r>
      <w:r w:rsidR="00D31EB0">
        <w:rPr>
          <w:bCs/>
        </w:rPr>
        <w:t xml:space="preserve"> described </w:t>
      </w:r>
      <w:r w:rsidR="006951FE">
        <w:rPr>
          <w:bCs/>
        </w:rPr>
        <w:t>n</w:t>
      </w:r>
      <w:r w:rsidR="00D31EB0" w:rsidRPr="00D31EB0">
        <w:rPr>
          <w:bCs/>
        </w:rPr>
        <w:t xml:space="preserve">euroblastoma </w:t>
      </w:r>
      <w:r w:rsidR="006951FE">
        <w:rPr>
          <w:bCs/>
        </w:rPr>
        <w:t>as</w:t>
      </w:r>
      <w:r w:rsidR="00D31EB0" w:rsidRPr="00D31EB0">
        <w:rPr>
          <w:bCs/>
        </w:rPr>
        <w:t xml:space="preserve"> one of the most challenging childhood cancers</w:t>
      </w:r>
      <w:r w:rsidR="00234387">
        <w:rPr>
          <w:bCs/>
        </w:rPr>
        <w:t xml:space="preserve"> that</w:t>
      </w:r>
      <w:r w:rsidR="00D31EB0" w:rsidRPr="00D31EB0">
        <w:rPr>
          <w:bCs/>
        </w:rPr>
        <w:t xml:space="preserve"> account</w:t>
      </w:r>
      <w:r w:rsidR="00234387">
        <w:rPr>
          <w:bCs/>
        </w:rPr>
        <w:t>s</w:t>
      </w:r>
      <w:r w:rsidR="00D31EB0" w:rsidRPr="00D31EB0">
        <w:rPr>
          <w:bCs/>
        </w:rPr>
        <w:t xml:space="preserve"> for a significant proportion of paediatric cancer mortality in Australia.</w:t>
      </w:r>
      <w:r w:rsidRPr="004F7104">
        <w:rPr>
          <w:bCs/>
        </w:rPr>
        <w:t xml:space="preserve"> </w:t>
      </w:r>
      <w:r w:rsidR="00234387">
        <w:rPr>
          <w:bCs/>
        </w:rPr>
        <w:t xml:space="preserve">It </w:t>
      </w:r>
      <w:r w:rsidR="00800DC6">
        <w:rPr>
          <w:bCs/>
        </w:rPr>
        <w:t>supported the</w:t>
      </w:r>
      <w:r w:rsidR="00330AAC">
        <w:rPr>
          <w:bCs/>
        </w:rPr>
        <w:t xml:space="preserve"> listing of </w:t>
      </w:r>
      <w:r w:rsidR="00976FF1">
        <w:rPr>
          <w:bCs/>
        </w:rPr>
        <w:t xml:space="preserve">eflornithine on the PBS, describing it as a </w:t>
      </w:r>
      <w:r w:rsidR="00CE384E">
        <w:rPr>
          <w:bCs/>
        </w:rPr>
        <w:t xml:space="preserve">critical therapy that requires </w:t>
      </w:r>
      <w:r w:rsidR="005E4ACB">
        <w:rPr>
          <w:bCs/>
        </w:rPr>
        <w:t>equitable and timely access.</w:t>
      </w:r>
    </w:p>
    <w:p w14:paraId="0C5826F0" w14:textId="754432FD" w:rsidR="008A5006" w:rsidRPr="00641AEA" w:rsidRDefault="008A5006" w:rsidP="00641AEA">
      <w:pPr>
        <w:pStyle w:val="3-BodyText"/>
        <w:rPr>
          <w:bCs/>
        </w:rPr>
      </w:pPr>
      <w:r>
        <w:rPr>
          <w:bCs/>
        </w:rPr>
        <w:t xml:space="preserve">The </w:t>
      </w:r>
      <w:r w:rsidRPr="008A5006">
        <w:rPr>
          <w:bCs/>
        </w:rPr>
        <w:t>National Paediatric Medicines Forum</w:t>
      </w:r>
      <w:r w:rsidR="000668E5">
        <w:rPr>
          <w:bCs/>
        </w:rPr>
        <w:t xml:space="preserve"> (NPMF)</w:t>
      </w:r>
      <w:r w:rsidRPr="008A5006">
        <w:rPr>
          <w:bCs/>
        </w:rPr>
        <w:t xml:space="preserve"> </w:t>
      </w:r>
      <w:r w:rsidR="00641AEA">
        <w:rPr>
          <w:bCs/>
        </w:rPr>
        <w:t>stated that</w:t>
      </w:r>
      <w:r w:rsidR="00404988" w:rsidRPr="00404988">
        <w:rPr>
          <w:bCs/>
        </w:rPr>
        <w:t xml:space="preserve"> the PBS listing</w:t>
      </w:r>
      <w:r w:rsidR="00641AEA">
        <w:rPr>
          <w:bCs/>
        </w:rPr>
        <w:t xml:space="preserve"> of eflornithine</w:t>
      </w:r>
      <w:r w:rsidR="00404988" w:rsidRPr="00404988">
        <w:rPr>
          <w:bCs/>
        </w:rPr>
        <w:t xml:space="preserve"> will be immensely</w:t>
      </w:r>
      <w:r w:rsidR="00641AEA">
        <w:rPr>
          <w:bCs/>
        </w:rPr>
        <w:t xml:space="preserve"> </w:t>
      </w:r>
      <w:r w:rsidR="00404988" w:rsidRPr="00641AEA">
        <w:rPr>
          <w:bCs/>
        </w:rPr>
        <w:t xml:space="preserve">beneficial to all relevant paediatric patients diagnosed with </w:t>
      </w:r>
      <w:r w:rsidR="00641AEA">
        <w:rPr>
          <w:bCs/>
        </w:rPr>
        <w:t>HRNB</w:t>
      </w:r>
      <w:r w:rsidR="00404988" w:rsidRPr="00641AEA">
        <w:rPr>
          <w:bCs/>
        </w:rPr>
        <w:t xml:space="preserve"> as</w:t>
      </w:r>
      <w:r w:rsidR="00641AEA">
        <w:rPr>
          <w:bCs/>
        </w:rPr>
        <w:t xml:space="preserve"> </w:t>
      </w:r>
      <w:r w:rsidR="00404988" w:rsidRPr="00641AEA">
        <w:rPr>
          <w:bCs/>
        </w:rPr>
        <w:t>well as improving equitable access and outcomes for all stakeholders</w:t>
      </w:r>
      <w:r w:rsidR="00B84B82" w:rsidRPr="00641AEA">
        <w:rPr>
          <w:bCs/>
        </w:rPr>
        <w:t>.</w:t>
      </w:r>
      <w:r w:rsidR="00ED5DAE">
        <w:rPr>
          <w:bCs/>
        </w:rPr>
        <w:t xml:space="preserve"> The NPMF reported the usage of eflornithine</w:t>
      </w:r>
      <w:r w:rsidR="00DA45BD">
        <w:rPr>
          <w:bCs/>
        </w:rPr>
        <w:t xml:space="preserve"> in</w:t>
      </w:r>
      <w:r w:rsidR="002E3AA4">
        <w:rPr>
          <w:bCs/>
        </w:rPr>
        <w:t xml:space="preserve"> children’s</w:t>
      </w:r>
      <w:r w:rsidR="00DA45BD">
        <w:rPr>
          <w:bCs/>
        </w:rPr>
        <w:t xml:space="preserve"> hospitals</w:t>
      </w:r>
      <w:r w:rsidR="00656F32">
        <w:rPr>
          <w:bCs/>
        </w:rPr>
        <w:t xml:space="preserve"> </w:t>
      </w:r>
      <w:r w:rsidR="005F4005">
        <w:rPr>
          <w:bCs/>
        </w:rPr>
        <w:t>in some Australian states.</w:t>
      </w:r>
      <w:r w:rsidR="00B84B82" w:rsidRPr="00641AEA">
        <w:rPr>
          <w:bCs/>
        </w:rPr>
        <w:t xml:space="preserve"> </w:t>
      </w:r>
      <w:r w:rsidR="00FE72AE" w:rsidRPr="00641AEA">
        <w:rPr>
          <w:bCs/>
        </w:rPr>
        <w:t>Children’s Healthcare Australasia</w:t>
      </w:r>
      <w:r w:rsidR="00F96308" w:rsidRPr="00641AEA">
        <w:rPr>
          <w:bCs/>
        </w:rPr>
        <w:t xml:space="preserve">, as part of the </w:t>
      </w:r>
      <w:r w:rsidR="000668E5" w:rsidRPr="00641AEA">
        <w:rPr>
          <w:bCs/>
        </w:rPr>
        <w:t>NPMF</w:t>
      </w:r>
      <w:r w:rsidR="00F96308" w:rsidRPr="00641AEA">
        <w:rPr>
          <w:bCs/>
        </w:rPr>
        <w:t>,</w:t>
      </w:r>
      <w:r w:rsidR="00757874" w:rsidRPr="00641AEA">
        <w:rPr>
          <w:bCs/>
        </w:rPr>
        <w:t xml:space="preserve"> submitted a</w:t>
      </w:r>
      <w:r w:rsidR="00A155E0" w:rsidRPr="00641AEA">
        <w:rPr>
          <w:bCs/>
        </w:rPr>
        <w:t xml:space="preserve"> separate</w:t>
      </w:r>
      <w:r w:rsidR="00757874" w:rsidRPr="00641AEA">
        <w:rPr>
          <w:bCs/>
        </w:rPr>
        <w:t xml:space="preserve"> statement </w:t>
      </w:r>
      <w:r w:rsidR="00236E4D" w:rsidRPr="00641AEA">
        <w:rPr>
          <w:bCs/>
        </w:rPr>
        <w:t>describing the background of HRNB treatment in Australia</w:t>
      </w:r>
      <w:r w:rsidR="00AB22F5" w:rsidRPr="00641AEA">
        <w:rPr>
          <w:bCs/>
        </w:rPr>
        <w:t xml:space="preserve">, costs of treatment, prior </w:t>
      </w:r>
      <w:r w:rsidR="00E05F0F" w:rsidRPr="00641AEA">
        <w:rPr>
          <w:bCs/>
        </w:rPr>
        <w:t xml:space="preserve">federal government funding, FDA summary of efficacy and outcomes, and </w:t>
      </w:r>
      <w:r w:rsidR="00586422" w:rsidRPr="00641AEA">
        <w:rPr>
          <w:bCs/>
        </w:rPr>
        <w:t>ANZCHOG criteria on population and treatment.</w:t>
      </w:r>
      <w:r w:rsidR="00E05F0F" w:rsidRPr="00641AEA">
        <w:rPr>
          <w:bCs/>
        </w:rPr>
        <w:t xml:space="preserve"> </w:t>
      </w:r>
      <w:r w:rsidR="00AC5A6D">
        <w:rPr>
          <w:bCs/>
        </w:rPr>
        <w:t xml:space="preserve">The NPMF reiterated the </w:t>
      </w:r>
      <w:r w:rsidR="00AC5A6D">
        <w:rPr>
          <w:bCs/>
        </w:rPr>
        <w:lastRenderedPageBreak/>
        <w:t xml:space="preserve">ANZCHOG estimate that there are </w:t>
      </w:r>
      <w:r w:rsidR="00F6550D">
        <w:rPr>
          <w:bCs/>
        </w:rPr>
        <w:t>approximately 50 children diagnosed with neuroblastoma each year and 20 to 25 are classified as having HRNB.</w:t>
      </w:r>
      <w:r w:rsidR="00F6759F">
        <w:rPr>
          <w:bCs/>
        </w:rPr>
        <w:t xml:space="preserve"> </w:t>
      </w:r>
    </w:p>
    <w:p w14:paraId="29E40821" w14:textId="425ACDAC" w:rsidR="004F7104" w:rsidRPr="004F7104" w:rsidRDefault="00CF6D90" w:rsidP="004F7104">
      <w:pPr>
        <w:pStyle w:val="3-BodyText"/>
        <w:rPr>
          <w:bCs/>
        </w:rPr>
      </w:pPr>
      <w:r>
        <w:rPr>
          <w:bCs/>
        </w:rPr>
        <w:t>The Neuroblastoma Australia charity</w:t>
      </w:r>
      <w:r w:rsidR="00A73C78">
        <w:rPr>
          <w:bCs/>
        </w:rPr>
        <w:t xml:space="preserve"> described the devastating nature of HRNB.</w:t>
      </w:r>
      <w:r w:rsidR="006C4328">
        <w:rPr>
          <w:bCs/>
        </w:rPr>
        <w:t xml:space="preserve"> It</w:t>
      </w:r>
      <w:r>
        <w:rPr>
          <w:bCs/>
        </w:rPr>
        <w:t xml:space="preserve"> </w:t>
      </w:r>
      <w:r w:rsidR="00A271AE">
        <w:rPr>
          <w:bCs/>
        </w:rPr>
        <w:t xml:space="preserve">commented on the improved survival associated with </w:t>
      </w:r>
      <w:r w:rsidR="00984FC0">
        <w:rPr>
          <w:bCs/>
        </w:rPr>
        <w:t>eflornithine</w:t>
      </w:r>
      <w:r w:rsidR="002A3E11">
        <w:rPr>
          <w:bCs/>
        </w:rPr>
        <w:t xml:space="preserve"> by preventing relapse</w:t>
      </w:r>
      <w:r w:rsidR="00210749">
        <w:rPr>
          <w:bCs/>
        </w:rPr>
        <w:t xml:space="preserve"> in the context of</w:t>
      </w:r>
      <w:r w:rsidR="00984FC0">
        <w:rPr>
          <w:bCs/>
        </w:rPr>
        <w:t xml:space="preserve"> the </w:t>
      </w:r>
      <w:r w:rsidR="002A3E11">
        <w:rPr>
          <w:bCs/>
        </w:rPr>
        <w:t>current relapse rate of 50%</w:t>
      </w:r>
      <w:r w:rsidR="00C0169C">
        <w:rPr>
          <w:bCs/>
        </w:rPr>
        <w:t xml:space="preserve"> after upfront therapy.</w:t>
      </w:r>
      <w:r w:rsidR="009B4CC5">
        <w:rPr>
          <w:bCs/>
        </w:rPr>
        <w:t xml:space="preserve"> It emphasised that once a child relapses, </w:t>
      </w:r>
      <w:r w:rsidR="00B01D80">
        <w:rPr>
          <w:bCs/>
        </w:rPr>
        <w:t xml:space="preserve">the options are very limited </w:t>
      </w:r>
      <w:r w:rsidR="00F93911">
        <w:rPr>
          <w:bCs/>
        </w:rPr>
        <w:t>and only a small proportion of children</w:t>
      </w:r>
      <w:r w:rsidR="00E907B6">
        <w:rPr>
          <w:bCs/>
        </w:rPr>
        <w:t xml:space="preserve"> are able to</w:t>
      </w:r>
      <w:r w:rsidR="00F93911">
        <w:rPr>
          <w:bCs/>
        </w:rPr>
        <w:t xml:space="preserve"> </w:t>
      </w:r>
      <w:r w:rsidR="00960FAC">
        <w:rPr>
          <w:bCs/>
        </w:rPr>
        <w:t>re-enter</w:t>
      </w:r>
      <w:r w:rsidR="00F93911">
        <w:rPr>
          <w:bCs/>
        </w:rPr>
        <w:t xml:space="preserve"> remission.</w:t>
      </w:r>
    </w:p>
    <w:p w14:paraId="6661E477" w14:textId="53C70213" w:rsidR="00CD71EF" w:rsidRPr="00836F75" w:rsidRDefault="00B961AA" w:rsidP="00E26131">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Rare Cancers Australia </w:t>
      </w:r>
      <w:r w:rsidR="00097D26">
        <w:rPr>
          <w:rFonts w:asciiTheme="minorHAnsi" w:hAnsiTheme="minorHAnsi"/>
          <w:bCs/>
          <w:snapToGrid w:val="0"/>
        </w:rPr>
        <w:t>described</w:t>
      </w:r>
      <w:r w:rsidR="00295EE3">
        <w:rPr>
          <w:rFonts w:asciiTheme="minorHAnsi" w:hAnsiTheme="minorHAnsi"/>
          <w:bCs/>
          <w:snapToGrid w:val="0"/>
        </w:rPr>
        <w:t xml:space="preserve"> the </w:t>
      </w:r>
      <w:r w:rsidR="00097D26">
        <w:rPr>
          <w:rFonts w:asciiTheme="minorHAnsi" w:hAnsiTheme="minorHAnsi"/>
          <w:bCs/>
          <w:snapToGrid w:val="0"/>
        </w:rPr>
        <w:t>side effects and long hospital stays associated with</w:t>
      </w:r>
      <w:r w:rsidR="001A40F4">
        <w:rPr>
          <w:rFonts w:asciiTheme="minorHAnsi" w:hAnsiTheme="minorHAnsi"/>
          <w:bCs/>
          <w:snapToGrid w:val="0"/>
        </w:rPr>
        <w:t xml:space="preserve"> intense</w:t>
      </w:r>
      <w:r w:rsidR="00097D26">
        <w:rPr>
          <w:rFonts w:asciiTheme="minorHAnsi" w:hAnsiTheme="minorHAnsi"/>
          <w:bCs/>
          <w:snapToGrid w:val="0"/>
        </w:rPr>
        <w:t xml:space="preserve"> up front therapy. It emphasised th</w:t>
      </w:r>
      <w:r w:rsidR="006D2DF6">
        <w:rPr>
          <w:rFonts w:asciiTheme="minorHAnsi" w:hAnsiTheme="minorHAnsi"/>
          <w:bCs/>
          <w:snapToGrid w:val="0"/>
        </w:rPr>
        <w:t>e advantages of eflornithine in preventing relapse and the accessibility of an oral medicine</w:t>
      </w:r>
      <w:r w:rsidR="00860720">
        <w:rPr>
          <w:rFonts w:asciiTheme="minorHAnsi" w:hAnsiTheme="minorHAnsi"/>
          <w:bCs/>
          <w:snapToGrid w:val="0"/>
        </w:rPr>
        <w:t xml:space="preserve"> for children so that they do not have to return home from hospital </w:t>
      </w:r>
      <w:r w:rsidR="00600C41">
        <w:rPr>
          <w:rFonts w:asciiTheme="minorHAnsi" w:hAnsiTheme="minorHAnsi"/>
          <w:bCs/>
          <w:snapToGrid w:val="0"/>
        </w:rPr>
        <w:t>with a port for drug administration.</w:t>
      </w:r>
      <w:r w:rsidR="00097D26">
        <w:rPr>
          <w:rFonts w:asciiTheme="minorHAnsi" w:hAnsiTheme="minorHAnsi"/>
          <w:bCs/>
          <w:snapToGrid w:val="0"/>
        </w:rPr>
        <w:t xml:space="preserve"> </w:t>
      </w:r>
    </w:p>
    <w:p w14:paraId="78860B98" w14:textId="68540E0B" w:rsidR="00FE5115" w:rsidRPr="00B96FC6" w:rsidRDefault="00C67948" w:rsidP="008C75CA">
      <w:pPr>
        <w:widowControl w:val="0"/>
        <w:numPr>
          <w:ilvl w:val="1"/>
          <w:numId w:val="1"/>
        </w:numPr>
        <w:spacing w:after="120"/>
        <w:rPr>
          <w:rFonts w:asciiTheme="minorHAnsi" w:hAnsiTheme="minorHAnsi"/>
          <w:bCs/>
          <w:snapToGrid w:val="0"/>
        </w:rPr>
      </w:pPr>
      <w:bookmarkStart w:id="28" w:name="_Hlk97141415"/>
      <w:r w:rsidRPr="000230CC">
        <w:rPr>
          <w:bCs/>
          <w:snapToGrid w:val="0"/>
        </w:rPr>
        <w:t xml:space="preserve">The Medical Oncology </w:t>
      </w:r>
      <w:r w:rsidRPr="00B96FC6">
        <w:rPr>
          <w:bCs/>
          <w:snapToGrid w:val="0"/>
        </w:rPr>
        <w:t xml:space="preserve">Group of Australia (MOGA) also expressed its strong support for the </w:t>
      </w:r>
      <w:r w:rsidR="00632B0D" w:rsidRPr="00B96FC6">
        <w:rPr>
          <w:bCs/>
          <w:snapToGrid w:val="0"/>
        </w:rPr>
        <w:t>eflornithine</w:t>
      </w:r>
      <w:r w:rsidRPr="00B96FC6">
        <w:rPr>
          <w:bCs/>
          <w:snapToGrid w:val="0"/>
        </w:rPr>
        <w:t xml:space="preserve"> submission, categorising it as one of the therapies of “high</w:t>
      </w:r>
      <w:r w:rsidR="0084039D" w:rsidRPr="00B96FC6">
        <w:rPr>
          <w:bCs/>
          <w:snapToGrid w:val="0"/>
        </w:rPr>
        <w:t>est</w:t>
      </w:r>
      <w:r w:rsidRPr="00B96FC6">
        <w:rPr>
          <w:bCs/>
          <w:snapToGrid w:val="0"/>
        </w:rPr>
        <w:t xml:space="preserve"> priority for PBS listing” on the basis of </w:t>
      </w:r>
      <w:r w:rsidR="007321AD" w:rsidRPr="00B96FC6">
        <w:rPr>
          <w:bCs/>
          <w:snapToGrid w:val="0"/>
        </w:rPr>
        <w:t>Study 3b</w:t>
      </w:r>
      <w:r w:rsidRPr="00B96FC6">
        <w:rPr>
          <w:bCs/>
          <w:snapToGrid w:val="0"/>
        </w:rPr>
        <w:t xml:space="preserve">. </w:t>
      </w:r>
      <w:r w:rsidRPr="00B96FC6">
        <w:rPr>
          <w:rFonts w:asciiTheme="minorHAnsi" w:hAnsiTheme="minorHAnsi"/>
          <w:bCs/>
          <w:snapToGrid w:val="0"/>
        </w:rPr>
        <w:t xml:space="preserve">The PBAC noted that the MOGA classified </w:t>
      </w:r>
      <w:r w:rsidR="000230CC" w:rsidRPr="00B96FC6">
        <w:rPr>
          <w:bCs/>
          <w:snapToGrid w:val="0"/>
        </w:rPr>
        <w:t xml:space="preserve">eflornithine </w:t>
      </w:r>
      <w:r w:rsidRPr="00B96FC6">
        <w:rPr>
          <w:rFonts w:asciiTheme="minorHAnsi" w:hAnsiTheme="minorHAnsi"/>
          <w:bCs/>
          <w:snapToGrid w:val="0"/>
        </w:rPr>
        <w:t xml:space="preserve">with a European Society for Medical Oncology Magnitude of Clinical Benefit Scale (ESMO-MCBS) </w:t>
      </w:r>
      <w:r w:rsidRPr="00B96FC6">
        <w:t>grade ‘</w:t>
      </w:r>
      <w:r w:rsidR="005E69BD" w:rsidRPr="00B96FC6">
        <w:t>A</w:t>
      </w:r>
      <w:r w:rsidRPr="00B96FC6">
        <w:t>’, categorising it as a</w:t>
      </w:r>
      <w:r w:rsidR="00B96FC6" w:rsidRPr="00B96FC6">
        <w:t xml:space="preserve"> new</w:t>
      </w:r>
      <w:r w:rsidRPr="00B96FC6">
        <w:t xml:space="preserve"> treatment with substantial benefit in the curative setting.</w:t>
      </w:r>
      <w:r w:rsidRPr="00B96FC6">
        <w:rPr>
          <w:rStyle w:val="FootnoteReference"/>
        </w:rPr>
        <w:footnoteReference w:id="9"/>
      </w:r>
    </w:p>
    <w:p w14:paraId="0A13C2A7" w14:textId="6A353406" w:rsidR="007D410E" w:rsidRDefault="00291C67" w:rsidP="007D410E">
      <w:pPr>
        <w:pStyle w:val="3-BodyText"/>
      </w:pPr>
      <w:r w:rsidRPr="00291C67">
        <w:rPr>
          <w:bCs/>
        </w:rPr>
        <w:t>The</w:t>
      </w:r>
      <w:r w:rsidR="00D403F3">
        <w:rPr>
          <w:bCs/>
        </w:rPr>
        <w:t xml:space="preserve"> comments from</w:t>
      </w:r>
      <w:r w:rsidRPr="00291C67">
        <w:rPr>
          <w:bCs/>
        </w:rPr>
        <w:t xml:space="preserve"> health care professionals (HCPs) </w:t>
      </w:r>
      <w:r w:rsidR="007D410E">
        <w:t>emphasised that eflornithine reduces</w:t>
      </w:r>
      <w:r w:rsidR="00244D9D">
        <w:t xml:space="preserve"> the</w:t>
      </w:r>
      <w:r w:rsidR="007D410E">
        <w:t xml:space="preserve"> risk of relapse in children with </w:t>
      </w:r>
      <w:r w:rsidR="0004389A">
        <w:t>HRNB.</w:t>
      </w:r>
      <w:r w:rsidR="007D410E">
        <w:t xml:space="preserve"> </w:t>
      </w:r>
    </w:p>
    <w:p w14:paraId="434022E3" w14:textId="1EF49BFB" w:rsidR="00E26131" w:rsidRPr="002E4CB4" w:rsidRDefault="00931E33" w:rsidP="002E4CB4">
      <w:pPr>
        <w:widowControl w:val="0"/>
        <w:numPr>
          <w:ilvl w:val="1"/>
          <w:numId w:val="1"/>
        </w:numPr>
        <w:spacing w:after="120"/>
        <w:rPr>
          <w:rFonts w:asciiTheme="minorHAnsi" w:hAnsiTheme="minorHAnsi"/>
          <w:bCs/>
          <w:snapToGrid w:val="0"/>
        </w:rPr>
      </w:pPr>
      <w:bookmarkStart w:id="29" w:name="_Ref142041260"/>
      <w:r w:rsidRPr="00FF5BF2">
        <w:rPr>
          <w:rFonts w:asciiTheme="minorHAnsi" w:hAnsiTheme="minorHAnsi"/>
          <w:bCs/>
          <w:snapToGrid w:val="0"/>
        </w:rPr>
        <w:t>The individuals who commented comprised parent</w:t>
      </w:r>
      <w:r w:rsidR="00DF4752">
        <w:rPr>
          <w:rFonts w:asciiTheme="minorHAnsi" w:hAnsiTheme="minorHAnsi"/>
          <w:bCs/>
          <w:snapToGrid w:val="0"/>
        </w:rPr>
        <w:t>s</w:t>
      </w:r>
      <w:r w:rsidRPr="00FF5BF2">
        <w:rPr>
          <w:rFonts w:asciiTheme="minorHAnsi" w:hAnsiTheme="minorHAnsi"/>
          <w:bCs/>
          <w:snapToGrid w:val="0"/>
        </w:rPr>
        <w:t>/partner</w:t>
      </w:r>
      <w:r w:rsidR="00DF4752">
        <w:rPr>
          <w:rFonts w:asciiTheme="minorHAnsi" w:hAnsiTheme="minorHAnsi"/>
          <w:bCs/>
          <w:snapToGrid w:val="0"/>
        </w:rPr>
        <w:t>s</w:t>
      </w:r>
      <w:r w:rsidRPr="00FF5BF2">
        <w:rPr>
          <w:rFonts w:asciiTheme="minorHAnsi" w:hAnsiTheme="minorHAnsi"/>
          <w:bCs/>
          <w:snapToGrid w:val="0"/>
        </w:rPr>
        <w:t xml:space="preserve"> of a current/potential </w:t>
      </w:r>
      <w:r w:rsidR="00330B27" w:rsidRPr="00FF5BF2">
        <w:rPr>
          <w:rFonts w:asciiTheme="minorHAnsi" w:hAnsiTheme="minorHAnsi"/>
          <w:bCs/>
          <w:snapToGrid w:val="0"/>
        </w:rPr>
        <w:t>eflorn</w:t>
      </w:r>
      <w:r w:rsidR="00F96A21" w:rsidRPr="00FF5BF2">
        <w:rPr>
          <w:rFonts w:asciiTheme="minorHAnsi" w:hAnsiTheme="minorHAnsi"/>
          <w:bCs/>
          <w:snapToGrid w:val="0"/>
        </w:rPr>
        <w:t>ithine</w:t>
      </w:r>
      <w:r w:rsidRPr="00FF5BF2">
        <w:rPr>
          <w:rFonts w:asciiTheme="minorHAnsi" w:hAnsiTheme="minorHAnsi"/>
          <w:bCs/>
          <w:snapToGrid w:val="0"/>
        </w:rPr>
        <w:t xml:space="preserve"> patient (</w:t>
      </w:r>
      <w:r w:rsidR="00F96A21" w:rsidRPr="00FF5BF2">
        <w:rPr>
          <w:rFonts w:asciiTheme="minorHAnsi" w:hAnsiTheme="minorHAnsi"/>
          <w:bCs/>
          <w:snapToGrid w:val="0"/>
        </w:rPr>
        <w:t>39</w:t>
      </w:r>
      <w:r w:rsidRPr="00FF5BF2">
        <w:rPr>
          <w:rFonts w:asciiTheme="minorHAnsi" w:hAnsiTheme="minorHAnsi"/>
          <w:bCs/>
          <w:snapToGrid w:val="0"/>
        </w:rPr>
        <w:t>) and other interested individuals (</w:t>
      </w:r>
      <w:r w:rsidR="00D40CC4" w:rsidRPr="00FF5BF2">
        <w:rPr>
          <w:rFonts w:asciiTheme="minorHAnsi" w:hAnsiTheme="minorHAnsi"/>
          <w:bCs/>
          <w:snapToGrid w:val="0"/>
        </w:rPr>
        <w:t>223</w:t>
      </w:r>
      <w:r w:rsidRPr="00FF5BF2">
        <w:rPr>
          <w:rFonts w:asciiTheme="minorHAnsi" w:hAnsiTheme="minorHAnsi"/>
          <w:bCs/>
          <w:snapToGrid w:val="0"/>
        </w:rPr>
        <w:t xml:space="preserve">). The consumer input emphasised the high burden of disease and suffering associated with </w:t>
      </w:r>
      <w:r w:rsidR="00B81409" w:rsidRPr="00FF5BF2">
        <w:rPr>
          <w:rFonts w:asciiTheme="minorHAnsi" w:hAnsiTheme="minorHAnsi"/>
          <w:bCs/>
          <w:snapToGrid w:val="0"/>
        </w:rPr>
        <w:t>HRNB</w:t>
      </w:r>
      <w:r w:rsidR="00E6263B">
        <w:rPr>
          <w:rFonts w:asciiTheme="minorHAnsi" w:hAnsiTheme="minorHAnsi"/>
          <w:bCs/>
          <w:snapToGrid w:val="0"/>
        </w:rPr>
        <w:t>, as well as the prohibitive cost</w:t>
      </w:r>
      <w:r w:rsidR="00174FE4">
        <w:rPr>
          <w:rFonts w:asciiTheme="minorHAnsi" w:hAnsiTheme="minorHAnsi"/>
          <w:bCs/>
          <w:snapToGrid w:val="0"/>
        </w:rPr>
        <w:t xml:space="preserve"> of eflornithine</w:t>
      </w:r>
      <w:r w:rsidRPr="00FF5BF2">
        <w:rPr>
          <w:rFonts w:asciiTheme="minorHAnsi" w:hAnsiTheme="minorHAnsi"/>
          <w:bCs/>
          <w:snapToGrid w:val="0"/>
        </w:rPr>
        <w:t xml:space="preserve">. Comments described </w:t>
      </w:r>
      <w:r w:rsidR="00B81409" w:rsidRPr="00FF5BF2">
        <w:rPr>
          <w:rFonts w:asciiTheme="minorHAnsi" w:hAnsiTheme="minorHAnsi"/>
          <w:bCs/>
          <w:snapToGrid w:val="0"/>
        </w:rPr>
        <w:t>eflornithine</w:t>
      </w:r>
      <w:r w:rsidRPr="00FF5BF2">
        <w:rPr>
          <w:rFonts w:asciiTheme="minorHAnsi" w:hAnsiTheme="minorHAnsi"/>
          <w:bCs/>
          <w:snapToGrid w:val="0"/>
        </w:rPr>
        <w:t xml:space="preserve"> as a treatment that could </w:t>
      </w:r>
      <w:r w:rsidR="006A4EBD" w:rsidRPr="00FF5BF2">
        <w:rPr>
          <w:rFonts w:asciiTheme="minorHAnsi" w:hAnsiTheme="minorHAnsi"/>
          <w:bCs/>
          <w:snapToGrid w:val="0"/>
        </w:rPr>
        <w:t>reduce the risk of relapse</w:t>
      </w:r>
      <w:r w:rsidR="008733D9" w:rsidRPr="00FF5BF2">
        <w:rPr>
          <w:rFonts w:asciiTheme="minorHAnsi" w:hAnsiTheme="minorHAnsi"/>
          <w:bCs/>
          <w:snapToGrid w:val="0"/>
        </w:rPr>
        <w:t xml:space="preserve"> and</w:t>
      </w:r>
      <w:r w:rsidR="00D030CB">
        <w:rPr>
          <w:rFonts w:asciiTheme="minorHAnsi" w:hAnsiTheme="minorHAnsi"/>
          <w:bCs/>
          <w:snapToGrid w:val="0"/>
        </w:rPr>
        <w:t xml:space="preserve"> reduce</w:t>
      </w:r>
      <w:r w:rsidR="008733D9" w:rsidRPr="00FF5BF2">
        <w:rPr>
          <w:rFonts w:asciiTheme="minorHAnsi" w:hAnsiTheme="minorHAnsi"/>
          <w:bCs/>
          <w:snapToGrid w:val="0"/>
        </w:rPr>
        <w:t xml:space="preserve"> the need for </w:t>
      </w:r>
      <w:r w:rsidR="00D9798E" w:rsidRPr="00FF5BF2">
        <w:rPr>
          <w:rFonts w:asciiTheme="minorHAnsi" w:hAnsiTheme="minorHAnsi"/>
          <w:bCs/>
          <w:snapToGrid w:val="0"/>
        </w:rPr>
        <w:t>further harsh and potent</w:t>
      </w:r>
      <w:r w:rsidR="00742005" w:rsidRPr="00FF5BF2">
        <w:rPr>
          <w:rFonts w:asciiTheme="minorHAnsi" w:hAnsiTheme="minorHAnsi"/>
          <w:bCs/>
          <w:snapToGrid w:val="0"/>
        </w:rPr>
        <w:t>ially life-threatening treatment</w:t>
      </w:r>
      <w:r w:rsidR="00EB2861" w:rsidRPr="00FF5BF2">
        <w:rPr>
          <w:rFonts w:asciiTheme="minorHAnsi" w:hAnsiTheme="minorHAnsi"/>
          <w:bCs/>
          <w:snapToGrid w:val="0"/>
        </w:rPr>
        <w:t>s</w:t>
      </w:r>
      <w:r w:rsidR="00A303B6" w:rsidRPr="00FF5BF2">
        <w:rPr>
          <w:rFonts w:asciiTheme="minorHAnsi" w:hAnsiTheme="minorHAnsi"/>
          <w:bCs/>
          <w:snapToGrid w:val="0"/>
        </w:rPr>
        <w:t>,</w:t>
      </w:r>
      <w:r w:rsidR="00E2396D" w:rsidRPr="00FF5BF2">
        <w:rPr>
          <w:rFonts w:asciiTheme="minorHAnsi" w:hAnsiTheme="minorHAnsi"/>
          <w:bCs/>
          <w:snapToGrid w:val="0"/>
        </w:rPr>
        <w:t xml:space="preserve"> allow</w:t>
      </w:r>
      <w:r w:rsidR="00C807A7">
        <w:rPr>
          <w:rFonts w:asciiTheme="minorHAnsi" w:hAnsiTheme="minorHAnsi"/>
          <w:bCs/>
          <w:snapToGrid w:val="0"/>
        </w:rPr>
        <w:t>ing</w:t>
      </w:r>
      <w:r w:rsidR="00E2396D" w:rsidRPr="00FF5BF2">
        <w:rPr>
          <w:rFonts w:asciiTheme="minorHAnsi" w:hAnsiTheme="minorHAnsi"/>
          <w:bCs/>
          <w:snapToGrid w:val="0"/>
        </w:rPr>
        <w:t xml:space="preserve"> patients to </w:t>
      </w:r>
      <w:r w:rsidR="008F52DC" w:rsidRPr="00FF5BF2">
        <w:rPr>
          <w:rFonts w:asciiTheme="minorHAnsi" w:hAnsiTheme="minorHAnsi"/>
          <w:bCs/>
          <w:snapToGrid w:val="0"/>
        </w:rPr>
        <w:t>have normalcy and better quality of life</w:t>
      </w:r>
      <w:r w:rsidR="00EB2861" w:rsidRPr="00FF5BF2">
        <w:rPr>
          <w:rFonts w:asciiTheme="minorHAnsi" w:hAnsiTheme="minorHAnsi"/>
          <w:bCs/>
          <w:snapToGrid w:val="0"/>
        </w:rPr>
        <w:t>.</w:t>
      </w:r>
      <w:r w:rsidRPr="00FF5BF2">
        <w:rPr>
          <w:rFonts w:asciiTheme="minorHAnsi" w:hAnsiTheme="minorHAnsi"/>
          <w:bCs/>
          <w:snapToGrid w:val="0"/>
        </w:rPr>
        <w:t xml:space="preserve"> </w:t>
      </w:r>
      <w:bookmarkEnd w:id="29"/>
      <w:r w:rsidR="00800AC6" w:rsidRPr="00FF5BF2">
        <w:rPr>
          <w:rFonts w:asciiTheme="minorHAnsi" w:hAnsiTheme="minorHAnsi"/>
          <w:bCs/>
          <w:snapToGrid w:val="0"/>
        </w:rPr>
        <w:t>The comments discussed side effects such as hearing loss, dry skin, hair thinning</w:t>
      </w:r>
      <w:r w:rsidR="0040013F" w:rsidRPr="00FF5BF2">
        <w:rPr>
          <w:rFonts w:asciiTheme="minorHAnsi" w:hAnsiTheme="minorHAnsi"/>
          <w:bCs/>
          <w:snapToGrid w:val="0"/>
        </w:rPr>
        <w:t xml:space="preserve">, as being </w:t>
      </w:r>
      <w:r w:rsidR="00B56BC9" w:rsidRPr="00FF5BF2">
        <w:rPr>
          <w:rFonts w:asciiTheme="minorHAnsi" w:hAnsiTheme="minorHAnsi"/>
          <w:bCs/>
          <w:snapToGrid w:val="0"/>
        </w:rPr>
        <w:t>minimal or mana</w:t>
      </w:r>
      <w:r w:rsidR="00E94EC6" w:rsidRPr="00FF5BF2">
        <w:rPr>
          <w:rFonts w:asciiTheme="minorHAnsi" w:hAnsiTheme="minorHAnsi"/>
          <w:bCs/>
          <w:snapToGrid w:val="0"/>
        </w:rPr>
        <w:t>geable</w:t>
      </w:r>
      <w:r w:rsidR="00685745" w:rsidRPr="00FF5BF2">
        <w:rPr>
          <w:rFonts w:asciiTheme="minorHAnsi" w:hAnsiTheme="minorHAnsi"/>
          <w:bCs/>
          <w:snapToGrid w:val="0"/>
        </w:rPr>
        <w:t xml:space="preserve"> compared with side effects experienced during</w:t>
      </w:r>
      <w:r w:rsidR="00A23B7F">
        <w:rPr>
          <w:rFonts w:asciiTheme="minorHAnsi" w:hAnsiTheme="minorHAnsi"/>
          <w:bCs/>
          <w:snapToGrid w:val="0"/>
        </w:rPr>
        <w:t xml:space="preserve"> up</w:t>
      </w:r>
      <w:r w:rsidR="00685745" w:rsidRPr="00FF5BF2">
        <w:rPr>
          <w:rFonts w:asciiTheme="minorHAnsi" w:hAnsiTheme="minorHAnsi"/>
          <w:bCs/>
          <w:snapToGrid w:val="0"/>
        </w:rPr>
        <w:t xml:space="preserve"> front treatment.</w:t>
      </w:r>
      <w:r w:rsidR="00E94EC6" w:rsidRPr="00FF5BF2">
        <w:rPr>
          <w:rFonts w:asciiTheme="minorHAnsi" w:hAnsiTheme="minorHAnsi"/>
          <w:bCs/>
          <w:snapToGrid w:val="0"/>
        </w:rPr>
        <w:t xml:space="preserve"> </w:t>
      </w:r>
      <w:bookmarkEnd w:id="22"/>
      <w:bookmarkEnd w:id="27"/>
      <w:bookmarkEnd w:id="28"/>
    </w:p>
    <w:p w14:paraId="15B8FC80" w14:textId="77777777" w:rsidR="008F5BC9" w:rsidRPr="00C9624D" w:rsidRDefault="008F5BC9" w:rsidP="008F5BC9">
      <w:pPr>
        <w:pStyle w:val="4-SubsectionHeading"/>
      </w:pPr>
      <w:bookmarkStart w:id="30" w:name="_Toc22897641"/>
      <w:bookmarkStart w:id="31" w:name="_Toc107927627"/>
      <w:bookmarkStart w:id="32" w:name="_Toc188441767"/>
      <w:bookmarkEnd w:id="21"/>
      <w:bookmarkEnd w:id="23"/>
      <w:bookmarkEnd w:id="24"/>
      <w:r w:rsidRPr="00C9624D">
        <w:t xml:space="preserve">Clinical </w:t>
      </w:r>
      <w:r>
        <w:t>studies</w:t>
      </w:r>
    </w:p>
    <w:p w14:paraId="74BB8580" w14:textId="77777777" w:rsidR="008F5BC9" w:rsidRPr="00607487" w:rsidRDefault="008F5BC9" w:rsidP="008F5BC9">
      <w:pPr>
        <w:pStyle w:val="3-BodyText"/>
      </w:pPr>
      <w:r w:rsidRPr="00894797">
        <w:rPr>
          <w:snapToGrid/>
          <w:lang w:val="en-US"/>
        </w:rPr>
        <w:t>The submission was based on</w:t>
      </w:r>
      <w:r>
        <w:rPr>
          <w:snapToGrid/>
          <w:lang w:val="en-US"/>
        </w:rPr>
        <w:t>:</w:t>
      </w:r>
    </w:p>
    <w:p w14:paraId="58FD78E2" w14:textId="249E88D2" w:rsidR="008F5BC9" w:rsidRDefault="008F5BC9" w:rsidP="008F5BC9">
      <w:pPr>
        <w:pStyle w:val="3-BodyText"/>
        <w:numPr>
          <w:ilvl w:val="0"/>
          <w:numId w:val="8"/>
        </w:numPr>
        <w:rPr>
          <w:snapToGrid/>
          <w:lang w:val="en-US"/>
        </w:rPr>
      </w:pPr>
      <w:r w:rsidRPr="00894797">
        <w:rPr>
          <w:snapToGrid/>
          <w:lang w:val="en-US"/>
        </w:rPr>
        <w:t>Study 3b, a single-arm study of eflornithine in post-maintenance treatment of HRNB patients in remission at the end of upfront therapy (Stratum 1) or after therapy</w:t>
      </w:r>
      <w:r>
        <w:rPr>
          <w:snapToGrid/>
          <w:lang w:val="en-US"/>
        </w:rPr>
        <w:t xml:space="preserve"> for </w:t>
      </w:r>
      <w:r w:rsidRPr="00894797">
        <w:rPr>
          <w:snapToGrid/>
          <w:lang w:val="en-US"/>
        </w:rPr>
        <w:t>refractory/relapse</w:t>
      </w:r>
      <w:r>
        <w:rPr>
          <w:snapToGrid/>
          <w:lang w:val="en-US"/>
        </w:rPr>
        <w:t>d disease</w:t>
      </w:r>
      <w:r w:rsidRPr="00894797">
        <w:rPr>
          <w:snapToGrid/>
          <w:lang w:val="en-US"/>
        </w:rPr>
        <w:t xml:space="preserve"> (Stratum 2)</w:t>
      </w:r>
      <w:r w:rsidR="004E0388">
        <w:rPr>
          <w:snapToGrid/>
          <w:lang w:val="en-US"/>
        </w:rPr>
        <w:t xml:space="preserve">. </w:t>
      </w:r>
      <w:r w:rsidR="00ED769C">
        <w:rPr>
          <w:snapToGrid/>
          <w:lang w:val="en-US"/>
        </w:rPr>
        <w:t>Study 3b compared the</w:t>
      </w:r>
      <w:r w:rsidR="004E0388">
        <w:rPr>
          <w:snapToGrid/>
          <w:lang w:val="en-US"/>
        </w:rPr>
        <w:t xml:space="preserve"> single arm data for eflornithine to historical controls from </w:t>
      </w:r>
      <w:r w:rsidR="000F3E9A">
        <w:rPr>
          <w:snapToGrid/>
          <w:lang w:val="en-US"/>
        </w:rPr>
        <w:t>Study</w:t>
      </w:r>
      <w:r w:rsidR="004E0388">
        <w:rPr>
          <w:snapToGrid/>
          <w:lang w:val="en-US"/>
        </w:rPr>
        <w:t xml:space="preserve"> </w:t>
      </w:r>
      <w:r w:rsidR="004E0388" w:rsidRPr="00894797">
        <w:rPr>
          <w:snapToGrid/>
          <w:lang w:val="en-US"/>
        </w:rPr>
        <w:t>ANBL0032</w:t>
      </w:r>
      <w:r w:rsidR="007F0B07">
        <w:rPr>
          <w:snapToGrid/>
          <w:lang w:val="en-US"/>
        </w:rPr>
        <w:t xml:space="preserve"> (</w:t>
      </w:r>
      <w:r w:rsidR="000F3E9A">
        <w:rPr>
          <w:snapToGrid/>
          <w:lang w:val="en-US"/>
        </w:rPr>
        <w:t xml:space="preserve">for </w:t>
      </w:r>
      <w:r w:rsidR="00C478AE">
        <w:rPr>
          <w:snapToGrid/>
          <w:lang w:val="en-US"/>
        </w:rPr>
        <w:t>Stratum 1</w:t>
      </w:r>
      <w:r w:rsidR="000F3E9A">
        <w:rPr>
          <w:snapToGrid/>
          <w:lang w:val="en-US"/>
        </w:rPr>
        <w:t xml:space="preserve"> patients</w:t>
      </w:r>
      <w:r w:rsidR="00C478AE">
        <w:rPr>
          <w:snapToGrid/>
          <w:lang w:val="en-US"/>
        </w:rPr>
        <w:t>)</w:t>
      </w:r>
      <w:r w:rsidR="004E0388">
        <w:rPr>
          <w:snapToGrid/>
          <w:lang w:val="en-US"/>
        </w:rPr>
        <w:t xml:space="preserve"> and Santana 2008</w:t>
      </w:r>
      <w:r w:rsidR="000F3E9A">
        <w:rPr>
          <w:snapToGrid/>
          <w:lang w:val="en-US"/>
        </w:rPr>
        <w:t xml:space="preserve"> (for Stratum 2 patients)</w:t>
      </w:r>
      <w:r>
        <w:rPr>
          <w:snapToGrid/>
          <w:lang w:val="en-US"/>
        </w:rPr>
        <w:t>.</w:t>
      </w:r>
      <w:r w:rsidR="002F0EC6">
        <w:rPr>
          <w:rStyle w:val="FootnoteReference"/>
          <w:snapToGrid/>
          <w:lang w:val="en-US"/>
        </w:rPr>
        <w:footnoteReference w:id="10"/>
      </w:r>
    </w:p>
    <w:p w14:paraId="0F1359D6" w14:textId="1A6CF46E" w:rsidR="008F5BC9" w:rsidRPr="00894797" w:rsidRDefault="008F5BC9" w:rsidP="00E00DE6">
      <w:pPr>
        <w:pStyle w:val="3-BodyText"/>
        <w:numPr>
          <w:ilvl w:val="0"/>
          <w:numId w:val="8"/>
        </w:numPr>
      </w:pPr>
      <w:r>
        <w:rPr>
          <w:snapToGrid/>
          <w:lang w:val="en-US"/>
        </w:rPr>
        <w:lastRenderedPageBreak/>
        <w:t>A</w:t>
      </w:r>
      <w:r w:rsidRPr="00894797">
        <w:rPr>
          <w:snapToGrid/>
          <w:lang w:val="en-US"/>
        </w:rPr>
        <w:t xml:space="preserve"> propensity-score matching (PSM) study, comparing outcomes in Study 3b (Stratum 1</w:t>
      </w:r>
      <w:r w:rsidR="00E92E0E">
        <w:rPr>
          <w:snapToGrid/>
          <w:lang w:val="en-US"/>
        </w:rPr>
        <w:t xml:space="preserve"> patients only</w:t>
      </w:r>
      <w:r w:rsidRPr="00894797">
        <w:rPr>
          <w:snapToGrid/>
          <w:lang w:val="en-US"/>
        </w:rPr>
        <w:t>) to external controls treated with S</w:t>
      </w:r>
      <w:r>
        <w:rPr>
          <w:snapToGrid/>
          <w:lang w:val="en-US"/>
        </w:rPr>
        <w:t>O</w:t>
      </w:r>
      <w:r w:rsidRPr="00894797">
        <w:rPr>
          <w:snapToGrid/>
          <w:lang w:val="en-US"/>
        </w:rPr>
        <w:t>C</w:t>
      </w:r>
      <w:r w:rsidR="000976AF">
        <w:rPr>
          <w:snapToGrid/>
          <w:lang w:val="en-US"/>
        </w:rPr>
        <w:t>, who were</w:t>
      </w:r>
      <w:r w:rsidRPr="00894797">
        <w:rPr>
          <w:snapToGrid/>
          <w:lang w:val="en-US"/>
        </w:rPr>
        <w:t xml:space="preserve"> selected from the </w:t>
      </w:r>
      <w:r>
        <w:rPr>
          <w:snapToGrid/>
          <w:lang w:val="en-US"/>
        </w:rPr>
        <w:t>single-arm</w:t>
      </w:r>
      <w:r w:rsidRPr="00894797">
        <w:rPr>
          <w:snapToGrid/>
          <w:lang w:val="en-US"/>
        </w:rPr>
        <w:t xml:space="preserve"> phase of Study ANBL0032</w:t>
      </w:r>
      <w:r w:rsidR="00061BF5">
        <w:rPr>
          <w:snapToGrid/>
          <w:lang w:val="en-US"/>
        </w:rPr>
        <w:t>.</w:t>
      </w:r>
      <w:r w:rsidRPr="006618B6">
        <w:t xml:space="preserve"> </w:t>
      </w:r>
    </w:p>
    <w:p w14:paraId="746A1126" w14:textId="2FBB766F" w:rsidR="008F5BC9" w:rsidRPr="00AA1240" w:rsidRDefault="008F5BC9" w:rsidP="008F5BC9">
      <w:pPr>
        <w:pStyle w:val="3-BodyText"/>
      </w:pPr>
      <w:r w:rsidRPr="7F2A1B4F">
        <w:t xml:space="preserve">The protocol for the PSM study was developed with input from the FDA. The FDA recommended that the Sponsor undertake a blinded independent central review (BICR) of the imaging for the patients from Study 3b </w:t>
      </w:r>
      <w:r w:rsidR="002A6923">
        <w:t>that</w:t>
      </w:r>
      <w:r w:rsidR="002A6923" w:rsidRPr="7F2A1B4F">
        <w:t xml:space="preserve"> </w:t>
      </w:r>
      <w:r w:rsidRPr="7F2A1B4F">
        <w:t>were to be included in the PSM. At a pre-New Drug Application (NDA) meeting in 2021, the FDA stated that the comparison with Study ANBL0032 appeared acceptable to support an NDA review, however, the FDA would rely on an overall assessment of multiple independent analyses, including additional analyses recommended by the FDA (Duke 2024</w:t>
      </w:r>
      <w:r w:rsidRPr="7F2A1B4F">
        <w:rPr>
          <w:rStyle w:val="FootnoteReference"/>
        </w:rPr>
        <w:footnoteReference w:id="11"/>
      </w:r>
      <w:r w:rsidRPr="7F2A1B4F">
        <w:t>).</w:t>
      </w:r>
    </w:p>
    <w:p w14:paraId="2420D7AB" w14:textId="01EA561D" w:rsidR="008F5BC9" w:rsidRPr="00AA1240" w:rsidRDefault="008F5BC9" w:rsidP="008F5BC9">
      <w:pPr>
        <w:pStyle w:val="3-BodyText"/>
      </w:pPr>
      <w:bookmarkStart w:id="33" w:name="_Ref190513848"/>
      <w:r w:rsidRPr="7F2A1B4F">
        <w:t>The submission excluded Study 14 (NCT02679144), an ongoing ‘confirmatory study’ of eflornithine as post-maintenance therapy in HRNB. Completion of data collection for the primary outcome is expected in February 2028. The submission did not provide any data from Study 14; however, the FDA safety assessment was based on a pooled safety population from Study 3b (n=85) and Study 14 (n=259) (Centre for Drug Evaluation and Research [CDER] 2021</w:t>
      </w:r>
      <w:r w:rsidRPr="7F2A1B4F">
        <w:rPr>
          <w:rStyle w:val="FootnoteReference"/>
        </w:rPr>
        <w:footnoteReference w:id="12"/>
      </w:r>
      <w:r w:rsidRPr="7F2A1B4F">
        <w:t>) (</w:t>
      </w:r>
      <w:r w:rsidRPr="00773507">
        <w:t xml:space="preserve">see </w:t>
      </w:r>
      <w:r w:rsidRPr="00F66E28">
        <w:t xml:space="preserve">paragraph </w:t>
      </w:r>
      <w:r w:rsidRPr="00F66E28">
        <w:fldChar w:fldCharType="begin" w:fldLock="1"/>
      </w:r>
      <w:r w:rsidRPr="00F66E28">
        <w:instrText xml:space="preserve"> REF _Ref190513907 \r \h  \* MERGEFORMAT </w:instrText>
      </w:r>
      <w:r w:rsidRPr="00F66E28">
        <w:fldChar w:fldCharType="separate"/>
      </w:r>
      <w:r w:rsidR="00AF2AB7">
        <w:t>6.30</w:t>
      </w:r>
      <w:r w:rsidRPr="00F66E28">
        <w:fldChar w:fldCharType="end"/>
      </w:r>
      <w:r w:rsidRPr="00773507">
        <w:t xml:space="preserve"> below</w:t>
      </w:r>
      <w:r w:rsidRPr="7F2A1B4F">
        <w:t>).</w:t>
      </w:r>
      <w:bookmarkEnd w:id="33"/>
    </w:p>
    <w:p w14:paraId="1AFE6E26" w14:textId="6D94A874" w:rsidR="008F5BC9" w:rsidRPr="00B50DB8" w:rsidRDefault="008F5BC9" w:rsidP="008F5BC9">
      <w:pPr>
        <w:pStyle w:val="3-BodyText"/>
      </w:pPr>
      <w:r>
        <w:rPr>
          <w:snapToGrid/>
          <w:lang w:val="en-US"/>
        </w:rPr>
        <w:t xml:space="preserve">Details of the studies presented in the submission are provided in </w:t>
      </w:r>
      <w:r>
        <w:rPr>
          <w:snapToGrid/>
          <w:lang w:val="en-US"/>
        </w:rPr>
        <w:fldChar w:fldCharType="begin" w:fldLock="1"/>
      </w:r>
      <w:r>
        <w:rPr>
          <w:snapToGrid/>
          <w:lang w:val="en-US"/>
        </w:rPr>
        <w:instrText xml:space="preserve"> REF _Ref104803956 \h </w:instrText>
      </w:r>
      <w:r>
        <w:rPr>
          <w:snapToGrid/>
          <w:lang w:val="en-US"/>
        </w:rPr>
      </w:r>
      <w:r>
        <w:rPr>
          <w:snapToGrid/>
          <w:lang w:val="en-US"/>
        </w:rPr>
        <w:fldChar w:fldCharType="separate"/>
      </w:r>
      <w:r w:rsidR="00AF2AB7">
        <w:t xml:space="preserve">Table </w:t>
      </w:r>
      <w:r w:rsidR="00AF2AB7">
        <w:rPr>
          <w:noProof/>
        </w:rPr>
        <w:t>2</w:t>
      </w:r>
      <w:r>
        <w:rPr>
          <w:snapToGrid/>
          <w:lang w:val="en-US"/>
        </w:rPr>
        <w:fldChar w:fldCharType="end"/>
      </w:r>
      <w:r>
        <w:rPr>
          <w:snapToGrid/>
          <w:lang w:val="en-US"/>
        </w:rPr>
        <w:t>.</w:t>
      </w:r>
    </w:p>
    <w:p w14:paraId="2DD47608" w14:textId="471D94AA" w:rsidR="008F5BC9" w:rsidRPr="002E4F02" w:rsidRDefault="008F5BC9" w:rsidP="008F5BC9">
      <w:pPr>
        <w:pStyle w:val="TableFigureHeading"/>
        <w:rPr>
          <w:rStyle w:val="CommentReference"/>
          <w:b/>
          <w:szCs w:val="24"/>
        </w:rPr>
      </w:pPr>
      <w:bookmarkStart w:id="34" w:name="_Ref104803956"/>
      <w:r>
        <w:t xml:space="preserve">Table </w:t>
      </w:r>
      <w:r w:rsidR="00AF2AB7">
        <w:fldChar w:fldCharType="begin" w:fldLock="1"/>
      </w:r>
      <w:r w:rsidR="00AF2AB7">
        <w:instrText xml:space="preserve"> SEQ Table \* ARABIC </w:instrText>
      </w:r>
      <w:r w:rsidR="00AF2AB7">
        <w:fldChar w:fldCharType="separate"/>
      </w:r>
      <w:r w:rsidR="00AF2AB7">
        <w:rPr>
          <w:noProof/>
        </w:rPr>
        <w:t>2</w:t>
      </w:r>
      <w:r w:rsidR="00AF2AB7">
        <w:rPr>
          <w:noProof/>
        </w:rPr>
        <w:fldChar w:fldCharType="end"/>
      </w:r>
      <w:bookmarkEnd w:id="34"/>
      <w:r>
        <w:t>:</w:t>
      </w:r>
      <w:r w:rsidRPr="002E4F02">
        <w:rPr>
          <w:rStyle w:val="CommentReference"/>
          <w:b/>
          <w:szCs w:val="24"/>
        </w:rPr>
        <w:t xml:space="preserve"> </w:t>
      </w:r>
      <w:r>
        <w:rPr>
          <w:rStyle w:val="CommentReference"/>
          <w:b/>
          <w:szCs w:val="24"/>
        </w:rPr>
        <w:t>Studies</w:t>
      </w:r>
      <w:r w:rsidRPr="002E4F02">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5"/>
        <w:gridCol w:w="5459"/>
        <w:gridCol w:w="2123"/>
      </w:tblGrid>
      <w:tr w:rsidR="008F5BC9" w:rsidRPr="00B41614" w14:paraId="06B92337" w14:textId="77777777" w:rsidTr="00D843F2">
        <w:trPr>
          <w:tblHeader/>
        </w:trPr>
        <w:tc>
          <w:tcPr>
            <w:tcW w:w="796" w:type="pct"/>
            <w:tcBorders>
              <w:bottom w:val="single" w:sz="4" w:space="0" w:color="auto"/>
            </w:tcBorders>
            <w:vAlign w:val="center"/>
          </w:tcPr>
          <w:p w14:paraId="4AC0DCA9" w14:textId="77777777" w:rsidR="008F5BC9" w:rsidRPr="00B41614" w:rsidRDefault="008F5BC9" w:rsidP="00D843F2">
            <w:pPr>
              <w:pStyle w:val="In-tableHeading"/>
            </w:pPr>
            <w:r w:rsidRPr="00B41614">
              <w:t>Trial ID</w:t>
            </w:r>
          </w:p>
        </w:tc>
        <w:tc>
          <w:tcPr>
            <w:tcW w:w="3027" w:type="pct"/>
            <w:tcBorders>
              <w:bottom w:val="single" w:sz="4" w:space="0" w:color="auto"/>
            </w:tcBorders>
            <w:vAlign w:val="center"/>
          </w:tcPr>
          <w:p w14:paraId="63DE0B5F" w14:textId="77777777" w:rsidR="008F5BC9" w:rsidRPr="00B41614" w:rsidRDefault="008F5BC9" w:rsidP="00D843F2">
            <w:pPr>
              <w:pStyle w:val="In-tableHeading"/>
            </w:pPr>
            <w:r w:rsidRPr="00B41614">
              <w:t>Protocol title/ Publication title</w:t>
            </w:r>
          </w:p>
        </w:tc>
        <w:tc>
          <w:tcPr>
            <w:tcW w:w="1177" w:type="pct"/>
            <w:tcBorders>
              <w:bottom w:val="single" w:sz="4" w:space="0" w:color="auto"/>
            </w:tcBorders>
            <w:vAlign w:val="center"/>
          </w:tcPr>
          <w:p w14:paraId="58671C65" w14:textId="77777777" w:rsidR="008F5BC9" w:rsidRPr="00B41614" w:rsidRDefault="008F5BC9" w:rsidP="00D843F2">
            <w:pPr>
              <w:pStyle w:val="In-tableHeading"/>
            </w:pPr>
            <w:r w:rsidRPr="00B41614">
              <w:t>Publication citation</w:t>
            </w:r>
          </w:p>
        </w:tc>
      </w:tr>
      <w:tr w:rsidR="008F5BC9" w:rsidRPr="00CB38A8" w14:paraId="109DCC8F" w14:textId="77777777" w:rsidTr="00D843F2">
        <w:tc>
          <w:tcPr>
            <w:tcW w:w="796" w:type="pct"/>
            <w:vMerge w:val="restart"/>
            <w:vAlign w:val="center"/>
          </w:tcPr>
          <w:p w14:paraId="0788A444" w14:textId="77777777" w:rsidR="008F5BC9" w:rsidRDefault="008F5BC9" w:rsidP="00D843F2">
            <w:pPr>
              <w:pStyle w:val="TableText0"/>
            </w:pPr>
            <w:r w:rsidRPr="0009109E">
              <w:t xml:space="preserve">Study </w:t>
            </w:r>
            <w:r>
              <w:t xml:space="preserve">3b </w:t>
            </w:r>
            <w:r w:rsidRPr="0009109E">
              <w:t>NMTRC003b</w:t>
            </w:r>
          </w:p>
          <w:p w14:paraId="2012696C" w14:textId="77777777" w:rsidR="008F5BC9" w:rsidRPr="00CB38A8" w:rsidRDefault="008F5BC9" w:rsidP="00D843F2">
            <w:pPr>
              <w:pStyle w:val="TableText0"/>
            </w:pPr>
            <w:r w:rsidRPr="00EB3AA1">
              <w:t>NCT02395666</w:t>
            </w:r>
          </w:p>
        </w:tc>
        <w:tc>
          <w:tcPr>
            <w:tcW w:w="3027" w:type="pct"/>
            <w:tcBorders>
              <w:bottom w:val="nil"/>
            </w:tcBorders>
            <w:vAlign w:val="center"/>
          </w:tcPr>
          <w:p w14:paraId="7D6307DB" w14:textId="77777777" w:rsidR="008F5BC9" w:rsidRPr="00AB6248" w:rsidRDefault="008F5BC9" w:rsidP="00D843F2">
            <w:pPr>
              <w:pStyle w:val="TableText0"/>
            </w:pPr>
            <w:r w:rsidRPr="7F2A1B4F">
              <w:t>A Phase II Preventative Trial of DFMO (Eflornithine HCl) as a Single Agent in Patients With High Risk Neuroblastoma in Remission</w:t>
            </w:r>
          </w:p>
        </w:tc>
        <w:tc>
          <w:tcPr>
            <w:tcW w:w="1177" w:type="pct"/>
            <w:tcBorders>
              <w:bottom w:val="nil"/>
            </w:tcBorders>
            <w:vAlign w:val="center"/>
          </w:tcPr>
          <w:p w14:paraId="5B316287" w14:textId="77777777" w:rsidR="008F5BC9" w:rsidRPr="00CB38A8" w:rsidRDefault="008F5BC9" w:rsidP="00D843F2">
            <w:pPr>
              <w:pStyle w:val="TableText0"/>
            </w:pPr>
            <w:r>
              <w:t>Clinical Study Report. Final. September 2024.</w:t>
            </w:r>
          </w:p>
        </w:tc>
      </w:tr>
      <w:tr w:rsidR="008F5BC9" w:rsidRPr="00CB38A8" w14:paraId="607A2954" w14:textId="77777777" w:rsidTr="00D843F2">
        <w:tc>
          <w:tcPr>
            <w:tcW w:w="796" w:type="pct"/>
            <w:vMerge/>
            <w:vAlign w:val="center"/>
          </w:tcPr>
          <w:p w14:paraId="10BD3290" w14:textId="77777777" w:rsidR="008F5BC9" w:rsidRPr="00CB38A8" w:rsidRDefault="008F5BC9" w:rsidP="00D843F2">
            <w:pPr>
              <w:pStyle w:val="TableText0"/>
            </w:pPr>
          </w:p>
        </w:tc>
        <w:tc>
          <w:tcPr>
            <w:tcW w:w="3027" w:type="pct"/>
            <w:tcBorders>
              <w:top w:val="nil"/>
              <w:bottom w:val="single" w:sz="4" w:space="0" w:color="auto"/>
            </w:tcBorders>
            <w:vAlign w:val="center"/>
          </w:tcPr>
          <w:p w14:paraId="45498306" w14:textId="77777777" w:rsidR="008F5BC9" w:rsidRPr="00E34A35" w:rsidRDefault="008F5BC9" w:rsidP="00D843F2">
            <w:pPr>
              <w:pStyle w:val="TableText0"/>
            </w:pPr>
            <w:r w:rsidRPr="7F2A1B4F">
              <w:t xml:space="preserve">Sholler GLS, Ferguson W, Bergendahl G, Bond JP, Neville K, Eslin D, Brown V, Roberts W, Wada RK, Oesterheld J, Mitchell D, Foley J, Parikh NS, Eshun F, Zage P, Rawwas J, Sencer S, Pankiewicz D, Quinn M, Rich M, Junewick J, Kraveka JM. Maintenance DFMO Increases Survival in High Risk Neuroblastoma. </w:t>
            </w:r>
          </w:p>
        </w:tc>
        <w:tc>
          <w:tcPr>
            <w:tcW w:w="1177" w:type="pct"/>
            <w:tcBorders>
              <w:top w:val="nil"/>
              <w:bottom w:val="single" w:sz="4" w:space="0" w:color="auto"/>
            </w:tcBorders>
            <w:vAlign w:val="center"/>
          </w:tcPr>
          <w:p w14:paraId="30344650" w14:textId="77777777" w:rsidR="008F5BC9" w:rsidRPr="00E34A35" w:rsidRDefault="008F5BC9" w:rsidP="00D843F2">
            <w:pPr>
              <w:pStyle w:val="TableText0"/>
            </w:pPr>
            <w:r w:rsidRPr="7F2A1B4F">
              <w:t>Sci Rep. 2018 Sep 27;8(1):14445. doi: 10.1038/s41598-018-32659-w.</w:t>
            </w:r>
          </w:p>
        </w:tc>
      </w:tr>
      <w:tr w:rsidR="008F5BC9" w:rsidRPr="00CB38A8" w14:paraId="6229354A" w14:textId="77777777" w:rsidTr="00D843F2">
        <w:tc>
          <w:tcPr>
            <w:tcW w:w="796" w:type="pct"/>
            <w:vMerge w:val="restart"/>
            <w:vAlign w:val="center"/>
          </w:tcPr>
          <w:p w14:paraId="4990532E" w14:textId="77777777" w:rsidR="008F5BC9" w:rsidRPr="00CB38A8" w:rsidRDefault="008F5BC9" w:rsidP="00D843F2">
            <w:pPr>
              <w:pStyle w:val="TableText0"/>
            </w:pPr>
            <w:r w:rsidRPr="00167A26">
              <w:t xml:space="preserve">Propensity Score Matching (PSM) </w:t>
            </w:r>
            <w:r>
              <w:t>Study</w:t>
            </w:r>
          </w:p>
        </w:tc>
        <w:tc>
          <w:tcPr>
            <w:tcW w:w="3027" w:type="pct"/>
            <w:tcBorders>
              <w:bottom w:val="nil"/>
            </w:tcBorders>
            <w:vAlign w:val="center"/>
          </w:tcPr>
          <w:p w14:paraId="40D3F97B" w14:textId="77777777" w:rsidR="008F5BC9" w:rsidRDefault="008F5BC9" w:rsidP="00D843F2">
            <w:pPr>
              <w:pStyle w:val="TableText0"/>
            </w:pPr>
            <w:r>
              <w:t>Comparison of Study 3b to Study ANBL0032 External Control Database</w:t>
            </w:r>
          </w:p>
          <w:p w14:paraId="1F16C17F" w14:textId="77777777" w:rsidR="008F5BC9" w:rsidRPr="00CB38A8" w:rsidRDefault="008F5BC9" w:rsidP="00D843F2">
            <w:pPr>
              <w:pStyle w:val="TableText0"/>
            </w:pPr>
            <w:r>
              <w:t>Eflornithine (DFMO)</w:t>
            </w:r>
          </w:p>
        </w:tc>
        <w:tc>
          <w:tcPr>
            <w:tcW w:w="1177" w:type="pct"/>
            <w:tcBorders>
              <w:bottom w:val="nil"/>
            </w:tcBorders>
            <w:vAlign w:val="center"/>
          </w:tcPr>
          <w:p w14:paraId="4709E87F" w14:textId="77777777" w:rsidR="008F5BC9" w:rsidRPr="004A2558" w:rsidRDefault="008F5BC9" w:rsidP="00D843F2">
            <w:pPr>
              <w:pStyle w:val="TableText0"/>
            </w:pPr>
            <w:r>
              <w:t>Clinical Study Report. Final. September 2024.</w:t>
            </w:r>
          </w:p>
        </w:tc>
      </w:tr>
      <w:tr w:rsidR="008F5BC9" w:rsidRPr="00CB38A8" w14:paraId="2E88E053" w14:textId="77777777" w:rsidTr="00D843F2">
        <w:tc>
          <w:tcPr>
            <w:tcW w:w="796" w:type="pct"/>
            <w:vMerge/>
            <w:vAlign w:val="center"/>
          </w:tcPr>
          <w:p w14:paraId="61EE39F6" w14:textId="77777777" w:rsidR="008F5BC9" w:rsidRPr="00CB38A8" w:rsidRDefault="008F5BC9" w:rsidP="00D843F2">
            <w:pPr>
              <w:pStyle w:val="TableText0"/>
            </w:pPr>
          </w:p>
        </w:tc>
        <w:tc>
          <w:tcPr>
            <w:tcW w:w="3027" w:type="pct"/>
            <w:tcBorders>
              <w:top w:val="nil"/>
            </w:tcBorders>
            <w:vAlign w:val="center"/>
          </w:tcPr>
          <w:p w14:paraId="0B3289A8" w14:textId="77777777" w:rsidR="008F5BC9" w:rsidRPr="00E34A35" w:rsidRDefault="008F5BC9" w:rsidP="00D843F2">
            <w:pPr>
              <w:pStyle w:val="TableText0"/>
            </w:pPr>
            <w:r w:rsidRPr="7F2A1B4F">
              <w:t>Javier Oesterheld et al., Eflornithine as Postimmunotherapy Maintenance in High-Risk Neuroblastoma: Externally Controlled, Propensity Score–Matched Survival Outcome Comparisons.</w:t>
            </w:r>
          </w:p>
        </w:tc>
        <w:tc>
          <w:tcPr>
            <w:tcW w:w="1177" w:type="pct"/>
            <w:tcBorders>
              <w:top w:val="nil"/>
            </w:tcBorders>
            <w:vAlign w:val="center"/>
          </w:tcPr>
          <w:p w14:paraId="2CD7AC1A" w14:textId="77777777" w:rsidR="008F5BC9" w:rsidRPr="007F6D19" w:rsidRDefault="008F5BC9" w:rsidP="00D843F2">
            <w:pPr>
              <w:pStyle w:val="TableText0"/>
              <w:rPr>
                <w:szCs w:val="18"/>
              </w:rPr>
            </w:pPr>
            <w:r w:rsidRPr="007F6D19">
              <w:rPr>
                <w:szCs w:val="18"/>
              </w:rPr>
              <w:t>JCO 42, 90-102(2024).</w:t>
            </w:r>
          </w:p>
          <w:p w14:paraId="68F23284" w14:textId="77777777" w:rsidR="008F5BC9" w:rsidRPr="00CB38A8" w:rsidRDefault="008F5BC9" w:rsidP="00D843F2">
            <w:pPr>
              <w:pStyle w:val="TableText0"/>
              <w:rPr>
                <w:i/>
              </w:rPr>
            </w:pPr>
            <w:r w:rsidRPr="007F6D19">
              <w:rPr>
                <w:szCs w:val="18"/>
              </w:rPr>
              <w:t>DOI:10.1200/JCO.22.02875</w:t>
            </w:r>
          </w:p>
        </w:tc>
      </w:tr>
    </w:tbl>
    <w:p w14:paraId="541298FB" w14:textId="77777777" w:rsidR="008F5BC9" w:rsidRPr="00B1011F" w:rsidRDefault="008F5BC9" w:rsidP="008F5BC9">
      <w:pPr>
        <w:pStyle w:val="FooterTableFigure"/>
        <w:rPr>
          <w:sz w:val="20"/>
        </w:rPr>
      </w:pPr>
      <w:r>
        <w:t xml:space="preserve">Source: Table 2-4, pp65-66 </w:t>
      </w:r>
      <w:r w:rsidRPr="00D13A3E">
        <w:t xml:space="preserve">of the </w:t>
      </w:r>
      <w:r>
        <w:t>submission.</w:t>
      </w:r>
    </w:p>
    <w:p w14:paraId="6883C44D" w14:textId="7296D786" w:rsidR="008F5BC9" w:rsidRPr="00EF32EE" w:rsidRDefault="008F5BC9" w:rsidP="008F5BC9">
      <w:pPr>
        <w:pStyle w:val="3-BodyText"/>
      </w:pPr>
      <w:r w:rsidRPr="00EF32EE">
        <w:t xml:space="preserve">The key features of the studies are summarised in </w:t>
      </w:r>
      <w:r w:rsidRPr="00EF32EE">
        <w:fldChar w:fldCharType="begin" w:fldLock="1"/>
      </w:r>
      <w:r w:rsidRPr="00EF32EE">
        <w:instrText xml:space="preserve"> REF _Ref104804098 \h  \* MERGEFORMAT </w:instrText>
      </w:r>
      <w:r w:rsidRPr="00EF32EE">
        <w:fldChar w:fldCharType="separate"/>
      </w:r>
      <w:r w:rsidR="00AF2AB7" w:rsidRPr="00AF2AB7">
        <w:t>Table 3</w:t>
      </w:r>
      <w:r w:rsidRPr="00EF32EE">
        <w:fldChar w:fldCharType="end"/>
      </w:r>
      <w:r w:rsidRPr="00EF32EE">
        <w:t>.</w:t>
      </w:r>
    </w:p>
    <w:p w14:paraId="220EA620" w14:textId="366CC07C" w:rsidR="008F5BC9" w:rsidRDefault="008F5BC9" w:rsidP="00A249F7">
      <w:pPr>
        <w:pStyle w:val="Caption"/>
      </w:pPr>
      <w:bookmarkStart w:id="35" w:name="_Ref104804098"/>
      <w:r w:rsidRPr="00D6076E">
        <w:rPr>
          <w:rStyle w:val="CommentReference"/>
          <w:rFonts w:eastAsiaTheme="majorEastAsia" w:cstheme="majorBidi"/>
          <w:b/>
          <w:szCs w:val="24"/>
        </w:rPr>
        <w:lastRenderedPageBreak/>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AF2AB7">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35"/>
      <w:r w:rsidRPr="00D6076E">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1557"/>
        <w:gridCol w:w="1161"/>
        <w:gridCol w:w="2099"/>
        <w:gridCol w:w="709"/>
        <w:gridCol w:w="1556"/>
        <w:gridCol w:w="1068"/>
        <w:gridCol w:w="867"/>
      </w:tblGrid>
      <w:tr w:rsidR="008F5BC9" w14:paraId="549008FD" w14:textId="77777777" w:rsidTr="00D843F2">
        <w:trPr>
          <w:cantSplit/>
          <w:tblHeader/>
        </w:trPr>
        <w:tc>
          <w:tcPr>
            <w:tcW w:w="863" w:type="pct"/>
            <w:tcBorders>
              <w:top w:val="single" w:sz="4" w:space="0" w:color="auto"/>
              <w:left w:val="single" w:sz="4" w:space="0" w:color="auto"/>
              <w:bottom w:val="single" w:sz="4" w:space="0" w:color="auto"/>
              <w:right w:val="single" w:sz="4" w:space="0" w:color="auto"/>
            </w:tcBorders>
            <w:vAlign w:val="center"/>
            <w:hideMark/>
          </w:tcPr>
          <w:p w14:paraId="2707DF89" w14:textId="77777777" w:rsidR="008F5BC9" w:rsidRDefault="008F5BC9" w:rsidP="00A249F7">
            <w:pPr>
              <w:pStyle w:val="In-tableHeading"/>
              <w:keepLines/>
              <w:widowControl w:val="0"/>
            </w:pPr>
            <w:r>
              <w:t>Study</w:t>
            </w:r>
          </w:p>
        </w:tc>
        <w:tc>
          <w:tcPr>
            <w:tcW w:w="644" w:type="pct"/>
            <w:tcBorders>
              <w:top w:val="single" w:sz="4" w:space="0" w:color="auto"/>
              <w:left w:val="single" w:sz="4" w:space="0" w:color="auto"/>
              <w:bottom w:val="single" w:sz="4" w:space="0" w:color="auto"/>
              <w:right w:val="single" w:sz="4" w:space="0" w:color="auto"/>
            </w:tcBorders>
            <w:vAlign w:val="center"/>
            <w:hideMark/>
          </w:tcPr>
          <w:p w14:paraId="7417504D" w14:textId="77777777" w:rsidR="008F5BC9" w:rsidRDefault="008F5BC9" w:rsidP="00A249F7">
            <w:pPr>
              <w:pStyle w:val="In-tableHeading"/>
              <w:keepLines/>
              <w:widowControl w:val="0"/>
              <w:jc w:val="center"/>
            </w:pPr>
            <w:r>
              <w:t>N</w:t>
            </w:r>
          </w:p>
        </w:tc>
        <w:tc>
          <w:tcPr>
            <w:tcW w:w="1164" w:type="pct"/>
            <w:tcBorders>
              <w:top w:val="single" w:sz="4" w:space="0" w:color="auto"/>
              <w:left w:val="single" w:sz="4" w:space="0" w:color="auto"/>
              <w:bottom w:val="single" w:sz="4" w:space="0" w:color="auto"/>
              <w:right w:val="single" w:sz="4" w:space="0" w:color="auto"/>
            </w:tcBorders>
            <w:vAlign w:val="center"/>
            <w:hideMark/>
          </w:tcPr>
          <w:p w14:paraId="3D708964" w14:textId="77777777" w:rsidR="008F5BC9" w:rsidRDefault="008F5BC9" w:rsidP="00A249F7">
            <w:pPr>
              <w:pStyle w:val="In-tableHeading"/>
              <w:keepLines/>
              <w:widowControl w:val="0"/>
              <w:jc w:val="center"/>
            </w:pPr>
            <w:r>
              <w:t>Design/ duration</w:t>
            </w:r>
          </w:p>
        </w:tc>
        <w:tc>
          <w:tcPr>
            <w:tcW w:w="393" w:type="pct"/>
            <w:tcBorders>
              <w:top w:val="single" w:sz="4" w:space="0" w:color="auto"/>
              <w:left w:val="single" w:sz="4" w:space="0" w:color="auto"/>
              <w:bottom w:val="single" w:sz="4" w:space="0" w:color="auto"/>
              <w:right w:val="single" w:sz="4" w:space="0" w:color="auto"/>
            </w:tcBorders>
            <w:vAlign w:val="center"/>
            <w:hideMark/>
          </w:tcPr>
          <w:p w14:paraId="21539F11" w14:textId="77777777" w:rsidR="008F5BC9" w:rsidRDefault="008F5BC9" w:rsidP="00A249F7">
            <w:pPr>
              <w:pStyle w:val="In-tableHeading"/>
              <w:keepLines/>
              <w:widowControl w:val="0"/>
              <w:jc w:val="center"/>
            </w:pPr>
            <w:r>
              <w:t>Risk of bias</w:t>
            </w:r>
          </w:p>
        </w:tc>
        <w:tc>
          <w:tcPr>
            <w:tcW w:w="863" w:type="pct"/>
            <w:tcBorders>
              <w:top w:val="single" w:sz="4" w:space="0" w:color="auto"/>
              <w:left w:val="single" w:sz="4" w:space="0" w:color="auto"/>
              <w:bottom w:val="single" w:sz="4" w:space="0" w:color="auto"/>
              <w:right w:val="single" w:sz="4" w:space="0" w:color="auto"/>
            </w:tcBorders>
            <w:vAlign w:val="center"/>
            <w:hideMark/>
          </w:tcPr>
          <w:p w14:paraId="200A0B92" w14:textId="77777777" w:rsidR="008F5BC9" w:rsidRDefault="008F5BC9" w:rsidP="00A249F7">
            <w:pPr>
              <w:pStyle w:val="In-tableHeading"/>
              <w:keepLines/>
              <w:widowControl w:val="0"/>
              <w:jc w:val="center"/>
            </w:pPr>
            <w:r>
              <w:t>Patient population</w:t>
            </w:r>
          </w:p>
        </w:tc>
        <w:tc>
          <w:tcPr>
            <w:tcW w:w="592" w:type="pct"/>
            <w:tcBorders>
              <w:top w:val="single" w:sz="4" w:space="0" w:color="auto"/>
              <w:left w:val="single" w:sz="4" w:space="0" w:color="auto"/>
              <w:bottom w:val="single" w:sz="4" w:space="0" w:color="auto"/>
              <w:right w:val="single" w:sz="4" w:space="0" w:color="auto"/>
            </w:tcBorders>
            <w:vAlign w:val="center"/>
            <w:hideMark/>
          </w:tcPr>
          <w:p w14:paraId="3C6AA2F3" w14:textId="77777777" w:rsidR="008F5BC9" w:rsidRDefault="008F5BC9" w:rsidP="00A249F7">
            <w:pPr>
              <w:pStyle w:val="In-tableHeading"/>
              <w:keepLines/>
              <w:widowControl w:val="0"/>
              <w:jc w:val="center"/>
            </w:pPr>
            <w:r>
              <w:t>Key outcomes</w:t>
            </w:r>
          </w:p>
        </w:tc>
        <w:tc>
          <w:tcPr>
            <w:tcW w:w="481" w:type="pct"/>
            <w:tcBorders>
              <w:top w:val="single" w:sz="4" w:space="0" w:color="auto"/>
              <w:left w:val="single" w:sz="4" w:space="0" w:color="auto"/>
              <w:bottom w:val="single" w:sz="4" w:space="0" w:color="auto"/>
              <w:right w:val="single" w:sz="4" w:space="0" w:color="auto"/>
            </w:tcBorders>
            <w:vAlign w:val="center"/>
            <w:hideMark/>
          </w:tcPr>
          <w:p w14:paraId="61FA25FB" w14:textId="77777777" w:rsidR="008F5BC9" w:rsidRDefault="008F5BC9" w:rsidP="00A249F7">
            <w:pPr>
              <w:pStyle w:val="In-tableHeading"/>
              <w:keepLines/>
              <w:widowControl w:val="0"/>
              <w:jc w:val="center"/>
            </w:pPr>
            <w:r>
              <w:t>Use in modelled evaluation</w:t>
            </w:r>
          </w:p>
        </w:tc>
      </w:tr>
      <w:tr w:rsidR="008F5BC9" w14:paraId="3C9E277A" w14:textId="77777777" w:rsidTr="00D843F2">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4B5C6F3" w14:textId="77777777" w:rsidR="008F5BC9" w:rsidRDefault="008F5BC9" w:rsidP="00A249F7">
            <w:pPr>
              <w:pStyle w:val="In-tableHeading"/>
              <w:keepLines/>
              <w:widowControl w:val="0"/>
            </w:pPr>
            <w:r>
              <w:t>STRATUM 1 AND 2: Eflornithine + SOC versus SOC (via unadjusted comparison to historical controls)</w:t>
            </w:r>
          </w:p>
        </w:tc>
      </w:tr>
      <w:tr w:rsidR="008F5BC9" w14:paraId="0A0862FE" w14:textId="77777777" w:rsidTr="00D843F2">
        <w:trPr>
          <w:cantSplit/>
          <w:trHeight w:val="1606"/>
        </w:trPr>
        <w:tc>
          <w:tcPr>
            <w:tcW w:w="863" w:type="pct"/>
            <w:tcBorders>
              <w:top w:val="single" w:sz="4" w:space="0" w:color="auto"/>
              <w:left w:val="single" w:sz="4" w:space="0" w:color="auto"/>
              <w:bottom w:val="single" w:sz="4" w:space="0" w:color="auto"/>
              <w:right w:val="single" w:sz="4" w:space="0" w:color="auto"/>
            </w:tcBorders>
            <w:vAlign w:val="center"/>
            <w:hideMark/>
          </w:tcPr>
          <w:p w14:paraId="1A5D4CF0" w14:textId="77777777" w:rsidR="008F5BC9" w:rsidRDefault="008F5BC9" w:rsidP="00A249F7">
            <w:pPr>
              <w:pStyle w:val="TableText0"/>
              <w:keepLines/>
              <w:widowControl w:val="0"/>
              <w:rPr>
                <w:lang w:val="en-US"/>
              </w:rPr>
            </w:pPr>
            <w:r>
              <w:rPr>
                <w:lang w:val="en-US"/>
              </w:rPr>
              <w:t>Study 3b:</w:t>
            </w:r>
          </w:p>
          <w:p w14:paraId="085D4FF5" w14:textId="77777777" w:rsidR="008F5BC9" w:rsidRDefault="008F5BC9" w:rsidP="00A249F7">
            <w:pPr>
              <w:pStyle w:val="TableText0"/>
              <w:keepLines/>
              <w:widowControl w:val="0"/>
              <w:rPr>
                <w:lang w:val="en-US"/>
              </w:rPr>
            </w:pPr>
            <w:r>
              <w:rPr>
                <w:lang w:val="en-US"/>
              </w:rPr>
              <w:t xml:space="preserve">NMTRC003/003b </w:t>
            </w:r>
          </w:p>
          <w:p w14:paraId="7ED12964" w14:textId="77777777" w:rsidR="008F5BC9" w:rsidRDefault="008F5BC9" w:rsidP="00A249F7">
            <w:pPr>
              <w:pStyle w:val="TableText0"/>
              <w:keepLines/>
              <w:widowControl w:val="0"/>
              <w:rPr>
                <w:lang w:val="en-US"/>
              </w:rPr>
            </w:pPr>
            <w:r>
              <w:rPr>
                <w:lang w:val="en-US"/>
              </w:rPr>
              <w:t>(NCT02395666)</w:t>
            </w:r>
          </w:p>
          <w:p w14:paraId="392DD4CB" w14:textId="77777777" w:rsidR="008F5BC9" w:rsidRDefault="008F5BC9" w:rsidP="00A249F7">
            <w:pPr>
              <w:pStyle w:val="TableText0"/>
              <w:keepLines/>
              <w:widowControl w:val="0"/>
              <w:jc w:val="center"/>
              <w:rPr>
                <w:lang w:val="en-US"/>
              </w:rPr>
            </w:pPr>
          </w:p>
          <w:p w14:paraId="2E494624" w14:textId="77777777" w:rsidR="008F5BC9" w:rsidRDefault="008F5BC9" w:rsidP="00A249F7">
            <w:pPr>
              <w:pStyle w:val="TableText0"/>
              <w:keepLines/>
              <w:widowControl w:val="0"/>
              <w:rPr>
                <w:lang w:val="en-US"/>
              </w:rPr>
            </w:pPr>
            <w:r>
              <w:rPr>
                <w:lang w:val="en-US"/>
              </w:rPr>
              <w:t>Enrolled June 2012 to Feb 2016.</w:t>
            </w:r>
          </w:p>
        </w:tc>
        <w:tc>
          <w:tcPr>
            <w:tcW w:w="644" w:type="pct"/>
            <w:tcBorders>
              <w:top w:val="single" w:sz="4" w:space="0" w:color="auto"/>
              <w:left w:val="single" w:sz="4" w:space="0" w:color="auto"/>
              <w:bottom w:val="single" w:sz="4" w:space="0" w:color="auto"/>
              <w:right w:val="single" w:sz="4" w:space="0" w:color="auto"/>
            </w:tcBorders>
            <w:vAlign w:val="center"/>
            <w:hideMark/>
          </w:tcPr>
          <w:p w14:paraId="4C14971D" w14:textId="77777777" w:rsidR="008F5BC9" w:rsidRPr="00251699" w:rsidRDefault="008F5BC9" w:rsidP="00A249F7">
            <w:pPr>
              <w:pStyle w:val="TableText0"/>
              <w:keepLines/>
              <w:widowControl w:val="0"/>
              <w:jc w:val="center"/>
              <w:rPr>
                <w:vertAlign w:val="superscript"/>
                <w:lang w:val="pt-PT"/>
              </w:rPr>
            </w:pPr>
            <w:r w:rsidRPr="00251699">
              <w:rPr>
                <w:lang w:val="pt-PT"/>
              </w:rPr>
              <w:t>N = 147</w:t>
            </w:r>
            <w:r w:rsidRPr="00251699">
              <w:rPr>
                <w:vertAlign w:val="superscript"/>
                <w:lang w:val="pt-PT"/>
              </w:rPr>
              <w:t xml:space="preserve">a </w:t>
            </w:r>
          </w:p>
          <w:p w14:paraId="4CF60AAD" w14:textId="77777777" w:rsidR="008F5BC9" w:rsidRPr="00251699" w:rsidRDefault="008F5BC9" w:rsidP="00A249F7">
            <w:pPr>
              <w:pStyle w:val="TableText0"/>
              <w:keepLines/>
              <w:widowControl w:val="0"/>
              <w:jc w:val="center"/>
              <w:rPr>
                <w:lang w:val="pt-PT"/>
              </w:rPr>
            </w:pPr>
            <w:r w:rsidRPr="00251699">
              <w:rPr>
                <w:lang w:val="pt-PT"/>
              </w:rPr>
              <w:t xml:space="preserve"> (Stratum 1 n=105)</w:t>
            </w:r>
          </w:p>
          <w:p w14:paraId="16047235" w14:textId="77777777" w:rsidR="008F5BC9" w:rsidRPr="00251699" w:rsidRDefault="008F5BC9" w:rsidP="00A249F7">
            <w:pPr>
              <w:pStyle w:val="TableText0"/>
              <w:keepLines/>
              <w:widowControl w:val="0"/>
              <w:jc w:val="center"/>
              <w:rPr>
                <w:lang w:val="pt-PT"/>
              </w:rPr>
            </w:pPr>
            <w:r w:rsidRPr="00251699">
              <w:rPr>
                <w:lang w:val="pt-PT"/>
              </w:rPr>
              <w:t>(Stratum 2 n=35)</w:t>
            </w:r>
          </w:p>
        </w:tc>
        <w:tc>
          <w:tcPr>
            <w:tcW w:w="1164" w:type="pct"/>
            <w:tcBorders>
              <w:top w:val="single" w:sz="4" w:space="0" w:color="auto"/>
              <w:left w:val="single" w:sz="4" w:space="0" w:color="auto"/>
              <w:bottom w:val="single" w:sz="4" w:space="0" w:color="auto"/>
              <w:right w:val="single" w:sz="4" w:space="0" w:color="auto"/>
            </w:tcBorders>
            <w:vAlign w:val="center"/>
          </w:tcPr>
          <w:p w14:paraId="439E092F" w14:textId="77777777" w:rsidR="008F5BC9" w:rsidRDefault="008F5BC9" w:rsidP="00A249F7">
            <w:pPr>
              <w:pStyle w:val="TableText0"/>
              <w:keepLines/>
              <w:widowControl w:val="0"/>
              <w:jc w:val="center"/>
              <w:rPr>
                <w:lang w:val="en-US"/>
              </w:rPr>
            </w:pPr>
            <w:r>
              <w:rPr>
                <w:lang w:val="en-US"/>
              </w:rPr>
              <w:t>P2, single arm (preventative), MC, OL, historical control arm (ANBL0032</w:t>
            </w:r>
            <w:r>
              <w:rPr>
                <w:vertAlign w:val="superscript"/>
                <w:lang w:val="en-US"/>
              </w:rPr>
              <w:t>c</w:t>
            </w:r>
            <w:r>
              <w:rPr>
                <w:lang w:val="en-US"/>
              </w:rPr>
              <w:t xml:space="preserve"> and Santana 2008</w:t>
            </w:r>
            <w:r>
              <w:rPr>
                <w:vertAlign w:val="superscript"/>
                <w:lang w:val="en-US"/>
              </w:rPr>
              <w:t>d</w:t>
            </w:r>
            <w:r w:rsidRPr="000C2866">
              <w:rPr>
                <w:lang w:val="en-US"/>
              </w:rPr>
              <w:t>)</w:t>
            </w:r>
          </w:p>
          <w:p w14:paraId="20D3372E" w14:textId="77777777" w:rsidR="008F5BC9" w:rsidRDefault="008F5BC9" w:rsidP="00A249F7">
            <w:pPr>
              <w:pStyle w:val="TableText0"/>
              <w:keepLines/>
              <w:widowControl w:val="0"/>
              <w:jc w:val="center"/>
              <w:rPr>
                <w:lang w:val="en-US"/>
              </w:rPr>
            </w:pPr>
          </w:p>
          <w:p w14:paraId="61F890CA" w14:textId="77777777" w:rsidR="008F5BC9" w:rsidRDefault="008F5BC9" w:rsidP="00A249F7">
            <w:pPr>
              <w:pStyle w:val="TableText0"/>
              <w:keepLines/>
              <w:widowControl w:val="0"/>
              <w:jc w:val="center"/>
              <w:rPr>
                <w:lang w:val="en-US"/>
              </w:rPr>
            </w:pPr>
            <w:r>
              <w:rPr>
                <w:lang w:val="en-US"/>
              </w:rPr>
              <w:t>Mean follow-up 5.9yrs (Stratum 1), 4.4yrs (Stratum 2).</w:t>
            </w:r>
          </w:p>
        </w:tc>
        <w:tc>
          <w:tcPr>
            <w:tcW w:w="393" w:type="pct"/>
            <w:tcBorders>
              <w:top w:val="single" w:sz="4" w:space="0" w:color="auto"/>
              <w:left w:val="single" w:sz="4" w:space="0" w:color="auto"/>
              <w:bottom w:val="single" w:sz="4" w:space="0" w:color="auto"/>
              <w:right w:val="single" w:sz="4" w:space="0" w:color="auto"/>
            </w:tcBorders>
            <w:vAlign w:val="center"/>
            <w:hideMark/>
          </w:tcPr>
          <w:p w14:paraId="17D76E40" w14:textId="77777777" w:rsidR="008F5BC9" w:rsidRPr="00AA1240" w:rsidRDefault="008F5BC9" w:rsidP="00A249F7">
            <w:pPr>
              <w:pStyle w:val="TableText0"/>
              <w:keepLines/>
              <w:widowControl w:val="0"/>
              <w:jc w:val="center"/>
              <w:rPr>
                <w:iCs/>
                <w:lang w:val="en-US"/>
              </w:rPr>
            </w:pPr>
            <w:r w:rsidRPr="00AA1240">
              <w:rPr>
                <w:iCs/>
                <w:lang w:val="en-US"/>
              </w:rPr>
              <w:t>High</w:t>
            </w:r>
          </w:p>
        </w:tc>
        <w:tc>
          <w:tcPr>
            <w:tcW w:w="863" w:type="pct"/>
            <w:tcBorders>
              <w:top w:val="single" w:sz="4" w:space="0" w:color="auto"/>
              <w:left w:val="single" w:sz="4" w:space="0" w:color="auto"/>
              <w:bottom w:val="single" w:sz="4" w:space="0" w:color="auto"/>
              <w:right w:val="single" w:sz="4" w:space="0" w:color="auto"/>
            </w:tcBorders>
            <w:vAlign w:val="center"/>
            <w:hideMark/>
          </w:tcPr>
          <w:p w14:paraId="3EAD510F" w14:textId="77777777" w:rsidR="008F5BC9" w:rsidRDefault="008F5BC9" w:rsidP="00A249F7">
            <w:pPr>
              <w:pStyle w:val="TableText0"/>
              <w:keepLines/>
              <w:widowControl w:val="0"/>
              <w:rPr>
                <w:lang w:val="en-US"/>
              </w:rPr>
            </w:pPr>
            <w:r>
              <w:rPr>
                <w:lang w:val="en-US"/>
              </w:rPr>
              <w:t>Patients (≤21 years) with HRNB in remission at end of upfront therapy (Stratum 1),</w:t>
            </w:r>
          </w:p>
          <w:p w14:paraId="1A0B950D" w14:textId="77777777" w:rsidR="008F5BC9" w:rsidRDefault="008F5BC9" w:rsidP="00A249F7">
            <w:pPr>
              <w:pStyle w:val="TableText0"/>
              <w:keepLines/>
              <w:widowControl w:val="0"/>
              <w:rPr>
                <w:lang w:val="en-US"/>
              </w:rPr>
            </w:pPr>
            <w:r w:rsidRPr="005F2E8A">
              <w:rPr>
                <w:lang w:val="en-US"/>
              </w:rPr>
              <w:t>or</w:t>
            </w:r>
            <w:r>
              <w:rPr>
                <w:lang w:val="en-US"/>
              </w:rPr>
              <w:t xml:space="preserve"> after any previous relapse or refractory therapy (Stratum 2).</w:t>
            </w:r>
          </w:p>
        </w:tc>
        <w:tc>
          <w:tcPr>
            <w:tcW w:w="592" w:type="pct"/>
            <w:tcBorders>
              <w:top w:val="single" w:sz="4" w:space="0" w:color="auto"/>
              <w:left w:val="single" w:sz="4" w:space="0" w:color="auto"/>
              <w:bottom w:val="single" w:sz="4" w:space="0" w:color="auto"/>
              <w:right w:val="single" w:sz="4" w:space="0" w:color="auto"/>
            </w:tcBorders>
            <w:vAlign w:val="center"/>
            <w:hideMark/>
          </w:tcPr>
          <w:p w14:paraId="4961DD14" w14:textId="77777777" w:rsidR="008F5BC9" w:rsidRDefault="008F5BC9" w:rsidP="00A249F7">
            <w:pPr>
              <w:pStyle w:val="TableText0"/>
              <w:keepLines/>
              <w:widowControl w:val="0"/>
              <w:jc w:val="center"/>
              <w:rPr>
                <w:lang w:val="en-US"/>
              </w:rPr>
            </w:pPr>
            <w:r>
              <w:rPr>
                <w:lang w:val="en-US"/>
              </w:rPr>
              <w:t>Primary: EFS Secondary: OS (Stratum 1 only), safety</w:t>
            </w:r>
          </w:p>
        </w:tc>
        <w:tc>
          <w:tcPr>
            <w:tcW w:w="481" w:type="pct"/>
            <w:tcBorders>
              <w:top w:val="single" w:sz="4" w:space="0" w:color="auto"/>
              <w:left w:val="single" w:sz="4" w:space="0" w:color="auto"/>
              <w:bottom w:val="single" w:sz="4" w:space="0" w:color="auto"/>
              <w:right w:val="single" w:sz="4" w:space="0" w:color="auto"/>
            </w:tcBorders>
            <w:vAlign w:val="center"/>
            <w:hideMark/>
          </w:tcPr>
          <w:p w14:paraId="4A6B1B70" w14:textId="77777777" w:rsidR="008F5BC9" w:rsidRPr="005F2E8A" w:rsidRDefault="008F5BC9" w:rsidP="00A249F7">
            <w:pPr>
              <w:pStyle w:val="TableText0"/>
              <w:keepLines/>
              <w:widowControl w:val="0"/>
              <w:jc w:val="center"/>
              <w:rPr>
                <w:lang w:val="en-US"/>
              </w:rPr>
            </w:pPr>
            <w:r w:rsidRPr="005F2E8A">
              <w:rPr>
                <w:lang w:val="en-US"/>
              </w:rPr>
              <w:t>Yes (</w:t>
            </w:r>
            <w:r>
              <w:rPr>
                <w:lang w:val="en-US"/>
              </w:rPr>
              <w:t>Stratum</w:t>
            </w:r>
            <w:r w:rsidRPr="005F2E8A">
              <w:rPr>
                <w:lang w:val="en-US"/>
              </w:rPr>
              <w:t xml:space="preserve"> 2</w:t>
            </w:r>
            <w:r>
              <w:rPr>
                <w:lang w:val="en-US"/>
              </w:rPr>
              <w:t xml:space="preserve"> only</w:t>
            </w:r>
            <w:r w:rsidRPr="005F2E8A">
              <w:rPr>
                <w:lang w:val="en-US"/>
              </w:rPr>
              <w:t>)</w:t>
            </w:r>
          </w:p>
        </w:tc>
      </w:tr>
      <w:tr w:rsidR="008F5BC9" w14:paraId="37A31C15" w14:textId="77777777" w:rsidTr="00D843F2">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ECA72CD" w14:textId="77777777" w:rsidR="008F5BC9" w:rsidRDefault="008F5BC9" w:rsidP="00A249F7">
            <w:pPr>
              <w:pStyle w:val="TableText0"/>
              <w:keepLines/>
              <w:widowControl w:val="0"/>
              <w:rPr>
                <w:b/>
                <w:lang w:val="en-US"/>
              </w:rPr>
            </w:pPr>
            <w:r>
              <w:rPr>
                <w:b/>
                <w:lang w:val="en-US"/>
              </w:rPr>
              <w:t>STRATUM 1: Eflornithine + SOC versus SOC (via adjusted comparison to historical controls)</w:t>
            </w:r>
          </w:p>
        </w:tc>
      </w:tr>
      <w:tr w:rsidR="008F5BC9" w14:paraId="022B52E4" w14:textId="77777777" w:rsidTr="00D843F2">
        <w:trPr>
          <w:cantSplit/>
        </w:trPr>
        <w:tc>
          <w:tcPr>
            <w:tcW w:w="863" w:type="pct"/>
            <w:tcBorders>
              <w:top w:val="single" w:sz="4" w:space="0" w:color="auto"/>
              <w:left w:val="single" w:sz="4" w:space="0" w:color="auto"/>
              <w:bottom w:val="single" w:sz="4" w:space="0" w:color="auto"/>
              <w:right w:val="single" w:sz="4" w:space="0" w:color="auto"/>
            </w:tcBorders>
            <w:vAlign w:val="center"/>
            <w:hideMark/>
          </w:tcPr>
          <w:p w14:paraId="077923FB" w14:textId="77777777" w:rsidR="008F5BC9" w:rsidRDefault="008F5BC9" w:rsidP="00A249F7">
            <w:pPr>
              <w:pStyle w:val="TableText0"/>
              <w:keepLines/>
              <w:widowControl w:val="0"/>
              <w:rPr>
                <w:lang w:val="en-US"/>
              </w:rPr>
            </w:pPr>
            <w:r>
              <w:rPr>
                <w:lang w:val="en-US"/>
              </w:rPr>
              <w:t>PSM Study - Study 3b (Stratum 1) vs Study ANBL0032</w:t>
            </w:r>
            <w:r>
              <w:rPr>
                <w:vertAlign w:val="superscript"/>
                <w:lang w:val="en-US"/>
              </w:rPr>
              <w:t>c</w:t>
            </w:r>
            <w:r>
              <w:rPr>
                <w:lang w:val="en-US"/>
              </w:rPr>
              <w:t xml:space="preserve"> (single-arm, open-label phase, enrolled Apr 2009 to Jul 2015)</w:t>
            </w:r>
          </w:p>
        </w:tc>
        <w:tc>
          <w:tcPr>
            <w:tcW w:w="644" w:type="pct"/>
            <w:tcBorders>
              <w:top w:val="single" w:sz="4" w:space="0" w:color="auto"/>
              <w:left w:val="single" w:sz="4" w:space="0" w:color="auto"/>
              <w:bottom w:val="single" w:sz="4" w:space="0" w:color="auto"/>
              <w:right w:val="single" w:sz="4" w:space="0" w:color="auto"/>
            </w:tcBorders>
            <w:vAlign w:val="center"/>
          </w:tcPr>
          <w:p w14:paraId="4D65F933" w14:textId="77777777" w:rsidR="008F5BC9" w:rsidRDefault="008F5BC9" w:rsidP="00A249F7">
            <w:pPr>
              <w:pStyle w:val="TableText0"/>
              <w:keepLines/>
              <w:widowControl w:val="0"/>
              <w:jc w:val="center"/>
              <w:rPr>
                <w:lang w:val="en-US"/>
              </w:rPr>
            </w:pPr>
            <w:r>
              <w:rPr>
                <w:lang w:val="en-US"/>
              </w:rPr>
              <w:t xml:space="preserve">Base case </w:t>
            </w:r>
          </w:p>
          <w:p w14:paraId="5C15E906" w14:textId="77777777" w:rsidR="008F5BC9" w:rsidRDefault="008F5BC9" w:rsidP="00A249F7">
            <w:pPr>
              <w:pStyle w:val="TableText0"/>
              <w:keepLines/>
              <w:widowControl w:val="0"/>
              <w:jc w:val="center"/>
              <w:rPr>
                <w:lang w:val="en-US"/>
              </w:rPr>
            </w:pPr>
            <w:r>
              <w:rPr>
                <w:lang w:val="en-US"/>
              </w:rPr>
              <w:t xml:space="preserve">(3:1 matched) </w:t>
            </w:r>
          </w:p>
          <w:p w14:paraId="4F9980AB" w14:textId="77777777" w:rsidR="008F5BC9" w:rsidRDefault="008F5BC9" w:rsidP="00A249F7">
            <w:pPr>
              <w:pStyle w:val="TableText0"/>
              <w:keepLines/>
              <w:widowControl w:val="0"/>
              <w:jc w:val="center"/>
              <w:rPr>
                <w:lang w:val="en-US"/>
              </w:rPr>
            </w:pPr>
            <w:r>
              <w:rPr>
                <w:lang w:val="en-US"/>
              </w:rPr>
              <w:t>n = 90 Study 3b (eflornithine+</w:t>
            </w:r>
          </w:p>
          <w:p w14:paraId="4EE9F2C4" w14:textId="77777777" w:rsidR="008F5BC9" w:rsidRDefault="008F5BC9" w:rsidP="00A249F7">
            <w:pPr>
              <w:pStyle w:val="TableText0"/>
              <w:keepLines/>
              <w:widowControl w:val="0"/>
              <w:jc w:val="center"/>
              <w:rPr>
                <w:lang w:val="en-US"/>
              </w:rPr>
            </w:pPr>
            <w:r>
              <w:rPr>
                <w:lang w:val="en-US"/>
              </w:rPr>
              <w:t>SOC)</w:t>
            </w:r>
          </w:p>
          <w:p w14:paraId="00133075" w14:textId="77777777" w:rsidR="008F5BC9" w:rsidRDefault="008F5BC9" w:rsidP="00A249F7">
            <w:pPr>
              <w:pStyle w:val="TableText0"/>
              <w:keepLines/>
              <w:widowControl w:val="0"/>
              <w:jc w:val="center"/>
              <w:rPr>
                <w:highlight w:val="yellow"/>
                <w:lang w:val="en-US"/>
              </w:rPr>
            </w:pPr>
            <w:r>
              <w:rPr>
                <w:lang w:val="en-US"/>
              </w:rPr>
              <w:t>n = 270 ANBL0032 (SOC)</w:t>
            </w:r>
          </w:p>
        </w:tc>
        <w:tc>
          <w:tcPr>
            <w:tcW w:w="1164" w:type="pct"/>
            <w:tcBorders>
              <w:top w:val="single" w:sz="4" w:space="0" w:color="auto"/>
              <w:left w:val="single" w:sz="4" w:space="0" w:color="auto"/>
              <w:bottom w:val="single" w:sz="4" w:space="0" w:color="auto"/>
              <w:right w:val="single" w:sz="4" w:space="0" w:color="auto"/>
            </w:tcBorders>
            <w:vAlign w:val="center"/>
          </w:tcPr>
          <w:p w14:paraId="331FA80F" w14:textId="77777777" w:rsidR="008C30A7" w:rsidRPr="008C30A7" w:rsidRDefault="008F5BC9" w:rsidP="00A249F7">
            <w:pPr>
              <w:pStyle w:val="TableText0"/>
              <w:keepLines/>
              <w:widowControl w:val="0"/>
              <w:jc w:val="center"/>
              <w:rPr>
                <w:lang w:val="en-US"/>
              </w:rPr>
            </w:pPr>
            <w:r>
              <w:rPr>
                <w:lang w:val="en-US"/>
              </w:rPr>
              <w:t>PSM</w:t>
            </w:r>
            <w:r>
              <w:rPr>
                <w:vertAlign w:val="superscript"/>
                <w:lang w:val="en-US"/>
              </w:rPr>
              <w:t>b</w:t>
            </w:r>
            <w:r>
              <w:rPr>
                <w:lang w:val="en-US"/>
              </w:rPr>
              <w:t xml:space="preserve"> analysis, Study 3b (eflornithine+SOC) vs Study ANBL0032</w:t>
            </w:r>
            <w:r>
              <w:rPr>
                <w:vertAlign w:val="superscript"/>
                <w:lang w:val="en-US"/>
              </w:rPr>
              <w:t xml:space="preserve">c </w:t>
            </w:r>
            <w:r w:rsidRPr="008B212C">
              <w:rPr>
                <w:lang w:val="en-US"/>
              </w:rPr>
              <w:t>(</w:t>
            </w:r>
            <w:r>
              <w:rPr>
                <w:lang w:val="en-US"/>
              </w:rPr>
              <w:t>SOC).</w:t>
            </w:r>
          </w:p>
          <w:p w14:paraId="7D2B39F0" w14:textId="6D1AAB04" w:rsidR="008F5BC9" w:rsidRDefault="008F5BC9" w:rsidP="00A249F7">
            <w:pPr>
              <w:pStyle w:val="TableText0"/>
              <w:keepLines/>
              <w:widowControl w:val="0"/>
              <w:jc w:val="center"/>
              <w:rPr>
                <w:lang w:val="en-US"/>
              </w:rPr>
            </w:pPr>
          </w:p>
          <w:p w14:paraId="7E5AA4E5" w14:textId="77777777" w:rsidR="008F5BC9" w:rsidRDefault="008F5BC9" w:rsidP="00A249F7">
            <w:pPr>
              <w:pStyle w:val="TableText0"/>
              <w:keepLines/>
              <w:widowControl w:val="0"/>
              <w:jc w:val="center"/>
              <w:rPr>
                <w:lang w:val="en-US"/>
              </w:rPr>
            </w:pPr>
            <w:r>
              <w:rPr>
                <w:lang w:val="en-US"/>
              </w:rPr>
              <w:t xml:space="preserve">Median follow up: </w:t>
            </w:r>
          </w:p>
          <w:p w14:paraId="7674D701" w14:textId="77777777" w:rsidR="008F5BC9" w:rsidRDefault="008F5BC9" w:rsidP="00A249F7">
            <w:pPr>
              <w:pStyle w:val="TableText0"/>
              <w:keepLines/>
              <w:widowControl w:val="0"/>
              <w:jc w:val="center"/>
              <w:rPr>
                <w:lang w:val="en-US"/>
              </w:rPr>
            </w:pPr>
            <w:r>
              <w:rPr>
                <w:lang w:val="en-US"/>
              </w:rPr>
              <w:t>6.1 yrs (eflornithine+SOC),</w:t>
            </w:r>
          </w:p>
          <w:p w14:paraId="7B693E44" w14:textId="77777777" w:rsidR="008F5BC9" w:rsidRDefault="008F5BC9" w:rsidP="00A249F7">
            <w:pPr>
              <w:pStyle w:val="TableText0"/>
              <w:keepLines/>
              <w:widowControl w:val="0"/>
              <w:jc w:val="center"/>
              <w:rPr>
                <w:lang w:val="en-US"/>
              </w:rPr>
            </w:pPr>
            <w:r>
              <w:rPr>
                <w:lang w:val="en-US"/>
              </w:rPr>
              <w:t>5 yrs (SOC)</w:t>
            </w:r>
          </w:p>
        </w:tc>
        <w:tc>
          <w:tcPr>
            <w:tcW w:w="393" w:type="pct"/>
            <w:tcBorders>
              <w:top w:val="single" w:sz="4" w:space="0" w:color="auto"/>
              <w:left w:val="single" w:sz="4" w:space="0" w:color="auto"/>
              <w:bottom w:val="single" w:sz="4" w:space="0" w:color="auto"/>
              <w:right w:val="single" w:sz="4" w:space="0" w:color="auto"/>
            </w:tcBorders>
            <w:vAlign w:val="center"/>
            <w:hideMark/>
          </w:tcPr>
          <w:p w14:paraId="0F86AF1E" w14:textId="77777777" w:rsidR="008F5BC9" w:rsidRPr="00AA1240" w:rsidRDefault="008F5BC9" w:rsidP="00A249F7">
            <w:pPr>
              <w:pStyle w:val="TableText0"/>
              <w:keepLines/>
              <w:widowControl w:val="0"/>
              <w:jc w:val="center"/>
              <w:rPr>
                <w:iCs/>
                <w:highlight w:val="yellow"/>
                <w:lang w:val="en-US"/>
              </w:rPr>
            </w:pPr>
            <w:r w:rsidRPr="00AA1240">
              <w:rPr>
                <w:iCs/>
                <w:lang w:val="en-US"/>
              </w:rPr>
              <w:t>Unclear</w:t>
            </w:r>
          </w:p>
        </w:tc>
        <w:tc>
          <w:tcPr>
            <w:tcW w:w="863" w:type="pct"/>
            <w:tcBorders>
              <w:top w:val="single" w:sz="4" w:space="0" w:color="auto"/>
              <w:left w:val="single" w:sz="4" w:space="0" w:color="auto"/>
              <w:bottom w:val="single" w:sz="4" w:space="0" w:color="auto"/>
              <w:right w:val="single" w:sz="4" w:space="0" w:color="auto"/>
            </w:tcBorders>
            <w:vAlign w:val="center"/>
            <w:hideMark/>
          </w:tcPr>
          <w:p w14:paraId="3CF8C17A" w14:textId="77777777" w:rsidR="008F5BC9" w:rsidRDefault="008F5BC9" w:rsidP="00A249F7">
            <w:pPr>
              <w:pStyle w:val="TableText0"/>
              <w:keepLines/>
              <w:widowControl w:val="0"/>
              <w:jc w:val="center"/>
              <w:rPr>
                <w:highlight w:val="green"/>
                <w:lang w:val="en-US"/>
              </w:rPr>
            </w:pPr>
            <w:r>
              <w:rPr>
                <w:lang w:val="en-US"/>
              </w:rPr>
              <w:t>Patients (&lt;31 years) with HRNB in remission after receiving upfront therapy (Stratum 1)</w:t>
            </w:r>
          </w:p>
        </w:tc>
        <w:tc>
          <w:tcPr>
            <w:tcW w:w="592" w:type="pct"/>
            <w:tcBorders>
              <w:top w:val="single" w:sz="4" w:space="0" w:color="auto"/>
              <w:left w:val="single" w:sz="4" w:space="0" w:color="auto"/>
              <w:bottom w:val="single" w:sz="4" w:space="0" w:color="auto"/>
              <w:right w:val="single" w:sz="4" w:space="0" w:color="auto"/>
            </w:tcBorders>
            <w:vAlign w:val="center"/>
            <w:hideMark/>
          </w:tcPr>
          <w:p w14:paraId="2E234C46" w14:textId="77777777" w:rsidR="008F5BC9" w:rsidRDefault="008F5BC9" w:rsidP="00A249F7">
            <w:pPr>
              <w:pStyle w:val="TableText0"/>
              <w:keepLines/>
              <w:widowControl w:val="0"/>
              <w:jc w:val="center"/>
              <w:rPr>
                <w:lang w:val="en-US"/>
              </w:rPr>
            </w:pPr>
            <w:r>
              <w:rPr>
                <w:lang w:val="en-US"/>
              </w:rPr>
              <w:t>Primary: EFS</w:t>
            </w:r>
          </w:p>
          <w:p w14:paraId="1B31E2F0" w14:textId="77777777" w:rsidR="008F5BC9" w:rsidRDefault="008F5BC9" w:rsidP="00A249F7">
            <w:pPr>
              <w:pStyle w:val="TableText0"/>
              <w:keepLines/>
              <w:widowControl w:val="0"/>
              <w:jc w:val="center"/>
              <w:rPr>
                <w:highlight w:val="green"/>
                <w:lang w:val="en-US"/>
              </w:rPr>
            </w:pPr>
            <w:r>
              <w:rPr>
                <w:lang w:val="en-US"/>
              </w:rPr>
              <w:t>Secondary: OS</w:t>
            </w:r>
          </w:p>
        </w:tc>
        <w:tc>
          <w:tcPr>
            <w:tcW w:w="481" w:type="pct"/>
            <w:tcBorders>
              <w:top w:val="single" w:sz="4" w:space="0" w:color="auto"/>
              <w:left w:val="single" w:sz="4" w:space="0" w:color="auto"/>
              <w:bottom w:val="single" w:sz="4" w:space="0" w:color="auto"/>
              <w:right w:val="single" w:sz="4" w:space="0" w:color="auto"/>
            </w:tcBorders>
            <w:vAlign w:val="center"/>
            <w:hideMark/>
          </w:tcPr>
          <w:p w14:paraId="63DBCBEE" w14:textId="77777777" w:rsidR="008F5BC9" w:rsidRPr="005F2E8A" w:rsidRDefault="008F5BC9" w:rsidP="00A249F7">
            <w:pPr>
              <w:pStyle w:val="TableText0"/>
              <w:keepLines/>
              <w:widowControl w:val="0"/>
              <w:jc w:val="center"/>
              <w:rPr>
                <w:lang w:val="en-US"/>
              </w:rPr>
            </w:pPr>
            <w:r w:rsidRPr="005F2E8A">
              <w:rPr>
                <w:lang w:val="en-US"/>
              </w:rPr>
              <w:t>Yes (</w:t>
            </w:r>
            <w:r>
              <w:rPr>
                <w:lang w:val="en-US"/>
              </w:rPr>
              <w:t>Stratum</w:t>
            </w:r>
            <w:r w:rsidRPr="005F2E8A">
              <w:rPr>
                <w:lang w:val="en-US"/>
              </w:rPr>
              <w:t xml:space="preserve"> 1</w:t>
            </w:r>
            <w:r>
              <w:rPr>
                <w:lang w:val="en-US"/>
              </w:rPr>
              <w:t xml:space="preserve"> and 2</w:t>
            </w:r>
            <w:r w:rsidRPr="005F2E8A">
              <w:rPr>
                <w:lang w:val="en-US"/>
              </w:rPr>
              <w:t>)</w:t>
            </w:r>
          </w:p>
        </w:tc>
      </w:tr>
    </w:tbl>
    <w:p w14:paraId="531797BE" w14:textId="77777777" w:rsidR="008F5BC9" w:rsidRDefault="008F5BC9" w:rsidP="00A249F7">
      <w:pPr>
        <w:pStyle w:val="TableFigureFooter"/>
        <w:keepNext/>
        <w:keepLines/>
        <w:widowControl w:val="0"/>
      </w:pPr>
      <w:bookmarkStart w:id="36" w:name="_Hlk187329914"/>
      <w:r>
        <w:t xml:space="preserve">Source: NMTRC003B Eflornithine CSR and 3bvANBL0032: Comparison of HRNB Study 3b to ANBL0032 External Control Database </w:t>
      </w:r>
      <w:bookmarkEnd w:id="36"/>
      <w:r>
        <w:t>Eflornithine (DFMO).</w:t>
      </w:r>
    </w:p>
    <w:p w14:paraId="4B254697" w14:textId="77777777" w:rsidR="008F5BC9" w:rsidRDefault="008F5BC9" w:rsidP="00A249F7">
      <w:pPr>
        <w:pStyle w:val="TableFigureFooter"/>
        <w:keepNext/>
        <w:keepLines/>
        <w:widowControl w:val="0"/>
      </w:pPr>
      <w:r>
        <w:t xml:space="preserve">COG = Children’s Oncology Group; EFS = event-free survival; HRNB = high-risk neuroblastoma; MC = multi-centre; OL = open label; OS = overall survival; PSM = propensity score-matched; P2 = phase 2; SOC = Standard of Care; Stratum 1 = Patients who were in remission at the end of upfront therapy defined as chemotherapy (5-7 cycles), surgery as indicated, consolidation therapy as indicated, radiation therapy as indicated, or anti-ganglioside 2 (GD2) antibody therapy with retinoic acid up to 6 cycles; Stratum 2 = Patients who were in remission after any previous relapse or refractory therapy (defined as any patient who received additional therapy due to a suboptimal response to standard therapy); </w:t>
      </w:r>
    </w:p>
    <w:p w14:paraId="7011F548" w14:textId="77777777" w:rsidR="008F5BC9" w:rsidRDefault="008F5BC9" w:rsidP="00A249F7">
      <w:pPr>
        <w:pStyle w:val="TableFigureFooter"/>
        <w:keepNext/>
        <w:keepLines/>
        <w:widowControl w:val="0"/>
        <w:ind w:left="165" w:hanging="165"/>
      </w:pPr>
      <w:r w:rsidRPr="7F2A1B4F">
        <w:rPr>
          <w:vertAlign w:val="superscript"/>
        </w:rPr>
        <w:t>a</w:t>
      </w:r>
      <w:r>
        <w:tab/>
      </w:r>
      <w:r w:rsidRPr="7F2A1B4F">
        <w:t>The trial enrolled 147 patients, five patients were screen failures, stratum determination was missing for one patient and one subject was enrolled with an eligibility waiver and prospectively planned for exclusion from efficacy analyses, resulting in 140 participants providing efficacy data (ITT set) and 101 participants providing safety data (Safety set) (p48 of the NMTRC003B Eflornithine CSR).</w:t>
      </w:r>
    </w:p>
    <w:p w14:paraId="7BFBB09B" w14:textId="77777777" w:rsidR="008F5BC9" w:rsidRDefault="008F5BC9" w:rsidP="00A249F7">
      <w:pPr>
        <w:pStyle w:val="TableFigureFooter"/>
        <w:keepNext/>
        <w:keepLines/>
        <w:widowControl w:val="0"/>
        <w:ind w:left="165" w:hanging="165"/>
      </w:pPr>
      <w:r w:rsidRPr="7F2A1B4F">
        <w:rPr>
          <w:vertAlign w:val="superscript"/>
        </w:rPr>
        <w:t>b</w:t>
      </w:r>
      <w:r>
        <w:tab/>
      </w:r>
      <w:r w:rsidRPr="7F2A1B4F">
        <w:t>Propensity-score matching was implemented to balance eflornithine and no eflornithine patients according to 11 baseline covariates: age at high-risk diagnosis, sex, race, stage at HRNB diagnosis per the 1993 International Neuroblastoma Staging System (categories of 4 or &lt;4 including 4S), pre-ASCT response, transplant type, time from ASCT to start of immunotherapy, duration of immunotherapy, overall response at immunotherapy end, time from diagnosis to immunotherapy end, and MYCN (exact matching: amplified/nonamplified).</w:t>
      </w:r>
    </w:p>
    <w:p w14:paraId="01B3286B" w14:textId="7661C6EF" w:rsidR="008F5BC9" w:rsidRDefault="008F5BC9" w:rsidP="00A249F7">
      <w:pPr>
        <w:pStyle w:val="TableFigureFooter"/>
        <w:keepNext/>
        <w:keepLines/>
        <w:widowControl w:val="0"/>
        <w:ind w:left="165" w:hanging="165"/>
      </w:pPr>
      <w:r w:rsidRPr="7F2A1B4F">
        <w:rPr>
          <w:vertAlign w:val="superscript"/>
        </w:rPr>
        <w:t>c</w:t>
      </w:r>
      <w:r>
        <w:tab/>
      </w:r>
      <w:r w:rsidRPr="7F2A1B4F">
        <w:t>ANBL0032 (NCT00026312) was a large phase III partially randomi</w:t>
      </w:r>
      <w:r w:rsidR="00A92C30">
        <w:t>s</w:t>
      </w:r>
      <w:r w:rsidRPr="7F2A1B4F">
        <w:t>ed open-label trial in HRNB patients</w:t>
      </w:r>
      <w:r w:rsidR="00CD53CC">
        <w:t xml:space="preserve"> </w:t>
      </w:r>
      <w:r w:rsidR="00CD53CC" w:rsidRPr="006618B6">
        <w:t>(0 to &lt;31 years)</w:t>
      </w:r>
      <w:r w:rsidRPr="7F2A1B4F">
        <w:t>. Patients were randomi</w:t>
      </w:r>
      <w:r>
        <w:t>s</w:t>
      </w:r>
      <w:r w:rsidRPr="7F2A1B4F">
        <w:t>ed to an induction regimen of isotretinoin alone (Regimen A), or isotretinoin plus sargramostim (granulocyte-macrophage colony-stimulating factor), dinutuximab and aldesleukin (interleukin-2) (Regimen B). Following completion of enrolment of the randomised phase of the study, enrolment continued under a single-arm, open-label phase of the study, with all patients receiving the investigational treatment combination (Regimen B)</w:t>
      </w:r>
      <w:r w:rsidR="00876189" w:rsidRPr="006618B6">
        <w:rPr>
          <w:lang w:val="en-US"/>
        </w:rPr>
        <w:t xml:space="preserve"> (Desai 2022</w:t>
      </w:r>
      <w:r w:rsidR="00876189" w:rsidRPr="006618B6">
        <w:rPr>
          <w:rStyle w:val="FootnoteReference"/>
          <w:lang w:val="en-US"/>
        </w:rPr>
        <w:footnoteReference w:id="13"/>
      </w:r>
      <w:r w:rsidR="00876189" w:rsidRPr="006618B6">
        <w:rPr>
          <w:lang w:val="en-US"/>
        </w:rPr>
        <w:t>)</w:t>
      </w:r>
      <w:r w:rsidR="007504D7">
        <w:rPr>
          <w:lang w:val="en-US"/>
        </w:rPr>
        <w:t>.</w:t>
      </w:r>
    </w:p>
    <w:p w14:paraId="28EFEFAA" w14:textId="36B70F59" w:rsidR="008F5BC9" w:rsidRPr="00EA73ED" w:rsidRDefault="008F5BC9" w:rsidP="00EE6DB7">
      <w:pPr>
        <w:pStyle w:val="TableFigureFooter"/>
        <w:keepLines/>
        <w:widowControl w:val="0"/>
      </w:pPr>
      <w:r w:rsidRPr="7F2A1B4F">
        <w:rPr>
          <w:vertAlign w:val="superscript"/>
        </w:rPr>
        <w:t>d</w:t>
      </w:r>
      <w:r>
        <w:tab/>
      </w:r>
      <w:r w:rsidRPr="7F2A1B4F">
        <w:t>Santana 2008 was a retrospective single centre study investigating disease-free survival, post-recurrence survival intervals and disease control intervals in patients with HRNB treated with one of three institutional protocols between 1991 and 2002, with the aim of establishing reference points for the evaluation of new agents.</w:t>
      </w:r>
    </w:p>
    <w:p w14:paraId="17CA2361" w14:textId="2C0A972F" w:rsidR="008F5BC9" w:rsidRDefault="008F5BC9" w:rsidP="00520175">
      <w:pPr>
        <w:pStyle w:val="3-BodyText"/>
        <w:keepNext/>
        <w:keepLines/>
        <w:widowControl w:val="0"/>
        <w:numPr>
          <w:ilvl w:val="0"/>
          <w:numId w:val="0"/>
        </w:numPr>
        <w:spacing w:after="0"/>
        <w:rPr>
          <w:b/>
          <w:bCs/>
        </w:rPr>
      </w:pPr>
      <w:r>
        <w:rPr>
          <w:b/>
          <w:bCs/>
        </w:rPr>
        <w:lastRenderedPageBreak/>
        <w:t>STRATUM 1 AND STRATUM 2 PATIENTS</w:t>
      </w:r>
    </w:p>
    <w:p w14:paraId="40BBF2D1" w14:textId="77777777" w:rsidR="008F5BC9" w:rsidRPr="00493E06" w:rsidRDefault="008F5BC9" w:rsidP="00520175">
      <w:pPr>
        <w:pStyle w:val="3-BodyText"/>
        <w:keepNext/>
        <w:keepLines/>
        <w:widowControl w:val="0"/>
        <w:numPr>
          <w:ilvl w:val="0"/>
          <w:numId w:val="0"/>
        </w:numPr>
        <w:rPr>
          <w:b/>
          <w:bCs/>
        </w:rPr>
      </w:pPr>
      <w:r>
        <w:rPr>
          <w:b/>
          <w:bCs/>
        </w:rPr>
        <w:t xml:space="preserve">Study 3b: </w:t>
      </w:r>
      <w:r w:rsidRPr="00493E06">
        <w:rPr>
          <w:b/>
          <w:bCs/>
        </w:rPr>
        <w:t>Eflornithine + SOC versus SOC (via unadjusted comparison to historical controls)</w:t>
      </w:r>
    </w:p>
    <w:p w14:paraId="055F06B5" w14:textId="2CCA31CC" w:rsidR="008F5BC9" w:rsidRPr="00EF32EE" w:rsidRDefault="008F5BC9" w:rsidP="00520175">
      <w:pPr>
        <w:pStyle w:val="3-BodyText"/>
        <w:keepNext/>
        <w:keepLines/>
        <w:widowControl w:val="0"/>
      </w:pPr>
      <w:r w:rsidRPr="7F2A1B4F">
        <w:t>Study 3b was a phase 2, open-label, multicentre, single-arm study evaluating the efficacy (preventative activity) and safety of eflornithine as a single agent in patients (0-21 years at diagnosis) with HRNB in remission after completion of (i) standard upfront first-line multiagent multimodality therapy (Stratum 1) or (ii) therapy for refractory/relapsed disease (Stratum 2). Remission was defined as at least a partial response (by computerised tomography [CT] or magnetic resonance imaging [MRI]) at the end of immunotherapy evaluation with no evidence of disease in the bone marrow. Patients were enrolled in Study 3b up to 120 days after completion of immunotherapy and eflornithine was initiated at a median 1.2 months from the last dose of retinoic acid. Patients received eflornithine for 2 years</w:t>
      </w:r>
      <w:r w:rsidR="0058181F">
        <w:t xml:space="preserve"> (excluding treatment breaks)</w:t>
      </w:r>
      <w:r w:rsidRPr="7F2A1B4F">
        <w:t xml:space="preserve"> or until disease recurrence or unacceptable toxicity, plus SOC. The primary endpoint of Study 3b was event-free survival (EFS).</w:t>
      </w:r>
    </w:p>
    <w:p w14:paraId="29910BDF" w14:textId="77777777" w:rsidR="008F5BC9" w:rsidRDefault="008F5BC9" w:rsidP="006D26D2">
      <w:pPr>
        <w:pStyle w:val="3-BodyText"/>
        <w:widowControl w:val="0"/>
      </w:pPr>
      <w:r w:rsidRPr="7F2A1B4F">
        <w:t>Study 3b was initiated in 2012 under study protocol and database NMRTC003, but due to a change in drug supplier, the study protocol and corresponding database was amended to NMTRC003b in December 2014 (amendment 5). Data in the original NMTRC003 database were not available to the Sponsor. A chart review (BCC001) was conducted to obtain demographic, disease characteristics and EFS and overall survival (OS) outcomes for patients who only received eflornithine prior to amendment 5 (n=40), however no safety data were available for this group. Safety data are only available for direct enrollers and transfer patients from the time of transfer to Study 3b (n=101).</w:t>
      </w:r>
    </w:p>
    <w:p w14:paraId="3C8133BE" w14:textId="77777777" w:rsidR="008F5BC9" w:rsidRPr="006618B6" w:rsidRDefault="008F5BC9" w:rsidP="006D26D2">
      <w:pPr>
        <w:pStyle w:val="3-BodyText"/>
        <w:widowControl w:val="0"/>
      </w:pPr>
      <w:r w:rsidRPr="00894797">
        <w:rPr>
          <w:snapToGrid/>
          <w:lang w:val="en-US"/>
        </w:rPr>
        <w:t xml:space="preserve">In the absence of a randomised comparator arm, Study 3b included unadjusted </w:t>
      </w:r>
      <w:r w:rsidRPr="006618B6">
        <w:rPr>
          <w:snapToGrid/>
          <w:lang w:val="en-US"/>
        </w:rPr>
        <w:t>comparisons to event rates with S</w:t>
      </w:r>
      <w:r>
        <w:rPr>
          <w:snapToGrid/>
          <w:lang w:val="en-US"/>
        </w:rPr>
        <w:t>O</w:t>
      </w:r>
      <w:r w:rsidRPr="006618B6">
        <w:rPr>
          <w:snapToGrid/>
          <w:lang w:val="en-US"/>
        </w:rPr>
        <w:t>C in two historical cohorts:</w:t>
      </w:r>
    </w:p>
    <w:p w14:paraId="43AACFAC" w14:textId="77777777" w:rsidR="008F5BC9" w:rsidRPr="006618B6" w:rsidRDefault="008F5BC9" w:rsidP="004B0787">
      <w:pPr>
        <w:pStyle w:val="3-BodyText"/>
        <w:widowControl w:val="0"/>
        <w:numPr>
          <w:ilvl w:val="1"/>
          <w:numId w:val="10"/>
        </w:numPr>
        <w:ind w:left="993" w:hanging="284"/>
      </w:pPr>
      <w:r w:rsidRPr="006618B6">
        <w:rPr>
          <w:snapToGrid/>
          <w:lang w:val="en-US"/>
        </w:rPr>
        <w:t>For Stratum 1</w:t>
      </w:r>
      <w:r w:rsidRPr="37647426">
        <w:rPr>
          <w:lang w:val="en-US"/>
        </w:rPr>
        <w:t xml:space="preserve"> (patients in remission after upfront therapy)</w:t>
      </w:r>
      <w:r w:rsidRPr="006618B6">
        <w:rPr>
          <w:snapToGrid/>
          <w:lang w:val="en-US"/>
        </w:rPr>
        <w:t xml:space="preserve">, </w:t>
      </w:r>
      <w:r w:rsidRPr="006618B6">
        <w:t>the study compared EFS and OS event rates at 2</w:t>
      </w:r>
      <w:r>
        <w:t>-</w:t>
      </w:r>
      <w:r w:rsidRPr="006618B6">
        <w:t>years for patients treated with eflornithine (from the start of post-maintenance treatment) to event rates for patients treated with S</w:t>
      </w:r>
      <w:r>
        <w:t>O</w:t>
      </w:r>
      <w:r w:rsidRPr="006618B6">
        <w:t>C (from the start of maintenance treatment) in the randomisation phase of Study ANBL0032 (patients randomised to immunotherapy, n=113), as reported in Yu et al 2010</w:t>
      </w:r>
      <w:r w:rsidRPr="006618B6">
        <w:rPr>
          <w:rStyle w:val="FootnoteReference"/>
          <w:snapToGrid/>
          <w:lang w:val="en-US"/>
        </w:rPr>
        <w:footnoteReference w:id="14"/>
      </w:r>
      <w:r w:rsidRPr="006618B6">
        <w:rPr>
          <w:snapToGrid/>
          <w:lang w:val="en-US"/>
        </w:rPr>
        <w:t>.</w:t>
      </w:r>
    </w:p>
    <w:p w14:paraId="0AEDD68D" w14:textId="55AC4389" w:rsidR="008F5BC9" w:rsidRPr="00237724" w:rsidRDefault="008F5BC9" w:rsidP="004B0787">
      <w:pPr>
        <w:pStyle w:val="3-BodyText"/>
        <w:widowControl w:val="0"/>
        <w:numPr>
          <w:ilvl w:val="1"/>
          <w:numId w:val="10"/>
        </w:numPr>
        <w:ind w:left="993" w:hanging="284"/>
        <w:rPr>
          <w:i/>
        </w:rPr>
      </w:pPr>
      <w:r w:rsidRPr="009E7244">
        <w:t>For Stratum 2</w:t>
      </w:r>
      <w:r>
        <w:t xml:space="preserve"> (patients in remission after previous relapse/refractory therapy)</w:t>
      </w:r>
      <w:r w:rsidRPr="009E7244">
        <w:t>, the study compared EFS at 2</w:t>
      </w:r>
      <w:r>
        <w:t>-</w:t>
      </w:r>
      <w:r w:rsidRPr="009E7244">
        <w:t xml:space="preserve">years </w:t>
      </w:r>
      <w:r>
        <w:t>(from the start of post-maintenance treatment)</w:t>
      </w:r>
      <w:r w:rsidRPr="009E7244">
        <w:t xml:space="preserve"> for patients treated with eflornithine to a derived event rate for patients treated with S</w:t>
      </w:r>
      <w:r>
        <w:t>O</w:t>
      </w:r>
      <w:r w:rsidRPr="009E7244">
        <w:t>C (from the start of maintenance treatment</w:t>
      </w:r>
      <w:r>
        <w:t xml:space="preserve">, </w:t>
      </w:r>
      <w:r w:rsidRPr="009E7244">
        <w:rPr>
          <w:snapToGrid/>
          <w:lang w:val="en-US"/>
        </w:rPr>
        <w:t>Santana et al 2008</w:t>
      </w:r>
      <w:r w:rsidRPr="009E7244">
        <w:rPr>
          <w:rStyle w:val="FootnoteReference"/>
          <w:snapToGrid/>
          <w:lang w:val="en-US"/>
        </w:rPr>
        <w:footnoteReference w:id="15"/>
      </w:r>
      <w:r w:rsidR="0014526A">
        <w:rPr>
          <w:snapToGrid/>
          <w:lang w:val="en-US"/>
        </w:rPr>
        <w:t>)</w:t>
      </w:r>
      <w:r>
        <w:rPr>
          <w:snapToGrid/>
          <w:lang w:val="en-US"/>
        </w:rPr>
        <w:t>.</w:t>
      </w:r>
      <w:r w:rsidRPr="59EB4703">
        <w:rPr>
          <w:lang w:val="en-US"/>
        </w:rPr>
        <w:t xml:space="preserve"> </w:t>
      </w:r>
      <w:r>
        <w:t>In this</w:t>
      </w:r>
      <w:r w:rsidRPr="009E7244">
        <w:t xml:space="preserve"> </w:t>
      </w:r>
      <w:r w:rsidRPr="009E7244">
        <w:lastRenderedPageBreak/>
        <w:t>retrospective single centre study</w:t>
      </w:r>
      <w:r>
        <w:t>,</w:t>
      </w:r>
      <w:r w:rsidRPr="009E7244">
        <w:t xml:space="preserve"> 90 patients with HRNB </w:t>
      </w:r>
      <w:r>
        <w:t xml:space="preserve">were </w:t>
      </w:r>
      <w:r w:rsidRPr="009E7244">
        <w:t xml:space="preserve">treated </w:t>
      </w:r>
      <w:r>
        <w:t xml:space="preserve">between 1991 and 2002 at a </w:t>
      </w:r>
      <w:r w:rsidR="00826618">
        <w:t>c</w:t>
      </w:r>
      <w:r>
        <w:t xml:space="preserve">hildren’s </w:t>
      </w:r>
      <w:r w:rsidR="00654BDF">
        <w:t>r</w:t>
      </w:r>
      <w:r>
        <w:t xml:space="preserve">esearch </w:t>
      </w:r>
      <w:r w:rsidR="00654BDF">
        <w:t>h</w:t>
      </w:r>
      <w:r>
        <w:t xml:space="preserve">ospital in the USA, </w:t>
      </w:r>
      <w:r w:rsidRPr="009E7244">
        <w:t xml:space="preserve">according to one of three institutional </w:t>
      </w:r>
      <w:r>
        <w:t xml:space="preserve">frontline </w:t>
      </w:r>
      <w:r w:rsidRPr="009E7244">
        <w:t>protocols between 1991 and 2002. The EFS for S</w:t>
      </w:r>
      <w:r>
        <w:t>O</w:t>
      </w:r>
      <w:r w:rsidRPr="009E7244">
        <w:t>C was estimated as 10.3% at 2</w:t>
      </w:r>
      <w:r w:rsidR="003C44E2">
        <w:t xml:space="preserve"> </w:t>
      </w:r>
      <w:r w:rsidRPr="009E7244">
        <w:t>years (rounded down to 10%), based on the median disease control intervals for patients with first or second recurrence and assuming two thirds of patients would be in first recurrence</w:t>
      </w:r>
      <w:r w:rsidRPr="009E7244">
        <w:rPr>
          <w:i/>
        </w:rPr>
        <w:t>.</w:t>
      </w:r>
    </w:p>
    <w:p w14:paraId="614C8343" w14:textId="4A66FEC0" w:rsidR="008F5BC9" w:rsidRPr="00AA1240" w:rsidRDefault="008F5BC9" w:rsidP="008F5BC9">
      <w:pPr>
        <w:pStyle w:val="3-BodyText"/>
        <w:rPr>
          <w:iCs/>
        </w:rPr>
      </w:pPr>
      <w:r w:rsidRPr="00DD5186">
        <w:rPr>
          <w:iCs/>
          <w:snapToGrid/>
          <w:lang w:val="en-US"/>
        </w:rPr>
        <w:t>The evaluation considered that</w:t>
      </w:r>
      <w:r w:rsidRPr="00DD5186">
        <w:rPr>
          <w:iCs/>
        </w:rPr>
        <w:t xml:space="preserve"> </w:t>
      </w:r>
      <w:r w:rsidRPr="00AA1240">
        <w:rPr>
          <w:iCs/>
        </w:rPr>
        <w:t xml:space="preserve">unadjusted comparisons to historical controls, presented in Study 3b, were prone to a high degree of bias, given </w:t>
      </w:r>
      <w:r w:rsidRPr="005146A5">
        <w:rPr>
          <w:iCs/>
        </w:rPr>
        <w:t>there was no</w:t>
      </w:r>
      <w:r w:rsidRPr="00AA1240">
        <w:rPr>
          <w:iCs/>
        </w:rPr>
        <w:t xml:space="preserve"> control for differences in the populations or index date. For example, Study 3b reported outcomes for patients</w:t>
      </w:r>
      <w:r w:rsidR="00DA5D9E">
        <w:rPr>
          <w:iCs/>
        </w:rPr>
        <w:t xml:space="preserve"> treated with eflornithine who had been in</w:t>
      </w:r>
      <w:r w:rsidRPr="00AA1240">
        <w:rPr>
          <w:iCs/>
        </w:rPr>
        <w:t xml:space="preserve"> remission after completion of upfront therapy or relapse/refractory therapy, whereas Study ANBL0032 and Santana 2008 reported outcomes from an earlier time point in the disease pathway and included patients who did not achieve remission</w:t>
      </w:r>
      <w:r w:rsidR="0012479E">
        <w:rPr>
          <w:iCs/>
        </w:rPr>
        <w:t>;</w:t>
      </w:r>
      <w:r w:rsidRPr="00AA1240">
        <w:rPr>
          <w:iCs/>
        </w:rPr>
        <w:t xml:space="preserve"> </w:t>
      </w:r>
      <w:r w:rsidR="0012479E">
        <w:rPr>
          <w:iCs/>
        </w:rPr>
        <w:t>this comparison</w:t>
      </w:r>
      <w:r w:rsidR="0012479E" w:rsidRPr="00AA1240">
        <w:rPr>
          <w:iCs/>
        </w:rPr>
        <w:t xml:space="preserve"> </w:t>
      </w:r>
      <w:r w:rsidRPr="00AA1240">
        <w:rPr>
          <w:iCs/>
        </w:rPr>
        <w:t xml:space="preserve">likely favours eflornithine. </w:t>
      </w:r>
    </w:p>
    <w:p w14:paraId="4F548957" w14:textId="77777777" w:rsidR="008F5BC9" w:rsidRDefault="008F5BC9" w:rsidP="008F5BC9">
      <w:pPr>
        <w:pStyle w:val="3-BodyText"/>
        <w:keepNext/>
        <w:keepLines/>
        <w:numPr>
          <w:ilvl w:val="0"/>
          <w:numId w:val="0"/>
        </w:numPr>
        <w:spacing w:after="0"/>
        <w:rPr>
          <w:b/>
          <w:lang w:val="en-US"/>
        </w:rPr>
      </w:pPr>
      <w:r>
        <w:rPr>
          <w:b/>
          <w:lang w:val="en-US"/>
        </w:rPr>
        <w:t>STRATUM 1 PATIENTS</w:t>
      </w:r>
    </w:p>
    <w:p w14:paraId="7925ACF0" w14:textId="77777777" w:rsidR="008F5BC9" w:rsidRDefault="008F5BC9" w:rsidP="008F5BC9">
      <w:pPr>
        <w:pStyle w:val="3-BodyText"/>
        <w:keepNext/>
        <w:keepLines/>
        <w:numPr>
          <w:ilvl w:val="0"/>
          <w:numId w:val="0"/>
        </w:numPr>
      </w:pPr>
      <w:r>
        <w:rPr>
          <w:b/>
          <w:lang w:val="en-US"/>
        </w:rPr>
        <w:t>PSM study: Eflornithine + SOC versus SOC (via adjusted comparison to historical controls)</w:t>
      </w:r>
    </w:p>
    <w:p w14:paraId="35686754" w14:textId="77777777" w:rsidR="008F5BC9" w:rsidRDefault="008F5BC9" w:rsidP="008F5BC9">
      <w:pPr>
        <w:pStyle w:val="3-BodyText"/>
        <w:keepNext/>
        <w:keepLines/>
      </w:pPr>
      <w:r w:rsidRPr="7F2A1B4F">
        <w:t>The PSM study was undertaken by the Sponsor to more rigorously compare outcomes from Study 3b (Stratum 1) using patient-level data for SOC from Study ANBL0032. The statistical analysis plan for the PSM was developed with input from the FDA:</w:t>
      </w:r>
    </w:p>
    <w:p w14:paraId="0150C9FA" w14:textId="77777777" w:rsidR="008F5BC9" w:rsidRDefault="008F5BC9" w:rsidP="004B0787">
      <w:pPr>
        <w:pStyle w:val="3-BodyText"/>
        <w:numPr>
          <w:ilvl w:val="1"/>
          <w:numId w:val="10"/>
        </w:numPr>
        <w:ind w:left="993" w:hanging="284"/>
        <w:rPr>
          <w:lang w:val="en-US"/>
        </w:rPr>
      </w:pPr>
      <w:r>
        <w:t xml:space="preserve">Selection criteria were applied to identify patients (i) enrolled in Study 3b (Stratum 1, N=105) who would have met eligibility criteria for Study ANBL0032 and received maintenance treatment according to the Study ANBL0032 protocol, or (ii) enrolled in Study ANBL0032 (N=1,328), would have met eligibility criteria for Study 3b, but were not enrolled in Study 3b. The index date (time zero) used in the analysis for both groups was the date of last immunotherapy, and several comparison cohorts were identified from each study using slightly different selection criteria. </w:t>
      </w:r>
      <w:r w:rsidRPr="76B6F9DD">
        <w:rPr>
          <w:lang w:val="en-US"/>
        </w:rPr>
        <w:t>Due to overlapping enrolment timelines for Study 3b and Study ANBL0032, some patients who participated in Study ANBL0032 subsequently participated in Study 3b (n=87) and were excluded from the analysis.</w:t>
      </w:r>
    </w:p>
    <w:p w14:paraId="3860A217" w14:textId="3BD3AE1F" w:rsidR="00565784" w:rsidRPr="00565784" w:rsidRDefault="008F5BC9" w:rsidP="004B0787">
      <w:pPr>
        <w:pStyle w:val="3-BodyText"/>
        <w:numPr>
          <w:ilvl w:val="1"/>
          <w:numId w:val="10"/>
        </w:numPr>
        <w:spacing w:before="0" w:after="0"/>
        <w:ind w:left="993" w:hanging="284"/>
        <w:rPr>
          <w:lang w:val="en-US"/>
        </w:rPr>
      </w:pPr>
      <w:r w:rsidRPr="7F2A1B4F">
        <w:t xml:space="preserve">Propensity scores (PS) were then calculated using a logistic regression model controlling for </w:t>
      </w:r>
      <w:r w:rsidR="00BB727F">
        <w:t>the following</w:t>
      </w:r>
      <w:r w:rsidRPr="7F2A1B4F">
        <w:t xml:space="preserve"> baseline covariates: </w:t>
      </w:r>
    </w:p>
    <w:p w14:paraId="45D4169F" w14:textId="42CB9C26" w:rsidR="00A16995" w:rsidRPr="00A16995" w:rsidRDefault="008F5BC9" w:rsidP="004B0787">
      <w:pPr>
        <w:pStyle w:val="3-BodyText"/>
        <w:numPr>
          <w:ilvl w:val="1"/>
          <w:numId w:val="38"/>
        </w:numPr>
        <w:spacing w:before="0" w:after="0"/>
        <w:ind w:left="1560" w:hanging="284"/>
        <w:rPr>
          <w:lang w:val="en-US"/>
        </w:rPr>
      </w:pPr>
      <w:r w:rsidRPr="7F2A1B4F">
        <w:t xml:space="preserve">age at HRNB diagnosis </w:t>
      </w:r>
    </w:p>
    <w:p w14:paraId="7D4A7F12" w14:textId="1832432F" w:rsidR="00A16995" w:rsidRPr="00A16995" w:rsidRDefault="008F5BC9" w:rsidP="004B0787">
      <w:pPr>
        <w:pStyle w:val="3-BodyText"/>
        <w:numPr>
          <w:ilvl w:val="1"/>
          <w:numId w:val="38"/>
        </w:numPr>
        <w:spacing w:before="0" w:after="0"/>
        <w:ind w:left="1560" w:hanging="284"/>
        <w:rPr>
          <w:lang w:val="en-US"/>
        </w:rPr>
      </w:pPr>
      <w:r w:rsidRPr="7F2A1B4F">
        <w:t xml:space="preserve">sex </w:t>
      </w:r>
    </w:p>
    <w:p w14:paraId="301A056E" w14:textId="5B4832B2" w:rsidR="00A16995" w:rsidRPr="00A16995" w:rsidRDefault="008F5BC9" w:rsidP="004B0787">
      <w:pPr>
        <w:pStyle w:val="3-BodyText"/>
        <w:numPr>
          <w:ilvl w:val="1"/>
          <w:numId w:val="38"/>
        </w:numPr>
        <w:spacing w:before="0" w:after="0"/>
        <w:ind w:left="1560" w:hanging="284"/>
        <w:rPr>
          <w:lang w:val="en-US"/>
        </w:rPr>
      </w:pPr>
      <w:r w:rsidRPr="7F2A1B4F">
        <w:t xml:space="preserve">race </w:t>
      </w:r>
    </w:p>
    <w:p w14:paraId="046B220E" w14:textId="5198AE61" w:rsidR="00A16995" w:rsidRPr="00C07978" w:rsidRDefault="008F5BC9" w:rsidP="004B0787">
      <w:pPr>
        <w:pStyle w:val="3-BodyText"/>
        <w:numPr>
          <w:ilvl w:val="1"/>
          <w:numId w:val="38"/>
        </w:numPr>
        <w:spacing w:before="0" w:after="0"/>
        <w:ind w:left="1560" w:hanging="284"/>
        <w:rPr>
          <w:lang w:val="en-US"/>
        </w:rPr>
      </w:pPr>
      <w:r w:rsidRPr="7F2A1B4F">
        <w:t xml:space="preserve">INSS stage at HRNB diagnosis </w:t>
      </w:r>
    </w:p>
    <w:p w14:paraId="5428E81C" w14:textId="6966A417" w:rsidR="00A16995" w:rsidRPr="00A16995" w:rsidRDefault="008F5BC9" w:rsidP="004B0787">
      <w:pPr>
        <w:pStyle w:val="3-BodyText"/>
        <w:numPr>
          <w:ilvl w:val="1"/>
          <w:numId w:val="38"/>
        </w:numPr>
        <w:spacing w:before="0" w:after="0"/>
        <w:ind w:left="1560" w:hanging="284"/>
        <w:rPr>
          <w:lang w:val="en-US"/>
        </w:rPr>
      </w:pPr>
      <w:r w:rsidRPr="7F2A1B4F">
        <w:t xml:space="preserve">pre-ASCT response </w:t>
      </w:r>
    </w:p>
    <w:p w14:paraId="66F84000" w14:textId="21B1F2EE" w:rsidR="00A16995" w:rsidRPr="00A16995" w:rsidRDefault="008F5BC9" w:rsidP="004B0787">
      <w:pPr>
        <w:pStyle w:val="3-BodyText"/>
        <w:numPr>
          <w:ilvl w:val="1"/>
          <w:numId w:val="38"/>
        </w:numPr>
        <w:spacing w:before="0" w:after="0"/>
        <w:ind w:left="1560" w:hanging="284"/>
        <w:rPr>
          <w:lang w:val="en-US"/>
        </w:rPr>
      </w:pPr>
      <w:r w:rsidRPr="7F2A1B4F">
        <w:t xml:space="preserve">transplant type </w:t>
      </w:r>
    </w:p>
    <w:p w14:paraId="6B890D28" w14:textId="77777777" w:rsidR="00483DBF" w:rsidRDefault="008F5BC9" w:rsidP="004B0787">
      <w:pPr>
        <w:pStyle w:val="3-BodyText"/>
        <w:numPr>
          <w:ilvl w:val="1"/>
          <w:numId w:val="38"/>
        </w:numPr>
        <w:spacing w:before="0" w:after="0"/>
        <w:ind w:left="1560" w:hanging="284"/>
        <w:rPr>
          <w:lang w:val="en-US"/>
        </w:rPr>
      </w:pPr>
      <w:r w:rsidRPr="7F2A1B4F">
        <w:t xml:space="preserve">time from ASCT to start of immunotherapy </w:t>
      </w:r>
    </w:p>
    <w:p w14:paraId="71C5E154" w14:textId="3DB53397" w:rsidR="00A16995" w:rsidRPr="00A16995" w:rsidRDefault="008F5BC9" w:rsidP="004B0787">
      <w:pPr>
        <w:pStyle w:val="3-BodyText"/>
        <w:numPr>
          <w:ilvl w:val="1"/>
          <w:numId w:val="38"/>
        </w:numPr>
        <w:spacing w:before="0" w:after="0"/>
        <w:ind w:left="1560" w:hanging="284"/>
        <w:rPr>
          <w:lang w:val="en-US"/>
        </w:rPr>
      </w:pPr>
      <w:r w:rsidRPr="7F2A1B4F">
        <w:t xml:space="preserve">duration of immunotherapy </w:t>
      </w:r>
    </w:p>
    <w:p w14:paraId="512AF5B1" w14:textId="77777777" w:rsidR="00051D78" w:rsidRPr="00051D78" w:rsidRDefault="008F5BC9" w:rsidP="004B0787">
      <w:pPr>
        <w:pStyle w:val="3-BodyText"/>
        <w:numPr>
          <w:ilvl w:val="1"/>
          <w:numId w:val="38"/>
        </w:numPr>
        <w:spacing w:before="0"/>
        <w:ind w:left="1560" w:hanging="284"/>
        <w:rPr>
          <w:lang w:val="en-US"/>
        </w:rPr>
      </w:pPr>
      <w:r w:rsidRPr="7F2A1B4F">
        <w:t xml:space="preserve">overall response at end of immunotherapy. </w:t>
      </w:r>
    </w:p>
    <w:p w14:paraId="136121BD" w14:textId="4A0C33C5" w:rsidR="008F5BC9" w:rsidRPr="006178B1" w:rsidRDefault="008F5BC9" w:rsidP="004B0787">
      <w:pPr>
        <w:pStyle w:val="3-BodyText"/>
        <w:numPr>
          <w:ilvl w:val="0"/>
          <w:numId w:val="0"/>
        </w:numPr>
        <w:ind w:left="993"/>
        <w:rPr>
          <w:lang w:val="en-US"/>
        </w:rPr>
      </w:pPr>
      <w:r w:rsidRPr="7F2A1B4F">
        <w:lastRenderedPageBreak/>
        <w:t>Patients with similar PS scores from each study were included in the analysis (i.e. outliers were excluded), and patients were matched 1:3 (eflornithine: no eflornithine) based on a greedy nearest neighbour matching of PS plus exact matching on myelocytomatosis viral oncogene neuroblastoma (MYCN) category (amplified/not amplified).</w:t>
      </w:r>
    </w:p>
    <w:p w14:paraId="1057FFB2" w14:textId="77777777" w:rsidR="008F5BC9" w:rsidRDefault="008F5BC9" w:rsidP="004B0787">
      <w:pPr>
        <w:pStyle w:val="3-BodyText"/>
        <w:numPr>
          <w:ilvl w:val="1"/>
          <w:numId w:val="10"/>
        </w:numPr>
        <w:ind w:left="993" w:hanging="284"/>
      </w:pPr>
      <w:r>
        <w:t>After matching, covariate balance was assessed using standardised differences (±0.1) and adjustments to the matching algorithm were made when adequate balance was not achieved. The matched groups were then compared for EFS and OS using an unadjusted Cox proportional hazards model controlling only for treatment (eflornithine versus no eflornithine).</w:t>
      </w:r>
    </w:p>
    <w:p w14:paraId="1AF8F8D7" w14:textId="0E99D3AA" w:rsidR="008F5BC9" w:rsidRPr="00AA1240" w:rsidRDefault="008F5BC9" w:rsidP="008F5BC9">
      <w:pPr>
        <w:pStyle w:val="3-BodyText"/>
      </w:pPr>
      <w:r>
        <w:t xml:space="preserve">The base case in the PSM analysis matched treated patients in the ‘Eflornithine PER COG – complete case’ cohort (n=91) to control patients in the ‘NO eflornithine – complete case’ cohort (N=516). All patients received the same upfront therapy as per the COG protocol and complete case was defined as patients with no missing covariates, resulting in 90 treated patients matched to 270 control patients. </w:t>
      </w:r>
      <w:r w:rsidRPr="00DD5186">
        <w:t>The evaluation and the ESC noted that the groups were well balanced a</w:t>
      </w:r>
      <w:r w:rsidRPr="00AA1240">
        <w:t>cross the selected covariates both before and after the PSM.</w:t>
      </w:r>
    </w:p>
    <w:p w14:paraId="5C6F0F88" w14:textId="0A643BB2" w:rsidR="008F5BC9" w:rsidRPr="00AA1240" w:rsidRDefault="008F5BC9" w:rsidP="008F5BC9">
      <w:pPr>
        <w:pStyle w:val="3-BodyText"/>
        <w:spacing w:line="259" w:lineRule="auto"/>
      </w:pPr>
      <w:r w:rsidRPr="7F2A1B4F">
        <w:t xml:space="preserve">Despite matching on a variety of patient characteristics and index date, the adjusted comparisons presented in the PSM study were considered </w:t>
      </w:r>
      <w:r w:rsidRPr="00DD5186">
        <w:t>by the evaluation</w:t>
      </w:r>
      <w:r w:rsidRPr="7F2A1B4F">
        <w:t xml:space="preserve"> to have a moderate degree of bias. Several factors related to patient clinical profile or their care were unable to be included in the PSM algorithm as data were not available (in either one or both databases), including: neuroblastoma histology, number of immunotherapy cycles, socio-economic status, insurance status, geographic location, patient travel distance to study sites, surgery for tumour removal and end-consolidation response. </w:t>
      </w:r>
      <w:r w:rsidRPr="00DD5186">
        <w:t>While post-hoc analyses have shown that the study populations were generally similar for some variables not included as covariates in the PSM,</w:t>
      </w:r>
      <w:r w:rsidRPr="7F2A1B4F">
        <w:rPr>
          <w:i/>
          <w:iCs/>
        </w:rPr>
        <w:t xml:space="preserve"> </w:t>
      </w:r>
      <w:r w:rsidRPr="7F2A1B4F">
        <w:t xml:space="preserve">the impact of residual confounding resulting from unmeasured covariates was unknown. The </w:t>
      </w:r>
      <w:r w:rsidRPr="00DD5186">
        <w:t>evaluation noted that</w:t>
      </w:r>
      <w:r w:rsidRPr="7F2A1B4F">
        <w:t xml:space="preserve"> results of the PSM study should be interpreted in this context. In addition, some patients were excluded prior to PSM either (i) due to selection criteria to align the two patient populations in Study 3b and ANB0032 or (ii)</w:t>
      </w:r>
      <w:r w:rsidR="00E720AA">
        <w:t> </w:t>
      </w:r>
      <w:r w:rsidRPr="7F2A1B4F">
        <w:t xml:space="preserve">due to missing data. </w:t>
      </w:r>
    </w:p>
    <w:p w14:paraId="332514E9" w14:textId="77777777" w:rsidR="001C7EDF" w:rsidRDefault="001C7EDF">
      <w:pPr>
        <w:jc w:val="left"/>
        <w:rPr>
          <w:rFonts w:asciiTheme="minorHAnsi" w:eastAsiaTheme="majorEastAsia" w:hAnsiTheme="minorHAnsi" w:cstheme="majorBidi"/>
          <w:b/>
          <w:i/>
          <w:spacing w:val="5"/>
          <w:kern w:val="28"/>
          <w:sz w:val="28"/>
          <w:szCs w:val="36"/>
        </w:rPr>
      </w:pPr>
      <w:r>
        <w:br w:type="page"/>
      </w:r>
    </w:p>
    <w:p w14:paraId="580C1086" w14:textId="14F26BFA" w:rsidR="00D137A3" w:rsidRPr="00C9624D" w:rsidRDefault="00D137A3" w:rsidP="00181C64">
      <w:pPr>
        <w:pStyle w:val="4-SubsectionHeading"/>
        <w:keepLines/>
      </w:pPr>
      <w:r w:rsidRPr="00C9624D">
        <w:lastRenderedPageBreak/>
        <w:t>Comparative effectiveness</w:t>
      </w:r>
      <w:bookmarkEnd w:id="30"/>
      <w:bookmarkEnd w:id="31"/>
      <w:bookmarkEnd w:id="32"/>
    </w:p>
    <w:p w14:paraId="638B40C1" w14:textId="098C6831" w:rsidR="00181C64" w:rsidRDefault="00181C64" w:rsidP="00181C64">
      <w:pPr>
        <w:pStyle w:val="3-BodyText"/>
        <w:keepNext/>
        <w:keepLines/>
        <w:numPr>
          <w:ilvl w:val="0"/>
          <w:numId w:val="0"/>
        </w:numPr>
        <w:spacing w:after="0"/>
        <w:ind w:left="720" w:hanging="720"/>
        <w:rPr>
          <w:b/>
          <w:bCs/>
        </w:rPr>
      </w:pPr>
      <w:r>
        <w:rPr>
          <w:b/>
          <w:bCs/>
        </w:rPr>
        <w:t>STRATUM 1 AND STRATUM 2 PATIENTS</w:t>
      </w:r>
    </w:p>
    <w:p w14:paraId="4C26077C" w14:textId="607AD6B1" w:rsidR="004D10ED" w:rsidRDefault="0084117C" w:rsidP="00181C64">
      <w:pPr>
        <w:pStyle w:val="3-BodyText"/>
        <w:keepNext/>
        <w:keepLines/>
        <w:numPr>
          <w:ilvl w:val="0"/>
          <w:numId w:val="0"/>
        </w:numPr>
        <w:ind w:left="720" w:hanging="720"/>
      </w:pPr>
      <w:r>
        <w:rPr>
          <w:b/>
          <w:bCs/>
        </w:rPr>
        <w:t xml:space="preserve">Study 3b: </w:t>
      </w:r>
      <w:r w:rsidR="004D10ED" w:rsidRPr="00493E06">
        <w:rPr>
          <w:b/>
          <w:bCs/>
        </w:rPr>
        <w:t>Eflornithine + SOC versus SOC (via unadjusted comparison to historical controls)</w:t>
      </w:r>
    </w:p>
    <w:p w14:paraId="5396DBC5" w14:textId="5813F5E3" w:rsidR="00D137A3" w:rsidRDefault="00D137A3" w:rsidP="00D137A3">
      <w:pPr>
        <w:pStyle w:val="Caption"/>
      </w:pPr>
      <w:r w:rsidRPr="006127FD">
        <w:fldChar w:fldCharType="begin" w:fldLock="1"/>
      </w:r>
      <w:r w:rsidRPr="006127FD">
        <w:instrText xml:space="preserve"> REF _Ref187334168 \h </w:instrText>
      </w:r>
      <w:r>
        <w:instrText xml:space="preserve"> \* MERGEFORMAT </w:instrText>
      </w:r>
      <w:r w:rsidRPr="006127FD">
        <w:fldChar w:fldCharType="separate"/>
      </w:r>
      <w:r w:rsidR="00AF2AB7" w:rsidRPr="00AF2AB7">
        <w:rPr>
          <w:rFonts w:eastAsiaTheme="majorEastAsia"/>
        </w:rPr>
        <w:t>Table 4</w:t>
      </w:r>
      <w:r w:rsidRPr="006127FD">
        <w:fldChar w:fldCharType="end"/>
      </w:r>
      <w:r w:rsidRPr="006127FD">
        <w:t xml:space="preserve"> </w:t>
      </w:r>
      <w:r w:rsidRPr="006127FD">
        <w:rPr>
          <w:lang w:val="en-US"/>
        </w:rPr>
        <w:t xml:space="preserve">and </w:t>
      </w:r>
      <w:r>
        <w:rPr>
          <w:lang w:val="en-US"/>
        </w:rPr>
        <w:fldChar w:fldCharType="begin" w:fldLock="1"/>
      </w:r>
      <w:r>
        <w:rPr>
          <w:lang w:val="en-US"/>
        </w:rPr>
        <w:instrText xml:space="preserve"> REF _Ref187334409 \h </w:instrText>
      </w:r>
      <w:r>
        <w:rPr>
          <w:lang w:val="en-US"/>
        </w:rPr>
      </w:r>
      <w:r>
        <w:rPr>
          <w:lang w:val="en-US"/>
        </w:rPr>
        <w:fldChar w:fldCharType="separate"/>
      </w:r>
      <w:r w:rsidR="00AF2AB7">
        <w:t xml:space="preserve">Figure </w:t>
      </w:r>
      <w:r w:rsidR="00AF2AB7">
        <w:rPr>
          <w:noProof/>
        </w:rPr>
        <w:t>1</w:t>
      </w:r>
      <w:r>
        <w:rPr>
          <w:lang w:val="en-US"/>
        </w:rPr>
        <w:fldChar w:fldCharType="end"/>
      </w:r>
      <w:r w:rsidRPr="006127FD">
        <w:rPr>
          <w:lang w:val="en-US"/>
        </w:rPr>
        <w:t xml:space="preserve"> present EFS and OS in Study 3b for Stratum 1 and Stratum 2 </w:t>
      </w:r>
      <w:r w:rsidR="001C7EDF" w:rsidRPr="7F2A1B4F">
        <w:t>myelocytomatosis</w:t>
      </w:r>
    </w:p>
    <w:tbl>
      <w:tblPr>
        <w:tblStyle w:val="TableGrid"/>
        <w:tblW w:w="0" w:type="auto"/>
        <w:tblCellMar>
          <w:left w:w="28" w:type="dxa"/>
          <w:right w:w="28" w:type="dxa"/>
        </w:tblCellMar>
        <w:tblLook w:val="04A0" w:firstRow="1" w:lastRow="0" w:firstColumn="1" w:lastColumn="0" w:noHBand="0" w:noVBand="1"/>
        <w:tblCaption w:val="Table 4: EFS and OS in Study 3b for Stratum 1 and Stratum 2 myelocytomatosis"/>
      </w:tblPr>
      <w:tblGrid>
        <w:gridCol w:w="2534"/>
        <w:gridCol w:w="1080"/>
        <w:gridCol w:w="1081"/>
        <w:gridCol w:w="1080"/>
        <w:gridCol w:w="1081"/>
        <w:gridCol w:w="1080"/>
        <w:gridCol w:w="1081"/>
      </w:tblGrid>
      <w:tr w:rsidR="00D137A3" w:rsidRPr="009642D0" w14:paraId="1B24A7BF" w14:textId="77777777" w:rsidTr="7F2A1B4F">
        <w:tc>
          <w:tcPr>
            <w:tcW w:w="2534" w:type="dxa"/>
            <w:vMerge w:val="restart"/>
            <w:vAlign w:val="center"/>
          </w:tcPr>
          <w:p w14:paraId="5D7A01A9" w14:textId="77777777" w:rsidR="00D137A3" w:rsidRPr="009642D0" w:rsidRDefault="00D137A3" w:rsidP="00D137A3">
            <w:pPr>
              <w:keepNext/>
              <w:jc w:val="center"/>
              <w:rPr>
                <w:rFonts w:ascii="Arial Narrow" w:hAnsi="Arial Narrow"/>
                <w:sz w:val="20"/>
                <w:szCs w:val="20"/>
              </w:rPr>
            </w:pPr>
          </w:p>
        </w:tc>
        <w:tc>
          <w:tcPr>
            <w:tcW w:w="3241" w:type="dxa"/>
            <w:gridSpan w:val="3"/>
            <w:vAlign w:val="center"/>
          </w:tcPr>
          <w:p w14:paraId="2C9E9C38" w14:textId="77777777" w:rsidR="00D137A3" w:rsidRPr="009642D0" w:rsidRDefault="00D137A3" w:rsidP="00D137A3">
            <w:pPr>
              <w:keepNext/>
              <w:jc w:val="center"/>
              <w:rPr>
                <w:rFonts w:ascii="Arial Narrow" w:hAnsi="Arial Narrow"/>
                <w:b/>
                <w:sz w:val="20"/>
                <w:szCs w:val="20"/>
              </w:rPr>
            </w:pPr>
            <w:r>
              <w:rPr>
                <w:rFonts w:ascii="Arial Narrow" w:hAnsi="Arial Narrow"/>
                <w:b/>
                <w:sz w:val="20"/>
                <w:szCs w:val="20"/>
              </w:rPr>
              <w:t>Stratum 1</w:t>
            </w:r>
          </w:p>
        </w:tc>
        <w:tc>
          <w:tcPr>
            <w:tcW w:w="3242" w:type="dxa"/>
            <w:gridSpan w:val="3"/>
            <w:vAlign w:val="center"/>
          </w:tcPr>
          <w:p w14:paraId="5BDBD26E" w14:textId="77777777" w:rsidR="00D137A3" w:rsidRPr="009642D0" w:rsidRDefault="00D137A3" w:rsidP="00D137A3">
            <w:pPr>
              <w:keepNext/>
              <w:jc w:val="center"/>
              <w:rPr>
                <w:rFonts w:ascii="Arial Narrow" w:hAnsi="Arial Narrow"/>
                <w:b/>
                <w:sz w:val="20"/>
                <w:szCs w:val="20"/>
              </w:rPr>
            </w:pPr>
            <w:r w:rsidRPr="009642D0">
              <w:rPr>
                <w:rFonts w:ascii="Arial Narrow" w:hAnsi="Arial Narrow"/>
                <w:b/>
                <w:sz w:val="20"/>
                <w:szCs w:val="20"/>
              </w:rPr>
              <w:t>Stratum 2</w:t>
            </w:r>
          </w:p>
        </w:tc>
      </w:tr>
      <w:tr w:rsidR="00D137A3" w:rsidRPr="009642D0" w14:paraId="46E01B5A" w14:textId="77777777" w:rsidTr="7F2A1B4F">
        <w:tc>
          <w:tcPr>
            <w:tcW w:w="2534" w:type="dxa"/>
            <w:vMerge/>
            <w:vAlign w:val="center"/>
          </w:tcPr>
          <w:p w14:paraId="6843FF6F" w14:textId="77777777" w:rsidR="00D137A3" w:rsidRPr="009642D0" w:rsidRDefault="00D137A3" w:rsidP="00D137A3">
            <w:pPr>
              <w:keepNext/>
              <w:jc w:val="center"/>
              <w:rPr>
                <w:rFonts w:ascii="Arial Narrow" w:hAnsi="Arial Narrow"/>
                <w:sz w:val="20"/>
                <w:szCs w:val="20"/>
              </w:rPr>
            </w:pPr>
          </w:p>
        </w:tc>
        <w:tc>
          <w:tcPr>
            <w:tcW w:w="1080" w:type="dxa"/>
            <w:vAlign w:val="center"/>
          </w:tcPr>
          <w:p w14:paraId="13AB363F" w14:textId="77777777" w:rsidR="00D137A3" w:rsidRDefault="00D137A3" w:rsidP="00D137A3">
            <w:pPr>
              <w:keepNext/>
              <w:jc w:val="center"/>
              <w:rPr>
                <w:rFonts w:ascii="Arial Narrow" w:hAnsi="Arial Narrow"/>
                <w:b/>
                <w:sz w:val="20"/>
                <w:szCs w:val="20"/>
              </w:rPr>
            </w:pPr>
            <w:r w:rsidRPr="009642D0">
              <w:rPr>
                <w:rFonts w:ascii="Arial Narrow" w:hAnsi="Arial Narrow"/>
                <w:b/>
                <w:sz w:val="20"/>
                <w:szCs w:val="20"/>
              </w:rPr>
              <w:t>Eflornithine</w:t>
            </w:r>
          </w:p>
          <w:p w14:paraId="2A4CB819" w14:textId="77777777" w:rsidR="00D137A3" w:rsidRPr="009642D0" w:rsidRDefault="00D137A3" w:rsidP="00D137A3">
            <w:pPr>
              <w:keepNext/>
              <w:jc w:val="center"/>
              <w:rPr>
                <w:rFonts w:ascii="Arial Narrow" w:hAnsi="Arial Narrow"/>
                <w:b/>
                <w:sz w:val="20"/>
                <w:szCs w:val="20"/>
              </w:rPr>
            </w:pPr>
            <w:r>
              <w:rPr>
                <w:rFonts w:ascii="Arial Narrow" w:hAnsi="Arial Narrow"/>
                <w:b/>
                <w:sz w:val="20"/>
                <w:szCs w:val="20"/>
              </w:rPr>
              <w:t>(N=105)</w:t>
            </w:r>
          </w:p>
        </w:tc>
        <w:tc>
          <w:tcPr>
            <w:tcW w:w="1081" w:type="dxa"/>
            <w:vAlign w:val="center"/>
          </w:tcPr>
          <w:p w14:paraId="5C3F6D2C" w14:textId="77777777" w:rsidR="00D137A3" w:rsidRPr="006D2647" w:rsidRDefault="00D137A3" w:rsidP="7F2A1B4F">
            <w:pPr>
              <w:keepNext/>
              <w:jc w:val="center"/>
              <w:rPr>
                <w:rFonts w:ascii="Arial Narrow" w:hAnsi="Arial Narrow"/>
                <w:b/>
                <w:bCs/>
                <w:sz w:val="20"/>
                <w:szCs w:val="20"/>
                <w:vertAlign w:val="superscript"/>
              </w:rPr>
            </w:pPr>
            <w:r w:rsidRPr="7F2A1B4F">
              <w:rPr>
                <w:rFonts w:ascii="Arial Narrow" w:hAnsi="Arial Narrow"/>
                <w:b/>
                <w:bCs/>
                <w:sz w:val="20"/>
                <w:szCs w:val="20"/>
              </w:rPr>
              <w:t>Historical control</w:t>
            </w:r>
            <w:r w:rsidRPr="7F2A1B4F">
              <w:rPr>
                <w:rFonts w:ascii="Arial Narrow" w:hAnsi="Arial Narrow"/>
                <w:b/>
                <w:bCs/>
                <w:sz w:val="20"/>
                <w:szCs w:val="20"/>
                <w:vertAlign w:val="superscript"/>
              </w:rPr>
              <w:t>a</w:t>
            </w:r>
          </w:p>
        </w:tc>
        <w:tc>
          <w:tcPr>
            <w:tcW w:w="1080" w:type="dxa"/>
            <w:vAlign w:val="center"/>
          </w:tcPr>
          <w:p w14:paraId="084C25E0" w14:textId="77777777" w:rsidR="00D137A3" w:rsidRPr="009642D0" w:rsidRDefault="00D137A3" w:rsidP="00D137A3">
            <w:pPr>
              <w:keepNext/>
              <w:jc w:val="center"/>
              <w:rPr>
                <w:rFonts w:ascii="Arial Narrow" w:hAnsi="Arial Narrow"/>
                <w:b/>
                <w:sz w:val="20"/>
                <w:szCs w:val="20"/>
              </w:rPr>
            </w:pPr>
            <w:r>
              <w:rPr>
                <w:rFonts w:ascii="Arial Narrow" w:hAnsi="Arial Narrow"/>
                <w:b/>
                <w:sz w:val="20"/>
                <w:szCs w:val="20"/>
              </w:rPr>
              <w:t>p-value</w:t>
            </w:r>
          </w:p>
        </w:tc>
        <w:tc>
          <w:tcPr>
            <w:tcW w:w="1081" w:type="dxa"/>
            <w:vAlign w:val="center"/>
          </w:tcPr>
          <w:p w14:paraId="6C55C3A3" w14:textId="77777777" w:rsidR="00D137A3" w:rsidRPr="00AD2D87" w:rsidRDefault="00D137A3" w:rsidP="00D137A3">
            <w:pPr>
              <w:keepNext/>
              <w:jc w:val="center"/>
              <w:rPr>
                <w:rFonts w:ascii="Arial Narrow" w:hAnsi="Arial Narrow"/>
                <w:b/>
                <w:sz w:val="20"/>
                <w:szCs w:val="20"/>
              </w:rPr>
            </w:pPr>
            <w:r w:rsidRPr="00AD2D87">
              <w:rPr>
                <w:rFonts w:ascii="Arial Narrow" w:hAnsi="Arial Narrow"/>
                <w:b/>
                <w:sz w:val="20"/>
                <w:szCs w:val="20"/>
              </w:rPr>
              <w:t>Eflornithine</w:t>
            </w:r>
          </w:p>
          <w:p w14:paraId="313F2613" w14:textId="77777777" w:rsidR="00D137A3" w:rsidRPr="00AD2D87" w:rsidRDefault="00D137A3" w:rsidP="00D137A3">
            <w:pPr>
              <w:keepNext/>
              <w:jc w:val="center"/>
              <w:rPr>
                <w:rFonts w:ascii="Arial Narrow" w:hAnsi="Arial Narrow"/>
                <w:b/>
                <w:sz w:val="20"/>
                <w:szCs w:val="20"/>
              </w:rPr>
            </w:pPr>
            <w:r w:rsidRPr="00AD2D87">
              <w:rPr>
                <w:rFonts w:ascii="Arial Narrow" w:hAnsi="Arial Narrow"/>
                <w:b/>
                <w:sz w:val="20"/>
                <w:szCs w:val="20"/>
              </w:rPr>
              <w:t>(N=</w:t>
            </w:r>
            <w:r>
              <w:rPr>
                <w:rFonts w:ascii="Arial Narrow" w:hAnsi="Arial Narrow"/>
                <w:b/>
                <w:sz w:val="20"/>
                <w:szCs w:val="20"/>
              </w:rPr>
              <w:t>3</w:t>
            </w:r>
            <w:r w:rsidRPr="00AB6128">
              <w:rPr>
                <w:rFonts w:ascii="Arial Narrow" w:hAnsi="Arial Narrow"/>
                <w:b/>
                <w:sz w:val="20"/>
                <w:szCs w:val="20"/>
              </w:rPr>
              <w:t>5</w:t>
            </w:r>
            <w:r w:rsidRPr="00AD2D87">
              <w:rPr>
                <w:rFonts w:ascii="Arial Narrow" w:hAnsi="Arial Narrow"/>
                <w:b/>
                <w:sz w:val="20"/>
                <w:szCs w:val="20"/>
              </w:rPr>
              <w:t>)</w:t>
            </w:r>
          </w:p>
        </w:tc>
        <w:tc>
          <w:tcPr>
            <w:tcW w:w="1080" w:type="dxa"/>
            <w:vAlign w:val="center"/>
          </w:tcPr>
          <w:p w14:paraId="5EA46311" w14:textId="77777777" w:rsidR="00D137A3" w:rsidRPr="006D2647" w:rsidRDefault="00D137A3" w:rsidP="7F2A1B4F">
            <w:pPr>
              <w:keepNext/>
              <w:jc w:val="center"/>
              <w:rPr>
                <w:rFonts w:ascii="Arial Narrow" w:hAnsi="Arial Narrow"/>
                <w:sz w:val="20"/>
                <w:szCs w:val="20"/>
                <w:vertAlign w:val="superscript"/>
              </w:rPr>
            </w:pPr>
            <w:r w:rsidRPr="7F2A1B4F">
              <w:rPr>
                <w:rFonts w:ascii="Arial Narrow" w:hAnsi="Arial Narrow"/>
                <w:b/>
                <w:bCs/>
                <w:sz w:val="20"/>
                <w:szCs w:val="20"/>
              </w:rPr>
              <w:t>Historical control</w:t>
            </w:r>
            <w:r w:rsidRPr="7F2A1B4F">
              <w:rPr>
                <w:rFonts w:ascii="Arial Narrow" w:hAnsi="Arial Narrow"/>
                <w:b/>
                <w:bCs/>
                <w:sz w:val="20"/>
                <w:szCs w:val="20"/>
                <w:vertAlign w:val="superscript"/>
              </w:rPr>
              <w:t>b</w:t>
            </w:r>
          </w:p>
        </w:tc>
        <w:tc>
          <w:tcPr>
            <w:tcW w:w="1081" w:type="dxa"/>
            <w:vAlign w:val="center"/>
          </w:tcPr>
          <w:p w14:paraId="63797DE8" w14:textId="77777777" w:rsidR="00D137A3" w:rsidRPr="009642D0" w:rsidRDefault="00D137A3" w:rsidP="00D137A3">
            <w:pPr>
              <w:keepNext/>
              <w:jc w:val="center"/>
              <w:rPr>
                <w:rFonts w:ascii="Arial Narrow" w:hAnsi="Arial Narrow"/>
                <w:b/>
                <w:sz w:val="20"/>
                <w:szCs w:val="20"/>
              </w:rPr>
            </w:pPr>
            <w:r>
              <w:rPr>
                <w:rFonts w:ascii="Arial Narrow" w:hAnsi="Arial Narrow"/>
                <w:b/>
                <w:sz w:val="20"/>
                <w:szCs w:val="20"/>
              </w:rPr>
              <w:t>p-value</w:t>
            </w:r>
          </w:p>
        </w:tc>
      </w:tr>
      <w:tr w:rsidR="00D137A3" w:rsidRPr="009642D0" w14:paraId="1A60B5B2" w14:textId="77777777" w:rsidTr="7F2A1B4F">
        <w:tc>
          <w:tcPr>
            <w:tcW w:w="9017" w:type="dxa"/>
            <w:gridSpan w:val="7"/>
            <w:tcBorders>
              <w:bottom w:val="single" w:sz="4" w:space="0" w:color="auto"/>
            </w:tcBorders>
          </w:tcPr>
          <w:p w14:paraId="1E861F05" w14:textId="77777777" w:rsidR="00D137A3" w:rsidRPr="009642D0" w:rsidRDefault="00D137A3" w:rsidP="00D137A3">
            <w:pPr>
              <w:keepNext/>
              <w:rPr>
                <w:rFonts w:ascii="Arial Narrow" w:hAnsi="Arial Narrow"/>
                <w:b/>
                <w:sz w:val="20"/>
                <w:szCs w:val="20"/>
              </w:rPr>
            </w:pPr>
            <w:r w:rsidRPr="009642D0">
              <w:rPr>
                <w:rFonts w:ascii="Arial Narrow" w:hAnsi="Arial Narrow"/>
                <w:b/>
                <w:sz w:val="20"/>
                <w:szCs w:val="20"/>
              </w:rPr>
              <w:t>EFS</w:t>
            </w:r>
          </w:p>
        </w:tc>
      </w:tr>
      <w:tr w:rsidR="00D137A3" w:rsidRPr="009642D0" w14:paraId="50DB6328" w14:textId="77777777" w:rsidTr="7F2A1B4F">
        <w:tc>
          <w:tcPr>
            <w:tcW w:w="2534" w:type="dxa"/>
            <w:tcBorders>
              <w:bottom w:val="nil"/>
            </w:tcBorders>
            <w:vAlign w:val="center"/>
          </w:tcPr>
          <w:p w14:paraId="0B272DF5" w14:textId="77777777" w:rsidR="00D137A3" w:rsidRPr="009642D0" w:rsidRDefault="00D137A3" w:rsidP="00D137A3">
            <w:pPr>
              <w:keepNext/>
              <w:rPr>
                <w:rFonts w:ascii="Arial Narrow" w:hAnsi="Arial Narrow"/>
                <w:sz w:val="20"/>
                <w:szCs w:val="20"/>
              </w:rPr>
            </w:pPr>
            <w:r w:rsidRPr="009642D0">
              <w:rPr>
                <w:rFonts w:ascii="Arial Narrow" w:hAnsi="Arial Narrow"/>
                <w:sz w:val="20"/>
                <w:szCs w:val="20"/>
              </w:rPr>
              <w:t>Patients with event n/N (%)</w:t>
            </w:r>
          </w:p>
        </w:tc>
        <w:tc>
          <w:tcPr>
            <w:tcW w:w="1080" w:type="dxa"/>
            <w:tcBorders>
              <w:bottom w:val="nil"/>
            </w:tcBorders>
            <w:vAlign w:val="center"/>
          </w:tcPr>
          <w:p w14:paraId="791ABDA2"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NR</w:t>
            </w:r>
          </w:p>
        </w:tc>
        <w:tc>
          <w:tcPr>
            <w:tcW w:w="1081" w:type="dxa"/>
            <w:tcBorders>
              <w:bottom w:val="nil"/>
            </w:tcBorders>
          </w:tcPr>
          <w:p w14:paraId="11E9E172"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0" w:type="dxa"/>
            <w:tcBorders>
              <w:bottom w:val="nil"/>
            </w:tcBorders>
          </w:tcPr>
          <w:p w14:paraId="547A93FA"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1" w:type="dxa"/>
            <w:tcBorders>
              <w:bottom w:val="nil"/>
            </w:tcBorders>
            <w:vAlign w:val="center"/>
          </w:tcPr>
          <w:p w14:paraId="7D8BB52F"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NR</w:t>
            </w:r>
          </w:p>
        </w:tc>
        <w:tc>
          <w:tcPr>
            <w:tcW w:w="1080" w:type="dxa"/>
            <w:tcBorders>
              <w:bottom w:val="nil"/>
            </w:tcBorders>
          </w:tcPr>
          <w:p w14:paraId="73B2C455"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1" w:type="dxa"/>
            <w:tcBorders>
              <w:bottom w:val="nil"/>
            </w:tcBorders>
          </w:tcPr>
          <w:p w14:paraId="2C22DF40" w14:textId="77777777" w:rsidR="00D137A3" w:rsidRPr="009642D0" w:rsidRDefault="00D137A3" w:rsidP="00D137A3">
            <w:pPr>
              <w:keepNext/>
              <w:jc w:val="center"/>
              <w:rPr>
                <w:rFonts w:ascii="Arial Narrow" w:hAnsi="Arial Narrow"/>
                <w:sz w:val="20"/>
                <w:szCs w:val="20"/>
              </w:rPr>
            </w:pPr>
            <w:r>
              <w:rPr>
                <w:rFonts w:ascii="Arial Narrow" w:hAnsi="Arial Narrow"/>
                <w:sz w:val="20"/>
                <w:szCs w:val="20"/>
              </w:rPr>
              <w:t>-</w:t>
            </w:r>
          </w:p>
        </w:tc>
      </w:tr>
      <w:tr w:rsidR="00D137A3" w:rsidRPr="009642D0" w14:paraId="14FE5095" w14:textId="77777777" w:rsidTr="7F2A1B4F">
        <w:tc>
          <w:tcPr>
            <w:tcW w:w="2534" w:type="dxa"/>
            <w:tcBorders>
              <w:top w:val="nil"/>
              <w:bottom w:val="nil"/>
            </w:tcBorders>
            <w:vAlign w:val="center"/>
          </w:tcPr>
          <w:p w14:paraId="0B77C542" w14:textId="77777777" w:rsidR="00D137A3" w:rsidRPr="009642D0" w:rsidRDefault="00D137A3" w:rsidP="00D137A3">
            <w:pPr>
              <w:keepNext/>
              <w:rPr>
                <w:rFonts w:ascii="Arial Narrow" w:hAnsi="Arial Narrow"/>
                <w:sz w:val="20"/>
                <w:szCs w:val="20"/>
              </w:rPr>
            </w:pPr>
            <w:r w:rsidRPr="009642D0">
              <w:rPr>
                <w:rFonts w:ascii="Arial Narrow" w:hAnsi="Arial Narrow"/>
                <w:sz w:val="20"/>
                <w:szCs w:val="20"/>
              </w:rPr>
              <w:t xml:space="preserve">Median </w:t>
            </w:r>
            <w:r>
              <w:rPr>
                <w:rFonts w:ascii="Arial Narrow" w:hAnsi="Arial Narrow"/>
                <w:sz w:val="20"/>
                <w:szCs w:val="20"/>
              </w:rPr>
              <w:t>E</w:t>
            </w:r>
            <w:r w:rsidRPr="009642D0">
              <w:rPr>
                <w:rFonts w:ascii="Arial Narrow" w:hAnsi="Arial Narrow"/>
                <w:sz w:val="20"/>
                <w:szCs w:val="20"/>
              </w:rPr>
              <w:t>FS months (95% CI)</w:t>
            </w:r>
          </w:p>
        </w:tc>
        <w:tc>
          <w:tcPr>
            <w:tcW w:w="1080" w:type="dxa"/>
            <w:tcBorders>
              <w:top w:val="nil"/>
              <w:bottom w:val="nil"/>
            </w:tcBorders>
            <w:vAlign w:val="center"/>
          </w:tcPr>
          <w:p w14:paraId="0CD732A5"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NE</w:t>
            </w:r>
          </w:p>
        </w:tc>
        <w:tc>
          <w:tcPr>
            <w:tcW w:w="1081" w:type="dxa"/>
            <w:tcBorders>
              <w:top w:val="nil"/>
              <w:bottom w:val="nil"/>
            </w:tcBorders>
          </w:tcPr>
          <w:p w14:paraId="36BEAA3A"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0" w:type="dxa"/>
            <w:tcBorders>
              <w:top w:val="nil"/>
              <w:bottom w:val="nil"/>
            </w:tcBorders>
          </w:tcPr>
          <w:p w14:paraId="4B953515"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1" w:type="dxa"/>
            <w:tcBorders>
              <w:top w:val="nil"/>
              <w:bottom w:val="nil"/>
            </w:tcBorders>
            <w:vAlign w:val="center"/>
          </w:tcPr>
          <w:p w14:paraId="36224171"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NE</w:t>
            </w:r>
          </w:p>
        </w:tc>
        <w:tc>
          <w:tcPr>
            <w:tcW w:w="1080" w:type="dxa"/>
            <w:tcBorders>
              <w:top w:val="nil"/>
              <w:bottom w:val="nil"/>
            </w:tcBorders>
          </w:tcPr>
          <w:p w14:paraId="5B356B95"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1" w:type="dxa"/>
            <w:tcBorders>
              <w:top w:val="nil"/>
              <w:bottom w:val="nil"/>
            </w:tcBorders>
          </w:tcPr>
          <w:p w14:paraId="2B6D23AC" w14:textId="77777777" w:rsidR="00D137A3" w:rsidRPr="009642D0" w:rsidRDefault="00D137A3" w:rsidP="00D137A3">
            <w:pPr>
              <w:keepNext/>
              <w:jc w:val="center"/>
              <w:rPr>
                <w:rFonts w:ascii="Arial Narrow" w:hAnsi="Arial Narrow"/>
                <w:sz w:val="20"/>
                <w:szCs w:val="20"/>
              </w:rPr>
            </w:pPr>
            <w:r>
              <w:rPr>
                <w:rFonts w:ascii="Arial Narrow" w:hAnsi="Arial Narrow"/>
                <w:sz w:val="20"/>
                <w:szCs w:val="20"/>
              </w:rPr>
              <w:t>-</w:t>
            </w:r>
          </w:p>
        </w:tc>
      </w:tr>
      <w:tr w:rsidR="00D137A3" w:rsidRPr="009642D0" w14:paraId="5C4630B9" w14:textId="77777777" w:rsidTr="7F2A1B4F">
        <w:tc>
          <w:tcPr>
            <w:tcW w:w="2534" w:type="dxa"/>
            <w:tcBorders>
              <w:top w:val="nil"/>
              <w:bottom w:val="nil"/>
            </w:tcBorders>
            <w:vAlign w:val="center"/>
          </w:tcPr>
          <w:p w14:paraId="7B662876" w14:textId="083BE150" w:rsidR="00D137A3" w:rsidRPr="009642D0" w:rsidRDefault="00CF5D06" w:rsidP="00D137A3">
            <w:pPr>
              <w:keepNext/>
              <w:rPr>
                <w:rFonts w:ascii="Arial Narrow" w:hAnsi="Arial Narrow"/>
                <w:sz w:val="20"/>
                <w:szCs w:val="20"/>
              </w:rPr>
            </w:pPr>
            <w:r>
              <w:rPr>
                <w:rFonts w:ascii="Arial Narrow" w:hAnsi="Arial Narrow"/>
                <w:sz w:val="20"/>
                <w:szCs w:val="20"/>
              </w:rPr>
              <w:t xml:space="preserve">KM </w:t>
            </w:r>
            <w:r w:rsidR="00D137A3">
              <w:rPr>
                <w:rFonts w:ascii="Arial Narrow" w:hAnsi="Arial Narrow"/>
                <w:sz w:val="20"/>
                <w:szCs w:val="20"/>
              </w:rPr>
              <w:t>EFS at 24 months</w:t>
            </w:r>
          </w:p>
        </w:tc>
        <w:tc>
          <w:tcPr>
            <w:tcW w:w="1080" w:type="dxa"/>
            <w:tcBorders>
              <w:top w:val="nil"/>
              <w:bottom w:val="nil"/>
            </w:tcBorders>
            <w:vAlign w:val="center"/>
          </w:tcPr>
          <w:p w14:paraId="192B29E3" w14:textId="41CE5FC8"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0.85</w:t>
            </w:r>
          </w:p>
        </w:tc>
        <w:tc>
          <w:tcPr>
            <w:tcW w:w="1081" w:type="dxa"/>
            <w:tcBorders>
              <w:top w:val="nil"/>
              <w:bottom w:val="nil"/>
            </w:tcBorders>
          </w:tcPr>
          <w:p w14:paraId="27F2960D" w14:textId="253D65FB"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0.70</w:t>
            </w:r>
          </w:p>
        </w:tc>
        <w:tc>
          <w:tcPr>
            <w:tcW w:w="1080" w:type="dxa"/>
            <w:tcBorders>
              <w:top w:val="nil"/>
              <w:bottom w:val="nil"/>
            </w:tcBorders>
          </w:tcPr>
          <w:p w14:paraId="2073271F"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0.0021</w:t>
            </w:r>
          </w:p>
        </w:tc>
        <w:tc>
          <w:tcPr>
            <w:tcW w:w="1081" w:type="dxa"/>
            <w:tcBorders>
              <w:top w:val="nil"/>
              <w:bottom w:val="nil"/>
            </w:tcBorders>
          </w:tcPr>
          <w:p w14:paraId="7CB0A527" w14:textId="3F7E1E5B"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0.46</w:t>
            </w:r>
          </w:p>
        </w:tc>
        <w:tc>
          <w:tcPr>
            <w:tcW w:w="1080" w:type="dxa"/>
            <w:tcBorders>
              <w:top w:val="nil"/>
              <w:bottom w:val="nil"/>
            </w:tcBorders>
          </w:tcPr>
          <w:p w14:paraId="1FBCC1A8" w14:textId="645F7088"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0.10</w:t>
            </w:r>
          </w:p>
        </w:tc>
        <w:tc>
          <w:tcPr>
            <w:tcW w:w="1081" w:type="dxa"/>
            <w:tcBorders>
              <w:top w:val="nil"/>
              <w:bottom w:val="nil"/>
            </w:tcBorders>
          </w:tcPr>
          <w:p w14:paraId="275E0082" w14:textId="77777777" w:rsidR="00D137A3" w:rsidRPr="009642D0" w:rsidRDefault="00D137A3" w:rsidP="00D137A3">
            <w:pPr>
              <w:keepNext/>
              <w:jc w:val="center"/>
              <w:rPr>
                <w:rFonts w:ascii="Arial Narrow" w:hAnsi="Arial Narrow"/>
                <w:sz w:val="20"/>
                <w:szCs w:val="20"/>
              </w:rPr>
            </w:pPr>
            <w:r>
              <w:rPr>
                <w:rFonts w:ascii="Arial Narrow" w:hAnsi="Arial Narrow"/>
                <w:sz w:val="20"/>
                <w:szCs w:val="20"/>
              </w:rPr>
              <w:t>&lt;0.0001</w:t>
            </w:r>
          </w:p>
        </w:tc>
      </w:tr>
      <w:tr w:rsidR="00D137A3" w:rsidRPr="009642D0" w14:paraId="363CAA0F" w14:textId="77777777" w:rsidTr="7F2A1B4F">
        <w:tc>
          <w:tcPr>
            <w:tcW w:w="2534" w:type="dxa"/>
            <w:tcBorders>
              <w:top w:val="nil"/>
            </w:tcBorders>
            <w:vAlign w:val="center"/>
          </w:tcPr>
          <w:p w14:paraId="0BC81D93" w14:textId="6E62FE0B" w:rsidR="00D137A3" w:rsidRPr="009642D0" w:rsidRDefault="00CF5D06" w:rsidP="00D137A3">
            <w:pPr>
              <w:keepNext/>
              <w:rPr>
                <w:rFonts w:ascii="Arial Narrow" w:hAnsi="Arial Narrow"/>
                <w:sz w:val="20"/>
                <w:szCs w:val="20"/>
              </w:rPr>
            </w:pPr>
            <w:r>
              <w:rPr>
                <w:rFonts w:ascii="Arial Narrow" w:hAnsi="Arial Narrow"/>
                <w:sz w:val="20"/>
                <w:szCs w:val="20"/>
              </w:rPr>
              <w:t xml:space="preserve">KM </w:t>
            </w:r>
            <w:r w:rsidR="00D137A3">
              <w:rPr>
                <w:rFonts w:ascii="Arial Narrow" w:hAnsi="Arial Narrow"/>
                <w:sz w:val="20"/>
                <w:szCs w:val="20"/>
              </w:rPr>
              <w:t>EFS at 48 months</w:t>
            </w:r>
          </w:p>
        </w:tc>
        <w:tc>
          <w:tcPr>
            <w:tcW w:w="1080" w:type="dxa"/>
            <w:tcBorders>
              <w:top w:val="nil"/>
            </w:tcBorders>
            <w:vAlign w:val="center"/>
          </w:tcPr>
          <w:p w14:paraId="17234741" w14:textId="3E664990"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0.83</w:t>
            </w:r>
          </w:p>
        </w:tc>
        <w:tc>
          <w:tcPr>
            <w:tcW w:w="1081" w:type="dxa"/>
            <w:tcBorders>
              <w:top w:val="nil"/>
            </w:tcBorders>
          </w:tcPr>
          <w:p w14:paraId="3F713A97" w14:textId="7520DEFE"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0.60</w:t>
            </w:r>
          </w:p>
        </w:tc>
        <w:tc>
          <w:tcPr>
            <w:tcW w:w="1080" w:type="dxa"/>
            <w:tcBorders>
              <w:top w:val="nil"/>
            </w:tcBorders>
          </w:tcPr>
          <w:p w14:paraId="75E1929C"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&lt;0.0001</w:t>
            </w:r>
          </w:p>
        </w:tc>
        <w:tc>
          <w:tcPr>
            <w:tcW w:w="1081" w:type="dxa"/>
            <w:tcBorders>
              <w:top w:val="nil"/>
            </w:tcBorders>
          </w:tcPr>
          <w:p w14:paraId="69C2701E" w14:textId="0917B3A2"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0.46</w:t>
            </w:r>
          </w:p>
        </w:tc>
        <w:tc>
          <w:tcPr>
            <w:tcW w:w="1080" w:type="dxa"/>
            <w:tcBorders>
              <w:top w:val="nil"/>
            </w:tcBorders>
          </w:tcPr>
          <w:p w14:paraId="63541C11" w14:textId="6D52FCFB"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0.10</w:t>
            </w:r>
          </w:p>
        </w:tc>
        <w:tc>
          <w:tcPr>
            <w:tcW w:w="1081" w:type="dxa"/>
            <w:tcBorders>
              <w:top w:val="nil"/>
            </w:tcBorders>
          </w:tcPr>
          <w:p w14:paraId="2CC5AAF8" w14:textId="77777777" w:rsidR="00D137A3" w:rsidRPr="009642D0" w:rsidRDefault="00D137A3" w:rsidP="00D137A3">
            <w:pPr>
              <w:keepNext/>
              <w:jc w:val="center"/>
              <w:rPr>
                <w:rFonts w:ascii="Arial Narrow" w:hAnsi="Arial Narrow"/>
                <w:sz w:val="20"/>
                <w:szCs w:val="20"/>
              </w:rPr>
            </w:pPr>
            <w:r>
              <w:rPr>
                <w:rFonts w:ascii="Arial Narrow" w:hAnsi="Arial Narrow"/>
                <w:sz w:val="20"/>
                <w:szCs w:val="20"/>
              </w:rPr>
              <w:t>&lt;0.0001</w:t>
            </w:r>
          </w:p>
        </w:tc>
      </w:tr>
      <w:tr w:rsidR="00D137A3" w:rsidRPr="009642D0" w14:paraId="63AC8933" w14:textId="77777777" w:rsidTr="7F2A1B4F">
        <w:tc>
          <w:tcPr>
            <w:tcW w:w="9017" w:type="dxa"/>
            <w:gridSpan w:val="7"/>
            <w:tcBorders>
              <w:bottom w:val="single" w:sz="4" w:space="0" w:color="auto"/>
            </w:tcBorders>
          </w:tcPr>
          <w:p w14:paraId="5054E39B" w14:textId="77777777" w:rsidR="00D137A3" w:rsidRPr="002E5F70" w:rsidRDefault="00D137A3" w:rsidP="00D137A3">
            <w:pPr>
              <w:keepNext/>
              <w:rPr>
                <w:rFonts w:ascii="Arial Narrow" w:hAnsi="Arial Narrow"/>
                <w:b/>
                <w:sz w:val="20"/>
                <w:szCs w:val="20"/>
              </w:rPr>
            </w:pPr>
            <w:r w:rsidRPr="002E5F70">
              <w:rPr>
                <w:rFonts w:ascii="Arial Narrow" w:hAnsi="Arial Narrow"/>
                <w:b/>
                <w:sz w:val="20"/>
                <w:szCs w:val="20"/>
              </w:rPr>
              <w:t>OS</w:t>
            </w:r>
          </w:p>
        </w:tc>
      </w:tr>
      <w:tr w:rsidR="00D137A3" w:rsidRPr="009642D0" w14:paraId="7C23437B" w14:textId="77777777" w:rsidTr="7F2A1B4F">
        <w:tc>
          <w:tcPr>
            <w:tcW w:w="2534" w:type="dxa"/>
            <w:tcBorders>
              <w:bottom w:val="nil"/>
            </w:tcBorders>
            <w:vAlign w:val="center"/>
          </w:tcPr>
          <w:p w14:paraId="6D1845D6" w14:textId="77777777" w:rsidR="00D137A3" w:rsidRPr="009642D0" w:rsidRDefault="00D137A3" w:rsidP="00D137A3">
            <w:pPr>
              <w:keepNext/>
              <w:rPr>
                <w:rFonts w:ascii="Arial Narrow" w:hAnsi="Arial Narrow"/>
                <w:sz w:val="20"/>
                <w:szCs w:val="20"/>
              </w:rPr>
            </w:pPr>
            <w:r w:rsidRPr="009642D0">
              <w:rPr>
                <w:rFonts w:ascii="Arial Narrow" w:hAnsi="Arial Narrow"/>
                <w:sz w:val="20"/>
                <w:szCs w:val="20"/>
              </w:rPr>
              <w:t>Patients with event n/N (%)</w:t>
            </w:r>
          </w:p>
        </w:tc>
        <w:tc>
          <w:tcPr>
            <w:tcW w:w="1080" w:type="dxa"/>
            <w:tcBorders>
              <w:bottom w:val="nil"/>
            </w:tcBorders>
            <w:vAlign w:val="center"/>
          </w:tcPr>
          <w:p w14:paraId="573C1A8D"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NR</w:t>
            </w:r>
          </w:p>
        </w:tc>
        <w:tc>
          <w:tcPr>
            <w:tcW w:w="1081" w:type="dxa"/>
            <w:tcBorders>
              <w:bottom w:val="nil"/>
            </w:tcBorders>
          </w:tcPr>
          <w:p w14:paraId="37D37E25"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0" w:type="dxa"/>
            <w:tcBorders>
              <w:bottom w:val="nil"/>
            </w:tcBorders>
          </w:tcPr>
          <w:p w14:paraId="479B32FF"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1" w:type="dxa"/>
            <w:tcBorders>
              <w:bottom w:val="nil"/>
            </w:tcBorders>
            <w:vAlign w:val="center"/>
          </w:tcPr>
          <w:p w14:paraId="28004D82" w14:textId="77777777" w:rsidR="00D137A3" w:rsidRPr="002F3465" w:rsidRDefault="00D137A3" w:rsidP="00D137A3">
            <w:pPr>
              <w:keepNext/>
              <w:jc w:val="center"/>
              <w:rPr>
                <w:rFonts w:ascii="Arial Narrow" w:hAnsi="Arial Narrow"/>
                <w:iCs/>
                <w:sz w:val="20"/>
                <w:szCs w:val="20"/>
              </w:rPr>
            </w:pPr>
            <w:r w:rsidRPr="002F3465">
              <w:rPr>
                <w:rFonts w:ascii="Arial Narrow" w:hAnsi="Arial Narrow"/>
                <w:iCs/>
                <w:sz w:val="20"/>
                <w:szCs w:val="20"/>
              </w:rPr>
              <w:t>NR</w:t>
            </w:r>
          </w:p>
        </w:tc>
        <w:tc>
          <w:tcPr>
            <w:tcW w:w="1080" w:type="dxa"/>
            <w:tcBorders>
              <w:bottom w:val="nil"/>
            </w:tcBorders>
            <w:vAlign w:val="center"/>
          </w:tcPr>
          <w:p w14:paraId="2EAA4B25" w14:textId="77777777" w:rsidR="00D137A3" w:rsidRPr="002E5F70" w:rsidRDefault="00D137A3" w:rsidP="00D137A3">
            <w:pPr>
              <w:keepNext/>
              <w:jc w:val="center"/>
              <w:rPr>
                <w:rFonts w:ascii="Arial Narrow" w:hAnsi="Arial Narrow"/>
                <w:sz w:val="20"/>
                <w:szCs w:val="20"/>
              </w:rPr>
            </w:pPr>
          </w:p>
        </w:tc>
        <w:tc>
          <w:tcPr>
            <w:tcW w:w="1081" w:type="dxa"/>
            <w:tcBorders>
              <w:bottom w:val="nil"/>
            </w:tcBorders>
            <w:vAlign w:val="center"/>
          </w:tcPr>
          <w:p w14:paraId="561198E4" w14:textId="77777777" w:rsidR="00D137A3" w:rsidRPr="009642D0" w:rsidRDefault="00D137A3" w:rsidP="00D137A3">
            <w:pPr>
              <w:keepNext/>
              <w:jc w:val="center"/>
              <w:rPr>
                <w:rFonts w:ascii="Arial Narrow" w:hAnsi="Arial Narrow"/>
                <w:sz w:val="20"/>
                <w:szCs w:val="20"/>
              </w:rPr>
            </w:pPr>
          </w:p>
        </w:tc>
      </w:tr>
      <w:tr w:rsidR="00D137A3" w:rsidRPr="009642D0" w14:paraId="745DA672" w14:textId="77777777" w:rsidTr="7F2A1B4F">
        <w:tc>
          <w:tcPr>
            <w:tcW w:w="2534" w:type="dxa"/>
            <w:tcBorders>
              <w:top w:val="nil"/>
              <w:bottom w:val="nil"/>
            </w:tcBorders>
            <w:vAlign w:val="center"/>
          </w:tcPr>
          <w:p w14:paraId="6FE0D206" w14:textId="77777777" w:rsidR="00D137A3" w:rsidRPr="009642D0" w:rsidRDefault="00D137A3" w:rsidP="00D137A3">
            <w:pPr>
              <w:keepNext/>
              <w:rPr>
                <w:rFonts w:ascii="Arial Narrow" w:hAnsi="Arial Narrow"/>
                <w:sz w:val="20"/>
                <w:szCs w:val="20"/>
              </w:rPr>
            </w:pPr>
            <w:r w:rsidRPr="009642D0">
              <w:rPr>
                <w:rFonts w:ascii="Arial Narrow" w:hAnsi="Arial Narrow"/>
                <w:sz w:val="20"/>
                <w:szCs w:val="20"/>
              </w:rPr>
              <w:t xml:space="preserve">Median </w:t>
            </w:r>
            <w:r>
              <w:rPr>
                <w:rFonts w:ascii="Arial Narrow" w:hAnsi="Arial Narrow"/>
                <w:sz w:val="20"/>
                <w:szCs w:val="20"/>
              </w:rPr>
              <w:t>OS</w:t>
            </w:r>
            <w:r w:rsidRPr="009642D0">
              <w:rPr>
                <w:rFonts w:ascii="Arial Narrow" w:hAnsi="Arial Narrow"/>
                <w:sz w:val="20"/>
                <w:szCs w:val="20"/>
              </w:rPr>
              <w:t xml:space="preserve"> months (95% CI)</w:t>
            </w:r>
          </w:p>
        </w:tc>
        <w:tc>
          <w:tcPr>
            <w:tcW w:w="1080" w:type="dxa"/>
            <w:tcBorders>
              <w:top w:val="nil"/>
              <w:bottom w:val="nil"/>
            </w:tcBorders>
            <w:vAlign w:val="center"/>
          </w:tcPr>
          <w:p w14:paraId="1EE61243"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NE</w:t>
            </w:r>
          </w:p>
        </w:tc>
        <w:tc>
          <w:tcPr>
            <w:tcW w:w="1081" w:type="dxa"/>
            <w:tcBorders>
              <w:top w:val="nil"/>
              <w:bottom w:val="nil"/>
            </w:tcBorders>
          </w:tcPr>
          <w:p w14:paraId="7B576556"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0" w:type="dxa"/>
            <w:tcBorders>
              <w:top w:val="nil"/>
              <w:bottom w:val="nil"/>
            </w:tcBorders>
          </w:tcPr>
          <w:p w14:paraId="62D77BA4" w14:textId="77777777" w:rsidR="00D137A3" w:rsidRPr="002E5F70" w:rsidRDefault="00D137A3" w:rsidP="00D137A3">
            <w:pPr>
              <w:keepNext/>
              <w:jc w:val="center"/>
              <w:rPr>
                <w:rFonts w:ascii="Arial Narrow" w:hAnsi="Arial Narrow"/>
                <w:sz w:val="20"/>
                <w:szCs w:val="20"/>
              </w:rPr>
            </w:pPr>
            <w:r w:rsidRPr="002E5F70">
              <w:rPr>
                <w:rFonts w:ascii="Arial Narrow" w:hAnsi="Arial Narrow"/>
                <w:sz w:val="20"/>
                <w:szCs w:val="20"/>
              </w:rPr>
              <w:t>-</w:t>
            </w:r>
          </w:p>
        </w:tc>
        <w:tc>
          <w:tcPr>
            <w:tcW w:w="1081" w:type="dxa"/>
            <w:tcBorders>
              <w:top w:val="nil"/>
              <w:bottom w:val="nil"/>
            </w:tcBorders>
            <w:vAlign w:val="center"/>
          </w:tcPr>
          <w:p w14:paraId="7FAF35E4" w14:textId="77777777" w:rsidR="00D137A3" w:rsidRPr="002F3465" w:rsidRDefault="00D137A3" w:rsidP="00D137A3">
            <w:pPr>
              <w:keepNext/>
              <w:jc w:val="center"/>
              <w:rPr>
                <w:rFonts w:ascii="Arial Narrow" w:hAnsi="Arial Narrow"/>
                <w:iCs/>
                <w:sz w:val="20"/>
                <w:szCs w:val="20"/>
              </w:rPr>
            </w:pPr>
            <w:r w:rsidRPr="002F3465">
              <w:rPr>
                <w:rFonts w:ascii="Arial Narrow" w:hAnsi="Arial Narrow"/>
                <w:iCs/>
                <w:sz w:val="20"/>
                <w:szCs w:val="20"/>
              </w:rPr>
              <w:t>NR</w:t>
            </w:r>
          </w:p>
        </w:tc>
        <w:tc>
          <w:tcPr>
            <w:tcW w:w="1080" w:type="dxa"/>
            <w:tcBorders>
              <w:top w:val="nil"/>
              <w:bottom w:val="nil"/>
            </w:tcBorders>
            <w:vAlign w:val="center"/>
          </w:tcPr>
          <w:p w14:paraId="7FB35A92" w14:textId="77777777" w:rsidR="00D137A3" w:rsidRPr="002E5F70" w:rsidRDefault="00D137A3" w:rsidP="00D137A3">
            <w:pPr>
              <w:keepNext/>
              <w:jc w:val="center"/>
              <w:rPr>
                <w:rFonts w:ascii="Arial Narrow" w:hAnsi="Arial Narrow"/>
                <w:sz w:val="20"/>
                <w:szCs w:val="20"/>
              </w:rPr>
            </w:pPr>
          </w:p>
        </w:tc>
        <w:tc>
          <w:tcPr>
            <w:tcW w:w="1081" w:type="dxa"/>
            <w:tcBorders>
              <w:top w:val="nil"/>
              <w:bottom w:val="nil"/>
            </w:tcBorders>
            <w:vAlign w:val="center"/>
          </w:tcPr>
          <w:p w14:paraId="1EA67EDD" w14:textId="77777777" w:rsidR="00D137A3" w:rsidRPr="009642D0" w:rsidRDefault="00D137A3" w:rsidP="00D137A3">
            <w:pPr>
              <w:keepNext/>
              <w:jc w:val="center"/>
              <w:rPr>
                <w:rFonts w:ascii="Arial Narrow" w:hAnsi="Arial Narrow"/>
                <w:sz w:val="20"/>
                <w:szCs w:val="20"/>
              </w:rPr>
            </w:pPr>
          </w:p>
        </w:tc>
      </w:tr>
      <w:tr w:rsidR="00D137A3" w:rsidRPr="009642D0" w14:paraId="15547EF3" w14:textId="77777777" w:rsidTr="7F2A1B4F">
        <w:tc>
          <w:tcPr>
            <w:tcW w:w="2534" w:type="dxa"/>
            <w:tcBorders>
              <w:top w:val="nil"/>
              <w:bottom w:val="nil"/>
            </w:tcBorders>
            <w:vAlign w:val="center"/>
          </w:tcPr>
          <w:p w14:paraId="47C74C2A" w14:textId="629405E1" w:rsidR="00D137A3" w:rsidRPr="009642D0" w:rsidRDefault="00CF5D06" w:rsidP="00D137A3">
            <w:pPr>
              <w:keepNext/>
              <w:rPr>
                <w:rFonts w:ascii="Arial Narrow" w:hAnsi="Arial Narrow"/>
                <w:sz w:val="20"/>
                <w:szCs w:val="20"/>
              </w:rPr>
            </w:pPr>
            <w:r>
              <w:rPr>
                <w:rFonts w:ascii="Arial Narrow" w:hAnsi="Arial Narrow"/>
                <w:sz w:val="20"/>
                <w:szCs w:val="20"/>
              </w:rPr>
              <w:t xml:space="preserve">KM </w:t>
            </w:r>
            <w:r w:rsidR="00D137A3">
              <w:rPr>
                <w:rFonts w:ascii="Arial Narrow" w:hAnsi="Arial Narrow"/>
                <w:sz w:val="20"/>
                <w:szCs w:val="20"/>
              </w:rPr>
              <w:t>OS at 24 months</w:t>
            </w:r>
          </w:p>
        </w:tc>
        <w:tc>
          <w:tcPr>
            <w:tcW w:w="1080" w:type="dxa"/>
            <w:tcBorders>
              <w:top w:val="nil"/>
              <w:bottom w:val="nil"/>
            </w:tcBorders>
            <w:vAlign w:val="center"/>
          </w:tcPr>
          <w:p w14:paraId="43C1BEB3" w14:textId="35C7921F" w:rsidR="00D137A3" w:rsidRPr="009642D0" w:rsidRDefault="00D137A3" w:rsidP="00D137A3">
            <w:pPr>
              <w:keepNext/>
              <w:jc w:val="center"/>
              <w:rPr>
                <w:rFonts w:ascii="Arial Narrow" w:hAnsi="Arial Narrow"/>
                <w:sz w:val="20"/>
                <w:szCs w:val="20"/>
              </w:rPr>
            </w:pPr>
            <w:r>
              <w:rPr>
                <w:rFonts w:ascii="Arial Narrow" w:hAnsi="Arial Narrow"/>
                <w:sz w:val="20"/>
                <w:szCs w:val="20"/>
              </w:rPr>
              <w:t>0.97</w:t>
            </w:r>
          </w:p>
        </w:tc>
        <w:tc>
          <w:tcPr>
            <w:tcW w:w="1081" w:type="dxa"/>
            <w:tcBorders>
              <w:top w:val="nil"/>
              <w:bottom w:val="nil"/>
            </w:tcBorders>
          </w:tcPr>
          <w:p w14:paraId="7ABDB1E4" w14:textId="443D7578" w:rsidR="00D137A3" w:rsidRPr="009642D0" w:rsidRDefault="00D137A3" w:rsidP="00D137A3">
            <w:pPr>
              <w:keepNext/>
              <w:jc w:val="center"/>
              <w:rPr>
                <w:rFonts w:ascii="Arial Narrow" w:hAnsi="Arial Narrow"/>
                <w:sz w:val="20"/>
                <w:szCs w:val="20"/>
              </w:rPr>
            </w:pPr>
            <w:r>
              <w:rPr>
                <w:rFonts w:ascii="Arial Narrow" w:hAnsi="Arial Narrow"/>
                <w:sz w:val="20"/>
                <w:szCs w:val="20"/>
              </w:rPr>
              <w:t>0.85</w:t>
            </w:r>
          </w:p>
        </w:tc>
        <w:tc>
          <w:tcPr>
            <w:tcW w:w="1080" w:type="dxa"/>
            <w:tcBorders>
              <w:top w:val="nil"/>
              <w:bottom w:val="nil"/>
            </w:tcBorders>
          </w:tcPr>
          <w:p w14:paraId="5A5E6200" w14:textId="77777777" w:rsidR="00D137A3" w:rsidRPr="009642D0" w:rsidRDefault="00D137A3" w:rsidP="00D137A3">
            <w:pPr>
              <w:keepNext/>
              <w:jc w:val="center"/>
              <w:rPr>
                <w:rFonts w:ascii="Arial Narrow" w:hAnsi="Arial Narrow"/>
                <w:sz w:val="20"/>
                <w:szCs w:val="20"/>
              </w:rPr>
            </w:pPr>
            <w:r>
              <w:rPr>
                <w:rFonts w:ascii="Arial Narrow" w:hAnsi="Arial Narrow"/>
                <w:sz w:val="20"/>
                <w:szCs w:val="20"/>
              </w:rPr>
              <w:t>0.003</w:t>
            </w:r>
          </w:p>
        </w:tc>
        <w:tc>
          <w:tcPr>
            <w:tcW w:w="1081" w:type="dxa"/>
            <w:tcBorders>
              <w:top w:val="nil"/>
              <w:bottom w:val="nil"/>
            </w:tcBorders>
            <w:vAlign w:val="center"/>
          </w:tcPr>
          <w:p w14:paraId="71E282AC" w14:textId="04D05E01" w:rsidR="00D137A3" w:rsidRPr="00027593" w:rsidRDefault="00D137A3" w:rsidP="00D137A3">
            <w:pPr>
              <w:keepNext/>
              <w:jc w:val="center"/>
              <w:rPr>
                <w:rFonts w:ascii="Arial Narrow" w:hAnsi="Arial Narrow"/>
                <w:iCs/>
                <w:sz w:val="20"/>
                <w:szCs w:val="20"/>
                <w:vertAlign w:val="superscript"/>
              </w:rPr>
            </w:pPr>
            <w:r w:rsidRPr="00027593">
              <w:rPr>
                <w:rFonts w:ascii="Arial Narrow" w:hAnsi="Arial Narrow"/>
                <w:iCs/>
                <w:sz w:val="20"/>
                <w:szCs w:val="20"/>
              </w:rPr>
              <w:t>0.80</w:t>
            </w:r>
            <w:r w:rsidRPr="00027593">
              <w:rPr>
                <w:rFonts w:ascii="Arial Narrow" w:hAnsi="Arial Narrow"/>
                <w:iCs/>
                <w:sz w:val="20"/>
                <w:szCs w:val="20"/>
                <w:vertAlign w:val="superscript"/>
              </w:rPr>
              <w:t>c</w:t>
            </w:r>
          </w:p>
        </w:tc>
        <w:tc>
          <w:tcPr>
            <w:tcW w:w="1080" w:type="dxa"/>
            <w:tcBorders>
              <w:top w:val="nil"/>
              <w:bottom w:val="nil"/>
            </w:tcBorders>
            <w:vAlign w:val="center"/>
          </w:tcPr>
          <w:p w14:paraId="19BBF72C" w14:textId="77777777" w:rsidR="00D137A3" w:rsidRPr="002F3465" w:rsidRDefault="00D137A3" w:rsidP="00D137A3">
            <w:pPr>
              <w:keepNext/>
              <w:jc w:val="center"/>
              <w:rPr>
                <w:rFonts w:ascii="Arial Narrow" w:hAnsi="Arial Narrow"/>
                <w:iCs/>
                <w:sz w:val="20"/>
                <w:szCs w:val="20"/>
              </w:rPr>
            </w:pPr>
            <w:r w:rsidRPr="002F3465">
              <w:rPr>
                <w:rFonts w:ascii="Arial Narrow" w:hAnsi="Arial Narrow"/>
                <w:iCs/>
                <w:sz w:val="20"/>
                <w:szCs w:val="20"/>
              </w:rPr>
              <w:t>NR</w:t>
            </w:r>
          </w:p>
        </w:tc>
        <w:tc>
          <w:tcPr>
            <w:tcW w:w="1081" w:type="dxa"/>
            <w:tcBorders>
              <w:top w:val="nil"/>
              <w:bottom w:val="nil"/>
            </w:tcBorders>
            <w:vAlign w:val="center"/>
          </w:tcPr>
          <w:p w14:paraId="5B062208" w14:textId="77777777" w:rsidR="00D137A3" w:rsidRPr="002F3465" w:rsidRDefault="00D137A3" w:rsidP="00D137A3">
            <w:pPr>
              <w:keepNext/>
              <w:jc w:val="center"/>
              <w:rPr>
                <w:rFonts w:ascii="Arial Narrow" w:hAnsi="Arial Narrow"/>
                <w:iCs/>
                <w:sz w:val="20"/>
                <w:szCs w:val="20"/>
              </w:rPr>
            </w:pPr>
            <w:r w:rsidRPr="002F3465">
              <w:rPr>
                <w:rFonts w:ascii="Arial Narrow" w:hAnsi="Arial Narrow"/>
                <w:iCs/>
                <w:sz w:val="20"/>
                <w:szCs w:val="20"/>
              </w:rPr>
              <w:t>NR</w:t>
            </w:r>
          </w:p>
        </w:tc>
      </w:tr>
      <w:tr w:rsidR="00D137A3" w:rsidRPr="009642D0" w14:paraId="1DA10CB5" w14:textId="77777777" w:rsidTr="7F2A1B4F">
        <w:tc>
          <w:tcPr>
            <w:tcW w:w="2534" w:type="dxa"/>
            <w:tcBorders>
              <w:top w:val="nil"/>
            </w:tcBorders>
            <w:vAlign w:val="center"/>
          </w:tcPr>
          <w:p w14:paraId="6596F549" w14:textId="43E59A08" w:rsidR="00D137A3" w:rsidRPr="009642D0" w:rsidRDefault="00CF5D06" w:rsidP="00D137A3">
            <w:pPr>
              <w:keepNext/>
              <w:rPr>
                <w:rFonts w:ascii="Arial Narrow" w:hAnsi="Arial Narrow"/>
                <w:sz w:val="20"/>
                <w:szCs w:val="20"/>
              </w:rPr>
            </w:pPr>
            <w:r>
              <w:rPr>
                <w:rFonts w:ascii="Arial Narrow" w:hAnsi="Arial Narrow"/>
                <w:sz w:val="20"/>
                <w:szCs w:val="20"/>
              </w:rPr>
              <w:t xml:space="preserve">KM </w:t>
            </w:r>
            <w:r w:rsidR="00D137A3">
              <w:rPr>
                <w:rFonts w:ascii="Arial Narrow" w:hAnsi="Arial Narrow"/>
                <w:sz w:val="20"/>
                <w:szCs w:val="20"/>
              </w:rPr>
              <w:t>OS at 48 months</w:t>
            </w:r>
          </w:p>
        </w:tc>
        <w:tc>
          <w:tcPr>
            <w:tcW w:w="1080" w:type="dxa"/>
            <w:tcBorders>
              <w:top w:val="nil"/>
            </w:tcBorders>
            <w:vAlign w:val="center"/>
          </w:tcPr>
          <w:p w14:paraId="6B4CD685" w14:textId="705E483F" w:rsidR="00D137A3" w:rsidRPr="009642D0" w:rsidRDefault="00D137A3" w:rsidP="00D137A3">
            <w:pPr>
              <w:keepNext/>
              <w:jc w:val="center"/>
              <w:rPr>
                <w:rFonts w:ascii="Arial Narrow" w:hAnsi="Arial Narrow"/>
                <w:sz w:val="20"/>
                <w:szCs w:val="20"/>
              </w:rPr>
            </w:pPr>
            <w:r>
              <w:rPr>
                <w:rFonts w:ascii="Arial Narrow" w:hAnsi="Arial Narrow"/>
                <w:sz w:val="20"/>
                <w:szCs w:val="20"/>
              </w:rPr>
              <w:t>0.95</w:t>
            </w:r>
          </w:p>
        </w:tc>
        <w:tc>
          <w:tcPr>
            <w:tcW w:w="1081" w:type="dxa"/>
            <w:tcBorders>
              <w:top w:val="nil"/>
            </w:tcBorders>
          </w:tcPr>
          <w:p w14:paraId="7DCEA6D2" w14:textId="6C068096" w:rsidR="00D137A3" w:rsidRPr="009642D0" w:rsidRDefault="00D137A3" w:rsidP="00D137A3">
            <w:pPr>
              <w:keepNext/>
              <w:jc w:val="center"/>
              <w:rPr>
                <w:rFonts w:ascii="Arial Narrow" w:hAnsi="Arial Narrow"/>
                <w:sz w:val="20"/>
                <w:szCs w:val="20"/>
              </w:rPr>
            </w:pPr>
            <w:r>
              <w:rPr>
                <w:rFonts w:ascii="Arial Narrow" w:hAnsi="Arial Narrow"/>
                <w:sz w:val="20"/>
                <w:szCs w:val="20"/>
              </w:rPr>
              <w:t>0.75</w:t>
            </w:r>
          </w:p>
        </w:tc>
        <w:tc>
          <w:tcPr>
            <w:tcW w:w="1080" w:type="dxa"/>
            <w:tcBorders>
              <w:top w:val="nil"/>
            </w:tcBorders>
          </w:tcPr>
          <w:p w14:paraId="7BE2C5E3" w14:textId="77777777" w:rsidR="00D137A3" w:rsidRPr="009642D0" w:rsidRDefault="00D137A3" w:rsidP="00D137A3">
            <w:pPr>
              <w:keepNext/>
              <w:jc w:val="center"/>
              <w:rPr>
                <w:rFonts w:ascii="Arial Narrow" w:hAnsi="Arial Narrow"/>
                <w:sz w:val="20"/>
                <w:szCs w:val="20"/>
              </w:rPr>
            </w:pPr>
            <w:r>
              <w:rPr>
                <w:rFonts w:ascii="Arial Narrow" w:hAnsi="Arial Narrow"/>
                <w:sz w:val="20"/>
                <w:szCs w:val="20"/>
              </w:rPr>
              <w:t>0.0001</w:t>
            </w:r>
          </w:p>
        </w:tc>
        <w:tc>
          <w:tcPr>
            <w:tcW w:w="1081" w:type="dxa"/>
            <w:tcBorders>
              <w:top w:val="nil"/>
            </w:tcBorders>
            <w:vAlign w:val="center"/>
          </w:tcPr>
          <w:p w14:paraId="45CEA28E" w14:textId="507FE351" w:rsidR="00D137A3" w:rsidRPr="00027593" w:rsidRDefault="00D137A3" w:rsidP="00D137A3">
            <w:pPr>
              <w:keepNext/>
              <w:jc w:val="center"/>
              <w:rPr>
                <w:rFonts w:ascii="Arial Narrow" w:hAnsi="Arial Narrow"/>
                <w:iCs/>
                <w:sz w:val="20"/>
                <w:szCs w:val="20"/>
                <w:vertAlign w:val="superscript"/>
              </w:rPr>
            </w:pPr>
            <w:r w:rsidRPr="00027593">
              <w:rPr>
                <w:rFonts w:ascii="Arial Narrow" w:hAnsi="Arial Narrow"/>
                <w:iCs/>
                <w:sz w:val="20"/>
                <w:szCs w:val="20"/>
              </w:rPr>
              <w:t>0.62</w:t>
            </w:r>
            <w:r w:rsidRPr="00027593">
              <w:rPr>
                <w:rFonts w:ascii="Arial Narrow" w:hAnsi="Arial Narrow"/>
                <w:iCs/>
                <w:sz w:val="20"/>
                <w:szCs w:val="20"/>
                <w:vertAlign w:val="superscript"/>
              </w:rPr>
              <w:t>c</w:t>
            </w:r>
          </w:p>
        </w:tc>
        <w:tc>
          <w:tcPr>
            <w:tcW w:w="1080" w:type="dxa"/>
            <w:tcBorders>
              <w:top w:val="nil"/>
            </w:tcBorders>
            <w:vAlign w:val="center"/>
          </w:tcPr>
          <w:p w14:paraId="233EFCA0" w14:textId="77777777" w:rsidR="00D137A3" w:rsidRPr="002F3465" w:rsidRDefault="00D137A3" w:rsidP="00D137A3">
            <w:pPr>
              <w:keepNext/>
              <w:jc w:val="center"/>
              <w:rPr>
                <w:rFonts w:ascii="Arial Narrow" w:hAnsi="Arial Narrow"/>
                <w:iCs/>
                <w:sz w:val="20"/>
                <w:szCs w:val="20"/>
              </w:rPr>
            </w:pPr>
            <w:r w:rsidRPr="002F3465">
              <w:rPr>
                <w:rFonts w:ascii="Arial Narrow" w:hAnsi="Arial Narrow"/>
                <w:iCs/>
                <w:sz w:val="20"/>
                <w:szCs w:val="20"/>
              </w:rPr>
              <w:t>NR</w:t>
            </w:r>
          </w:p>
        </w:tc>
        <w:tc>
          <w:tcPr>
            <w:tcW w:w="1081" w:type="dxa"/>
            <w:tcBorders>
              <w:top w:val="nil"/>
            </w:tcBorders>
            <w:vAlign w:val="center"/>
          </w:tcPr>
          <w:p w14:paraId="426E5433" w14:textId="77777777" w:rsidR="00D137A3" w:rsidRPr="002F3465" w:rsidRDefault="00D137A3" w:rsidP="00D137A3">
            <w:pPr>
              <w:keepNext/>
              <w:jc w:val="center"/>
              <w:rPr>
                <w:rFonts w:ascii="Arial Narrow" w:hAnsi="Arial Narrow"/>
                <w:iCs/>
                <w:sz w:val="20"/>
                <w:szCs w:val="20"/>
              </w:rPr>
            </w:pPr>
            <w:r w:rsidRPr="002F3465">
              <w:rPr>
                <w:rFonts w:ascii="Arial Narrow" w:hAnsi="Arial Narrow"/>
                <w:iCs/>
                <w:sz w:val="20"/>
                <w:szCs w:val="20"/>
              </w:rPr>
              <w:t>NR</w:t>
            </w:r>
          </w:p>
        </w:tc>
      </w:tr>
    </w:tbl>
    <w:p w14:paraId="46714FF9" w14:textId="77777777" w:rsidR="00D137A3" w:rsidRDefault="00D137A3" w:rsidP="00D137A3">
      <w:pPr>
        <w:pStyle w:val="TableFigureFooter"/>
      </w:pPr>
      <w:r>
        <w:t xml:space="preserve">Source: Tables 2.26, 2.27, 2.30 and 2.31, pp 109-110, 121-122 of the submission; Figures 2.14 and 2.15, p115 </w:t>
      </w:r>
      <w:r w:rsidRPr="00D13A3E">
        <w:t xml:space="preserve">of the </w:t>
      </w:r>
      <w:r>
        <w:t>submission and Figure 3-26, p205 of the submission.</w:t>
      </w:r>
    </w:p>
    <w:p w14:paraId="0415E398" w14:textId="0E73ADE8" w:rsidR="00D137A3" w:rsidRDefault="00D137A3" w:rsidP="00D137A3">
      <w:pPr>
        <w:pStyle w:val="TableFigureFooter"/>
      </w:pPr>
      <w:r>
        <w:t xml:space="preserve">EFS=event free survival; </w:t>
      </w:r>
      <w:r w:rsidR="0025703F">
        <w:t xml:space="preserve">KM=Kaplan-Meier estimate; </w:t>
      </w:r>
      <w:r w:rsidR="00297646">
        <w:t xml:space="preserve">NE=not estimable; NR=not reported; </w:t>
      </w:r>
      <w:r>
        <w:t>OS=overall survival.</w:t>
      </w:r>
    </w:p>
    <w:p w14:paraId="56C8F36B" w14:textId="77777777" w:rsidR="00D137A3" w:rsidRPr="006D2647" w:rsidRDefault="00D137A3" w:rsidP="00D137A3">
      <w:pPr>
        <w:pStyle w:val="TableFigureFooter"/>
      </w:pPr>
      <w:r w:rsidRPr="7F2A1B4F">
        <w:rPr>
          <w:vertAlign w:val="superscript"/>
        </w:rPr>
        <w:t>a</w:t>
      </w:r>
      <w:r>
        <w:tab/>
      </w:r>
      <w:r w:rsidRPr="7F2A1B4F">
        <w:t>Stratum 1 historical control estimates were derived from Study ANBL0032 (Yu et al 2010)</w:t>
      </w:r>
    </w:p>
    <w:p w14:paraId="762F285C" w14:textId="77777777" w:rsidR="00D137A3" w:rsidRDefault="00D137A3" w:rsidP="00D137A3">
      <w:pPr>
        <w:pStyle w:val="TableFigureFooter"/>
      </w:pPr>
      <w:r w:rsidRPr="7F2A1B4F">
        <w:rPr>
          <w:vertAlign w:val="superscript"/>
        </w:rPr>
        <w:t>b</w:t>
      </w:r>
      <w:r>
        <w:tab/>
      </w:r>
      <w:r w:rsidRPr="7F2A1B4F">
        <w:t>Stratum 2 historical control estimates were derived from Santana et al 2008</w:t>
      </w:r>
    </w:p>
    <w:p w14:paraId="5E7E38BD" w14:textId="4BEE8A4A" w:rsidR="00D137A3" w:rsidRDefault="00D137A3" w:rsidP="00420A27">
      <w:pPr>
        <w:pStyle w:val="TableFigureFooter"/>
      </w:pPr>
      <w:r w:rsidRPr="7F2A1B4F">
        <w:rPr>
          <w:vertAlign w:val="superscript"/>
        </w:rPr>
        <w:t>c</w:t>
      </w:r>
      <w:r>
        <w:tab/>
      </w:r>
      <w:r w:rsidRPr="7F2A1B4F">
        <w:t>Based on data reported in the modelled economic evaluation; OS for Stratum</w:t>
      </w:r>
      <w:r w:rsidR="00C11BA9">
        <w:t xml:space="preserve"> 2</w:t>
      </w:r>
      <w:r w:rsidRPr="7F2A1B4F">
        <w:t xml:space="preserve"> was not a pre-specified outcome in the Study 3b protocol and was not reported in the CSR. </w:t>
      </w:r>
    </w:p>
    <w:p w14:paraId="2B539882" w14:textId="388E6C75" w:rsidR="00D137A3" w:rsidRDefault="00D137A3" w:rsidP="00420A27">
      <w:pPr>
        <w:pStyle w:val="Caption"/>
      </w:pPr>
      <w:bookmarkStart w:id="37" w:name="_Ref187334409"/>
      <w:r>
        <w:t xml:space="preserve">Figure </w:t>
      </w:r>
      <w:r w:rsidR="00AF2AB7">
        <w:fldChar w:fldCharType="begin" w:fldLock="1"/>
      </w:r>
      <w:r w:rsidR="00AF2AB7">
        <w:instrText xml:space="preserve"> SEQ Figure \* ARABIC </w:instrText>
      </w:r>
      <w:r w:rsidR="00AF2AB7">
        <w:fldChar w:fldCharType="separate"/>
      </w:r>
      <w:r w:rsidR="00AF2AB7">
        <w:rPr>
          <w:noProof/>
        </w:rPr>
        <w:t>1</w:t>
      </w:r>
      <w:r w:rsidR="00AF2AB7">
        <w:rPr>
          <w:noProof/>
        </w:rPr>
        <w:fldChar w:fldCharType="end"/>
      </w:r>
      <w:bookmarkEnd w:id="37"/>
      <w:r>
        <w:t>. Kaplan-Meier plots of EFS and OS in Study 3b, ITT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26"/>
        <w:gridCol w:w="4496"/>
      </w:tblGrid>
      <w:tr w:rsidR="00D137A3" w:rsidRPr="007F3254" w14:paraId="146A783E" w14:textId="77777777" w:rsidTr="00D137A3">
        <w:tc>
          <w:tcPr>
            <w:tcW w:w="4526" w:type="dxa"/>
            <w:vAlign w:val="center"/>
          </w:tcPr>
          <w:p w14:paraId="410E71A4" w14:textId="77777777" w:rsidR="00D137A3" w:rsidRPr="007F3254" w:rsidRDefault="00D137A3" w:rsidP="00420A27">
            <w:pPr>
              <w:keepNext/>
              <w:keepLines/>
              <w:jc w:val="center"/>
              <w:rPr>
                <w:rFonts w:ascii="Arial Narrow" w:hAnsi="Arial Narrow"/>
                <w:b/>
                <w:sz w:val="20"/>
                <w:szCs w:val="20"/>
              </w:rPr>
            </w:pPr>
            <w:r>
              <w:rPr>
                <w:rFonts w:ascii="Arial Narrow" w:hAnsi="Arial Narrow"/>
                <w:b/>
                <w:sz w:val="20"/>
                <w:szCs w:val="20"/>
              </w:rPr>
              <w:t>EFS – Stratum 1</w:t>
            </w:r>
          </w:p>
        </w:tc>
        <w:tc>
          <w:tcPr>
            <w:tcW w:w="4496" w:type="dxa"/>
            <w:vAlign w:val="center"/>
          </w:tcPr>
          <w:p w14:paraId="622A862E" w14:textId="77777777" w:rsidR="00D137A3" w:rsidRPr="007F3254" w:rsidRDefault="00D137A3" w:rsidP="00420A27">
            <w:pPr>
              <w:keepNext/>
              <w:keepLines/>
              <w:jc w:val="center"/>
              <w:rPr>
                <w:rFonts w:ascii="Arial Narrow" w:hAnsi="Arial Narrow"/>
                <w:b/>
                <w:sz w:val="20"/>
                <w:szCs w:val="20"/>
              </w:rPr>
            </w:pPr>
            <w:r>
              <w:rPr>
                <w:rFonts w:ascii="Arial Narrow" w:hAnsi="Arial Narrow"/>
                <w:b/>
                <w:sz w:val="20"/>
                <w:szCs w:val="20"/>
              </w:rPr>
              <w:t>EFS – Stratum 2</w:t>
            </w:r>
          </w:p>
        </w:tc>
      </w:tr>
      <w:tr w:rsidR="00D137A3" w:rsidRPr="007F3254" w14:paraId="77C761FC" w14:textId="77777777" w:rsidTr="00D137A3">
        <w:tc>
          <w:tcPr>
            <w:tcW w:w="4526" w:type="dxa"/>
          </w:tcPr>
          <w:p w14:paraId="53939AB8" w14:textId="77777777" w:rsidR="00D137A3" w:rsidRPr="007F3254" w:rsidRDefault="00D137A3" w:rsidP="00420A27">
            <w:pPr>
              <w:keepNext/>
              <w:keepLines/>
              <w:rPr>
                <w:rFonts w:ascii="Arial Narrow" w:hAnsi="Arial Narrow"/>
                <w:sz w:val="20"/>
                <w:szCs w:val="20"/>
              </w:rPr>
            </w:pPr>
            <w:r>
              <w:rPr>
                <w:rFonts w:ascii="Arial Narrow" w:hAnsi="Arial Narrow"/>
                <w:noProof/>
                <w:sz w:val="20"/>
                <w:szCs w:val="20"/>
              </w:rPr>
              <w:drawing>
                <wp:inline distT="0" distB="0" distL="0" distR="0" wp14:anchorId="3636A21A" wp14:editId="399983E9">
                  <wp:extent cx="2821738" cy="1597057"/>
                  <wp:effectExtent l="0" t="0" r="0" b="3175"/>
                  <wp:docPr id="40" name="Picture 40" descr="Figure 1a. Kaplan-Meier plots of event free survival - Stratum 1 in Study 3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Figure 1a. Kaplan-Meier plots of event free survival - Stratum 1 in Study 3b&#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566" cy="1615637"/>
                          </a:xfrm>
                          <a:prstGeom prst="rect">
                            <a:avLst/>
                          </a:prstGeom>
                          <a:noFill/>
                        </pic:spPr>
                      </pic:pic>
                    </a:graphicData>
                  </a:graphic>
                </wp:inline>
              </w:drawing>
            </w:r>
          </w:p>
        </w:tc>
        <w:tc>
          <w:tcPr>
            <w:tcW w:w="4496" w:type="dxa"/>
          </w:tcPr>
          <w:p w14:paraId="60A36786" w14:textId="77777777" w:rsidR="00D137A3" w:rsidRPr="007F3254" w:rsidRDefault="00D137A3" w:rsidP="00420A27">
            <w:pPr>
              <w:keepNext/>
              <w:keepLines/>
              <w:rPr>
                <w:rFonts w:ascii="Arial Narrow" w:hAnsi="Arial Narrow"/>
                <w:sz w:val="20"/>
                <w:szCs w:val="20"/>
              </w:rPr>
            </w:pPr>
            <w:r>
              <w:rPr>
                <w:rFonts w:ascii="Arial Narrow" w:hAnsi="Arial Narrow"/>
                <w:noProof/>
                <w:sz w:val="20"/>
                <w:szCs w:val="20"/>
              </w:rPr>
              <w:drawing>
                <wp:inline distT="0" distB="0" distL="0" distR="0" wp14:anchorId="2D1E0433" wp14:editId="06448081">
                  <wp:extent cx="2816128" cy="1590762"/>
                  <wp:effectExtent l="0" t="0" r="3810" b="0"/>
                  <wp:docPr id="41" name="Picture 41" descr="Figure 1a. Kaplan-Meier plots of event free survival - Stratum 2 in Study 3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Figure 1a. Kaplan-Meier plots of event free survival - Stratum 2 in Study 3b&#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9069" cy="1615018"/>
                          </a:xfrm>
                          <a:prstGeom prst="rect">
                            <a:avLst/>
                          </a:prstGeom>
                          <a:noFill/>
                        </pic:spPr>
                      </pic:pic>
                    </a:graphicData>
                  </a:graphic>
                </wp:inline>
              </w:drawing>
            </w:r>
          </w:p>
        </w:tc>
      </w:tr>
      <w:tr w:rsidR="00D137A3" w:rsidRPr="007F3254" w14:paraId="645329FB" w14:textId="77777777" w:rsidTr="00D137A3">
        <w:tc>
          <w:tcPr>
            <w:tcW w:w="4526" w:type="dxa"/>
            <w:vAlign w:val="center"/>
          </w:tcPr>
          <w:p w14:paraId="3706E660" w14:textId="77777777" w:rsidR="00D137A3" w:rsidRDefault="00D137A3" w:rsidP="00420A27">
            <w:pPr>
              <w:keepNext/>
              <w:keepLines/>
              <w:jc w:val="center"/>
              <w:rPr>
                <w:rFonts w:ascii="Arial Narrow" w:hAnsi="Arial Narrow"/>
                <w:noProof/>
                <w:sz w:val="20"/>
                <w:szCs w:val="20"/>
              </w:rPr>
            </w:pPr>
            <w:r>
              <w:rPr>
                <w:rFonts w:ascii="Arial Narrow" w:hAnsi="Arial Narrow"/>
                <w:b/>
                <w:sz w:val="20"/>
                <w:szCs w:val="20"/>
              </w:rPr>
              <w:t>OS – Stratum 1</w:t>
            </w:r>
          </w:p>
        </w:tc>
        <w:tc>
          <w:tcPr>
            <w:tcW w:w="4496" w:type="dxa"/>
            <w:vAlign w:val="center"/>
          </w:tcPr>
          <w:p w14:paraId="1EC0C506" w14:textId="77777777" w:rsidR="00D137A3" w:rsidRDefault="00D137A3" w:rsidP="00420A27">
            <w:pPr>
              <w:keepNext/>
              <w:keepLines/>
              <w:jc w:val="center"/>
              <w:rPr>
                <w:rFonts w:ascii="Arial Narrow" w:hAnsi="Arial Narrow"/>
                <w:noProof/>
                <w:sz w:val="20"/>
                <w:szCs w:val="20"/>
              </w:rPr>
            </w:pPr>
          </w:p>
        </w:tc>
      </w:tr>
      <w:tr w:rsidR="00D137A3" w:rsidRPr="007F3254" w14:paraId="2FE97F0F" w14:textId="77777777" w:rsidTr="00D137A3">
        <w:tc>
          <w:tcPr>
            <w:tcW w:w="4526" w:type="dxa"/>
          </w:tcPr>
          <w:p w14:paraId="657E61DD" w14:textId="77777777" w:rsidR="00D137A3" w:rsidRDefault="00D137A3" w:rsidP="00420A27">
            <w:pPr>
              <w:keepNext/>
              <w:keepLines/>
              <w:rPr>
                <w:rFonts w:ascii="Arial Narrow" w:hAnsi="Arial Narrow"/>
                <w:noProof/>
                <w:sz w:val="20"/>
                <w:szCs w:val="20"/>
              </w:rPr>
            </w:pPr>
            <w:r>
              <w:rPr>
                <w:rFonts w:ascii="Arial Narrow" w:hAnsi="Arial Narrow"/>
                <w:noProof/>
                <w:sz w:val="20"/>
                <w:szCs w:val="20"/>
              </w:rPr>
              <w:drawing>
                <wp:inline distT="0" distB="0" distL="0" distR="0" wp14:anchorId="0A283B78" wp14:editId="4903E170">
                  <wp:extent cx="2830975" cy="1593188"/>
                  <wp:effectExtent l="0" t="0" r="7620" b="7620"/>
                  <wp:docPr id="42" name="Picture 42" descr="Figure 1a. Kaplan-Meier plots of overall survival - Stratum 1 in Study 3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Figure 1a. Kaplan-Meier plots of overall survival - Stratum 1 in Study 3b&#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7690" cy="1619478"/>
                          </a:xfrm>
                          <a:prstGeom prst="rect">
                            <a:avLst/>
                          </a:prstGeom>
                          <a:noFill/>
                        </pic:spPr>
                      </pic:pic>
                    </a:graphicData>
                  </a:graphic>
                </wp:inline>
              </w:drawing>
            </w:r>
          </w:p>
        </w:tc>
        <w:tc>
          <w:tcPr>
            <w:tcW w:w="4496" w:type="dxa"/>
          </w:tcPr>
          <w:p w14:paraId="3C7D59C4" w14:textId="77777777" w:rsidR="00D137A3" w:rsidRDefault="00D137A3" w:rsidP="00420A27">
            <w:pPr>
              <w:keepNext/>
              <w:keepLines/>
              <w:rPr>
                <w:rFonts w:ascii="Arial Narrow" w:hAnsi="Arial Narrow"/>
                <w:noProof/>
                <w:sz w:val="20"/>
                <w:szCs w:val="20"/>
              </w:rPr>
            </w:pPr>
          </w:p>
        </w:tc>
      </w:tr>
    </w:tbl>
    <w:p w14:paraId="2BBC2789" w14:textId="77777777" w:rsidR="00D137A3" w:rsidRDefault="00D137A3" w:rsidP="00420A27">
      <w:pPr>
        <w:pStyle w:val="FooterTableFigure"/>
        <w:keepNext/>
        <w:keepLines/>
      </w:pPr>
      <w:r>
        <w:t>Source: Figures 2.9, 2.10 and 2.22 pp 109-110, 122 of the submission.</w:t>
      </w:r>
    </w:p>
    <w:p w14:paraId="6C457860" w14:textId="77777777" w:rsidR="00D137A3" w:rsidRDefault="00D137A3" w:rsidP="000E4708">
      <w:pPr>
        <w:pStyle w:val="FooterTableFigure"/>
        <w:contextualSpacing w:val="0"/>
      </w:pPr>
      <w:r>
        <w:t>EFS=event free survival; ITT=intention-to-treat; OS=overall survival.</w:t>
      </w:r>
    </w:p>
    <w:p w14:paraId="4027F143" w14:textId="2FD55CEA" w:rsidR="00D137A3" w:rsidRPr="00AA1240" w:rsidRDefault="005856A3" w:rsidP="00D137A3">
      <w:pPr>
        <w:pStyle w:val="3-BodyText"/>
      </w:pPr>
      <w:r>
        <w:lastRenderedPageBreak/>
        <w:t xml:space="preserve">The results for </w:t>
      </w:r>
      <w:r w:rsidR="00D137A3">
        <w:t xml:space="preserve">Study 3b </w:t>
      </w:r>
      <w:r>
        <w:t xml:space="preserve">showed </w:t>
      </w:r>
      <w:r w:rsidR="00D137A3">
        <w:t xml:space="preserve">that EFS and OS were significantly higher for patients treated with eflornithine compared to the estimated rates for historical controls </w:t>
      </w:r>
      <w:r w:rsidR="00D137A3" w:rsidRPr="00420A27">
        <w:t xml:space="preserve">treated with </w:t>
      </w:r>
      <w:r w:rsidR="006D3A26" w:rsidRPr="00420A27">
        <w:t>SOC</w:t>
      </w:r>
      <w:r w:rsidR="00D137A3" w:rsidRPr="00420A27">
        <w:t>. In Stratum 1, the EFS rate at 48 months was 83% for treated patients compared to 60% for the historical controls (p&lt;0.0001), and the OS rate was 95% for treated patients compared to 75% for the historical controls (p=0.0001). In Stratum 2, the EFS rate at 48 months was 46% for treated patients compared to 10% for the historical controls (p&lt;0.0001). The</w:t>
      </w:r>
      <w:r w:rsidR="006D7786" w:rsidRPr="00420A27">
        <w:t xml:space="preserve"> evaluation considered that the</w:t>
      </w:r>
      <w:r w:rsidR="00D137A3" w:rsidRPr="00420A27">
        <w:t xml:space="preserve"> results of the</w:t>
      </w:r>
      <w:r w:rsidR="00D137A3" w:rsidRPr="00AA1240">
        <w:t xml:space="preserve"> unadjusted comparisons to historical controls should be interpreted with caution</w:t>
      </w:r>
      <w:r w:rsidR="00C93E05" w:rsidRPr="00AA1240">
        <w:t>,</w:t>
      </w:r>
      <w:r w:rsidR="00D137A3" w:rsidRPr="00AA1240">
        <w:t xml:space="preserve"> given the</w:t>
      </w:r>
      <w:r w:rsidR="7BF79152" w:rsidRPr="00AA1240">
        <w:t xml:space="preserve"> </w:t>
      </w:r>
      <w:r w:rsidR="008B3C2B" w:rsidRPr="00AA1240">
        <w:t xml:space="preserve">differences in the index dates and </w:t>
      </w:r>
      <w:r w:rsidR="7BF79152" w:rsidRPr="00AA1240">
        <w:t xml:space="preserve">potential for uncontrolled </w:t>
      </w:r>
      <w:r w:rsidR="49C3C77B" w:rsidRPr="00AA1240">
        <w:t xml:space="preserve">or residual </w:t>
      </w:r>
      <w:r w:rsidR="7BF79152" w:rsidRPr="00AA1240">
        <w:t>confounding</w:t>
      </w:r>
      <w:r w:rsidR="00D137A3" w:rsidRPr="00AA1240">
        <w:t>.</w:t>
      </w:r>
    </w:p>
    <w:p w14:paraId="094463C5" w14:textId="5200FEA4" w:rsidR="00991865" w:rsidRDefault="00991865" w:rsidP="00991865">
      <w:pPr>
        <w:pStyle w:val="3-BodyText"/>
        <w:numPr>
          <w:ilvl w:val="0"/>
          <w:numId w:val="0"/>
        </w:numPr>
        <w:spacing w:after="0"/>
        <w:rPr>
          <w:b/>
          <w:lang w:val="en-US"/>
        </w:rPr>
      </w:pPr>
      <w:r>
        <w:rPr>
          <w:b/>
          <w:lang w:val="en-US"/>
        </w:rPr>
        <w:t>STRATUM 1 PATIENTS</w:t>
      </w:r>
    </w:p>
    <w:p w14:paraId="31757AB5" w14:textId="66C32358" w:rsidR="009D2380" w:rsidRPr="009D2380" w:rsidRDefault="0084117C" w:rsidP="009D2380">
      <w:pPr>
        <w:pStyle w:val="3-BodyText"/>
        <w:numPr>
          <w:ilvl w:val="0"/>
          <w:numId w:val="0"/>
        </w:numPr>
        <w:rPr>
          <w:rFonts w:eastAsia="Calibri"/>
        </w:rPr>
      </w:pPr>
      <w:r>
        <w:rPr>
          <w:b/>
          <w:lang w:val="en-US"/>
        </w:rPr>
        <w:t xml:space="preserve">PSM study: </w:t>
      </w:r>
      <w:r w:rsidR="009D2380">
        <w:rPr>
          <w:b/>
          <w:lang w:val="en-US"/>
        </w:rPr>
        <w:t>Eflornithine + SOC versus SOC (via adjusted comparison to historical)</w:t>
      </w:r>
    </w:p>
    <w:p w14:paraId="037A43E7" w14:textId="3AF43839" w:rsidR="00D137A3" w:rsidRPr="008F76B9" w:rsidRDefault="00D137A3" w:rsidP="00545D9B">
      <w:pPr>
        <w:pStyle w:val="3-BodyText"/>
        <w:rPr>
          <w:rFonts w:eastAsia="Calibri"/>
        </w:rPr>
      </w:pPr>
      <w:r w:rsidRPr="002541AE">
        <w:fldChar w:fldCharType="begin" w:fldLock="1"/>
      </w:r>
      <w:r w:rsidRPr="002541AE">
        <w:instrText xml:space="preserve"> REF _Ref187336365 \h  \* MERGEFORMAT </w:instrText>
      </w:r>
      <w:r w:rsidRPr="002541AE">
        <w:fldChar w:fldCharType="separate"/>
      </w:r>
      <w:r w:rsidR="00AF2AB7" w:rsidRPr="00AF2AB7">
        <w:t>Table 5</w:t>
      </w:r>
      <w:r w:rsidRPr="002541AE">
        <w:fldChar w:fldCharType="end"/>
      </w:r>
      <w:r w:rsidRPr="002541AE">
        <w:t xml:space="preserve"> and </w:t>
      </w:r>
      <w:r>
        <w:fldChar w:fldCharType="begin" w:fldLock="1"/>
      </w:r>
      <w:r>
        <w:instrText xml:space="preserve"> REF _Ref187336582 \h </w:instrText>
      </w:r>
      <w:r>
        <w:fldChar w:fldCharType="separate"/>
      </w:r>
      <w:r w:rsidR="00AF2AB7">
        <w:t xml:space="preserve">Figure </w:t>
      </w:r>
      <w:r w:rsidR="00AF2AB7">
        <w:rPr>
          <w:noProof/>
        </w:rPr>
        <w:t>2</w:t>
      </w:r>
      <w:r>
        <w:fldChar w:fldCharType="end"/>
      </w:r>
      <w:r w:rsidRPr="002541AE">
        <w:t xml:space="preserve"> present </w:t>
      </w:r>
      <w:r>
        <w:t>EFS and OS in the base case analysis of</w:t>
      </w:r>
      <w:r w:rsidRPr="002541AE">
        <w:t xml:space="preserve"> the PSM primary </w:t>
      </w:r>
      <w:r>
        <w:t>study</w:t>
      </w:r>
      <w:r w:rsidRPr="002541AE">
        <w:t xml:space="preserve"> </w:t>
      </w:r>
      <w:r>
        <w:t>(</w:t>
      </w:r>
      <w:r w:rsidRPr="002541AE">
        <w:t>Stratum 1 patient</w:t>
      </w:r>
      <w:r w:rsidRPr="000B618B">
        <w:t>s</w:t>
      </w:r>
      <w:r>
        <w:t>)</w:t>
      </w:r>
      <w:r w:rsidRPr="000B618B">
        <w:t>.</w:t>
      </w:r>
    </w:p>
    <w:p w14:paraId="048BB86F" w14:textId="6AAC54A0" w:rsidR="00D137A3" w:rsidRPr="002E2158" w:rsidRDefault="00D137A3" w:rsidP="7F2A1B4F">
      <w:pPr>
        <w:keepNext/>
        <w:rPr>
          <w:rStyle w:val="CommentReference"/>
        </w:rPr>
      </w:pPr>
      <w:bookmarkStart w:id="38" w:name="_Ref187336365"/>
      <w:r w:rsidRPr="7F2A1B4F">
        <w:rPr>
          <w:rStyle w:val="CommentReference"/>
        </w:rPr>
        <w:t xml:space="preserve">Table </w:t>
      </w:r>
      <w:r w:rsidRPr="7F2A1B4F">
        <w:rPr>
          <w:rStyle w:val="CommentReference"/>
        </w:rPr>
        <w:fldChar w:fldCharType="begin" w:fldLock="1"/>
      </w:r>
      <w:r w:rsidRPr="7F2A1B4F">
        <w:rPr>
          <w:rStyle w:val="CommentReference"/>
        </w:rPr>
        <w:instrText xml:space="preserve"> SEQ Table \* ARABIC </w:instrText>
      </w:r>
      <w:r w:rsidRPr="7F2A1B4F">
        <w:rPr>
          <w:rStyle w:val="CommentReference"/>
        </w:rPr>
        <w:fldChar w:fldCharType="separate"/>
      </w:r>
      <w:r w:rsidR="00AF2AB7">
        <w:rPr>
          <w:rStyle w:val="CommentReference"/>
          <w:noProof/>
        </w:rPr>
        <w:t>5</w:t>
      </w:r>
      <w:r w:rsidRPr="7F2A1B4F">
        <w:rPr>
          <w:rStyle w:val="CommentReference"/>
        </w:rPr>
        <w:fldChar w:fldCharType="end"/>
      </w:r>
      <w:bookmarkEnd w:id="38"/>
      <w:r w:rsidRPr="7F2A1B4F">
        <w:rPr>
          <w:rStyle w:val="CommentReference"/>
        </w:rPr>
        <w:t>: Summary of EFS and OS in PSM primary analysis</w:t>
      </w:r>
      <w:r w:rsidR="001C7EDF">
        <w:rPr>
          <w:rStyle w:val="CommentReference"/>
        </w:rPr>
        <w:t xml:space="preserve"> </w:t>
      </w:r>
      <w:r w:rsidRPr="7F2A1B4F">
        <w:rPr>
          <w:rStyle w:val="CommentReference"/>
          <w:vertAlign w:val="superscript"/>
        </w:rPr>
        <w:t>a</w:t>
      </w:r>
      <w:r w:rsidRPr="7F2A1B4F">
        <w:rPr>
          <w:rStyle w:val="CommentReference"/>
        </w:rPr>
        <w:t xml:space="preserve"> </w:t>
      </w:r>
    </w:p>
    <w:tbl>
      <w:tblPr>
        <w:tblStyle w:val="PBAClayout"/>
        <w:tblW w:w="0" w:type="auto"/>
        <w:tblLook w:val="04A0" w:firstRow="1" w:lastRow="0" w:firstColumn="1" w:lastColumn="0" w:noHBand="0" w:noVBand="1"/>
        <w:tblCaption w:val="Table 5: Summary of EFS and OS in PSM primary analysisa "/>
      </w:tblPr>
      <w:tblGrid>
        <w:gridCol w:w="2830"/>
        <w:gridCol w:w="2062"/>
        <w:gridCol w:w="2062"/>
        <w:gridCol w:w="2063"/>
      </w:tblGrid>
      <w:tr w:rsidR="00D137A3" w:rsidRPr="008D4C3D" w14:paraId="2FB95E61" w14:textId="77777777" w:rsidTr="76B6F9DD">
        <w:tc>
          <w:tcPr>
            <w:tcW w:w="2830" w:type="dxa"/>
          </w:tcPr>
          <w:p w14:paraId="7F2F20AF" w14:textId="77777777" w:rsidR="00D137A3" w:rsidRPr="008D4C3D" w:rsidRDefault="00D137A3" w:rsidP="00D137A3">
            <w:pPr>
              <w:pStyle w:val="In-tableHeading"/>
            </w:pPr>
          </w:p>
        </w:tc>
        <w:tc>
          <w:tcPr>
            <w:tcW w:w="2062" w:type="dxa"/>
          </w:tcPr>
          <w:p w14:paraId="4E05D9C7" w14:textId="46D25114" w:rsidR="00D137A3" w:rsidRPr="008D4C3D" w:rsidRDefault="00D137A3" w:rsidP="00D137A3">
            <w:pPr>
              <w:pStyle w:val="In-tableHeading"/>
              <w:jc w:val="center"/>
            </w:pPr>
            <w:r>
              <w:t>Eflornithine</w:t>
            </w:r>
          </w:p>
        </w:tc>
        <w:tc>
          <w:tcPr>
            <w:tcW w:w="2062" w:type="dxa"/>
          </w:tcPr>
          <w:p w14:paraId="5180790A" w14:textId="0D7D4522" w:rsidR="00D137A3" w:rsidRPr="008D4C3D" w:rsidRDefault="00D137A3" w:rsidP="00D137A3">
            <w:pPr>
              <w:pStyle w:val="In-tableHeading"/>
              <w:jc w:val="center"/>
            </w:pPr>
            <w:r>
              <w:t>Standard of Care</w:t>
            </w:r>
          </w:p>
        </w:tc>
        <w:tc>
          <w:tcPr>
            <w:tcW w:w="2063" w:type="dxa"/>
          </w:tcPr>
          <w:p w14:paraId="48B054FE" w14:textId="77777777" w:rsidR="00D137A3" w:rsidRPr="008D4C3D" w:rsidRDefault="00D137A3" w:rsidP="00D137A3">
            <w:pPr>
              <w:pStyle w:val="In-tableHeading"/>
              <w:jc w:val="center"/>
            </w:pPr>
            <w:r>
              <w:t>HR (95% CI)</w:t>
            </w:r>
          </w:p>
        </w:tc>
      </w:tr>
      <w:tr w:rsidR="00D137A3" w14:paraId="77978D9A" w14:textId="77777777" w:rsidTr="76B6F9DD">
        <w:tc>
          <w:tcPr>
            <w:tcW w:w="9017" w:type="dxa"/>
            <w:gridSpan w:val="4"/>
            <w:vAlign w:val="top"/>
          </w:tcPr>
          <w:p w14:paraId="75667B5D" w14:textId="77777777" w:rsidR="00D137A3" w:rsidRPr="005F29DC" w:rsidRDefault="00D137A3" w:rsidP="00D137A3">
            <w:pPr>
              <w:pStyle w:val="In-tableHeading"/>
            </w:pPr>
            <w:r w:rsidRPr="005F29DC">
              <w:rPr>
                <w:szCs w:val="20"/>
              </w:rPr>
              <w:t>EFS</w:t>
            </w:r>
          </w:p>
        </w:tc>
      </w:tr>
      <w:tr w:rsidR="00D137A3" w14:paraId="27B27695" w14:textId="77777777" w:rsidTr="76B6F9DD">
        <w:tc>
          <w:tcPr>
            <w:tcW w:w="2830" w:type="dxa"/>
            <w:tcBorders>
              <w:bottom w:val="nil"/>
            </w:tcBorders>
          </w:tcPr>
          <w:p w14:paraId="0C203FAA" w14:textId="77777777" w:rsidR="00D137A3" w:rsidRDefault="00D137A3" w:rsidP="00D137A3">
            <w:pPr>
              <w:pStyle w:val="TableText0"/>
            </w:pPr>
            <w:r w:rsidRPr="009642D0">
              <w:rPr>
                <w:szCs w:val="20"/>
              </w:rPr>
              <w:t>Patients with event n/N (%)</w:t>
            </w:r>
          </w:p>
        </w:tc>
        <w:tc>
          <w:tcPr>
            <w:tcW w:w="2062" w:type="dxa"/>
            <w:tcBorders>
              <w:bottom w:val="nil"/>
            </w:tcBorders>
          </w:tcPr>
          <w:p w14:paraId="4C3713D4" w14:textId="77777777" w:rsidR="00D137A3" w:rsidRDefault="00D137A3" w:rsidP="00D137A3">
            <w:pPr>
              <w:pStyle w:val="TableText0"/>
              <w:jc w:val="center"/>
            </w:pPr>
            <w:r>
              <w:t>15/90 (16.7%)</w:t>
            </w:r>
          </w:p>
        </w:tc>
        <w:tc>
          <w:tcPr>
            <w:tcW w:w="2062" w:type="dxa"/>
            <w:tcBorders>
              <w:bottom w:val="nil"/>
            </w:tcBorders>
          </w:tcPr>
          <w:p w14:paraId="78009942" w14:textId="77777777" w:rsidR="00D137A3" w:rsidRDefault="00D137A3" w:rsidP="00D137A3">
            <w:pPr>
              <w:pStyle w:val="TableText0"/>
              <w:jc w:val="center"/>
            </w:pPr>
            <w:r>
              <w:t>79/270 (29.3%)</w:t>
            </w:r>
          </w:p>
        </w:tc>
        <w:tc>
          <w:tcPr>
            <w:tcW w:w="2063" w:type="dxa"/>
            <w:vMerge w:val="restart"/>
          </w:tcPr>
          <w:p w14:paraId="4A0472BC" w14:textId="77777777" w:rsidR="00D137A3" w:rsidRDefault="00D137A3" w:rsidP="00D137A3">
            <w:pPr>
              <w:pStyle w:val="TableText0"/>
              <w:jc w:val="center"/>
            </w:pPr>
            <w:r w:rsidRPr="005F29DC">
              <w:rPr>
                <w:b/>
              </w:rPr>
              <w:t>0.49 (0.28, 0.8</w:t>
            </w:r>
            <w:r>
              <w:rPr>
                <w:b/>
              </w:rPr>
              <w:t>6</w:t>
            </w:r>
            <w:r w:rsidRPr="005F29DC">
              <w:rPr>
                <w:b/>
              </w:rPr>
              <w:t>)</w:t>
            </w:r>
          </w:p>
        </w:tc>
      </w:tr>
      <w:tr w:rsidR="00D137A3" w14:paraId="150BF35D" w14:textId="77777777" w:rsidTr="76B6F9DD">
        <w:tc>
          <w:tcPr>
            <w:tcW w:w="2830" w:type="dxa"/>
            <w:tcBorders>
              <w:top w:val="nil"/>
              <w:bottom w:val="nil"/>
            </w:tcBorders>
          </w:tcPr>
          <w:p w14:paraId="047BF545" w14:textId="77777777" w:rsidR="00D137A3" w:rsidRDefault="00D137A3" w:rsidP="00D137A3">
            <w:pPr>
              <w:pStyle w:val="TableText0"/>
            </w:pPr>
            <w:r w:rsidRPr="009642D0">
              <w:rPr>
                <w:szCs w:val="20"/>
              </w:rPr>
              <w:t xml:space="preserve">Median </w:t>
            </w:r>
            <w:r>
              <w:rPr>
                <w:szCs w:val="20"/>
              </w:rPr>
              <w:t>E</w:t>
            </w:r>
            <w:r w:rsidRPr="009642D0">
              <w:rPr>
                <w:szCs w:val="20"/>
              </w:rPr>
              <w:t>FS months (95% CI)</w:t>
            </w:r>
          </w:p>
        </w:tc>
        <w:tc>
          <w:tcPr>
            <w:tcW w:w="2062" w:type="dxa"/>
            <w:tcBorders>
              <w:top w:val="nil"/>
              <w:bottom w:val="nil"/>
            </w:tcBorders>
          </w:tcPr>
          <w:p w14:paraId="227D01F4" w14:textId="77777777" w:rsidR="00D137A3" w:rsidRDefault="00D137A3" w:rsidP="00D137A3">
            <w:pPr>
              <w:pStyle w:val="TableText0"/>
              <w:jc w:val="center"/>
            </w:pPr>
            <w:r>
              <w:t>NE</w:t>
            </w:r>
          </w:p>
        </w:tc>
        <w:tc>
          <w:tcPr>
            <w:tcW w:w="2062" w:type="dxa"/>
            <w:tcBorders>
              <w:top w:val="nil"/>
              <w:bottom w:val="nil"/>
            </w:tcBorders>
          </w:tcPr>
          <w:p w14:paraId="30C0B5B9" w14:textId="77777777" w:rsidR="00D137A3" w:rsidRDefault="00D137A3" w:rsidP="00D137A3">
            <w:pPr>
              <w:pStyle w:val="TableText0"/>
              <w:jc w:val="center"/>
            </w:pPr>
            <w:r>
              <w:t>NE</w:t>
            </w:r>
          </w:p>
        </w:tc>
        <w:tc>
          <w:tcPr>
            <w:tcW w:w="2063" w:type="dxa"/>
            <w:vMerge/>
          </w:tcPr>
          <w:p w14:paraId="6C084A01" w14:textId="77777777" w:rsidR="00D137A3" w:rsidRPr="005F29DC" w:rsidRDefault="00D137A3" w:rsidP="00D137A3">
            <w:pPr>
              <w:pStyle w:val="TableText0"/>
              <w:jc w:val="center"/>
              <w:rPr>
                <w:b/>
              </w:rPr>
            </w:pPr>
          </w:p>
        </w:tc>
      </w:tr>
      <w:tr w:rsidR="00D137A3" w14:paraId="4A4C68B8" w14:textId="77777777" w:rsidTr="76B6F9DD">
        <w:tc>
          <w:tcPr>
            <w:tcW w:w="2830" w:type="dxa"/>
            <w:tcBorders>
              <w:top w:val="nil"/>
              <w:bottom w:val="nil"/>
            </w:tcBorders>
          </w:tcPr>
          <w:p w14:paraId="0683F8F3" w14:textId="6E3A785F" w:rsidR="00D137A3" w:rsidRDefault="00CF5D06" w:rsidP="00D137A3">
            <w:pPr>
              <w:pStyle w:val="TableText0"/>
            </w:pPr>
            <w:r>
              <w:rPr>
                <w:szCs w:val="20"/>
              </w:rPr>
              <w:t xml:space="preserve">KM </w:t>
            </w:r>
            <w:r w:rsidR="00D137A3">
              <w:rPr>
                <w:szCs w:val="20"/>
              </w:rPr>
              <w:t>EFS at 24 months</w:t>
            </w:r>
          </w:p>
        </w:tc>
        <w:tc>
          <w:tcPr>
            <w:tcW w:w="2062" w:type="dxa"/>
            <w:tcBorders>
              <w:top w:val="nil"/>
              <w:bottom w:val="nil"/>
            </w:tcBorders>
          </w:tcPr>
          <w:p w14:paraId="0FF244AB" w14:textId="77777777" w:rsidR="00D137A3" w:rsidRDefault="00D137A3" w:rsidP="00D137A3">
            <w:pPr>
              <w:pStyle w:val="TableText0"/>
              <w:jc w:val="center"/>
            </w:pPr>
            <w:r>
              <w:t>0.867 (0.777, 0.922)</w:t>
            </w:r>
          </w:p>
        </w:tc>
        <w:tc>
          <w:tcPr>
            <w:tcW w:w="2062" w:type="dxa"/>
            <w:tcBorders>
              <w:top w:val="nil"/>
              <w:bottom w:val="nil"/>
            </w:tcBorders>
          </w:tcPr>
          <w:p w14:paraId="5C41050C" w14:textId="77777777" w:rsidR="00D137A3" w:rsidRDefault="00D137A3" w:rsidP="00D137A3">
            <w:pPr>
              <w:pStyle w:val="TableText0"/>
              <w:jc w:val="center"/>
            </w:pPr>
            <w:r>
              <w:t>0.789 (0.735, 0.833)</w:t>
            </w:r>
          </w:p>
        </w:tc>
        <w:tc>
          <w:tcPr>
            <w:tcW w:w="2063" w:type="dxa"/>
            <w:vMerge/>
          </w:tcPr>
          <w:p w14:paraId="456B8EA7" w14:textId="77777777" w:rsidR="00D137A3" w:rsidRDefault="00D137A3" w:rsidP="00D137A3">
            <w:pPr>
              <w:pStyle w:val="TableText0"/>
              <w:jc w:val="center"/>
            </w:pPr>
          </w:p>
        </w:tc>
      </w:tr>
      <w:tr w:rsidR="00D137A3" w14:paraId="404F7676" w14:textId="77777777" w:rsidTr="76B6F9DD">
        <w:tc>
          <w:tcPr>
            <w:tcW w:w="2830" w:type="dxa"/>
            <w:tcBorders>
              <w:top w:val="nil"/>
              <w:bottom w:val="nil"/>
            </w:tcBorders>
          </w:tcPr>
          <w:p w14:paraId="705A42B1" w14:textId="3C60F41D" w:rsidR="00D137A3" w:rsidRDefault="00CF5D06" w:rsidP="00D137A3">
            <w:pPr>
              <w:pStyle w:val="TableText0"/>
            </w:pPr>
            <w:r>
              <w:rPr>
                <w:szCs w:val="20"/>
              </w:rPr>
              <w:t xml:space="preserve">KM </w:t>
            </w:r>
            <w:r w:rsidR="00D137A3">
              <w:rPr>
                <w:szCs w:val="20"/>
              </w:rPr>
              <w:t>EFS at 48 months</w:t>
            </w:r>
          </w:p>
        </w:tc>
        <w:tc>
          <w:tcPr>
            <w:tcW w:w="2062" w:type="dxa"/>
            <w:tcBorders>
              <w:top w:val="nil"/>
              <w:bottom w:val="nil"/>
            </w:tcBorders>
          </w:tcPr>
          <w:p w14:paraId="51BD7710" w14:textId="77777777" w:rsidR="00D137A3" w:rsidRDefault="00D137A3" w:rsidP="00D137A3">
            <w:pPr>
              <w:pStyle w:val="TableText0"/>
              <w:jc w:val="center"/>
            </w:pPr>
            <w:r>
              <w:t>0.844 (0.752, 0.905)</w:t>
            </w:r>
          </w:p>
        </w:tc>
        <w:tc>
          <w:tcPr>
            <w:tcW w:w="2062" w:type="dxa"/>
            <w:tcBorders>
              <w:top w:val="nil"/>
              <w:bottom w:val="nil"/>
            </w:tcBorders>
          </w:tcPr>
          <w:p w14:paraId="6C8D76E7" w14:textId="77777777" w:rsidR="00D137A3" w:rsidRDefault="00D137A3" w:rsidP="00D137A3">
            <w:pPr>
              <w:pStyle w:val="TableText0"/>
              <w:jc w:val="center"/>
            </w:pPr>
            <w:r>
              <w:t>0.728 (0.670, 0.777)</w:t>
            </w:r>
          </w:p>
        </w:tc>
        <w:tc>
          <w:tcPr>
            <w:tcW w:w="2063" w:type="dxa"/>
            <w:vMerge/>
          </w:tcPr>
          <w:p w14:paraId="0A1770CF" w14:textId="77777777" w:rsidR="00D137A3" w:rsidRDefault="00D137A3" w:rsidP="00D137A3">
            <w:pPr>
              <w:pStyle w:val="TableText0"/>
              <w:jc w:val="center"/>
            </w:pPr>
          </w:p>
        </w:tc>
      </w:tr>
      <w:tr w:rsidR="00D137A3" w14:paraId="53D4FFF3" w14:textId="77777777" w:rsidTr="00987305">
        <w:trPr>
          <w:trHeight w:val="70"/>
        </w:trPr>
        <w:tc>
          <w:tcPr>
            <w:tcW w:w="2830" w:type="dxa"/>
            <w:tcBorders>
              <w:top w:val="nil"/>
            </w:tcBorders>
            <w:vAlign w:val="top"/>
          </w:tcPr>
          <w:p w14:paraId="43806EB9" w14:textId="078A1770" w:rsidR="00D137A3" w:rsidRDefault="00CF5D06" w:rsidP="00D137A3">
            <w:pPr>
              <w:pStyle w:val="TableText0"/>
            </w:pPr>
            <w:r>
              <w:t xml:space="preserve">KM </w:t>
            </w:r>
            <w:r w:rsidR="00D137A3">
              <w:t>EFS at 84 months</w:t>
            </w:r>
          </w:p>
        </w:tc>
        <w:tc>
          <w:tcPr>
            <w:tcW w:w="2062" w:type="dxa"/>
            <w:tcBorders>
              <w:top w:val="nil"/>
            </w:tcBorders>
          </w:tcPr>
          <w:p w14:paraId="31249197" w14:textId="77777777" w:rsidR="00D137A3" w:rsidRDefault="00D137A3" w:rsidP="00D137A3">
            <w:pPr>
              <w:pStyle w:val="TableText0"/>
              <w:jc w:val="center"/>
            </w:pPr>
            <w:r>
              <w:t>0.833 (0.739, 0.896)</w:t>
            </w:r>
          </w:p>
        </w:tc>
        <w:tc>
          <w:tcPr>
            <w:tcW w:w="2062" w:type="dxa"/>
            <w:tcBorders>
              <w:top w:val="nil"/>
            </w:tcBorders>
          </w:tcPr>
          <w:p w14:paraId="62F21449" w14:textId="77777777" w:rsidR="00D137A3" w:rsidRDefault="00D137A3" w:rsidP="00D137A3">
            <w:pPr>
              <w:pStyle w:val="TableText0"/>
              <w:jc w:val="center"/>
            </w:pPr>
            <w:r>
              <w:t>0.678 (0.609, 0.738)</w:t>
            </w:r>
          </w:p>
        </w:tc>
        <w:tc>
          <w:tcPr>
            <w:tcW w:w="2063" w:type="dxa"/>
            <w:vMerge/>
          </w:tcPr>
          <w:p w14:paraId="7C012AD4" w14:textId="77777777" w:rsidR="00D137A3" w:rsidRDefault="00D137A3" w:rsidP="00D137A3">
            <w:pPr>
              <w:pStyle w:val="TableText0"/>
              <w:jc w:val="center"/>
            </w:pPr>
          </w:p>
        </w:tc>
      </w:tr>
      <w:tr w:rsidR="00D137A3" w14:paraId="208B3031" w14:textId="77777777" w:rsidTr="76B6F9DD">
        <w:tc>
          <w:tcPr>
            <w:tcW w:w="9017" w:type="dxa"/>
            <w:gridSpan w:val="4"/>
          </w:tcPr>
          <w:p w14:paraId="2D6BEDB6" w14:textId="77777777" w:rsidR="00D137A3" w:rsidRPr="00D77981" w:rsidRDefault="00D137A3" w:rsidP="00D137A3">
            <w:pPr>
              <w:pStyle w:val="TableText0"/>
              <w:rPr>
                <w:b/>
              </w:rPr>
            </w:pPr>
            <w:r w:rsidRPr="00D77981">
              <w:rPr>
                <w:b/>
              </w:rPr>
              <w:t>OS</w:t>
            </w:r>
          </w:p>
        </w:tc>
      </w:tr>
      <w:tr w:rsidR="00D137A3" w14:paraId="10DD07C5" w14:textId="77777777" w:rsidTr="76B6F9DD">
        <w:tc>
          <w:tcPr>
            <w:tcW w:w="2830" w:type="dxa"/>
            <w:tcBorders>
              <w:bottom w:val="nil"/>
            </w:tcBorders>
          </w:tcPr>
          <w:p w14:paraId="16C48FCF" w14:textId="77777777" w:rsidR="00D137A3" w:rsidRDefault="00D137A3" w:rsidP="00D137A3">
            <w:pPr>
              <w:pStyle w:val="TableText0"/>
            </w:pPr>
            <w:r w:rsidRPr="009642D0">
              <w:rPr>
                <w:szCs w:val="20"/>
              </w:rPr>
              <w:t>Patients with event n/N (%)</w:t>
            </w:r>
          </w:p>
        </w:tc>
        <w:tc>
          <w:tcPr>
            <w:tcW w:w="2062" w:type="dxa"/>
            <w:tcBorders>
              <w:bottom w:val="nil"/>
            </w:tcBorders>
          </w:tcPr>
          <w:p w14:paraId="0DCDC108" w14:textId="77777777" w:rsidR="00D137A3" w:rsidRPr="00626CC6" w:rsidRDefault="00D137A3" w:rsidP="00D137A3">
            <w:pPr>
              <w:pStyle w:val="TableText0"/>
              <w:jc w:val="center"/>
            </w:pPr>
            <w:r w:rsidRPr="00626CC6">
              <w:t>NR</w:t>
            </w:r>
          </w:p>
        </w:tc>
        <w:tc>
          <w:tcPr>
            <w:tcW w:w="2062" w:type="dxa"/>
            <w:tcBorders>
              <w:bottom w:val="nil"/>
            </w:tcBorders>
          </w:tcPr>
          <w:p w14:paraId="297318AA" w14:textId="77777777" w:rsidR="00D137A3" w:rsidRPr="00626CC6" w:rsidRDefault="00D137A3" w:rsidP="00D137A3">
            <w:pPr>
              <w:pStyle w:val="TableText0"/>
              <w:jc w:val="center"/>
            </w:pPr>
            <w:r w:rsidRPr="00626CC6">
              <w:t>NR</w:t>
            </w:r>
          </w:p>
        </w:tc>
        <w:tc>
          <w:tcPr>
            <w:tcW w:w="2063" w:type="dxa"/>
            <w:vMerge w:val="restart"/>
            <w:tcBorders>
              <w:bottom w:val="single" w:sz="4" w:space="0" w:color="auto"/>
            </w:tcBorders>
          </w:tcPr>
          <w:p w14:paraId="3F85F38C" w14:textId="77777777" w:rsidR="00D137A3" w:rsidRPr="007665EA" w:rsidRDefault="00D137A3" w:rsidP="00D137A3">
            <w:pPr>
              <w:pStyle w:val="TableText0"/>
              <w:jc w:val="center"/>
              <w:rPr>
                <w:b/>
              </w:rPr>
            </w:pPr>
            <w:bookmarkStart w:id="39" w:name="_Hlk187855690"/>
            <w:r w:rsidRPr="008B3C2B">
              <w:rPr>
                <w:b/>
              </w:rPr>
              <w:t>0.33 (0.16, 0.70)</w:t>
            </w:r>
            <w:bookmarkEnd w:id="39"/>
          </w:p>
        </w:tc>
      </w:tr>
      <w:tr w:rsidR="00D137A3" w14:paraId="66CE889B" w14:textId="77777777" w:rsidTr="76B6F9DD">
        <w:tc>
          <w:tcPr>
            <w:tcW w:w="2830" w:type="dxa"/>
            <w:tcBorders>
              <w:top w:val="nil"/>
              <w:bottom w:val="nil"/>
            </w:tcBorders>
          </w:tcPr>
          <w:p w14:paraId="0A7FD61A" w14:textId="77777777" w:rsidR="00D137A3" w:rsidRDefault="00D137A3" w:rsidP="00D137A3">
            <w:pPr>
              <w:pStyle w:val="TableText0"/>
            </w:pPr>
            <w:r w:rsidRPr="009642D0">
              <w:rPr>
                <w:szCs w:val="20"/>
              </w:rPr>
              <w:t xml:space="preserve">Median </w:t>
            </w:r>
            <w:r>
              <w:rPr>
                <w:szCs w:val="20"/>
              </w:rPr>
              <w:t>OS</w:t>
            </w:r>
            <w:r w:rsidRPr="009642D0">
              <w:rPr>
                <w:szCs w:val="20"/>
              </w:rPr>
              <w:t xml:space="preserve"> months (95% CI)</w:t>
            </w:r>
          </w:p>
        </w:tc>
        <w:tc>
          <w:tcPr>
            <w:tcW w:w="2062" w:type="dxa"/>
            <w:tcBorders>
              <w:top w:val="nil"/>
              <w:bottom w:val="nil"/>
            </w:tcBorders>
          </w:tcPr>
          <w:p w14:paraId="65456C80" w14:textId="77777777" w:rsidR="00D137A3" w:rsidRPr="00626CC6" w:rsidRDefault="00D137A3" w:rsidP="00D137A3">
            <w:pPr>
              <w:pStyle w:val="TableText0"/>
              <w:jc w:val="center"/>
            </w:pPr>
            <w:r w:rsidRPr="00626CC6">
              <w:t>NE</w:t>
            </w:r>
          </w:p>
        </w:tc>
        <w:tc>
          <w:tcPr>
            <w:tcW w:w="2062" w:type="dxa"/>
            <w:tcBorders>
              <w:top w:val="nil"/>
              <w:bottom w:val="nil"/>
            </w:tcBorders>
          </w:tcPr>
          <w:p w14:paraId="33604829" w14:textId="77777777" w:rsidR="00D137A3" w:rsidRPr="00626CC6" w:rsidRDefault="00D137A3" w:rsidP="00D137A3">
            <w:pPr>
              <w:pStyle w:val="TableText0"/>
              <w:jc w:val="center"/>
            </w:pPr>
            <w:r w:rsidRPr="00626CC6">
              <w:t>NE</w:t>
            </w:r>
          </w:p>
        </w:tc>
        <w:tc>
          <w:tcPr>
            <w:tcW w:w="2063" w:type="dxa"/>
            <w:vMerge/>
          </w:tcPr>
          <w:p w14:paraId="0FBD28AF" w14:textId="77777777" w:rsidR="00D137A3" w:rsidRDefault="00D137A3" w:rsidP="00D137A3">
            <w:pPr>
              <w:pStyle w:val="TableText0"/>
              <w:jc w:val="center"/>
            </w:pPr>
          </w:p>
        </w:tc>
      </w:tr>
      <w:tr w:rsidR="00D137A3" w14:paraId="548EF47E" w14:textId="77777777" w:rsidTr="76B6F9DD">
        <w:tc>
          <w:tcPr>
            <w:tcW w:w="2830" w:type="dxa"/>
            <w:tcBorders>
              <w:top w:val="nil"/>
              <w:bottom w:val="nil"/>
            </w:tcBorders>
          </w:tcPr>
          <w:p w14:paraId="1C5B83A5" w14:textId="3D8F053B" w:rsidR="00D137A3" w:rsidRDefault="0090404B" w:rsidP="00D137A3">
            <w:pPr>
              <w:pStyle w:val="TableText0"/>
            </w:pPr>
            <w:r>
              <w:rPr>
                <w:szCs w:val="20"/>
              </w:rPr>
              <w:t xml:space="preserve">KM </w:t>
            </w:r>
            <w:r w:rsidR="00D137A3">
              <w:rPr>
                <w:szCs w:val="20"/>
              </w:rPr>
              <w:t>OS at 24 months</w:t>
            </w:r>
          </w:p>
        </w:tc>
        <w:tc>
          <w:tcPr>
            <w:tcW w:w="2062" w:type="dxa"/>
            <w:tcBorders>
              <w:top w:val="nil"/>
              <w:bottom w:val="nil"/>
            </w:tcBorders>
          </w:tcPr>
          <w:p w14:paraId="7DD6028A" w14:textId="77777777" w:rsidR="00D137A3" w:rsidRPr="00626CC6" w:rsidRDefault="00D137A3" w:rsidP="00D137A3">
            <w:pPr>
              <w:pStyle w:val="TableText0"/>
              <w:jc w:val="center"/>
            </w:pPr>
            <w:r w:rsidRPr="00626CC6">
              <w:t>0.989 (0.923, 0.998)</w:t>
            </w:r>
          </w:p>
        </w:tc>
        <w:tc>
          <w:tcPr>
            <w:tcW w:w="2062" w:type="dxa"/>
            <w:tcBorders>
              <w:top w:val="nil"/>
              <w:bottom w:val="nil"/>
            </w:tcBorders>
          </w:tcPr>
          <w:p w14:paraId="162C71C7" w14:textId="77777777" w:rsidR="00D137A3" w:rsidRPr="00626CC6" w:rsidRDefault="00D137A3" w:rsidP="00D137A3">
            <w:pPr>
              <w:pStyle w:val="TableText0"/>
              <w:jc w:val="center"/>
            </w:pPr>
            <w:r w:rsidRPr="00626CC6">
              <w:t>0.930 (0.892, 0.954)</w:t>
            </w:r>
          </w:p>
        </w:tc>
        <w:tc>
          <w:tcPr>
            <w:tcW w:w="2063" w:type="dxa"/>
            <w:vMerge/>
          </w:tcPr>
          <w:p w14:paraId="4215ACB2" w14:textId="77777777" w:rsidR="00D137A3" w:rsidRDefault="00D137A3" w:rsidP="00D137A3">
            <w:pPr>
              <w:pStyle w:val="TableText0"/>
              <w:jc w:val="center"/>
            </w:pPr>
          </w:p>
        </w:tc>
      </w:tr>
      <w:tr w:rsidR="00D137A3" w14:paraId="3D9322ED" w14:textId="77777777" w:rsidTr="76B6F9DD">
        <w:tc>
          <w:tcPr>
            <w:tcW w:w="2830" w:type="dxa"/>
            <w:tcBorders>
              <w:top w:val="nil"/>
              <w:bottom w:val="nil"/>
            </w:tcBorders>
          </w:tcPr>
          <w:p w14:paraId="0B4658B9" w14:textId="5120B645" w:rsidR="00D137A3" w:rsidRDefault="0090404B" w:rsidP="00D137A3">
            <w:pPr>
              <w:pStyle w:val="TableText0"/>
            </w:pPr>
            <w:r>
              <w:rPr>
                <w:szCs w:val="20"/>
              </w:rPr>
              <w:t xml:space="preserve">KM </w:t>
            </w:r>
            <w:r w:rsidR="00D137A3">
              <w:rPr>
                <w:szCs w:val="20"/>
              </w:rPr>
              <w:t>OS at 48 months</w:t>
            </w:r>
          </w:p>
        </w:tc>
        <w:tc>
          <w:tcPr>
            <w:tcW w:w="2062" w:type="dxa"/>
            <w:tcBorders>
              <w:top w:val="nil"/>
              <w:bottom w:val="nil"/>
            </w:tcBorders>
          </w:tcPr>
          <w:p w14:paraId="24C6679B" w14:textId="77777777" w:rsidR="00D137A3" w:rsidRPr="00626CC6" w:rsidRDefault="00D137A3" w:rsidP="00D137A3">
            <w:pPr>
              <w:pStyle w:val="TableText0"/>
              <w:jc w:val="center"/>
            </w:pPr>
            <w:r w:rsidRPr="00626CC6">
              <w:t>0.955 (0.885, 0.983)</w:t>
            </w:r>
          </w:p>
        </w:tc>
        <w:tc>
          <w:tcPr>
            <w:tcW w:w="2062" w:type="dxa"/>
            <w:tcBorders>
              <w:top w:val="nil"/>
              <w:bottom w:val="nil"/>
            </w:tcBorders>
          </w:tcPr>
          <w:p w14:paraId="6A817A33" w14:textId="77777777" w:rsidR="00D137A3" w:rsidRPr="00626CC6" w:rsidRDefault="00D137A3" w:rsidP="00D137A3">
            <w:pPr>
              <w:pStyle w:val="TableText0"/>
              <w:jc w:val="center"/>
            </w:pPr>
            <w:r w:rsidRPr="00626CC6">
              <w:t>0.845 (0.795, 0.883)</w:t>
            </w:r>
          </w:p>
        </w:tc>
        <w:tc>
          <w:tcPr>
            <w:tcW w:w="2063" w:type="dxa"/>
            <w:vMerge/>
          </w:tcPr>
          <w:p w14:paraId="0439EF04" w14:textId="77777777" w:rsidR="00D137A3" w:rsidRDefault="00D137A3" w:rsidP="00D137A3">
            <w:pPr>
              <w:pStyle w:val="TableText0"/>
              <w:jc w:val="center"/>
            </w:pPr>
          </w:p>
        </w:tc>
      </w:tr>
      <w:tr w:rsidR="00D137A3" w14:paraId="5BC1CC36" w14:textId="77777777" w:rsidTr="76B6F9DD">
        <w:tc>
          <w:tcPr>
            <w:tcW w:w="2830" w:type="dxa"/>
            <w:tcBorders>
              <w:top w:val="nil"/>
            </w:tcBorders>
            <w:vAlign w:val="top"/>
          </w:tcPr>
          <w:p w14:paraId="50AFB9F6" w14:textId="38A8E7A7" w:rsidR="00D137A3" w:rsidRDefault="0090404B" w:rsidP="00D137A3">
            <w:pPr>
              <w:pStyle w:val="TableText0"/>
            </w:pPr>
            <w:r>
              <w:t xml:space="preserve">KM </w:t>
            </w:r>
            <w:r w:rsidR="00D137A3">
              <w:t>OS at 84 months</w:t>
            </w:r>
          </w:p>
        </w:tc>
        <w:tc>
          <w:tcPr>
            <w:tcW w:w="2062" w:type="dxa"/>
            <w:tcBorders>
              <w:top w:val="nil"/>
            </w:tcBorders>
          </w:tcPr>
          <w:p w14:paraId="007DE05F" w14:textId="77777777" w:rsidR="00D137A3" w:rsidRPr="00626CC6" w:rsidRDefault="00D137A3" w:rsidP="00D137A3">
            <w:pPr>
              <w:pStyle w:val="TableText0"/>
              <w:jc w:val="center"/>
            </w:pPr>
            <w:r w:rsidRPr="00626CC6">
              <w:t>NR</w:t>
            </w:r>
          </w:p>
        </w:tc>
        <w:tc>
          <w:tcPr>
            <w:tcW w:w="2062" w:type="dxa"/>
            <w:tcBorders>
              <w:top w:val="nil"/>
            </w:tcBorders>
          </w:tcPr>
          <w:p w14:paraId="7815535B" w14:textId="77777777" w:rsidR="00D137A3" w:rsidRPr="00626CC6" w:rsidRDefault="00D137A3" w:rsidP="00D137A3">
            <w:pPr>
              <w:pStyle w:val="TableText0"/>
              <w:jc w:val="center"/>
            </w:pPr>
            <w:r w:rsidRPr="00626CC6">
              <w:t>NR</w:t>
            </w:r>
          </w:p>
        </w:tc>
        <w:tc>
          <w:tcPr>
            <w:tcW w:w="2063" w:type="dxa"/>
            <w:vMerge/>
          </w:tcPr>
          <w:p w14:paraId="652BC8C3" w14:textId="77777777" w:rsidR="00D137A3" w:rsidRDefault="00D137A3" w:rsidP="00D137A3">
            <w:pPr>
              <w:pStyle w:val="TableText0"/>
              <w:jc w:val="center"/>
            </w:pPr>
          </w:p>
        </w:tc>
      </w:tr>
    </w:tbl>
    <w:p w14:paraId="34C4189F" w14:textId="77777777" w:rsidR="00D137A3" w:rsidRDefault="00D137A3" w:rsidP="00D137A3">
      <w:pPr>
        <w:pStyle w:val="FooterTableFigure"/>
      </w:pPr>
      <w:r w:rsidRPr="00E16948">
        <w:t>Source: Table 2.29, p116 of the submission;</w:t>
      </w:r>
      <w:r>
        <w:t xml:space="preserve"> </w:t>
      </w:r>
    </w:p>
    <w:p w14:paraId="61F15FE8" w14:textId="2ED376C9" w:rsidR="00D137A3" w:rsidRDefault="00D137A3" w:rsidP="00D137A3">
      <w:pPr>
        <w:pStyle w:val="FooterTableFigure"/>
        <w:spacing w:after="0"/>
      </w:pPr>
      <w:r>
        <w:t xml:space="preserve">CI=confidence interval; COG = Children’s Oncology Group; EFS=event free survival; HR=hazard ratio; </w:t>
      </w:r>
      <w:r w:rsidR="0090404B">
        <w:t>KM=Kaplan-Meier estimate</w:t>
      </w:r>
      <w:r w:rsidR="001C445D">
        <w:t xml:space="preserve">; </w:t>
      </w:r>
      <w:r>
        <w:t>NE=not estimable; NR=not reported; OS=overall survival; PSM=propensity score matched.</w:t>
      </w:r>
    </w:p>
    <w:p w14:paraId="075E951A" w14:textId="161FE610" w:rsidR="00D137A3" w:rsidRDefault="00D137A3" w:rsidP="00D137A3">
      <w:pPr>
        <w:pStyle w:val="FooterTableFigure"/>
      </w:pPr>
      <w:r w:rsidRPr="7F2A1B4F">
        <w:rPr>
          <w:vertAlign w:val="superscript"/>
        </w:rPr>
        <w:t>a</w:t>
      </w:r>
      <w:r>
        <w:tab/>
      </w:r>
      <w:r w:rsidRPr="7F2A1B4F">
        <w:t>Eflornithine PER COG – complete case vs NO Eflornithine – complete case, matched 1:3.</w:t>
      </w:r>
    </w:p>
    <w:p w14:paraId="528AB832" w14:textId="339DBD8E" w:rsidR="00D137A3" w:rsidRDefault="00D137A3" w:rsidP="00D137A3">
      <w:pPr>
        <w:pStyle w:val="Caption"/>
      </w:pPr>
      <w:bookmarkStart w:id="40" w:name="_Ref187336582"/>
      <w:r>
        <w:lastRenderedPageBreak/>
        <w:t xml:space="preserve">Figure </w:t>
      </w:r>
      <w:r w:rsidR="00AF2AB7">
        <w:fldChar w:fldCharType="begin" w:fldLock="1"/>
      </w:r>
      <w:r w:rsidR="00AF2AB7">
        <w:instrText xml:space="preserve"> SEQ Figure \* ARABIC </w:instrText>
      </w:r>
      <w:r w:rsidR="00AF2AB7">
        <w:fldChar w:fldCharType="separate"/>
      </w:r>
      <w:r w:rsidR="00AF2AB7">
        <w:rPr>
          <w:noProof/>
        </w:rPr>
        <w:t>2</w:t>
      </w:r>
      <w:r w:rsidR="00AF2AB7">
        <w:rPr>
          <w:noProof/>
        </w:rPr>
        <w:fldChar w:fldCharType="end"/>
      </w:r>
      <w:bookmarkEnd w:id="40"/>
      <w:r>
        <w:t>. Kaplan-Meier plots of EFS and OS in the PSM primary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08"/>
        <w:gridCol w:w="4509"/>
      </w:tblGrid>
      <w:tr w:rsidR="00D137A3" w14:paraId="55CC088B" w14:textId="77777777" w:rsidTr="00D137A3">
        <w:tc>
          <w:tcPr>
            <w:tcW w:w="4508" w:type="dxa"/>
            <w:vAlign w:val="center"/>
          </w:tcPr>
          <w:p w14:paraId="2EC94762" w14:textId="77777777" w:rsidR="00D137A3" w:rsidRPr="00226824" w:rsidRDefault="00D137A3" w:rsidP="00D137A3">
            <w:pPr>
              <w:keepNext/>
              <w:jc w:val="center"/>
              <w:rPr>
                <w:b/>
              </w:rPr>
            </w:pPr>
            <w:r w:rsidRPr="00226824">
              <w:rPr>
                <w:b/>
              </w:rPr>
              <w:t>EFS</w:t>
            </w:r>
          </w:p>
        </w:tc>
        <w:tc>
          <w:tcPr>
            <w:tcW w:w="4509" w:type="dxa"/>
            <w:vAlign w:val="center"/>
          </w:tcPr>
          <w:p w14:paraId="7AC43FAF" w14:textId="77777777" w:rsidR="00D137A3" w:rsidRPr="00226824" w:rsidRDefault="00D137A3" w:rsidP="00D137A3">
            <w:pPr>
              <w:keepNext/>
              <w:jc w:val="center"/>
              <w:rPr>
                <w:b/>
              </w:rPr>
            </w:pPr>
            <w:r>
              <w:rPr>
                <w:b/>
              </w:rPr>
              <w:t>OS</w:t>
            </w:r>
          </w:p>
        </w:tc>
      </w:tr>
      <w:tr w:rsidR="00D137A3" w14:paraId="797416A1" w14:textId="77777777" w:rsidTr="00D137A3">
        <w:tc>
          <w:tcPr>
            <w:tcW w:w="4508" w:type="dxa"/>
          </w:tcPr>
          <w:p w14:paraId="0F70B2F6" w14:textId="77777777" w:rsidR="00D137A3" w:rsidRDefault="00D137A3" w:rsidP="00D137A3">
            <w:pPr>
              <w:keepNext/>
            </w:pPr>
            <w:r w:rsidRPr="00EB4E9F">
              <w:rPr>
                <w:noProof/>
              </w:rPr>
              <w:drawing>
                <wp:inline distT="0" distB="0" distL="0" distR="0" wp14:anchorId="32E78625" wp14:editId="7E619630">
                  <wp:extent cx="2826878" cy="2114901"/>
                  <wp:effectExtent l="0" t="0" r="0" b="0"/>
                  <wp:docPr id="43" name="Picture 43" descr="Figure 2a Figure 2. Kaplan-Meier plot of event free survival in the PSM primar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Figure 2a Figure 2. Kaplan-Meier plot of event free survival in the PSM primary analys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909" cy="2141857"/>
                          </a:xfrm>
                          <a:prstGeom prst="rect">
                            <a:avLst/>
                          </a:prstGeom>
                          <a:noFill/>
                          <a:ln>
                            <a:noFill/>
                          </a:ln>
                        </pic:spPr>
                      </pic:pic>
                    </a:graphicData>
                  </a:graphic>
                </wp:inline>
              </w:drawing>
            </w:r>
          </w:p>
        </w:tc>
        <w:tc>
          <w:tcPr>
            <w:tcW w:w="4509" w:type="dxa"/>
          </w:tcPr>
          <w:p w14:paraId="718E4182" w14:textId="77777777" w:rsidR="00D137A3" w:rsidRDefault="00D137A3" w:rsidP="00D137A3">
            <w:pPr>
              <w:keepNext/>
            </w:pPr>
            <w:r>
              <w:rPr>
                <w:noProof/>
              </w:rPr>
              <w:drawing>
                <wp:inline distT="0" distB="0" distL="0" distR="0" wp14:anchorId="0C943628" wp14:editId="33321689">
                  <wp:extent cx="2826327" cy="2113083"/>
                  <wp:effectExtent l="0" t="0" r="0" b="1905"/>
                  <wp:docPr id="44" name="Picture 44" descr="Figure 2. Kaplan-Meier plot of overall survival in the PSM primar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Figure 2. Kaplan-Meier plot of overall survival in the PSM primary analys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824" cy="2127660"/>
                          </a:xfrm>
                          <a:prstGeom prst="rect">
                            <a:avLst/>
                          </a:prstGeom>
                          <a:noFill/>
                        </pic:spPr>
                      </pic:pic>
                    </a:graphicData>
                  </a:graphic>
                </wp:inline>
              </w:drawing>
            </w:r>
          </w:p>
        </w:tc>
      </w:tr>
    </w:tbl>
    <w:p w14:paraId="759508CF" w14:textId="77777777" w:rsidR="00D137A3" w:rsidRDefault="00D137A3" w:rsidP="00D137A3">
      <w:pPr>
        <w:pStyle w:val="FooterTableFigure"/>
      </w:pPr>
      <w:r w:rsidRPr="000F1874">
        <w:t>Source: Figures</w:t>
      </w:r>
      <w:r>
        <w:t xml:space="preserve"> 2.16 and 2.17, p117 of the submission</w:t>
      </w:r>
    </w:p>
    <w:p w14:paraId="52536AB8" w14:textId="257A27D1" w:rsidR="00D137A3" w:rsidRDefault="00D137A3" w:rsidP="00FF1008">
      <w:pPr>
        <w:pStyle w:val="FooterTableFigure"/>
      </w:pPr>
      <w:r w:rsidRPr="7F2A1B4F">
        <w:t>EFS=event free survival; OS=overall survival; PSM = propensity score-matched.</w:t>
      </w:r>
    </w:p>
    <w:p w14:paraId="5A64CCE1" w14:textId="53D30644" w:rsidR="005F341D" w:rsidRPr="008B3C2B" w:rsidRDefault="00D137A3" w:rsidP="00D137A3">
      <w:pPr>
        <w:pStyle w:val="3-BodyText"/>
      </w:pPr>
      <w:r>
        <w:t xml:space="preserve">The results of the PSM study found a statistically significant improvement in EFS (hazard ratio [HR] = 0.49, 95% Confidence interval [CI]: 0.28, 0.86) </w:t>
      </w:r>
      <w:r w:rsidRPr="008B3C2B">
        <w:t>and OS (HR = 0.</w:t>
      </w:r>
      <w:r w:rsidR="008B3C2B" w:rsidRPr="008B3C2B">
        <w:t>33</w:t>
      </w:r>
      <w:r w:rsidRPr="008B3C2B">
        <w:t>, 95%CI: 0.</w:t>
      </w:r>
      <w:r w:rsidR="008B3C2B" w:rsidRPr="008B3C2B">
        <w:t>16</w:t>
      </w:r>
      <w:r w:rsidRPr="008B3C2B">
        <w:t xml:space="preserve">, 0.70) in the base case analysis. </w:t>
      </w:r>
    </w:p>
    <w:p w14:paraId="6531EBAF" w14:textId="672FDDCE" w:rsidR="00D137A3" w:rsidRPr="009D4F19" w:rsidRDefault="00D137A3" w:rsidP="00D137A3">
      <w:pPr>
        <w:pStyle w:val="3-BodyText"/>
      </w:pPr>
      <w:r w:rsidRPr="7F2A1B4F">
        <w:t>Multiple sensitivity and supplementary analyses were conducted, evaluating the impact of potential bias related to the study design and assumptions. These included</w:t>
      </w:r>
      <w:r w:rsidR="007A2153" w:rsidRPr="7F2A1B4F">
        <w:t xml:space="preserve"> </w:t>
      </w:r>
      <w:r w:rsidRPr="7F2A1B4F">
        <w:t>alternative analysis populations and selection criteria, alternative matching methods, covariate and index date modifications, as well as comparisons without matching. Overall, the results of the sensitivity analyses were generally consistent with the base case analysis with a few exceptions.</w:t>
      </w:r>
    </w:p>
    <w:p w14:paraId="472B866B" w14:textId="63E3E326" w:rsidR="00D137A3" w:rsidRPr="00AA1240" w:rsidRDefault="00D137A3" w:rsidP="76B6F9DD">
      <w:pPr>
        <w:pStyle w:val="3-BodyText"/>
      </w:pPr>
      <w:r w:rsidRPr="7F2A1B4F">
        <w:t>Overall, the</w:t>
      </w:r>
      <w:r w:rsidR="006B2E36" w:rsidRPr="7F2A1B4F">
        <w:t xml:space="preserve"> </w:t>
      </w:r>
      <w:r w:rsidR="006B2E36" w:rsidRPr="000F3FEC">
        <w:t>evaluation noted that the</w:t>
      </w:r>
      <w:r w:rsidRPr="7F2A1B4F">
        <w:t xml:space="preserve"> results of the PSM study estimated a </w:t>
      </w:r>
      <w:r w:rsidR="008F76B9" w:rsidRPr="7F2A1B4F">
        <w:t xml:space="preserve">relatively </w:t>
      </w:r>
      <w:r w:rsidRPr="7F2A1B4F">
        <w:t>large treatment effect favouring eflornithine</w:t>
      </w:r>
      <w:r w:rsidR="008F76B9" w:rsidRPr="7F2A1B4F">
        <w:t xml:space="preserve"> but</w:t>
      </w:r>
      <w:r w:rsidRPr="7F2A1B4F">
        <w:t xml:space="preserve"> the confidence intervals were wide and the point estimates varied somewhat </w:t>
      </w:r>
      <w:r w:rsidR="005C440D" w:rsidRPr="7F2A1B4F">
        <w:t xml:space="preserve">in terms of magnitude </w:t>
      </w:r>
      <w:r w:rsidRPr="7F2A1B4F">
        <w:t>across the sensitivity analyses.</w:t>
      </w:r>
    </w:p>
    <w:p w14:paraId="6BD09BA6" w14:textId="77777777" w:rsidR="00D137A3" w:rsidRPr="00C9624D" w:rsidRDefault="00D137A3" w:rsidP="00D137A3">
      <w:pPr>
        <w:pStyle w:val="4-SubsectionHeading"/>
      </w:pPr>
      <w:bookmarkStart w:id="41" w:name="_Toc22897642"/>
      <w:bookmarkStart w:id="42" w:name="_Toc107927628"/>
      <w:bookmarkStart w:id="43" w:name="_Toc188441768"/>
      <w:r w:rsidRPr="00C9624D">
        <w:t>Comparative harms</w:t>
      </w:r>
      <w:bookmarkEnd w:id="41"/>
      <w:bookmarkEnd w:id="42"/>
      <w:bookmarkEnd w:id="43"/>
    </w:p>
    <w:p w14:paraId="339B705E" w14:textId="19D6135D" w:rsidR="006A418F" w:rsidRDefault="006A418F" w:rsidP="006A418F">
      <w:pPr>
        <w:pStyle w:val="3-BodyText"/>
        <w:numPr>
          <w:ilvl w:val="0"/>
          <w:numId w:val="0"/>
        </w:numPr>
        <w:spacing w:after="0"/>
        <w:ind w:left="720" w:hanging="720"/>
        <w:rPr>
          <w:b/>
          <w:bCs/>
        </w:rPr>
      </w:pPr>
      <w:r>
        <w:rPr>
          <w:b/>
          <w:bCs/>
        </w:rPr>
        <w:t>STRATUM 1 AND STRATUM 2 PATIENTS</w:t>
      </w:r>
    </w:p>
    <w:p w14:paraId="3B8B424A" w14:textId="28B7788F" w:rsidR="0011386B" w:rsidRDefault="0011386B" w:rsidP="0011386B">
      <w:pPr>
        <w:pStyle w:val="3-BodyText"/>
        <w:numPr>
          <w:ilvl w:val="0"/>
          <w:numId w:val="0"/>
        </w:numPr>
        <w:ind w:left="720" w:hanging="720"/>
      </w:pPr>
      <w:r w:rsidRPr="76B6F9DD">
        <w:rPr>
          <w:b/>
          <w:bCs/>
        </w:rPr>
        <w:t xml:space="preserve">Study 3b: Eflornithine + SOC versus SOC </w:t>
      </w:r>
      <w:r w:rsidR="00384CFD" w:rsidRPr="00493E06">
        <w:rPr>
          <w:b/>
          <w:bCs/>
        </w:rPr>
        <w:t>(via unadjusted comparison to historical controls)</w:t>
      </w:r>
    </w:p>
    <w:p w14:paraId="3CF014E8" w14:textId="7AD0E344" w:rsidR="00D137A3" w:rsidRPr="003313C1" w:rsidRDefault="00D137A3" w:rsidP="00D137A3">
      <w:pPr>
        <w:pStyle w:val="3-BodyText"/>
      </w:pPr>
      <w:r>
        <w:fldChar w:fldCharType="begin" w:fldLock="1"/>
      </w:r>
      <w:r>
        <w:instrText xml:space="preserve"> REF _Ref187338073 \h </w:instrText>
      </w:r>
      <w:r>
        <w:fldChar w:fldCharType="separate"/>
      </w:r>
      <w:r w:rsidR="00AF2AB7">
        <w:t xml:space="preserve">Table </w:t>
      </w:r>
      <w:r w:rsidR="00AF2AB7">
        <w:rPr>
          <w:noProof/>
        </w:rPr>
        <w:t>6</w:t>
      </w:r>
      <w:r>
        <w:fldChar w:fldCharType="end"/>
      </w:r>
      <w:r>
        <w:t xml:space="preserve"> summarises key AEs reported in Study 3b. As the original Study NMTRC003 did not collect safety data, results are only available for treatment during Study 3b. Patients enrolled directly into Study 3b (n=41) contribute</w:t>
      </w:r>
      <w:r w:rsidR="00633020">
        <w:t>d</w:t>
      </w:r>
      <w:r>
        <w:t xml:space="preserve"> safety data from the start of enrolment, whereas patients transferred from Study NMTRC003 into Study 3b (n=44) only contribute</w:t>
      </w:r>
      <w:r w:rsidR="00633020">
        <w:t>d</w:t>
      </w:r>
      <w:r>
        <w:t xml:space="preserve"> safety data from the point of transfer.</w:t>
      </w:r>
    </w:p>
    <w:p w14:paraId="615EEDCF" w14:textId="368D1085" w:rsidR="00D137A3" w:rsidRDefault="00D137A3" w:rsidP="00712F86">
      <w:pPr>
        <w:pStyle w:val="TableFigureHeading"/>
        <w:keepLines/>
      </w:pPr>
      <w:bookmarkStart w:id="44" w:name="_Ref187338073"/>
      <w:r>
        <w:lastRenderedPageBreak/>
        <w:t xml:space="preserve">Table </w:t>
      </w:r>
      <w:r w:rsidRPr="76B6F9DD">
        <w:fldChar w:fldCharType="begin" w:fldLock="1"/>
      </w:r>
      <w:r>
        <w:instrText xml:space="preserve"> SEQ Table \* ARABIC </w:instrText>
      </w:r>
      <w:r w:rsidRPr="76B6F9DD">
        <w:fldChar w:fldCharType="separate"/>
      </w:r>
      <w:r w:rsidR="00AF2AB7">
        <w:rPr>
          <w:noProof/>
        </w:rPr>
        <w:t>6</w:t>
      </w:r>
      <w:r w:rsidRPr="76B6F9DD">
        <w:rPr>
          <w:noProof/>
        </w:rPr>
        <w:fldChar w:fldCharType="end"/>
      </w:r>
      <w:bookmarkEnd w:id="44"/>
      <w:r>
        <w:t xml:space="preserve">: </w:t>
      </w:r>
      <w:r w:rsidRPr="76B6F9DD">
        <w:rPr>
          <w:rStyle w:val="CommentReference"/>
          <w:b/>
        </w:rPr>
        <w:t>Summary of key adverse events in Study 3b</w:t>
      </w:r>
    </w:p>
    <w:tbl>
      <w:tblPr>
        <w:tblStyle w:val="PBAClayout"/>
        <w:tblW w:w="0" w:type="auto"/>
        <w:tblLook w:val="04A0" w:firstRow="1" w:lastRow="0" w:firstColumn="1" w:lastColumn="0" w:noHBand="0" w:noVBand="1"/>
        <w:tblCaption w:val="Table 6: Summary of key adverse events in Study 3b"/>
      </w:tblPr>
      <w:tblGrid>
        <w:gridCol w:w="3397"/>
        <w:gridCol w:w="1405"/>
        <w:gridCol w:w="1405"/>
        <w:gridCol w:w="1405"/>
        <w:gridCol w:w="1405"/>
      </w:tblGrid>
      <w:tr w:rsidR="00D137A3" w:rsidRPr="00080909" w14:paraId="1128A093" w14:textId="77777777" w:rsidTr="00D137A3">
        <w:trPr>
          <w:cantSplit/>
        </w:trPr>
        <w:tc>
          <w:tcPr>
            <w:tcW w:w="3397" w:type="dxa"/>
            <w:vMerge w:val="restart"/>
          </w:tcPr>
          <w:p w14:paraId="11D5FCC3" w14:textId="77777777" w:rsidR="00D137A3" w:rsidRPr="00080909" w:rsidRDefault="00D137A3" w:rsidP="00712F86">
            <w:pPr>
              <w:pStyle w:val="In-tableHeading"/>
              <w:keepLines/>
            </w:pPr>
          </w:p>
        </w:tc>
        <w:tc>
          <w:tcPr>
            <w:tcW w:w="2810" w:type="dxa"/>
            <w:gridSpan w:val="2"/>
          </w:tcPr>
          <w:p w14:paraId="594E8128" w14:textId="77777777" w:rsidR="00D137A3" w:rsidRPr="00080909" w:rsidRDefault="00D137A3" w:rsidP="00712F86">
            <w:pPr>
              <w:pStyle w:val="In-tableHeading"/>
              <w:keepLines/>
              <w:jc w:val="center"/>
            </w:pPr>
            <w:r>
              <w:t>Stratum 1</w:t>
            </w:r>
          </w:p>
        </w:tc>
        <w:tc>
          <w:tcPr>
            <w:tcW w:w="2810" w:type="dxa"/>
            <w:gridSpan w:val="2"/>
          </w:tcPr>
          <w:p w14:paraId="33BDBDD7" w14:textId="77777777" w:rsidR="00D137A3" w:rsidRDefault="00D137A3" w:rsidP="00712F86">
            <w:pPr>
              <w:pStyle w:val="In-tableHeading"/>
              <w:keepLines/>
              <w:jc w:val="center"/>
            </w:pPr>
            <w:r>
              <w:t>Stratum 2</w:t>
            </w:r>
          </w:p>
        </w:tc>
      </w:tr>
      <w:tr w:rsidR="00D137A3" w14:paraId="3422FAAC" w14:textId="77777777" w:rsidTr="00D137A3">
        <w:trPr>
          <w:cantSplit/>
        </w:trPr>
        <w:tc>
          <w:tcPr>
            <w:tcW w:w="3397" w:type="dxa"/>
            <w:vMerge/>
            <w:tcBorders>
              <w:bottom w:val="single" w:sz="4" w:space="0" w:color="auto"/>
            </w:tcBorders>
          </w:tcPr>
          <w:p w14:paraId="5EA4D51B" w14:textId="77777777" w:rsidR="00D137A3" w:rsidRDefault="00D137A3" w:rsidP="00712F86">
            <w:pPr>
              <w:pStyle w:val="TableText0"/>
              <w:keepLines/>
            </w:pPr>
          </w:p>
        </w:tc>
        <w:tc>
          <w:tcPr>
            <w:tcW w:w="1405" w:type="dxa"/>
            <w:tcBorders>
              <w:bottom w:val="single" w:sz="4" w:space="0" w:color="auto"/>
            </w:tcBorders>
          </w:tcPr>
          <w:p w14:paraId="7490655E" w14:textId="77777777" w:rsidR="00D137A3" w:rsidRDefault="00D137A3" w:rsidP="00712F86">
            <w:pPr>
              <w:pStyle w:val="TableText0"/>
              <w:keepLines/>
              <w:jc w:val="center"/>
            </w:pPr>
            <w:r>
              <w:t>Direct</w:t>
            </w:r>
          </w:p>
          <w:p w14:paraId="628DAAF3" w14:textId="77777777" w:rsidR="00D137A3" w:rsidRDefault="00D137A3" w:rsidP="00712F86">
            <w:pPr>
              <w:pStyle w:val="TableText0"/>
              <w:keepLines/>
              <w:jc w:val="center"/>
            </w:pPr>
            <w:r>
              <w:t>(N=41)</w:t>
            </w:r>
          </w:p>
        </w:tc>
        <w:tc>
          <w:tcPr>
            <w:tcW w:w="1405" w:type="dxa"/>
            <w:tcBorders>
              <w:bottom w:val="single" w:sz="4" w:space="0" w:color="auto"/>
            </w:tcBorders>
          </w:tcPr>
          <w:p w14:paraId="6FE42A61" w14:textId="77777777" w:rsidR="00D137A3" w:rsidRDefault="00D137A3" w:rsidP="00712F86">
            <w:pPr>
              <w:pStyle w:val="TableText0"/>
              <w:keepLines/>
              <w:jc w:val="center"/>
            </w:pPr>
            <w:r>
              <w:t>Direct + Transfers</w:t>
            </w:r>
          </w:p>
          <w:p w14:paraId="1F3ABFFB" w14:textId="77777777" w:rsidR="00D137A3" w:rsidRDefault="00D137A3" w:rsidP="00712F86">
            <w:pPr>
              <w:pStyle w:val="TableText0"/>
              <w:keepLines/>
              <w:jc w:val="center"/>
            </w:pPr>
            <w:r>
              <w:t>(N=85)</w:t>
            </w:r>
          </w:p>
        </w:tc>
        <w:tc>
          <w:tcPr>
            <w:tcW w:w="1405" w:type="dxa"/>
            <w:tcBorders>
              <w:bottom w:val="single" w:sz="4" w:space="0" w:color="auto"/>
            </w:tcBorders>
          </w:tcPr>
          <w:p w14:paraId="2BE3B3A9" w14:textId="77777777" w:rsidR="00D137A3" w:rsidRDefault="00D137A3" w:rsidP="00712F86">
            <w:pPr>
              <w:pStyle w:val="TableText0"/>
              <w:keepLines/>
              <w:jc w:val="center"/>
            </w:pPr>
            <w:r>
              <w:t>Direct</w:t>
            </w:r>
          </w:p>
          <w:p w14:paraId="59702C11" w14:textId="77777777" w:rsidR="00D137A3" w:rsidRDefault="00D137A3" w:rsidP="00712F86">
            <w:pPr>
              <w:pStyle w:val="TableText0"/>
              <w:keepLines/>
              <w:jc w:val="center"/>
            </w:pPr>
            <w:r>
              <w:t>(N=11)</w:t>
            </w:r>
          </w:p>
        </w:tc>
        <w:tc>
          <w:tcPr>
            <w:tcW w:w="1405" w:type="dxa"/>
            <w:tcBorders>
              <w:bottom w:val="single" w:sz="4" w:space="0" w:color="auto"/>
            </w:tcBorders>
          </w:tcPr>
          <w:p w14:paraId="3F576191" w14:textId="77777777" w:rsidR="00D137A3" w:rsidRDefault="00D137A3" w:rsidP="00712F86">
            <w:pPr>
              <w:pStyle w:val="TableText0"/>
              <w:keepLines/>
              <w:jc w:val="center"/>
            </w:pPr>
            <w:r>
              <w:t>Direct + Transfers</w:t>
            </w:r>
          </w:p>
          <w:p w14:paraId="1646C5E7" w14:textId="77777777" w:rsidR="00D137A3" w:rsidRDefault="00D137A3" w:rsidP="00712F86">
            <w:pPr>
              <w:pStyle w:val="TableText0"/>
              <w:keepLines/>
              <w:jc w:val="center"/>
            </w:pPr>
            <w:r>
              <w:t>(N=16)</w:t>
            </w:r>
          </w:p>
        </w:tc>
      </w:tr>
      <w:tr w:rsidR="00D137A3" w14:paraId="7BE96626" w14:textId="77777777" w:rsidTr="00D137A3">
        <w:trPr>
          <w:cantSplit/>
        </w:trPr>
        <w:tc>
          <w:tcPr>
            <w:tcW w:w="3397" w:type="dxa"/>
            <w:tcBorders>
              <w:bottom w:val="single" w:sz="4" w:space="0" w:color="auto"/>
            </w:tcBorders>
          </w:tcPr>
          <w:p w14:paraId="3CF76476" w14:textId="77777777" w:rsidR="00D137A3" w:rsidRDefault="00D137A3" w:rsidP="00712F86">
            <w:pPr>
              <w:pStyle w:val="TableText0"/>
              <w:keepLines/>
            </w:pPr>
            <w:r>
              <w:t>Total AEs, n</w:t>
            </w:r>
          </w:p>
        </w:tc>
        <w:tc>
          <w:tcPr>
            <w:tcW w:w="1405" w:type="dxa"/>
            <w:tcBorders>
              <w:bottom w:val="single" w:sz="4" w:space="0" w:color="auto"/>
            </w:tcBorders>
          </w:tcPr>
          <w:p w14:paraId="79D5E3BF" w14:textId="77777777" w:rsidR="00D137A3" w:rsidRDefault="00D137A3" w:rsidP="00712F86">
            <w:pPr>
              <w:pStyle w:val="TableText0"/>
              <w:keepLines/>
              <w:jc w:val="center"/>
            </w:pPr>
            <w:r w:rsidRPr="008700AF">
              <w:t>251</w:t>
            </w:r>
          </w:p>
        </w:tc>
        <w:tc>
          <w:tcPr>
            <w:tcW w:w="1405" w:type="dxa"/>
            <w:tcBorders>
              <w:bottom w:val="single" w:sz="4" w:space="0" w:color="auto"/>
            </w:tcBorders>
          </w:tcPr>
          <w:p w14:paraId="1D8F1146" w14:textId="77777777" w:rsidR="00D137A3" w:rsidRDefault="00D137A3" w:rsidP="00712F86">
            <w:pPr>
              <w:pStyle w:val="TableText0"/>
              <w:keepLines/>
              <w:jc w:val="center"/>
            </w:pPr>
            <w:r w:rsidRPr="008700AF">
              <w:t>363</w:t>
            </w:r>
          </w:p>
        </w:tc>
        <w:tc>
          <w:tcPr>
            <w:tcW w:w="1405" w:type="dxa"/>
            <w:tcBorders>
              <w:bottom w:val="single" w:sz="4" w:space="0" w:color="auto"/>
            </w:tcBorders>
          </w:tcPr>
          <w:p w14:paraId="149659B6" w14:textId="77777777" w:rsidR="00D137A3" w:rsidRDefault="00D137A3" w:rsidP="00712F86">
            <w:pPr>
              <w:pStyle w:val="TableText0"/>
              <w:keepLines/>
              <w:jc w:val="center"/>
            </w:pPr>
            <w:r w:rsidRPr="008700AF">
              <w:t>39</w:t>
            </w:r>
          </w:p>
        </w:tc>
        <w:tc>
          <w:tcPr>
            <w:tcW w:w="1405" w:type="dxa"/>
            <w:tcBorders>
              <w:bottom w:val="single" w:sz="4" w:space="0" w:color="auto"/>
            </w:tcBorders>
          </w:tcPr>
          <w:p w14:paraId="66FC6631" w14:textId="77777777" w:rsidR="00D137A3" w:rsidRDefault="00D137A3" w:rsidP="00712F86">
            <w:pPr>
              <w:pStyle w:val="TableText0"/>
              <w:keepLines/>
              <w:jc w:val="center"/>
            </w:pPr>
            <w:r w:rsidRPr="008700AF">
              <w:t>59</w:t>
            </w:r>
          </w:p>
        </w:tc>
      </w:tr>
      <w:tr w:rsidR="00D137A3" w14:paraId="6CB03470" w14:textId="77777777" w:rsidTr="00D137A3">
        <w:trPr>
          <w:cantSplit/>
        </w:trPr>
        <w:tc>
          <w:tcPr>
            <w:tcW w:w="9017" w:type="dxa"/>
            <w:gridSpan w:val="5"/>
            <w:tcBorders>
              <w:bottom w:val="single" w:sz="4" w:space="0" w:color="auto"/>
            </w:tcBorders>
          </w:tcPr>
          <w:p w14:paraId="4400C5C7" w14:textId="77777777" w:rsidR="00D137A3" w:rsidRPr="000A0B51" w:rsidRDefault="00D137A3" w:rsidP="00712F86">
            <w:pPr>
              <w:pStyle w:val="TableText0"/>
              <w:keepLines/>
              <w:rPr>
                <w:b/>
              </w:rPr>
            </w:pPr>
            <w:r w:rsidRPr="000A0B51">
              <w:rPr>
                <w:b/>
              </w:rPr>
              <w:t>Patients with at least one AE, n (%)</w:t>
            </w:r>
          </w:p>
        </w:tc>
      </w:tr>
      <w:tr w:rsidR="00D137A3" w14:paraId="1D393D64" w14:textId="77777777" w:rsidTr="00D137A3">
        <w:trPr>
          <w:cantSplit/>
        </w:trPr>
        <w:tc>
          <w:tcPr>
            <w:tcW w:w="3397" w:type="dxa"/>
            <w:tcBorders>
              <w:top w:val="nil"/>
              <w:bottom w:val="nil"/>
            </w:tcBorders>
          </w:tcPr>
          <w:p w14:paraId="3ED8A207" w14:textId="77777777" w:rsidR="00D137A3" w:rsidRDefault="00D137A3" w:rsidP="00712F86">
            <w:pPr>
              <w:pStyle w:val="TableText0"/>
              <w:keepLines/>
            </w:pPr>
            <w:r>
              <w:t>Any AE</w:t>
            </w:r>
          </w:p>
        </w:tc>
        <w:tc>
          <w:tcPr>
            <w:tcW w:w="1405" w:type="dxa"/>
            <w:tcBorders>
              <w:top w:val="nil"/>
              <w:bottom w:val="nil"/>
            </w:tcBorders>
          </w:tcPr>
          <w:p w14:paraId="17CCAB68" w14:textId="77777777" w:rsidR="00D137A3" w:rsidRDefault="00D137A3" w:rsidP="00712F86">
            <w:pPr>
              <w:pStyle w:val="TableText0"/>
              <w:keepLines/>
              <w:jc w:val="center"/>
            </w:pPr>
            <w:r w:rsidRPr="00F67798">
              <w:t>33 (80.5)</w:t>
            </w:r>
          </w:p>
        </w:tc>
        <w:tc>
          <w:tcPr>
            <w:tcW w:w="1405" w:type="dxa"/>
            <w:tcBorders>
              <w:top w:val="nil"/>
              <w:bottom w:val="nil"/>
            </w:tcBorders>
          </w:tcPr>
          <w:p w14:paraId="21D8657D" w14:textId="77777777" w:rsidR="00D137A3" w:rsidRDefault="00D137A3" w:rsidP="00712F86">
            <w:pPr>
              <w:pStyle w:val="TableText0"/>
              <w:keepLines/>
              <w:jc w:val="center"/>
            </w:pPr>
            <w:r w:rsidRPr="00F67798">
              <w:t>63 (74.1)</w:t>
            </w:r>
          </w:p>
        </w:tc>
        <w:tc>
          <w:tcPr>
            <w:tcW w:w="1405" w:type="dxa"/>
            <w:tcBorders>
              <w:top w:val="nil"/>
              <w:bottom w:val="nil"/>
            </w:tcBorders>
          </w:tcPr>
          <w:p w14:paraId="05BA2270" w14:textId="77777777" w:rsidR="00D137A3" w:rsidRDefault="00D137A3" w:rsidP="00712F86">
            <w:pPr>
              <w:pStyle w:val="TableText0"/>
              <w:keepLines/>
              <w:jc w:val="center"/>
            </w:pPr>
            <w:r w:rsidRPr="00F67798">
              <w:t>9 (81.8)</w:t>
            </w:r>
          </w:p>
        </w:tc>
        <w:tc>
          <w:tcPr>
            <w:tcW w:w="1405" w:type="dxa"/>
            <w:tcBorders>
              <w:top w:val="nil"/>
              <w:bottom w:val="nil"/>
            </w:tcBorders>
          </w:tcPr>
          <w:p w14:paraId="50C7D4BD" w14:textId="77777777" w:rsidR="00D137A3" w:rsidRDefault="00D137A3" w:rsidP="00712F86">
            <w:pPr>
              <w:pStyle w:val="TableText0"/>
              <w:keepLines/>
              <w:jc w:val="center"/>
            </w:pPr>
            <w:r w:rsidRPr="00F67798">
              <w:t>14 (87.5)</w:t>
            </w:r>
          </w:p>
        </w:tc>
      </w:tr>
      <w:tr w:rsidR="00D137A3" w14:paraId="6241DF4F" w14:textId="77777777" w:rsidTr="00D137A3">
        <w:trPr>
          <w:cantSplit/>
        </w:trPr>
        <w:tc>
          <w:tcPr>
            <w:tcW w:w="3397" w:type="dxa"/>
            <w:tcBorders>
              <w:top w:val="nil"/>
              <w:bottom w:val="nil"/>
            </w:tcBorders>
          </w:tcPr>
          <w:p w14:paraId="37F4D9EE" w14:textId="77777777" w:rsidR="00D137A3" w:rsidRDefault="00D137A3" w:rsidP="00712F86">
            <w:pPr>
              <w:pStyle w:val="TableText0"/>
              <w:keepLines/>
            </w:pPr>
            <w:r>
              <w:t>Any SAE</w:t>
            </w:r>
          </w:p>
        </w:tc>
        <w:tc>
          <w:tcPr>
            <w:tcW w:w="1405" w:type="dxa"/>
            <w:tcBorders>
              <w:top w:val="nil"/>
              <w:bottom w:val="nil"/>
            </w:tcBorders>
          </w:tcPr>
          <w:p w14:paraId="47594691" w14:textId="77777777" w:rsidR="00D137A3" w:rsidRDefault="00D137A3" w:rsidP="00712F86">
            <w:pPr>
              <w:pStyle w:val="TableText0"/>
              <w:keepLines/>
              <w:jc w:val="center"/>
            </w:pPr>
            <w:r w:rsidRPr="00F67798">
              <w:t>6 (14.6)</w:t>
            </w:r>
          </w:p>
        </w:tc>
        <w:tc>
          <w:tcPr>
            <w:tcW w:w="1405" w:type="dxa"/>
            <w:tcBorders>
              <w:top w:val="nil"/>
              <w:bottom w:val="nil"/>
            </w:tcBorders>
          </w:tcPr>
          <w:p w14:paraId="46F510FA" w14:textId="77777777" w:rsidR="00D137A3" w:rsidRDefault="00D137A3" w:rsidP="00712F86">
            <w:pPr>
              <w:pStyle w:val="TableText0"/>
              <w:keepLines/>
              <w:jc w:val="center"/>
            </w:pPr>
            <w:r w:rsidRPr="00F67798">
              <w:t>10 (11.8)</w:t>
            </w:r>
          </w:p>
        </w:tc>
        <w:tc>
          <w:tcPr>
            <w:tcW w:w="1405" w:type="dxa"/>
            <w:tcBorders>
              <w:top w:val="nil"/>
              <w:bottom w:val="nil"/>
            </w:tcBorders>
          </w:tcPr>
          <w:p w14:paraId="42991AAA" w14:textId="77777777" w:rsidR="00D137A3" w:rsidRDefault="00D137A3" w:rsidP="00712F86">
            <w:pPr>
              <w:pStyle w:val="TableText0"/>
              <w:keepLines/>
              <w:jc w:val="center"/>
            </w:pPr>
            <w:r w:rsidRPr="00F67798">
              <w:t>0</w:t>
            </w:r>
          </w:p>
        </w:tc>
        <w:tc>
          <w:tcPr>
            <w:tcW w:w="1405" w:type="dxa"/>
            <w:tcBorders>
              <w:top w:val="nil"/>
              <w:bottom w:val="nil"/>
            </w:tcBorders>
          </w:tcPr>
          <w:p w14:paraId="06A0CF6B" w14:textId="77777777" w:rsidR="00D137A3" w:rsidRDefault="00D137A3" w:rsidP="00712F86">
            <w:pPr>
              <w:pStyle w:val="TableText0"/>
              <w:keepLines/>
              <w:jc w:val="center"/>
            </w:pPr>
            <w:r w:rsidRPr="00F67798">
              <w:t>1 (6.3)</w:t>
            </w:r>
          </w:p>
        </w:tc>
      </w:tr>
      <w:tr w:rsidR="00D137A3" w14:paraId="38A2F6C1" w14:textId="77777777" w:rsidTr="00D137A3">
        <w:trPr>
          <w:cantSplit/>
        </w:trPr>
        <w:tc>
          <w:tcPr>
            <w:tcW w:w="3397" w:type="dxa"/>
            <w:tcBorders>
              <w:top w:val="nil"/>
              <w:bottom w:val="nil"/>
            </w:tcBorders>
          </w:tcPr>
          <w:p w14:paraId="1420D6AF" w14:textId="77777777" w:rsidR="00D137A3" w:rsidRDefault="00D137A3" w:rsidP="00712F86">
            <w:pPr>
              <w:pStyle w:val="TableText0"/>
              <w:keepLines/>
            </w:pPr>
            <w:r>
              <w:t>Treatment related AE</w:t>
            </w:r>
          </w:p>
        </w:tc>
        <w:tc>
          <w:tcPr>
            <w:tcW w:w="1405" w:type="dxa"/>
            <w:tcBorders>
              <w:top w:val="nil"/>
              <w:bottom w:val="nil"/>
            </w:tcBorders>
          </w:tcPr>
          <w:p w14:paraId="4AD8AA27" w14:textId="77777777" w:rsidR="00D137A3" w:rsidRDefault="00D137A3" w:rsidP="00712F86">
            <w:pPr>
              <w:pStyle w:val="TableText0"/>
              <w:keepLines/>
              <w:jc w:val="center"/>
            </w:pPr>
            <w:r w:rsidRPr="00F67798">
              <w:t>16 (39.0)</w:t>
            </w:r>
          </w:p>
        </w:tc>
        <w:tc>
          <w:tcPr>
            <w:tcW w:w="1405" w:type="dxa"/>
            <w:tcBorders>
              <w:top w:val="nil"/>
              <w:bottom w:val="nil"/>
            </w:tcBorders>
          </w:tcPr>
          <w:p w14:paraId="750464F2" w14:textId="77777777" w:rsidR="00D137A3" w:rsidRDefault="00D137A3" w:rsidP="00712F86">
            <w:pPr>
              <w:pStyle w:val="TableText0"/>
              <w:keepLines/>
              <w:jc w:val="center"/>
            </w:pPr>
            <w:r w:rsidRPr="00F67798">
              <w:t>25 (29.4)</w:t>
            </w:r>
          </w:p>
        </w:tc>
        <w:tc>
          <w:tcPr>
            <w:tcW w:w="1405" w:type="dxa"/>
            <w:tcBorders>
              <w:top w:val="nil"/>
              <w:bottom w:val="nil"/>
            </w:tcBorders>
          </w:tcPr>
          <w:p w14:paraId="44A17C65" w14:textId="77777777" w:rsidR="00D137A3" w:rsidRDefault="00D137A3" w:rsidP="00712F86">
            <w:pPr>
              <w:pStyle w:val="TableText0"/>
              <w:keepLines/>
              <w:jc w:val="center"/>
            </w:pPr>
            <w:r w:rsidRPr="00F67798">
              <w:t>3 (27.3)</w:t>
            </w:r>
          </w:p>
        </w:tc>
        <w:tc>
          <w:tcPr>
            <w:tcW w:w="1405" w:type="dxa"/>
            <w:tcBorders>
              <w:top w:val="nil"/>
              <w:bottom w:val="nil"/>
            </w:tcBorders>
          </w:tcPr>
          <w:p w14:paraId="022DF880" w14:textId="77777777" w:rsidR="00D137A3" w:rsidRDefault="00D137A3" w:rsidP="00712F86">
            <w:pPr>
              <w:pStyle w:val="TableText0"/>
              <w:keepLines/>
              <w:jc w:val="center"/>
            </w:pPr>
            <w:r w:rsidRPr="00F67798">
              <w:t>5 (31.3)</w:t>
            </w:r>
          </w:p>
        </w:tc>
      </w:tr>
      <w:tr w:rsidR="00D137A3" w14:paraId="7C23712B" w14:textId="77777777" w:rsidTr="00D137A3">
        <w:trPr>
          <w:cantSplit/>
        </w:trPr>
        <w:tc>
          <w:tcPr>
            <w:tcW w:w="3397" w:type="dxa"/>
            <w:tcBorders>
              <w:top w:val="nil"/>
              <w:bottom w:val="nil"/>
            </w:tcBorders>
          </w:tcPr>
          <w:p w14:paraId="5EE1230E" w14:textId="77777777" w:rsidR="00D137A3" w:rsidRDefault="00D137A3" w:rsidP="00712F86">
            <w:pPr>
              <w:pStyle w:val="TableText0"/>
              <w:keepLines/>
            </w:pPr>
            <w:r>
              <w:t>Treatment related SAE</w:t>
            </w:r>
          </w:p>
        </w:tc>
        <w:tc>
          <w:tcPr>
            <w:tcW w:w="1405" w:type="dxa"/>
            <w:tcBorders>
              <w:top w:val="nil"/>
              <w:bottom w:val="nil"/>
            </w:tcBorders>
          </w:tcPr>
          <w:p w14:paraId="7E0AB1DD" w14:textId="77777777" w:rsidR="00D137A3" w:rsidRDefault="00D137A3" w:rsidP="00712F86">
            <w:pPr>
              <w:pStyle w:val="TableText0"/>
              <w:keepLines/>
              <w:jc w:val="center"/>
            </w:pPr>
            <w:r w:rsidRPr="00F67798">
              <w:t>1 (2.4)</w:t>
            </w:r>
          </w:p>
        </w:tc>
        <w:tc>
          <w:tcPr>
            <w:tcW w:w="1405" w:type="dxa"/>
            <w:tcBorders>
              <w:top w:val="nil"/>
              <w:bottom w:val="nil"/>
            </w:tcBorders>
          </w:tcPr>
          <w:p w14:paraId="7B566D0F" w14:textId="77777777" w:rsidR="00D137A3" w:rsidRDefault="00D137A3" w:rsidP="00712F86">
            <w:pPr>
              <w:pStyle w:val="TableText0"/>
              <w:keepLines/>
              <w:jc w:val="center"/>
            </w:pPr>
            <w:r w:rsidRPr="00F67798">
              <w:t>2 (2.4)</w:t>
            </w:r>
          </w:p>
        </w:tc>
        <w:tc>
          <w:tcPr>
            <w:tcW w:w="1405" w:type="dxa"/>
            <w:tcBorders>
              <w:top w:val="nil"/>
              <w:bottom w:val="nil"/>
            </w:tcBorders>
          </w:tcPr>
          <w:p w14:paraId="3DA2C95E" w14:textId="77777777" w:rsidR="00D137A3" w:rsidRDefault="00D137A3" w:rsidP="00712F86">
            <w:pPr>
              <w:pStyle w:val="TableText0"/>
              <w:keepLines/>
              <w:jc w:val="center"/>
            </w:pPr>
            <w:r w:rsidRPr="00F67798">
              <w:t>0</w:t>
            </w:r>
          </w:p>
        </w:tc>
        <w:tc>
          <w:tcPr>
            <w:tcW w:w="1405" w:type="dxa"/>
            <w:tcBorders>
              <w:top w:val="nil"/>
              <w:bottom w:val="nil"/>
            </w:tcBorders>
          </w:tcPr>
          <w:p w14:paraId="2913EACD" w14:textId="77777777" w:rsidR="00D137A3" w:rsidRDefault="00D137A3" w:rsidP="00712F86">
            <w:pPr>
              <w:pStyle w:val="TableText0"/>
              <w:keepLines/>
              <w:jc w:val="center"/>
            </w:pPr>
            <w:r w:rsidRPr="00F67798">
              <w:t>0</w:t>
            </w:r>
          </w:p>
        </w:tc>
      </w:tr>
      <w:tr w:rsidR="00D137A3" w14:paraId="0E46BA32" w14:textId="77777777" w:rsidTr="00D137A3">
        <w:trPr>
          <w:cantSplit/>
        </w:trPr>
        <w:tc>
          <w:tcPr>
            <w:tcW w:w="3397" w:type="dxa"/>
            <w:tcBorders>
              <w:top w:val="nil"/>
              <w:bottom w:val="nil"/>
            </w:tcBorders>
          </w:tcPr>
          <w:p w14:paraId="76B96F63" w14:textId="77777777" w:rsidR="00D137A3" w:rsidRDefault="00D137A3" w:rsidP="00712F86">
            <w:pPr>
              <w:pStyle w:val="TableText0"/>
              <w:keepLines/>
            </w:pPr>
            <w:r>
              <w:t>Worst severity - Grade 2 AE</w:t>
            </w:r>
          </w:p>
        </w:tc>
        <w:tc>
          <w:tcPr>
            <w:tcW w:w="1405" w:type="dxa"/>
            <w:tcBorders>
              <w:top w:val="nil"/>
              <w:bottom w:val="nil"/>
            </w:tcBorders>
          </w:tcPr>
          <w:p w14:paraId="42F3110A" w14:textId="77777777" w:rsidR="00D137A3" w:rsidRDefault="00D137A3" w:rsidP="00712F86">
            <w:pPr>
              <w:pStyle w:val="TableText0"/>
              <w:keepLines/>
              <w:jc w:val="center"/>
            </w:pPr>
            <w:r w:rsidRPr="00F67798">
              <w:t>14 (34.1)</w:t>
            </w:r>
          </w:p>
        </w:tc>
        <w:tc>
          <w:tcPr>
            <w:tcW w:w="1405" w:type="dxa"/>
            <w:tcBorders>
              <w:top w:val="nil"/>
              <w:bottom w:val="nil"/>
            </w:tcBorders>
          </w:tcPr>
          <w:p w14:paraId="01E19204" w14:textId="740334BE" w:rsidR="00D137A3" w:rsidRDefault="00D137A3" w:rsidP="00712F86">
            <w:pPr>
              <w:pStyle w:val="TableText0"/>
              <w:keepLines/>
              <w:jc w:val="center"/>
            </w:pPr>
            <w:r w:rsidRPr="00F67798">
              <w:t>30 (35.3)</w:t>
            </w:r>
          </w:p>
        </w:tc>
        <w:tc>
          <w:tcPr>
            <w:tcW w:w="1405" w:type="dxa"/>
            <w:tcBorders>
              <w:top w:val="nil"/>
              <w:bottom w:val="nil"/>
            </w:tcBorders>
          </w:tcPr>
          <w:p w14:paraId="45AB4DB6" w14:textId="77777777" w:rsidR="00D137A3" w:rsidRDefault="00D137A3" w:rsidP="00712F86">
            <w:pPr>
              <w:pStyle w:val="TableText0"/>
              <w:keepLines/>
              <w:jc w:val="center"/>
            </w:pPr>
            <w:r w:rsidRPr="00F67798">
              <w:t>7 (63.6)</w:t>
            </w:r>
          </w:p>
        </w:tc>
        <w:tc>
          <w:tcPr>
            <w:tcW w:w="1405" w:type="dxa"/>
            <w:tcBorders>
              <w:top w:val="nil"/>
              <w:bottom w:val="nil"/>
            </w:tcBorders>
          </w:tcPr>
          <w:p w14:paraId="57D12A0B" w14:textId="77777777" w:rsidR="00D137A3" w:rsidRDefault="00D137A3" w:rsidP="00712F86">
            <w:pPr>
              <w:pStyle w:val="TableText0"/>
              <w:keepLines/>
              <w:jc w:val="center"/>
            </w:pPr>
            <w:r w:rsidRPr="00F67798">
              <w:t>11 (68.8)</w:t>
            </w:r>
          </w:p>
        </w:tc>
      </w:tr>
      <w:tr w:rsidR="00D137A3" w14:paraId="40234664" w14:textId="77777777" w:rsidTr="00D137A3">
        <w:trPr>
          <w:cantSplit/>
        </w:trPr>
        <w:tc>
          <w:tcPr>
            <w:tcW w:w="3397" w:type="dxa"/>
            <w:tcBorders>
              <w:top w:val="nil"/>
              <w:bottom w:val="nil"/>
            </w:tcBorders>
          </w:tcPr>
          <w:p w14:paraId="4A61CD9B" w14:textId="77777777" w:rsidR="00D137A3" w:rsidRDefault="00D137A3" w:rsidP="00712F86">
            <w:pPr>
              <w:pStyle w:val="TableText0"/>
              <w:keepLines/>
            </w:pPr>
            <w:r>
              <w:t>Worst severity - Grade 3 AE</w:t>
            </w:r>
          </w:p>
        </w:tc>
        <w:tc>
          <w:tcPr>
            <w:tcW w:w="1405" w:type="dxa"/>
            <w:tcBorders>
              <w:top w:val="nil"/>
              <w:bottom w:val="nil"/>
            </w:tcBorders>
          </w:tcPr>
          <w:p w14:paraId="25198B0D" w14:textId="77777777" w:rsidR="00D137A3" w:rsidRDefault="00D137A3" w:rsidP="00712F86">
            <w:pPr>
              <w:pStyle w:val="TableText0"/>
              <w:keepLines/>
              <w:jc w:val="center"/>
            </w:pPr>
            <w:r w:rsidRPr="00F67798">
              <w:t>18 (43.9)</w:t>
            </w:r>
          </w:p>
        </w:tc>
        <w:tc>
          <w:tcPr>
            <w:tcW w:w="1405" w:type="dxa"/>
            <w:tcBorders>
              <w:top w:val="nil"/>
              <w:bottom w:val="nil"/>
            </w:tcBorders>
          </w:tcPr>
          <w:p w14:paraId="5FF84019" w14:textId="77777777" w:rsidR="00D137A3" w:rsidRDefault="00D137A3" w:rsidP="00712F86">
            <w:pPr>
              <w:pStyle w:val="TableText0"/>
              <w:keepLines/>
              <w:jc w:val="center"/>
            </w:pPr>
            <w:r w:rsidRPr="00F67798">
              <w:t>31 (36.5)</w:t>
            </w:r>
          </w:p>
        </w:tc>
        <w:tc>
          <w:tcPr>
            <w:tcW w:w="1405" w:type="dxa"/>
            <w:tcBorders>
              <w:top w:val="nil"/>
              <w:bottom w:val="nil"/>
            </w:tcBorders>
          </w:tcPr>
          <w:p w14:paraId="51BFD8C5" w14:textId="77777777" w:rsidR="00D137A3" w:rsidRDefault="00D137A3" w:rsidP="00712F86">
            <w:pPr>
              <w:pStyle w:val="TableText0"/>
              <w:keepLines/>
              <w:jc w:val="center"/>
            </w:pPr>
            <w:r w:rsidRPr="00F67798">
              <w:t>2 (18.2)</w:t>
            </w:r>
          </w:p>
        </w:tc>
        <w:tc>
          <w:tcPr>
            <w:tcW w:w="1405" w:type="dxa"/>
            <w:tcBorders>
              <w:top w:val="nil"/>
              <w:bottom w:val="nil"/>
            </w:tcBorders>
          </w:tcPr>
          <w:p w14:paraId="47EBE7AA" w14:textId="77777777" w:rsidR="00D137A3" w:rsidRDefault="00D137A3" w:rsidP="00712F86">
            <w:pPr>
              <w:pStyle w:val="TableText0"/>
              <w:keepLines/>
              <w:jc w:val="center"/>
            </w:pPr>
            <w:r w:rsidRPr="00F67798">
              <w:t>3 (18.8)</w:t>
            </w:r>
          </w:p>
        </w:tc>
      </w:tr>
      <w:tr w:rsidR="00D137A3" w14:paraId="040B8541" w14:textId="77777777" w:rsidTr="00D137A3">
        <w:trPr>
          <w:cantSplit/>
        </w:trPr>
        <w:tc>
          <w:tcPr>
            <w:tcW w:w="3397" w:type="dxa"/>
            <w:tcBorders>
              <w:top w:val="nil"/>
              <w:bottom w:val="nil"/>
            </w:tcBorders>
          </w:tcPr>
          <w:p w14:paraId="245037CE" w14:textId="77777777" w:rsidR="00D137A3" w:rsidRDefault="00D137A3" w:rsidP="00712F86">
            <w:pPr>
              <w:pStyle w:val="TableText0"/>
              <w:keepLines/>
            </w:pPr>
            <w:r>
              <w:t>Worst severity - Grade 4 AE</w:t>
            </w:r>
          </w:p>
        </w:tc>
        <w:tc>
          <w:tcPr>
            <w:tcW w:w="1405" w:type="dxa"/>
            <w:tcBorders>
              <w:top w:val="nil"/>
              <w:bottom w:val="nil"/>
            </w:tcBorders>
          </w:tcPr>
          <w:p w14:paraId="3479ACA2" w14:textId="77777777" w:rsidR="00D137A3" w:rsidRDefault="00D137A3" w:rsidP="00712F86">
            <w:pPr>
              <w:pStyle w:val="TableText0"/>
              <w:keepLines/>
              <w:jc w:val="center"/>
            </w:pPr>
            <w:r w:rsidRPr="00F67798">
              <w:t>1 (2.4)</w:t>
            </w:r>
          </w:p>
        </w:tc>
        <w:tc>
          <w:tcPr>
            <w:tcW w:w="1405" w:type="dxa"/>
            <w:tcBorders>
              <w:top w:val="nil"/>
              <w:bottom w:val="nil"/>
            </w:tcBorders>
          </w:tcPr>
          <w:p w14:paraId="3AE091AD" w14:textId="77777777" w:rsidR="00D137A3" w:rsidRDefault="00D137A3" w:rsidP="00712F86">
            <w:pPr>
              <w:pStyle w:val="TableText0"/>
              <w:keepLines/>
              <w:jc w:val="center"/>
            </w:pPr>
            <w:r w:rsidRPr="00F67798">
              <w:t>2 (2.4)</w:t>
            </w:r>
          </w:p>
        </w:tc>
        <w:tc>
          <w:tcPr>
            <w:tcW w:w="1405" w:type="dxa"/>
            <w:tcBorders>
              <w:top w:val="nil"/>
              <w:bottom w:val="nil"/>
            </w:tcBorders>
          </w:tcPr>
          <w:p w14:paraId="544176FC" w14:textId="77777777" w:rsidR="00D137A3" w:rsidRDefault="00D137A3" w:rsidP="00712F86">
            <w:pPr>
              <w:pStyle w:val="TableText0"/>
              <w:keepLines/>
              <w:jc w:val="center"/>
            </w:pPr>
            <w:r w:rsidRPr="00F67798">
              <w:t>0</w:t>
            </w:r>
          </w:p>
        </w:tc>
        <w:tc>
          <w:tcPr>
            <w:tcW w:w="1405" w:type="dxa"/>
            <w:tcBorders>
              <w:top w:val="nil"/>
              <w:bottom w:val="nil"/>
            </w:tcBorders>
          </w:tcPr>
          <w:p w14:paraId="6E7E72EB" w14:textId="77777777" w:rsidR="00D137A3" w:rsidRDefault="00D137A3" w:rsidP="00712F86">
            <w:pPr>
              <w:pStyle w:val="TableText0"/>
              <w:keepLines/>
              <w:jc w:val="center"/>
            </w:pPr>
            <w:r w:rsidRPr="00F67798">
              <w:t>0</w:t>
            </w:r>
          </w:p>
        </w:tc>
      </w:tr>
      <w:tr w:rsidR="00D137A3" w14:paraId="255EC820" w14:textId="77777777" w:rsidTr="00D137A3">
        <w:trPr>
          <w:cantSplit/>
        </w:trPr>
        <w:tc>
          <w:tcPr>
            <w:tcW w:w="3397" w:type="dxa"/>
            <w:tcBorders>
              <w:top w:val="nil"/>
              <w:bottom w:val="nil"/>
            </w:tcBorders>
          </w:tcPr>
          <w:p w14:paraId="4903C709" w14:textId="77777777" w:rsidR="00D137A3" w:rsidRDefault="00D137A3" w:rsidP="00712F86">
            <w:pPr>
              <w:pStyle w:val="TableText0"/>
              <w:keepLines/>
            </w:pPr>
            <w:r>
              <w:t>AE leading to dose modification</w:t>
            </w:r>
          </w:p>
        </w:tc>
        <w:tc>
          <w:tcPr>
            <w:tcW w:w="1405" w:type="dxa"/>
            <w:tcBorders>
              <w:top w:val="nil"/>
              <w:bottom w:val="nil"/>
            </w:tcBorders>
          </w:tcPr>
          <w:p w14:paraId="30F7757E" w14:textId="77777777" w:rsidR="00D137A3" w:rsidRDefault="00D137A3" w:rsidP="00712F86">
            <w:pPr>
              <w:pStyle w:val="TableText0"/>
              <w:keepLines/>
              <w:jc w:val="center"/>
            </w:pPr>
            <w:r w:rsidRPr="00F67798">
              <w:t>5 (12.2)</w:t>
            </w:r>
          </w:p>
        </w:tc>
        <w:tc>
          <w:tcPr>
            <w:tcW w:w="1405" w:type="dxa"/>
            <w:tcBorders>
              <w:top w:val="nil"/>
              <w:bottom w:val="nil"/>
            </w:tcBorders>
          </w:tcPr>
          <w:p w14:paraId="206338B8" w14:textId="77777777" w:rsidR="00D137A3" w:rsidRDefault="00D137A3" w:rsidP="00712F86">
            <w:pPr>
              <w:pStyle w:val="TableText0"/>
              <w:keepLines/>
              <w:jc w:val="center"/>
            </w:pPr>
            <w:r w:rsidRPr="00F67798">
              <w:t>7 (8.2)</w:t>
            </w:r>
          </w:p>
        </w:tc>
        <w:tc>
          <w:tcPr>
            <w:tcW w:w="1405" w:type="dxa"/>
            <w:tcBorders>
              <w:top w:val="nil"/>
              <w:bottom w:val="nil"/>
            </w:tcBorders>
          </w:tcPr>
          <w:p w14:paraId="1983AB6F" w14:textId="77777777" w:rsidR="00D137A3" w:rsidRDefault="00D137A3" w:rsidP="00712F86">
            <w:pPr>
              <w:pStyle w:val="TableText0"/>
              <w:keepLines/>
              <w:jc w:val="center"/>
            </w:pPr>
            <w:r w:rsidRPr="00F67798">
              <w:t>0</w:t>
            </w:r>
          </w:p>
        </w:tc>
        <w:tc>
          <w:tcPr>
            <w:tcW w:w="1405" w:type="dxa"/>
            <w:tcBorders>
              <w:top w:val="nil"/>
              <w:bottom w:val="nil"/>
            </w:tcBorders>
          </w:tcPr>
          <w:p w14:paraId="6B548AD4" w14:textId="77777777" w:rsidR="00D137A3" w:rsidRDefault="00D137A3" w:rsidP="00712F86">
            <w:pPr>
              <w:pStyle w:val="TableText0"/>
              <w:keepLines/>
              <w:jc w:val="center"/>
            </w:pPr>
            <w:r w:rsidRPr="00F67798">
              <w:t>0</w:t>
            </w:r>
          </w:p>
        </w:tc>
      </w:tr>
      <w:tr w:rsidR="00D137A3" w14:paraId="27699C9E" w14:textId="77777777" w:rsidTr="00D137A3">
        <w:trPr>
          <w:cantSplit/>
        </w:trPr>
        <w:tc>
          <w:tcPr>
            <w:tcW w:w="3397" w:type="dxa"/>
            <w:tcBorders>
              <w:top w:val="nil"/>
            </w:tcBorders>
          </w:tcPr>
          <w:p w14:paraId="403036B0" w14:textId="77777777" w:rsidR="00D137A3" w:rsidRDefault="00D137A3" w:rsidP="00712F86">
            <w:pPr>
              <w:pStyle w:val="TableText0"/>
              <w:keepLines/>
            </w:pPr>
            <w:r>
              <w:t>AE leading to interruption / discontinuation</w:t>
            </w:r>
          </w:p>
        </w:tc>
        <w:tc>
          <w:tcPr>
            <w:tcW w:w="1405" w:type="dxa"/>
            <w:tcBorders>
              <w:top w:val="nil"/>
            </w:tcBorders>
          </w:tcPr>
          <w:p w14:paraId="14AEC738" w14:textId="77777777" w:rsidR="00D137A3" w:rsidRDefault="00D137A3" w:rsidP="00712F86">
            <w:pPr>
              <w:pStyle w:val="TableText0"/>
              <w:keepLines/>
              <w:jc w:val="center"/>
            </w:pPr>
            <w:r w:rsidRPr="00F67798">
              <w:t>8 (19.5)</w:t>
            </w:r>
          </w:p>
        </w:tc>
        <w:tc>
          <w:tcPr>
            <w:tcW w:w="1405" w:type="dxa"/>
            <w:tcBorders>
              <w:top w:val="nil"/>
            </w:tcBorders>
          </w:tcPr>
          <w:p w14:paraId="101D7B8D" w14:textId="77777777" w:rsidR="00D137A3" w:rsidRDefault="00D137A3" w:rsidP="00712F86">
            <w:pPr>
              <w:pStyle w:val="TableText0"/>
              <w:keepLines/>
              <w:jc w:val="center"/>
            </w:pPr>
            <w:r w:rsidRPr="00F67798">
              <w:t>9 (10.6)</w:t>
            </w:r>
          </w:p>
        </w:tc>
        <w:tc>
          <w:tcPr>
            <w:tcW w:w="1405" w:type="dxa"/>
            <w:tcBorders>
              <w:top w:val="nil"/>
            </w:tcBorders>
          </w:tcPr>
          <w:p w14:paraId="56197948" w14:textId="77777777" w:rsidR="00D137A3" w:rsidRDefault="00D137A3" w:rsidP="00712F86">
            <w:pPr>
              <w:pStyle w:val="TableText0"/>
              <w:keepLines/>
              <w:jc w:val="center"/>
            </w:pPr>
            <w:r w:rsidRPr="00F67798">
              <w:t>1 (9.1)</w:t>
            </w:r>
          </w:p>
        </w:tc>
        <w:tc>
          <w:tcPr>
            <w:tcW w:w="1405" w:type="dxa"/>
            <w:tcBorders>
              <w:top w:val="nil"/>
            </w:tcBorders>
          </w:tcPr>
          <w:p w14:paraId="2A4EADAD" w14:textId="77777777" w:rsidR="00D137A3" w:rsidRDefault="00D137A3" w:rsidP="00712F86">
            <w:pPr>
              <w:pStyle w:val="TableText0"/>
              <w:keepLines/>
              <w:jc w:val="center"/>
            </w:pPr>
            <w:r w:rsidRPr="00F67798">
              <w:t>2 (12.5)</w:t>
            </w:r>
          </w:p>
        </w:tc>
      </w:tr>
      <w:tr w:rsidR="00D137A3" w14:paraId="2DB0E88C" w14:textId="77777777" w:rsidTr="00D137A3">
        <w:trPr>
          <w:cantSplit/>
        </w:trPr>
        <w:tc>
          <w:tcPr>
            <w:tcW w:w="9017" w:type="dxa"/>
            <w:gridSpan w:val="5"/>
            <w:tcBorders>
              <w:bottom w:val="single" w:sz="4" w:space="0" w:color="auto"/>
            </w:tcBorders>
          </w:tcPr>
          <w:p w14:paraId="19AA19EA" w14:textId="77777777" w:rsidR="00D137A3" w:rsidRPr="00F21596" w:rsidRDefault="00D137A3" w:rsidP="00712F86">
            <w:pPr>
              <w:pStyle w:val="TableText0"/>
              <w:keepLines/>
              <w:rPr>
                <w:b/>
              </w:rPr>
            </w:pPr>
            <w:r w:rsidRPr="00F21596">
              <w:rPr>
                <w:b/>
              </w:rPr>
              <w:t xml:space="preserve">AEs reported in </w:t>
            </w:r>
            <w:r>
              <w:rPr>
                <w:b/>
              </w:rPr>
              <w:t>≥</w:t>
            </w:r>
            <w:r w:rsidRPr="00F21596">
              <w:rPr>
                <w:b/>
              </w:rPr>
              <w:t>10% of patients, n (%)</w:t>
            </w:r>
          </w:p>
        </w:tc>
      </w:tr>
      <w:tr w:rsidR="00D137A3" w14:paraId="4A1C84CE" w14:textId="77777777" w:rsidTr="00D137A3">
        <w:trPr>
          <w:cantSplit/>
        </w:trPr>
        <w:tc>
          <w:tcPr>
            <w:tcW w:w="3397" w:type="dxa"/>
            <w:tcBorders>
              <w:bottom w:val="nil"/>
            </w:tcBorders>
          </w:tcPr>
          <w:p w14:paraId="76D601B9" w14:textId="77777777" w:rsidR="00D137A3" w:rsidRPr="007A7BC3" w:rsidRDefault="00D137A3" w:rsidP="00712F86">
            <w:pPr>
              <w:pStyle w:val="TableText0"/>
              <w:keepLines/>
            </w:pPr>
            <w:r w:rsidRPr="007A7BC3">
              <w:t>Infections and infestations</w:t>
            </w:r>
          </w:p>
        </w:tc>
        <w:tc>
          <w:tcPr>
            <w:tcW w:w="1405" w:type="dxa"/>
            <w:tcBorders>
              <w:bottom w:val="nil"/>
            </w:tcBorders>
          </w:tcPr>
          <w:p w14:paraId="0B0CFF43" w14:textId="77777777" w:rsidR="00D137A3" w:rsidRDefault="00D137A3" w:rsidP="00712F86">
            <w:pPr>
              <w:pStyle w:val="TableText0"/>
              <w:keepLines/>
              <w:jc w:val="center"/>
            </w:pPr>
            <w:r w:rsidRPr="00A40685">
              <w:t>25 (61.0)</w:t>
            </w:r>
          </w:p>
        </w:tc>
        <w:tc>
          <w:tcPr>
            <w:tcW w:w="1405" w:type="dxa"/>
            <w:tcBorders>
              <w:bottom w:val="nil"/>
            </w:tcBorders>
          </w:tcPr>
          <w:p w14:paraId="0CA953EE" w14:textId="77777777" w:rsidR="00D137A3" w:rsidRDefault="00D137A3" w:rsidP="00712F86">
            <w:pPr>
              <w:pStyle w:val="TableText0"/>
              <w:keepLines/>
              <w:jc w:val="center"/>
            </w:pPr>
            <w:r w:rsidRPr="00A40685">
              <w:t>48 (56.5)</w:t>
            </w:r>
          </w:p>
        </w:tc>
        <w:tc>
          <w:tcPr>
            <w:tcW w:w="1405" w:type="dxa"/>
            <w:tcBorders>
              <w:bottom w:val="nil"/>
            </w:tcBorders>
          </w:tcPr>
          <w:p w14:paraId="570599D7" w14:textId="77777777" w:rsidR="00D137A3" w:rsidRDefault="00D137A3" w:rsidP="00712F86">
            <w:pPr>
              <w:pStyle w:val="TableText0"/>
              <w:keepLines/>
              <w:jc w:val="center"/>
            </w:pPr>
            <w:r w:rsidRPr="00A40685">
              <w:t>8 (72.7)</w:t>
            </w:r>
          </w:p>
        </w:tc>
        <w:tc>
          <w:tcPr>
            <w:tcW w:w="1405" w:type="dxa"/>
            <w:tcBorders>
              <w:bottom w:val="nil"/>
            </w:tcBorders>
          </w:tcPr>
          <w:p w14:paraId="0CEBB8C8" w14:textId="77777777" w:rsidR="00D137A3" w:rsidRDefault="00D137A3" w:rsidP="00712F86">
            <w:pPr>
              <w:pStyle w:val="TableText0"/>
              <w:keepLines/>
              <w:jc w:val="center"/>
            </w:pPr>
            <w:r w:rsidRPr="00A40685">
              <w:t>13 (81.3)</w:t>
            </w:r>
          </w:p>
        </w:tc>
      </w:tr>
      <w:tr w:rsidR="00D137A3" w14:paraId="255C50F5" w14:textId="77777777" w:rsidTr="00D137A3">
        <w:trPr>
          <w:cantSplit/>
        </w:trPr>
        <w:tc>
          <w:tcPr>
            <w:tcW w:w="3397" w:type="dxa"/>
            <w:tcBorders>
              <w:top w:val="nil"/>
              <w:bottom w:val="nil"/>
            </w:tcBorders>
          </w:tcPr>
          <w:p w14:paraId="431FBCDC" w14:textId="77777777" w:rsidR="00D137A3" w:rsidRPr="007A7BC3" w:rsidRDefault="00D137A3" w:rsidP="00712F86">
            <w:pPr>
              <w:pStyle w:val="TableText0"/>
              <w:keepLines/>
              <w:ind w:left="107"/>
            </w:pPr>
            <w:r w:rsidRPr="007A7BC3">
              <w:t>Otitis media</w:t>
            </w:r>
          </w:p>
        </w:tc>
        <w:tc>
          <w:tcPr>
            <w:tcW w:w="1405" w:type="dxa"/>
            <w:tcBorders>
              <w:top w:val="nil"/>
              <w:bottom w:val="nil"/>
            </w:tcBorders>
          </w:tcPr>
          <w:p w14:paraId="339D1E96" w14:textId="77777777" w:rsidR="00D137A3" w:rsidRDefault="00D137A3" w:rsidP="00712F86">
            <w:pPr>
              <w:pStyle w:val="TableText0"/>
              <w:keepLines/>
              <w:jc w:val="center"/>
            </w:pPr>
            <w:r w:rsidRPr="00A40685">
              <w:t>15 (36.6)</w:t>
            </w:r>
          </w:p>
        </w:tc>
        <w:tc>
          <w:tcPr>
            <w:tcW w:w="1405" w:type="dxa"/>
            <w:tcBorders>
              <w:top w:val="nil"/>
              <w:bottom w:val="nil"/>
            </w:tcBorders>
          </w:tcPr>
          <w:p w14:paraId="2DAB3217" w14:textId="77777777" w:rsidR="00D137A3" w:rsidRDefault="00D137A3" w:rsidP="00712F86">
            <w:pPr>
              <w:pStyle w:val="TableText0"/>
              <w:keepLines/>
              <w:jc w:val="center"/>
            </w:pPr>
            <w:r w:rsidRPr="00A40685">
              <w:t>27 (31.8)</w:t>
            </w:r>
          </w:p>
        </w:tc>
        <w:tc>
          <w:tcPr>
            <w:tcW w:w="1405" w:type="dxa"/>
            <w:tcBorders>
              <w:top w:val="nil"/>
              <w:bottom w:val="nil"/>
            </w:tcBorders>
          </w:tcPr>
          <w:p w14:paraId="1BAD6EC7" w14:textId="77777777" w:rsidR="00D137A3" w:rsidRDefault="00D137A3" w:rsidP="00712F86">
            <w:pPr>
              <w:pStyle w:val="TableText0"/>
              <w:keepLines/>
              <w:jc w:val="center"/>
            </w:pPr>
            <w:r w:rsidRPr="00A40685">
              <w:t>5 (45.5)</w:t>
            </w:r>
          </w:p>
        </w:tc>
        <w:tc>
          <w:tcPr>
            <w:tcW w:w="1405" w:type="dxa"/>
            <w:tcBorders>
              <w:top w:val="nil"/>
              <w:bottom w:val="nil"/>
            </w:tcBorders>
          </w:tcPr>
          <w:p w14:paraId="677F9AA3" w14:textId="77777777" w:rsidR="00D137A3" w:rsidRDefault="00D137A3" w:rsidP="00712F86">
            <w:pPr>
              <w:pStyle w:val="TableText0"/>
              <w:keepLines/>
              <w:jc w:val="center"/>
            </w:pPr>
            <w:r w:rsidRPr="00A40685">
              <w:t>7 (43.8)</w:t>
            </w:r>
          </w:p>
        </w:tc>
      </w:tr>
      <w:tr w:rsidR="00D137A3" w14:paraId="6EC3E42E" w14:textId="77777777" w:rsidTr="00D137A3">
        <w:trPr>
          <w:cantSplit/>
        </w:trPr>
        <w:tc>
          <w:tcPr>
            <w:tcW w:w="3397" w:type="dxa"/>
            <w:tcBorders>
              <w:top w:val="nil"/>
              <w:bottom w:val="nil"/>
            </w:tcBorders>
          </w:tcPr>
          <w:p w14:paraId="619A9680" w14:textId="77777777" w:rsidR="00D137A3" w:rsidRPr="007A7BC3" w:rsidRDefault="00D137A3" w:rsidP="00712F86">
            <w:pPr>
              <w:pStyle w:val="TableText0"/>
              <w:keepLines/>
              <w:ind w:left="107"/>
            </w:pPr>
            <w:r w:rsidRPr="007A7BC3">
              <w:t>Sinusitis</w:t>
            </w:r>
          </w:p>
        </w:tc>
        <w:tc>
          <w:tcPr>
            <w:tcW w:w="1405" w:type="dxa"/>
            <w:tcBorders>
              <w:top w:val="nil"/>
              <w:bottom w:val="nil"/>
            </w:tcBorders>
          </w:tcPr>
          <w:p w14:paraId="028CA1FE" w14:textId="77777777" w:rsidR="00D137A3" w:rsidRDefault="00D137A3" w:rsidP="00712F86">
            <w:pPr>
              <w:pStyle w:val="TableText0"/>
              <w:keepLines/>
              <w:jc w:val="center"/>
            </w:pPr>
            <w:r w:rsidRPr="007A7BC3">
              <w:t>8 (19.5)</w:t>
            </w:r>
          </w:p>
        </w:tc>
        <w:tc>
          <w:tcPr>
            <w:tcW w:w="1405" w:type="dxa"/>
            <w:tcBorders>
              <w:top w:val="nil"/>
              <w:bottom w:val="nil"/>
            </w:tcBorders>
          </w:tcPr>
          <w:p w14:paraId="682F398E" w14:textId="77777777" w:rsidR="00D137A3" w:rsidRDefault="00D137A3" w:rsidP="00712F86">
            <w:pPr>
              <w:pStyle w:val="TableText0"/>
              <w:keepLines/>
              <w:jc w:val="center"/>
            </w:pPr>
            <w:r w:rsidRPr="007A7BC3">
              <w:t>11 (12.9)</w:t>
            </w:r>
          </w:p>
        </w:tc>
        <w:tc>
          <w:tcPr>
            <w:tcW w:w="1405" w:type="dxa"/>
            <w:tcBorders>
              <w:top w:val="nil"/>
              <w:bottom w:val="nil"/>
            </w:tcBorders>
          </w:tcPr>
          <w:p w14:paraId="76BFE3D6" w14:textId="77777777" w:rsidR="00D137A3" w:rsidRDefault="00D137A3" w:rsidP="00712F86">
            <w:pPr>
              <w:pStyle w:val="TableText0"/>
              <w:keepLines/>
              <w:jc w:val="center"/>
            </w:pPr>
            <w:r w:rsidRPr="007A7BC3">
              <w:t>2 (18.2)</w:t>
            </w:r>
          </w:p>
        </w:tc>
        <w:tc>
          <w:tcPr>
            <w:tcW w:w="1405" w:type="dxa"/>
            <w:tcBorders>
              <w:top w:val="nil"/>
              <w:bottom w:val="nil"/>
            </w:tcBorders>
          </w:tcPr>
          <w:p w14:paraId="3A948520" w14:textId="77777777" w:rsidR="00D137A3" w:rsidRDefault="00D137A3" w:rsidP="00712F86">
            <w:pPr>
              <w:pStyle w:val="TableText0"/>
              <w:keepLines/>
              <w:jc w:val="center"/>
            </w:pPr>
            <w:r w:rsidRPr="007A7BC3">
              <w:t>2 (12.5)</w:t>
            </w:r>
          </w:p>
        </w:tc>
      </w:tr>
      <w:tr w:rsidR="00D137A3" w14:paraId="55D0A31E" w14:textId="77777777" w:rsidTr="00D137A3">
        <w:trPr>
          <w:cantSplit/>
        </w:trPr>
        <w:tc>
          <w:tcPr>
            <w:tcW w:w="3397" w:type="dxa"/>
            <w:tcBorders>
              <w:top w:val="nil"/>
              <w:bottom w:val="nil"/>
            </w:tcBorders>
          </w:tcPr>
          <w:p w14:paraId="6C15A475" w14:textId="77777777" w:rsidR="00D137A3" w:rsidRPr="007A7BC3" w:rsidRDefault="00D137A3" w:rsidP="00712F86">
            <w:pPr>
              <w:pStyle w:val="TableText0"/>
              <w:keepLines/>
              <w:ind w:left="107"/>
            </w:pPr>
            <w:r w:rsidRPr="007A7BC3">
              <w:t>Pneumonia</w:t>
            </w:r>
          </w:p>
        </w:tc>
        <w:tc>
          <w:tcPr>
            <w:tcW w:w="1405" w:type="dxa"/>
            <w:tcBorders>
              <w:top w:val="nil"/>
              <w:bottom w:val="nil"/>
            </w:tcBorders>
          </w:tcPr>
          <w:p w14:paraId="1552FE23" w14:textId="77777777" w:rsidR="00D137A3" w:rsidRDefault="00D137A3" w:rsidP="00712F86">
            <w:pPr>
              <w:pStyle w:val="TableText0"/>
              <w:keepLines/>
              <w:jc w:val="center"/>
            </w:pPr>
            <w:r w:rsidRPr="007A7BC3">
              <w:t>6 (14.6)</w:t>
            </w:r>
          </w:p>
        </w:tc>
        <w:tc>
          <w:tcPr>
            <w:tcW w:w="1405" w:type="dxa"/>
            <w:tcBorders>
              <w:top w:val="nil"/>
              <w:bottom w:val="nil"/>
            </w:tcBorders>
          </w:tcPr>
          <w:p w14:paraId="2BEC5244" w14:textId="77777777" w:rsidR="00D137A3" w:rsidRDefault="00D137A3" w:rsidP="00712F86">
            <w:pPr>
              <w:pStyle w:val="TableText0"/>
              <w:keepLines/>
              <w:jc w:val="center"/>
            </w:pPr>
            <w:r w:rsidRPr="007A7BC3">
              <w:t>10 (11.8)</w:t>
            </w:r>
          </w:p>
        </w:tc>
        <w:tc>
          <w:tcPr>
            <w:tcW w:w="1405" w:type="dxa"/>
            <w:tcBorders>
              <w:top w:val="nil"/>
              <w:bottom w:val="nil"/>
            </w:tcBorders>
          </w:tcPr>
          <w:p w14:paraId="241CD478" w14:textId="77777777" w:rsidR="00D137A3" w:rsidRDefault="00D137A3" w:rsidP="00712F86">
            <w:pPr>
              <w:pStyle w:val="TableText0"/>
              <w:keepLines/>
              <w:jc w:val="center"/>
            </w:pPr>
            <w:r w:rsidRPr="007A7BC3">
              <w:t>2 (18.2)</w:t>
            </w:r>
          </w:p>
        </w:tc>
        <w:tc>
          <w:tcPr>
            <w:tcW w:w="1405" w:type="dxa"/>
            <w:tcBorders>
              <w:top w:val="nil"/>
              <w:bottom w:val="nil"/>
            </w:tcBorders>
          </w:tcPr>
          <w:p w14:paraId="010FCA4D" w14:textId="77777777" w:rsidR="00D137A3" w:rsidRDefault="00D137A3" w:rsidP="00712F86">
            <w:pPr>
              <w:pStyle w:val="TableText0"/>
              <w:keepLines/>
              <w:jc w:val="center"/>
            </w:pPr>
            <w:r w:rsidRPr="007A7BC3">
              <w:t>2 (12.5)</w:t>
            </w:r>
          </w:p>
        </w:tc>
      </w:tr>
      <w:tr w:rsidR="00D137A3" w14:paraId="0E9B6960" w14:textId="77777777" w:rsidTr="00D137A3">
        <w:trPr>
          <w:cantSplit/>
        </w:trPr>
        <w:tc>
          <w:tcPr>
            <w:tcW w:w="3397" w:type="dxa"/>
            <w:tcBorders>
              <w:top w:val="nil"/>
              <w:bottom w:val="nil"/>
            </w:tcBorders>
          </w:tcPr>
          <w:p w14:paraId="400EAA1D" w14:textId="77777777" w:rsidR="00D137A3" w:rsidRPr="007A7BC3" w:rsidRDefault="00D137A3" w:rsidP="00712F86">
            <w:pPr>
              <w:pStyle w:val="TableText0"/>
              <w:keepLines/>
              <w:ind w:left="107"/>
            </w:pPr>
            <w:r w:rsidRPr="007A7BC3">
              <w:t>Conjunctivitis</w:t>
            </w:r>
          </w:p>
        </w:tc>
        <w:tc>
          <w:tcPr>
            <w:tcW w:w="1405" w:type="dxa"/>
            <w:tcBorders>
              <w:top w:val="nil"/>
              <w:bottom w:val="nil"/>
            </w:tcBorders>
          </w:tcPr>
          <w:p w14:paraId="0DA0F547" w14:textId="77777777" w:rsidR="00D137A3" w:rsidRDefault="00D137A3" w:rsidP="00712F86">
            <w:pPr>
              <w:pStyle w:val="TableText0"/>
              <w:keepLines/>
              <w:jc w:val="center"/>
            </w:pPr>
            <w:r w:rsidRPr="007A7BC3">
              <w:t>5 (12.2)</w:t>
            </w:r>
          </w:p>
        </w:tc>
        <w:tc>
          <w:tcPr>
            <w:tcW w:w="1405" w:type="dxa"/>
            <w:tcBorders>
              <w:top w:val="nil"/>
              <w:bottom w:val="nil"/>
            </w:tcBorders>
          </w:tcPr>
          <w:p w14:paraId="72EE56FE" w14:textId="77777777" w:rsidR="00D137A3" w:rsidRDefault="00D137A3" w:rsidP="00712F86">
            <w:pPr>
              <w:pStyle w:val="TableText0"/>
              <w:keepLines/>
              <w:jc w:val="center"/>
            </w:pPr>
            <w:r w:rsidRPr="007A7BC3">
              <w:t>9 (10.6)</w:t>
            </w:r>
          </w:p>
        </w:tc>
        <w:tc>
          <w:tcPr>
            <w:tcW w:w="1405" w:type="dxa"/>
            <w:tcBorders>
              <w:top w:val="nil"/>
              <w:bottom w:val="nil"/>
            </w:tcBorders>
          </w:tcPr>
          <w:p w14:paraId="3C8C42F0" w14:textId="77777777" w:rsidR="00D137A3" w:rsidRDefault="00D137A3" w:rsidP="00712F86">
            <w:pPr>
              <w:pStyle w:val="TableText0"/>
              <w:keepLines/>
              <w:jc w:val="center"/>
            </w:pPr>
            <w:r w:rsidRPr="007A7BC3">
              <w:t>0</w:t>
            </w:r>
          </w:p>
        </w:tc>
        <w:tc>
          <w:tcPr>
            <w:tcW w:w="1405" w:type="dxa"/>
            <w:tcBorders>
              <w:top w:val="nil"/>
              <w:bottom w:val="nil"/>
            </w:tcBorders>
          </w:tcPr>
          <w:p w14:paraId="6BF0C3FB" w14:textId="77777777" w:rsidR="00D137A3" w:rsidRDefault="00D137A3" w:rsidP="00712F86">
            <w:pPr>
              <w:pStyle w:val="TableText0"/>
              <w:keepLines/>
              <w:jc w:val="center"/>
            </w:pPr>
            <w:r w:rsidRPr="007A7BC3">
              <w:t>1 (6.3)</w:t>
            </w:r>
          </w:p>
        </w:tc>
      </w:tr>
      <w:tr w:rsidR="00D137A3" w14:paraId="1CAF1F9E" w14:textId="77777777" w:rsidTr="00D137A3">
        <w:trPr>
          <w:cantSplit/>
        </w:trPr>
        <w:tc>
          <w:tcPr>
            <w:tcW w:w="3397" w:type="dxa"/>
            <w:tcBorders>
              <w:top w:val="nil"/>
              <w:bottom w:val="nil"/>
            </w:tcBorders>
          </w:tcPr>
          <w:p w14:paraId="7B263EA5" w14:textId="77777777" w:rsidR="00D137A3" w:rsidRPr="007A7BC3" w:rsidRDefault="00D137A3" w:rsidP="00712F86">
            <w:pPr>
              <w:pStyle w:val="TableText0"/>
              <w:keepLines/>
              <w:ind w:left="107"/>
            </w:pPr>
            <w:r w:rsidRPr="007A7BC3">
              <w:t>Upper respiratory tract infection</w:t>
            </w:r>
          </w:p>
        </w:tc>
        <w:tc>
          <w:tcPr>
            <w:tcW w:w="1405" w:type="dxa"/>
            <w:tcBorders>
              <w:top w:val="nil"/>
              <w:bottom w:val="nil"/>
            </w:tcBorders>
          </w:tcPr>
          <w:p w14:paraId="053E37AE" w14:textId="77777777" w:rsidR="00D137A3" w:rsidRDefault="00D137A3" w:rsidP="00712F86">
            <w:pPr>
              <w:pStyle w:val="TableText0"/>
              <w:keepLines/>
              <w:jc w:val="center"/>
            </w:pPr>
            <w:r w:rsidRPr="007A7BC3">
              <w:t>7 (17.1)</w:t>
            </w:r>
          </w:p>
        </w:tc>
        <w:tc>
          <w:tcPr>
            <w:tcW w:w="1405" w:type="dxa"/>
            <w:tcBorders>
              <w:top w:val="nil"/>
              <w:bottom w:val="nil"/>
            </w:tcBorders>
          </w:tcPr>
          <w:p w14:paraId="3EEACBE1" w14:textId="77777777" w:rsidR="00D137A3" w:rsidRDefault="00D137A3" w:rsidP="00712F86">
            <w:pPr>
              <w:pStyle w:val="TableText0"/>
              <w:keepLines/>
              <w:jc w:val="center"/>
            </w:pPr>
            <w:r w:rsidRPr="007A7BC3">
              <w:t>9 (10.6)</w:t>
            </w:r>
          </w:p>
        </w:tc>
        <w:tc>
          <w:tcPr>
            <w:tcW w:w="1405" w:type="dxa"/>
            <w:tcBorders>
              <w:top w:val="nil"/>
              <w:bottom w:val="nil"/>
            </w:tcBorders>
          </w:tcPr>
          <w:p w14:paraId="509C3D05" w14:textId="77777777" w:rsidR="00D137A3" w:rsidRDefault="00D137A3" w:rsidP="00712F86">
            <w:pPr>
              <w:pStyle w:val="TableText0"/>
              <w:keepLines/>
              <w:jc w:val="center"/>
            </w:pPr>
            <w:r w:rsidRPr="007A7BC3">
              <w:t>0</w:t>
            </w:r>
          </w:p>
        </w:tc>
        <w:tc>
          <w:tcPr>
            <w:tcW w:w="1405" w:type="dxa"/>
            <w:tcBorders>
              <w:top w:val="nil"/>
              <w:bottom w:val="nil"/>
            </w:tcBorders>
          </w:tcPr>
          <w:p w14:paraId="14DDD132" w14:textId="77777777" w:rsidR="00D137A3" w:rsidRDefault="00D137A3" w:rsidP="00712F86">
            <w:pPr>
              <w:pStyle w:val="TableText0"/>
              <w:keepLines/>
              <w:jc w:val="center"/>
            </w:pPr>
            <w:r w:rsidRPr="007A7BC3">
              <w:t>3 (18.8)</w:t>
            </w:r>
          </w:p>
        </w:tc>
      </w:tr>
      <w:tr w:rsidR="00D137A3" w14:paraId="1D140846" w14:textId="77777777" w:rsidTr="00D137A3">
        <w:trPr>
          <w:cantSplit/>
        </w:trPr>
        <w:tc>
          <w:tcPr>
            <w:tcW w:w="3397" w:type="dxa"/>
            <w:tcBorders>
              <w:top w:val="nil"/>
              <w:bottom w:val="single" w:sz="4" w:space="0" w:color="auto"/>
            </w:tcBorders>
          </w:tcPr>
          <w:p w14:paraId="055CA993" w14:textId="77777777" w:rsidR="00D137A3" w:rsidRPr="007A7BC3" w:rsidRDefault="00D137A3" w:rsidP="00712F86">
            <w:pPr>
              <w:pStyle w:val="TableText0"/>
              <w:keepLines/>
              <w:ind w:left="107"/>
            </w:pPr>
            <w:r w:rsidRPr="007A7BC3">
              <w:t>Eye infection</w:t>
            </w:r>
          </w:p>
        </w:tc>
        <w:tc>
          <w:tcPr>
            <w:tcW w:w="1405" w:type="dxa"/>
            <w:tcBorders>
              <w:top w:val="nil"/>
              <w:bottom w:val="single" w:sz="4" w:space="0" w:color="auto"/>
            </w:tcBorders>
          </w:tcPr>
          <w:p w14:paraId="4EE21038" w14:textId="77777777" w:rsidR="00D137A3" w:rsidRDefault="00D137A3" w:rsidP="00712F86">
            <w:pPr>
              <w:pStyle w:val="TableText0"/>
              <w:keepLines/>
              <w:jc w:val="center"/>
            </w:pPr>
            <w:r w:rsidRPr="007A7BC3">
              <w:t>2 (4.9)</w:t>
            </w:r>
          </w:p>
        </w:tc>
        <w:tc>
          <w:tcPr>
            <w:tcW w:w="1405" w:type="dxa"/>
            <w:tcBorders>
              <w:top w:val="nil"/>
              <w:bottom w:val="single" w:sz="4" w:space="0" w:color="auto"/>
            </w:tcBorders>
          </w:tcPr>
          <w:p w14:paraId="51950770" w14:textId="77777777" w:rsidR="00D137A3" w:rsidRDefault="00D137A3" w:rsidP="00712F86">
            <w:pPr>
              <w:pStyle w:val="TableText0"/>
              <w:keepLines/>
              <w:jc w:val="center"/>
            </w:pPr>
            <w:r w:rsidRPr="007A7BC3">
              <w:t>3 (3.5)</w:t>
            </w:r>
          </w:p>
        </w:tc>
        <w:tc>
          <w:tcPr>
            <w:tcW w:w="1405" w:type="dxa"/>
            <w:tcBorders>
              <w:top w:val="nil"/>
              <w:bottom w:val="single" w:sz="4" w:space="0" w:color="auto"/>
            </w:tcBorders>
          </w:tcPr>
          <w:p w14:paraId="5D4B3E62" w14:textId="77777777" w:rsidR="00D137A3" w:rsidRDefault="00D137A3" w:rsidP="00712F86">
            <w:pPr>
              <w:pStyle w:val="TableText0"/>
              <w:keepLines/>
              <w:jc w:val="center"/>
            </w:pPr>
            <w:r w:rsidRPr="007A7BC3">
              <w:t>1 (9.1)</w:t>
            </w:r>
          </w:p>
        </w:tc>
        <w:tc>
          <w:tcPr>
            <w:tcW w:w="1405" w:type="dxa"/>
            <w:tcBorders>
              <w:top w:val="nil"/>
              <w:bottom w:val="single" w:sz="4" w:space="0" w:color="auto"/>
            </w:tcBorders>
          </w:tcPr>
          <w:p w14:paraId="2AA5289E" w14:textId="77777777" w:rsidR="00D137A3" w:rsidRDefault="00D137A3" w:rsidP="00712F86">
            <w:pPr>
              <w:pStyle w:val="TableText0"/>
              <w:keepLines/>
              <w:jc w:val="center"/>
            </w:pPr>
            <w:r w:rsidRPr="007A7BC3">
              <w:t>2 (12.5)</w:t>
            </w:r>
          </w:p>
        </w:tc>
      </w:tr>
      <w:tr w:rsidR="00D137A3" w14:paraId="0D97B0BB" w14:textId="77777777" w:rsidTr="00D137A3">
        <w:trPr>
          <w:cantSplit/>
        </w:trPr>
        <w:tc>
          <w:tcPr>
            <w:tcW w:w="3397" w:type="dxa"/>
            <w:tcBorders>
              <w:top w:val="single" w:sz="4" w:space="0" w:color="auto"/>
              <w:bottom w:val="nil"/>
            </w:tcBorders>
          </w:tcPr>
          <w:p w14:paraId="248E14DC" w14:textId="77777777" w:rsidR="00D137A3" w:rsidRPr="007A7BC3" w:rsidRDefault="00D137A3" w:rsidP="00712F86">
            <w:pPr>
              <w:pStyle w:val="TableText0"/>
              <w:keepLines/>
            </w:pPr>
            <w:r w:rsidRPr="007A7BC3">
              <w:t>Gastrointestinal disorders</w:t>
            </w:r>
          </w:p>
        </w:tc>
        <w:tc>
          <w:tcPr>
            <w:tcW w:w="1405" w:type="dxa"/>
            <w:tcBorders>
              <w:top w:val="single" w:sz="4" w:space="0" w:color="auto"/>
              <w:bottom w:val="nil"/>
            </w:tcBorders>
          </w:tcPr>
          <w:p w14:paraId="79C314EF" w14:textId="77777777" w:rsidR="00D137A3" w:rsidRDefault="00D137A3" w:rsidP="00712F86">
            <w:pPr>
              <w:pStyle w:val="TableText0"/>
              <w:keepLines/>
              <w:jc w:val="center"/>
            </w:pPr>
            <w:r w:rsidRPr="007A7BC3">
              <w:t>16 (39.0)</w:t>
            </w:r>
          </w:p>
        </w:tc>
        <w:tc>
          <w:tcPr>
            <w:tcW w:w="1405" w:type="dxa"/>
            <w:tcBorders>
              <w:top w:val="single" w:sz="4" w:space="0" w:color="auto"/>
              <w:bottom w:val="nil"/>
            </w:tcBorders>
          </w:tcPr>
          <w:p w14:paraId="4C070CEF" w14:textId="77777777" w:rsidR="00D137A3" w:rsidRDefault="00D137A3" w:rsidP="00712F86">
            <w:pPr>
              <w:pStyle w:val="TableText0"/>
              <w:keepLines/>
              <w:jc w:val="center"/>
            </w:pPr>
            <w:r w:rsidRPr="007A7BC3">
              <w:t>24 (28.2)</w:t>
            </w:r>
          </w:p>
        </w:tc>
        <w:tc>
          <w:tcPr>
            <w:tcW w:w="1405" w:type="dxa"/>
            <w:tcBorders>
              <w:top w:val="single" w:sz="4" w:space="0" w:color="auto"/>
              <w:bottom w:val="nil"/>
            </w:tcBorders>
          </w:tcPr>
          <w:p w14:paraId="45880D42" w14:textId="77777777" w:rsidR="00D137A3" w:rsidRDefault="00D137A3" w:rsidP="00712F86">
            <w:pPr>
              <w:pStyle w:val="TableText0"/>
              <w:keepLines/>
              <w:jc w:val="center"/>
            </w:pPr>
            <w:r w:rsidRPr="007A7BC3">
              <w:t>1 (9.1)</w:t>
            </w:r>
          </w:p>
        </w:tc>
        <w:tc>
          <w:tcPr>
            <w:tcW w:w="1405" w:type="dxa"/>
            <w:tcBorders>
              <w:top w:val="single" w:sz="4" w:space="0" w:color="auto"/>
              <w:bottom w:val="nil"/>
            </w:tcBorders>
          </w:tcPr>
          <w:p w14:paraId="0F716E0D" w14:textId="77777777" w:rsidR="00D137A3" w:rsidRDefault="00D137A3" w:rsidP="00712F86">
            <w:pPr>
              <w:pStyle w:val="TableText0"/>
              <w:keepLines/>
              <w:jc w:val="center"/>
            </w:pPr>
            <w:r w:rsidRPr="007A7BC3">
              <w:t>2 (12.5)</w:t>
            </w:r>
          </w:p>
        </w:tc>
      </w:tr>
      <w:tr w:rsidR="00D137A3" w14:paraId="36F72FC3" w14:textId="77777777" w:rsidTr="00D137A3">
        <w:trPr>
          <w:cantSplit/>
        </w:trPr>
        <w:tc>
          <w:tcPr>
            <w:tcW w:w="3397" w:type="dxa"/>
            <w:tcBorders>
              <w:top w:val="nil"/>
              <w:bottom w:val="nil"/>
            </w:tcBorders>
          </w:tcPr>
          <w:p w14:paraId="0F63BEC4" w14:textId="77777777" w:rsidR="00D137A3" w:rsidRPr="007A7BC3" w:rsidRDefault="00D137A3" w:rsidP="00712F86">
            <w:pPr>
              <w:pStyle w:val="TableText0"/>
              <w:keepLines/>
              <w:ind w:left="107"/>
            </w:pPr>
            <w:r w:rsidRPr="007A7BC3">
              <w:t>Diarrhoea</w:t>
            </w:r>
          </w:p>
        </w:tc>
        <w:tc>
          <w:tcPr>
            <w:tcW w:w="1405" w:type="dxa"/>
            <w:tcBorders>
              <w:top w:val="nil"/>
              <w:bottom w:val="nil"/>
            </w:tcBorders>
          </w:tcPr>
          <w:p w14:paraId="009A2DF6" w14:textId="77777777" w:rsidR="00D137A3" w:rsidRDefault="00D137A3" w:rsidP="00712F86">
            <w:pPr>
              <w:pStyle w:val="TableText0"/>
              <w:keepLines/>
              <w:jc w:val="center"/>
            </w:pPr>
            <w:r w:rsidRPr="007A7BC3">
              <w:t>8 (19.5)</w:t>
            </w:r>
          </w:p>
        </w:tc>
        <w:tc>
          <w:tcPr>
            <w:tcW w:w="1405" w:type="dxa"/>
            <w:tcBorders>
              <w:top w:val="nil"/>
              <w:bottom w:val="nil"/>
            </w:tcBorders>
          </w:tcPr>
          <w:p w14:paraId="35E1F828" w14:textId="77777777" w:rsidR="00D137A3" w:rsidRDefault="00D137A3" w:rsidP="00712F86">
            <w:pPr>
              <w:pStyle w:val="TableText0"/>
              <w:keepLines/>
              <w:jc w:val="center"/>
            </w:pPr>
            <w:r w:rsidRPr="007A7BC3">
              <w:t>12 (14.1)</w:t>
            </w:r>
          </w:p>
        </w:tc>
        <w:tc>
          <w:tcPr>
            <w:tcW w:w="1405" w:type="dxa"/>
            <w:tcBorders>
              <w:top w:val="nil"/>
              <w:bottom w:val="nil"/>
            </w:tcBorders>
          </w:tcPr>
          <w:p w14:paraId="38F9DC71" w14:textId="77777777" w:rsidR="00D137A3" w:rsidRDefault="00D137A3" w:rsidP="00712F86">
            <w:pPr>
              <w:pStyle w:val="TableText0"/>
              <w:keepLines/>
              <w:jc w:val="center"/>
            </w:pPr>
            <w:r w:rsidRPr="007A7BC3">
              <w:t>1 (9.1)</w:t>
            </w:r>
          </w:p>
        </w:tc>
        <w:tc>
          <w:tcPr>
            <w:tcW w:w="1405" w:type="dxa"/>
            <w:tcBorders>
              <w:top w:val="nil"/>
              <w:bottom w:val="nil"/>
            </w:tcBorders>
          </w:tcPr>
          <w:p w14:paraId="648AAC0C" w14:textId="77777777" w:rsidR="00D137A3" w:rsidRDefault="00D137A3" w:rsidP="00712F86">
            <w:pPr>
              <w:pStyle w:val="TableText0"/>
              <w:keepLines/>
              <w:jc w:val="center"/>
            </w:pPr>
            <w:r w:rsidRPr="007A7BC3">
              <w:t>2 (12.5)</w:t>
            </w:r>
          </w:p>
        </w:tc>
      </w:tr>
      <w:tr w:rsidR="00D137A3" w14:paraId="32301513" w14:textId="77777777" w:rsidTr="00D137A3">
        <w:trPr>
          <w:cantSplit/>
        </w:trPr>
        <w:tc>
          <w:tcPr>
            <w:tcW w:w="3397" w:type="dxa"/>
            <w:tcBorders>
              <w:top w:val="nil"/>
              <w:bottom w:val="single" w:sz="4" w:space="0" w:color="auto"/>
            </w:tcBorders>
          </w:tcPr>
          <w:p w14:paraId="43F018CB" w14:textId="77777777" w:rsidR="00D137A3" w:rsidRPr="007A7BC3" w:rsidRDefault="00D137A3" w:rsidP="00712F86">
            <w:pPr>
              <w:pStyle w:val="TableText0"/>
              <w:keepLines/>
              <w:ind w:left="107"/>
            </w:pPr>
            <w:r w:rsidRPr="007A7BC3">
              <w:t>Vomiting</w:t>
            </w:r>
          </w:p>
        </w:tc>
        <w:tc>
          <w:tcPr>
            <w:tcW w:w="1405" w:type="dxa"/>
            <w:tcBorders>
              <w:top w:val="nil"/>
              <w:bottom w:val="single" w:sz="4" w:space="0" w:color="auto"/>
            </w:tcBorders>
          </w:tcPr>
          <w:p w14:paraId="6CF3EC20" w14:textId="77777777" w:rsidR="00D137A3" w:rsidRDefault="00D137A3" w:rsidP="00712F86">
            <w:pPr>
              <w:pStyle w:val="TableText0"/>
              <w:keepLines/>
              <w:jc w:val="center"/>
            </w:pPr>
            <w:r w:rsidRPr="007A7BC3">
              <w:t>6 (14.6)</w:t>
            </w:r>
          </w:p>
        </w:tc>
        <w:tc>
          <w:tcPr>
            <w:tcW w:w="1405" w:type="dxa"/>
            <w:tcBorders>
              <w:top w:val="nil"/>
              <w:bottom w:val="single" w:sz="4" w:space="0" w:color="auto"/>
            </w:tcBorders>
          </w:tcPr>
          <w:p w14:paraId="64B6734C" w14:textId="77777777" w:rsidR="00D137A3" w:rsidRDefault="00D137A3" w:rsidP="00712F86">
            <w:pPr>
              <w:pStyle w:val="TableText0"/>
              <w:keepLines/>
              <w:jc w:val="center"/>
            </w:pPr>
            <w:r w:rsidRPr="007A7BC3">
              <w:t>9 (10.6)</w:t>
            </w:r>
          </w:p>
        </w:tc>
        <w:tc>
          <w:tcPr>
            <w:tcW w:w="1405" w:type="dxa"/>
            <w:tcBorders>
              <w:top w:val="nil"/>
              <w:bottom w:val="single" w:sz="4" w:space="0" w:color="auto"/>
            </w:tcBorders>
          </w:tcPr>
          <w:p w14:paraId="46720533" w14:textId="77777777" w:rsidR="00D137A3" w:rsidRDefault="00D137A3" w:rsidP="00712F86">
            <w:pPr>
              <w:pStyle w:val="TableText0"/>
              <w:keepLines/>
              <w:jc w:val="center"/>
            </w:pPr>
            <w:r w:rsidRPr="007A7BC3">
              <w:t>0</w:t>
            </w:r>
          </w:p>
        </w:tc>
        <w:tc>
          <w:tcPr>
            <w:tcW w:w="1405" w:type="dxa"/>
            <w:tcBorders>
              <w:top w:val="nil"/>
              <w:bottom w:val="single" w:sz="4" w:space="0" w:color="auto"/>
            </w:tcBorders>
          </w:tcPr>
          <w:p w14:paraId="1F3E4029" w14:textId="77777777" w:rsidR="00D137A3" w:rsidRDefault="00D137A3" w:rsidP="00712F86">
            <w:pPr>
              <w:pStyle w:val="TableText0"/>
              <w:keepLines/>
              <w:jc w:val="center"/>
            </w:pPr>
            <w:r w:rsidRPr="007A7BC3">
              <w:t>0</w:t>
            </w:r>
          </w:p>
        </w:tc>
      </w:tr>
      <w:tr w:rsidR="00D137A3" w14:paraId="5F68E301" w14:textId="77777777" w:rsidTr="00D137A3">
        <w:trPr>
          <w:cantSplit/>
        </w:trPr>
        <w:tc>
          <w:tcPr>
            <w:tcW w:w="3397" w:type="dxa"/>
            <w:tcBorders>
              <w:top w:val="single" w:sz="4" w:space="0" w:color="auto"/>
              <w:bottom w:val="nil"/>
            </w:tcBorders>
          </w:tcPr>
          <w:p w14:paraId="79A54BDF" w14:textId="77777777" w:rsidR="00D137A3" w:rsidRPr="007A7BC3" w:rsidRDefault="00D137A3" w:rsidP="00712F86">
            <w:pPr>
              <w:pStyle w:val="TableText0"/>
              <w:keepLines/>
            </w:pPr>
            <w:r w:rsidRPr="007A7BC3">
              <w:t>Respiratory, thoracic</w:t>
            </w:r>
            <w:r>
              <w:t>,</w:t>
            </w:r>
            <w:r w:rsidRPr="007A7BC3">
              <w:t xml:space="preserve"> mediastinal disorders</w:t>
            </w:r>
          </w:p>
        </w:tc>
        <w:tc>
          <w:tcPr>
            <w:tcW w:w="1405" w:type="dxa"/>
            <w:tcBorders>
              <w:top w:val="single" w:sz="4" w:space="0" w:color="auto"/>
              <w:bottom w:val="nil"/>
            </w:tcBorders>
          </w:tcPr>
          <w:p w14:paraId="555C9F46" w14:textId="77777777" w:rsidR="00D137A3" w:rsidRDefault="00D137A3" w:rsidP="00712F86">
            <w:pPr>
              <w:pStyle w:val="TableText0"/>
              <w:keepLines/>
              <w:jc w:val="center"/>
            </w:pPr>
            <w:r w:rsidRPr="007A7BC3">
              <w:t>13 (31.7)</w:t>
            </w:r>
          </w:p>
        </w:tc>
        <w:tc>
          <w:tcPr>
            <w:tcW w:w="1405" w:type="dxa"/>
            <w:tcBorders>
              <w:top w:val="single" w:sz="4" w:space="0" w:color="auto"/>
              <w:bottom w:val="nil"/>
            </w:tcBorders>
          </w:tcPr>
          <w:p w14:paraId="5D57249B" w14:textId="77777777" w:rsidR="00D137A3" w:rsidRDefault="00D137A3" w:rsidP="00712F86">
            <w:pPr>
              <w:pStyle w:val="TableText0"/>
              <w:keepLines/>
              <w:jc w:val="center"/>
            </w:pPr>
            <w:r w:rsidRPr="007A7BC3">
              <w:t>23 (27.1)</w:t>
            </w:r>
          </w:p>
        </w:tc>
        <w:tc>
          <w:tcPr>
            <w:tcW w:w="1405" w:type="dxa"/>
            <w:tcBorders>
              <w:top w:val="single" w:sz="4" w:space="0" w:color="auto"/>
              <w:bottom w:val="nil"/>
            </w:tcBorders>
          </w:tcPr>
          <w:p w14:paraId="732448E3" w14:textId="77777777" w:rsidR="00D137A3" w:rsidRDefault="00D137A3" w:rsidP="00712F86">
            <w:pPr>
              <w:pStyle w:val="TableText0"/>
              <w:keepLines/>
              <w:jc w:val="center"/>
            </w:pPr>
            <w:r w:rsidRPr="007A7BC3">
              <w:t>3 (27.3)</w:t>
            </w:r>
          </w:p>
        </w:tc>
        <w:tc>
          <w:tcPr>
            <w:tcW w:w="1405" w:type="dxa"/>
            <w:tcBorders>
              <w:top w:val="single" w:sz="4" w:space="0" w:color="auto"/>
              <w:bottom w:val="nil"/>
            </w:tcBorders>
          </w:tcPr>
          <w:p w14:paraId="520D32F6" w14:textId="77777777" w:rsidR="00D137A3" w:rsidRDefault="00D137A3" w:rsidP="00712F86">
            <w:pPr>
              <w:pStyle w:val="TableText0"/>
              <w:keepLines/>
              <w:jc w:val="center"/>
            </w:pPr>
            <w:r w:rsidRPr="007A7BC3">
              <w:t>4 (25.0)</w:t>
            </w:r>
          </w:p>
        </w:tc>
      </w:tr>
      <w:tr w:rsidR="00D137A3" w14:paraId="7A871A20" w14:textId="77777777" w:rsidTr="00D137A3">
        <w:trPr>
          <w:cantSplit/>
        </w:trPr>
        <w:tc>
          <w:tcPr>
            <w:tcW w:w="3397" w:type="dxa"/>
            <w:tcBorders>
              <w:top w:val="nil"/>
              <w:bottom w:val="nil"/>
            </w:tcBorders>
          </w:tcPr>
          <w:p w14:paraId="55D97CD2" w14:textId="77777777" w:rsidR="00D137A3" w:rsidRPr="007A7BC3" w:rsidRDefault="00D137A3" w:rsidP="00712F86">
            <w:pPr>
              <w:pStyle w:val="TableText0"/>
              <w:keepLines/>
              <w:ind w:left="107"/>
            </w:pPr>
            <w:r w:rsidRPr="007A7BC3">
              <w:t>Cough</w:t>
            </w:r>
          </w:p>
        </w:tc>
        <w:tc>
          <w:tcPr>
            <w:tcW w:w="1405" w:type="dxa"/>
            <w:tcBorders>
              <w:top w:val="nil"/>
              <w:bottom w:val="nil"/>
            </w:tcBorders>
          </w:tcPr>
          <w:p w14:paraId="13966DDE" w14:textId="77777777" w:rsidR="00D137A3" w:rsidRDefault="00D137A3" w:rsidP="00712F86">
            <w:pPr>
              <w:pStyle w:val="TableText0"/>
              <w:keepLines/>
              <w:jc w:val="center"/>
            </w:pPr>
            <w:r w:rsidRPr="007A7BC3">
              <w:t>7 (17.1)</w:t>
            </w:r>
          </w:p>
        </w:tc>
        <w:tc>
          <w:tcPr>
            <w:tcW w:w="1405" w:type="dxa"/>
            <w:tcBorders>
              <w:top w:val="nil"/>
              <w:bottom w:val="nil"/>
            </w:tcBorders>
          </w:tcPr>
          <w:p w14:paraId="0D018E81" w14:textId="77777777" w:rsidR="00D137A3" w:rsidRDefault="00D137A3" w:rsidP="00712F86">
            <w:pPr>
              <w:pStyle w:val="TableText0"/>
              <w:keepLines/>
              <w:jc w:val="center"/>
            </w:pPr>
            <w:r w:rsidRPr="007A7BC3">
              <w:t>13 (15.3)</w:t>
            </w:r>
          </w:p>
        </w:tc>
        <w:tc>
          <w:tcPr>
            <w:tcW w:w="1405" w:type="dxa"/>
            <w:tcBorders>
              <w:top w:val="nil"/>
              <w:bottom w:val="nil"/>
            </w:tcBorders>
          </w:tcPr>
          <w:p w14:paraId="0FC4AED4" w14:textId="77777777" w:rsidR="00D137A3" w:rsidRDefault="00D137A3" w:rsidP="00712F86">
            <w:pPr>
              <w:pStyle w:val="TableText0"/>
              <w:keepLines/>
              <w:jc w:val="center"/>
            </w:pPr>
            <w:r w:rsidRPr="007A7BC3">
              <w:t>0</w:t>
            </w:r>
          </w:p>
        </w:tc>
        <w:tc>
          <w:tcPr>
            <w:tcW w:w="1405" w:type="dxa"/>
            <w:tcBorders>
              <w:top w:val="nil"/>
              <w:bottom w:val="nil"/>
            </w:tcBorders>
          </w:tcPr>
          <w:p w14:paraId="0773A4D4" w14:textId="77777777" w:rsidR="00D137A3" w:rsidRDefault="00D137A3" w:rsidP="00712F86">
            <w:pPr>
              <w:pStyle w:val="TableText0"/>
              <w:keepLines/>
              <w:jc w:val="center"/>
            </w:pPr>
            <w:r w:rsidRPr="007A7BC3">
              <w:t>0</w:t>
            </w:r>
          </w:p>
        </w:tc>
      </w:tr>
      <w:tr w:rsidR="00D137A3" w14:paraId="1FED1072" w14:textId="77777777" w:rsidTr="00D137A3">
        <w:trPr>
          <w:cantSplit/>
        </w:trPr>
        <w:tc>
          <w:tcPr>
            <w:tcW w:w="3397" w:type="dxa"/>
            <w:tcBorders>
              <w:top w:val="nil"/>
              <w:bottom w:val="nil"/>
            </w:tcBorders>
          </w:tcPr>
          <w:p w14:paraId="2C0237E9" w14:textId="77777777" w:rsidR="00D137A3" w:rsidRPr="007A7BC3" w:rsidRDefault="00D137A3" w:rsidP="00712F86">
            <w:pPr>
              <w:pStyle w:val="TableText0"/>
              <w:keepLines/>
              <w:ind w:left="107"/>
            </w:pPr>
            <w:r w:rsidRPr="007A7BC3">
              <w:t>Rhinitis allergic</w:t>
            </w:r>
          </w:p>
        </w:tc>
        <w:tc>
          <w:tcPr>
            <w:tcW w:w="1405" w:type="dxa"/>
            <w:tcBorders>
              <w:top w:val="nil"/>
              <w:bottom w:val="nil"/>
            </w:tcBorders>
          </w:tcPr>
          <w:p w14:paraId="6C27A9E7" w14:textId="77777777" w:rsidR="00D137A3" w:rsidRDefault="00D137A3" w:rsidP="00712F86">
            <w:pPr>
              <w:pStyle w:val="TableText0"/>
              <w:keepLines/>
              <w:jc w:val="center"/>
            </w:pPr>
            <w:r w:rsidRPr="007A7BC3">
              <w:t>6 (14.6)</w:t>
            </w:r>
          </w:p>
        </w:tc>
        <w:tc>
          <w:tcPr>
            <w:tcW w:w="1405" w:type="dxa"/>
            <w:tcBorders>
              <w:top w:val="nil"/>
              <w:bottom w:val="nil"/>
            </w:tcBorders>
          </w:tcPr>
          <w:p w14:paraId="48ADEEF7" w14:textId="77777777" w:rsidR="00D137A3" w:rsidRDefault="00D137A3" w:rsidP="00712F86">
            <w:pPr>
              <w:pStyle w:val="TableText0"/>
              <w:keepLines/>
              <w:jc w:val="center"/>
            </w:pPr>
            <w:r w:rsidRPr="007A7BC3">
              <w:t>9 (10.6)</w:t>
            </w:r>
          </w:p>
        </w:tc>
        <w:tc>
          <w:tcPr>
            <w:tcW w:w="1405" w:type="dxa"/>
            <w:tcBorders>
              <w:top w:val="nil"/>
              <w:bottom w:val="nil"/>
            </w:tcBorders>
          </w:tcPr>
          <w:p w14:paraId="53B550DF" w14:textId="77777777" w:rsidR="00D137A3" w:rsidRDefault="00D137A3" w:rsidP="00712F86">
            <w:pPr>
              <w:pStyle w:val="TableText0"/>
              <w:keepLines/>
              <w:jc w:val="center"/>
            </w:pPr>
            <w:r w:rsidRPr="007A7BC3">
              <w:t>0</w:t>
            </w:r>
          </w:p>
        </w:tc>
        <w:tc>
          <w:tcPr>
            <w:tcW w:w="1405" w:type="dxa"/>
            <w:tcBorders>
              <w:top w:val="nil"/>
              <w:bottom w:val="nil"/>
            </w:tcBorders>
          </w:tcPr>
          <w:p w14:paraId="6DEC5E5D" w14:textId="77777777" w:rsidR="00D137A3" w:rsidRDefault="00D137A3" w:rsidP="00712F86">
            <w:pPr>
              <w:pStyle w:val="TableText0"/>
              <w:keepLines/>
              <w:jc w:val="center"/>
            </w:pPr>
            <w:r w:rsidRPr="007A7BC3">
              <w:t>0</w:t>
            </w:r>
          </w:p>
        </w:tc>
      </w:tr>
      <w:tr w:rsidR="00D137A3" w14:paraId="28AF756E" w14:textId="77777777" w:rsidTr="00D137A3">
        <w:trPr>
          <w:cantSplit/>
        </w:trPr>
        <w:tc>
          <w:tcPr>
            <w:tcW w:w="3397" w:type="dxa"/>
            <w:tcBorders>
              <w:top w:val="nil"/>
              <w:bottom w:val="single" w:sz="4" w:space="0" w:color="auto"/>
            </w:tcBorders>
          </w:tcPr>
          <w:p w14:paraId="649CA63A" w14:textId="77777777" w:rsidR="00D137A3" w:rsidRPr="007A7BC3" w:rsidRDefault="00D137A3" w:rsidP="00712F86">
            <w:pPr>
              <w:pStyle w:val="TableText0"/>
              <w:keepLines/>
              <w:ind w:left="107"/>
            </w:pPr>
            <w:r w:rsidRPr="007A7BC3">
              <w:t>Nasal congestion</w:t>
            </w:r>
          </w:p>
        </w:tc>
        <w:tc>
          <w:tcPr>
            <w:tcW w:w="1405" w:type="dxa"/>
            <w:tcBorders>
              <w:top w:val="nil"/>
              <w:bottom w:val="single" w:sz="4" w:space="0" w:color="auto"/>
            </w:tcBorders>
          </w:tcPr>
          <w:p w14:paraId="68A1DD7A" w14:textId="77777777" w:rsidR="00D137A3" w:rsidRDefault="00D137A3" w:rsidP="00712F86">
            <w:pPr>
              <w:pStyle w:val="TableText0"/>
              <w:keepLines/>
              <w:jc w:val="center"/>
            </w:pPr>
            <w:r w:rsidRPr="007A7BC3">
              <w:t>0</w:t>
            </w:r>
          </w:p>
        </w:tc>
        <w:tc>
          <w:tcPr>
            <w:tcW w:w="1405" w:type="dxa"/>
            <w:tcBorders>
              <w:top w:val="nil"/>
              <w:bottom w:val="single" w:sz="4" w:space="0" w:color="auto"/>
            </w:tcBorders>
          </w:tcPr>
          <w:p w14:paraId="24BA8C6E" w14:textId="77777777" w:rsidR="00D137A3" w:rsidRDefault="00D137A3" w:rsidP="00712F86">
            <w:pPr>
              <w:pStyle w:val="TableText0"/>
              <w:keepLines/>
              <w:jc w:val="center"/>
            </w:pPr>
            <w:r w:rsidRPr="007A7BC3">
              <w:t>0</w:t>
            </w:r>
          </w:p>
        </w:tc>
        <w:tc>
          <w:tcPr>
            <w:tcW w:w="1405" w:type="dxa"/>
            <w:tcBorders>
              <w:top w:val="nil"/>
              <w:bottom w:val="single" w:sz="4" w:space="0" w:color="auto"/>
            </w:tcBorders>
          </w:tcPr>
          <w:p w14:paraId="23AA1C26" w14:textId="77777777" w:rsidR="00D137A3" w:rsidRDefault="00D137A3" w:rsidP="00712F86">
            <w:pPr>
              <w:pStyle w:val="TableText0"/>
              <w:keepLines/>
              <w:jc w:val="center"/>
            </w:pPr>
            <w:r w:rsidRPr="007A7BC3">
              <w:t>1 (9.1)</w:t>
            </w:r>
          </w:p>
        </w:tc>
        <w:tc>
          <w:tcPr>
            <w:tcW w:w="1405" w:type="dxa"/>
            <w:tcBorders>
              <w:top w:val="nil"/>
              <w:bottom w:val="single" w:sz="4" w:space="0" w:color="auto"/>
            </w:tcBorders>
          </w:tcPr>
          <w:p w14:paraId="50069C85" w14:textId="77777777" w:rsidR="00D137A3" w:rsidRDefault="00D137A3" w:rsidP="00712F86">
            <w:pPr>
              <w:pStyle w:val="TableText0"/>
              <w:keepLines/>
              <w:jc w:val="center"/>
            </w:pPr>
            <w:r w:rsidRPr="007A7BC3">
              <w:t>2 (12.5)</w:t>
            </w:r>
          </w:p>
        </w:tc>
      </w:tr>
      <w:tr w:rsidR="00D137A3" w14:paraId="1F17432F" w14:textId="77777777" w:rsidTr="00D137A3">
        <w:trPr>
          <w:cantSplit/>
        </w:trPr>
        <w:tc>
          <w:tcPr>
            <w:tcW w:w="3397" w:type="dxa"/>
            <w:tcBorders>
              <w:top w:val="single" w:sz="4" w:space="0" w:color="auto"/>
              <w:bottom w:val="nil"/>
            </w:tcBorders>
          </w:tcPr>
          <w:p w14:paraId="6E38D201" w14:textId="77777777" w:rsidR="00D137A3" w:rsidRPr="007A7BC3" w:rsidRDefault="00D137A3" w:rsidP="00712F86">
            <w:pPr>
              <w:pStyle w:val="TableText0"/>
              <w:keepLines/>
            </w:pPr>
            <w:r w:rsidRPr="007A7BC3">
              <w:t>Investigations</w:t>
            </w:r>
          </w:p>
        </w:tc>
        <w:tc>
          <w:tcPr>
            <w:tcW w:w="1405" w:type="dxa"/>
            <w:tcBorders>
              <w:top w:val="single" w:sz="4" w:space="0" w:color="auto"/>
              <w:bottom w:val="nil"/>
            </w:tcBorders>
          </w:tcPr>
          <w:p w14:paraId="14DD506D" w14:textId="77777777" w:rsidR="00D137A3" w:rsidRDefault="00D137A3" w:rsidP="00712F86">
            <w:pPr>
              <w:pStyle w:val="TableText0"/>
              <w:keepLines/>
              <w:jc w:val="center"/>
            </w:pPr>
            <w:r w:rsidRPr="007A7BC3">
              <w:t>8 (19.5)</w:t>
            </w:r>
          </w:p>
        </w:tc>
        <w:tc>
          <w:tcPr>
            <w:tcW w:w="1405" w:type="dxa"/>
            <w:tcBorders>
              <w:top w:val="single" w:sz="4" w:space="0" w:color="auto"/>
              <w:bottom w:val="nil"/>
            </w:tcBorders>
          </w:tcPr>
          <w:p w14:paraId="096313FB" w14:textId="77777777" w:rsidR="00D137A3" w:rsidRDefault="00D137A3" w:rsidP="00712F86">
            <w:pPr>
              <w:pStyle w:val="TableText0"/>
              <w:keepLines/>
              <w:jc w:val="center"/>
            </w:pPr>
            <w:r w:rsidRPr="007A7BC3">
              <w:t>15 (17.6)</w:t>
            </w:r>
          </w:p>
        </w:tc>
        <w:tc>
          <w:tcPr>
            <w:tcW w:w="1405" w:type="dxa"/>
            <w:tcBorders>
              <w:top w:val="single" w:sz="4" w:space="0" w:color="auto"/>
              <w:bottom w:val="nil"/>
            </w:tcBorders>
          </w:tcPr>
          <w:p w14:paraId="3902485E" w14:textId="77777777" w:rsidR="00D137A3" w:rsidRDefault="00D137A3" w:rsidP="00712F86">
            <w:pPr>
              <w:pStyle w:val="TableText0"/>
              <w:keepLines/>
              <w:jc w:val="center"/>
            </w:pPr>
            <w:r w:rsidRPr="007A7BC3">
              <w:t>3 (27.3)</w:t>
            </w:r>
          </w:p>
        </w:tc>
        <w:tc>
          <w:tcPr>
            <w:tcW w:w="1405" w:type="dxa"/>
            <w:tcBorders>
              <w:top w:val="single" w:sz="4" w:space="0" w:color="auto"/>
              <w:bottom w:val="nil"/>
            </w:tcBorders>
          </w:tcPr>
          <w:p w14:paraId="279F233B" w14:textId="77777777" w:rsidR="00D137A3" w:rsidRDefault="00D137A3" w:rsidP="00712F86">
            <w:pPr>
              <w:pStyle w:val="TableText0"/>
              <w:keepLines/>
              <w:jc w:val="center"/>
            </w:pPr>
            <w:r w:rsidRPr="007A7BC3">
              <w:t>5 (31.3)</w:t>
            </w:r>
          </w:p>
        </w:tc>
      </w:tr>
      <w:tr w:rsidR="00D137A3" w14:paraId="1F59F485" w14:textId="77777777" w:rsidTr="00D137A3">
        <w:trPr>
          <w:cantSplit/>
        </w:trPr>
        <w:tc>
          <w:tcPr>
            <w:tcW w:w="3397" w:type="dxa"/>
            <w:tcBorders>
              <w:top w:val="nil"/>
              <w:bottom w:val="nil"/>
            </w:tcBorders>
          </w:tcPr>
          <w:p w14:paraId="5A79371E" w14:textId="77777777" w:rsidR="00D137A3" w:rsidRPr="007A7BC3" w:rsidRDefault="00D137A3" w:rsidP="00712F86">
            <w:pPr>
              <w:pStyle w:val="TableText0"/>
              <w:keepLines/>
              <w:ind w:left="107"/>
            </w:pPr>
            <w:r w:rsidRPr="007A7BC3">
              <w:t>ALT increased</w:t>
            </w:r>
          </w:p>
        </w:tc>
        <w:tc>
          <w:tcPr>
            <w:tcW w:w="1405" w:type="dxa"/>
            <w:tcBorders>
              <w:top w:val="nil"/>
              <w:bottom w:val="nil"/>
            </w:tcBorders>
          </w:tcPr>
          <w:p w14:paraId="774459F4" w14:textId="77777777" w:rsidR="00D137A3" w:rsidRDefault="00D137A3" w:rsidP="00712F86">
            <w:pPr>
              <w:pStyle w:val="TableText0"/>
              <w:keepLines/>
              <w:jc w:val="center"/>
            </w:pPr>
            <w:r w:rsidRPr="007A7BC3">
              <w:t>5 (12.2)</w:t>
            </w:r>
          </w:p>
        </w:tc>
        <w:tc>
          <w:tcPr>
            <w:tcW w:w="1405" w:type="dxa"/>
            <w:tcBorders>
              <w:top w:val="nil"/>
              <w:bottom w:val="nil"/>
            </w:tcBorders>
          </w:tcPr>
          <w:p w14:paraId="143BE09A" w14:textId="77777777" w:rsidR="00D137A3" w:rsidRDefault="00D137A3" w:rsidP="00712F86">
            <w:pPr>
              <w:pStyle w:val="TableText0"/>
              <w:keepLines/>
              <w:jc w:val="center"/>
            </w:pPr>
            <w:r w:rsidRPr="007A7BC3">
              <w:t>8 (9.4)</w:t>
            </w:r>
          </w:p>
        </w:tc>
        <w:tc>
          <w:tcPr>
            <w:tcW w:w="1405" w:type="dxa"/>
            <w:tcBorders>
              <w:top w:val="nil"/>
              <w:bottom w:val="nil"/>
            </w:tcBorders>
          </w:tcPr>
          <w:p w14:paraId="58242A44" w14:textId="77777777" w:rsidR="00D137A3" w:rsidRDefault="00D137A3" w:rsidP="00712F86">
            <w:pPr>
              <w:pStyle w:val="TableText0"/>
              <w:keepLines/>
              <w:jc w:val="center"/>
            </w:pPr>
            <w:r w:rsidRPr="007A7BC3">
              <w:t>0</w:t>
            </w:r>
          </w:p>
        </w:tc>
        <w:tc>
          <w:tcPr>
            <w:tcW w:w="1405" w:type="dxa"/>
            <w:tcBorders>
              <w:top w:val="nil"/>
              <w:bottom w:val="nil"/>
            </w:tcBorders>
          </w:tcPr>
          <w:p w14:paraId="7E7666FD" w14:textId="77777777" w:rsidR="00D137A3" w:rsidRDefault="00D137A3" w:rsidP="00712F86">
            <w:pPr>
              <w:pStyle w:val="TableText0"/>
              <w:keepLines/>
              <w:jc w:val="center"/>
            </w:pPr>
            <w:r w:rsidRPr="007A7BC3">
              <w:t>0</w:t>
            </w:r>
          </w:p>
        </w:tc>
      </w:tr>
      <w:tr w:rsidR="00D137A3" w14:paraId="0CC70EA6" w14:textId="77777777" w:rsidTr="00D137A3">
        <w:trPr>
          <w:cantSplit/>
        </w:trPr>
        <w:tc>
          <w:tcPr>
            <w:tcW w:w="3397" w:type="dxa"/>
            <w:tcBorders>
              <w:top w:val="nil"/>
              <w:bottom w:val="single" w:sz="4" w:space="0" w:color="auto"/>
            </w:tcBorders>
          </w:tcPr>
          <w:p w14:paraId="5906487D" w14:textId="77777777" w:rsidR="00D137A3" w:rsidRPr="007A7BC3" w:rsidRDefault="00D137A3" w:rsidP="00712F86">
            <w:pPr>
              <w:pStyle w:val="TableText0"/>
              <w:keepLines/>
              <w:ind w:left="107"/>
            </w:pPr>
            <w:r w:rsidRPr="007A7BC3">
              <w:t>Neutrophil count decreased</w:t>
            </w:r>
          </w:p>
        </w:tc>
        <w:tc>
          <w:tcPr>
            <w:tcW w:w="1405" w:type="dxa"/>
            <w:tcBorders>
              <w:top w:val="nil"/>
              <w:bottom w:val="single" w:sz="4" w:space="0" w:color="auto"/>
            </w:tcBorders>
          </w:tcPr>
          <w:p w14:paraId="6117C9C3" w14:textId="77777777" w:rsidR="00D137A3" w:rsidRDefault="00D137A3" w:rsidP="00712F86">
            <w:pPr>
              <w:pStyle w:val="TableText0"/>
              <w:keepLines/>
              <w:jc w:val="center"/>
            </w:pPr>
            <w:r w:rsidRPr="007A7BC3">
              <w:t>4 (9.8)</w:t>
            </w:r>
          </w:p>
        </w:tc>
        <w:tc>
          <w:tcPr>
            <w:tcW w:w="1405" w:type="dxa"/>
            <w:tcBorders>
              <w:top w:val="nil"/>
              <w:bottom w:val="single" w:sz="4" w:space="0" w:color="auto"/>
            </w:tcBorders>
          </w:tcPr>
          <w:p w14:paraId="68A41C52" w14:textId="77777777" w:rsidR="00D137A3" w:rsidRDefault="00D137A3" w:rsidP="00712F86">
            <w:pPr>
              <w:pStyle w:val="TableText0"/>
              <w:keepLines/>
              <w:jc w:val="center"/>
            </w:pPr>
            <w:r w:rsidRPr="007A7BC3">
              <w:t>8 (9.4)</w:t>
            </w:r>
          </w:p>
        </w:tc>
        <w:tc>
          <w:tcPr>
            <w:tcW w:w="1405" w:type="dxa"/>
            <w:tcBorders>
              <w:top w:val="nil"/>
              <w:bottom w:val="single" w:sz="4" w:space="0" w:color="auto"/>
            </w:tcBorders>
          </w:tcPr>
          <w:p w14:paraId="7ADF77DC" w14:textId="77777777" w:rsidR="00D137A3" w:rsidRDefault="00D137A3" w:rsidP="00712F86">
            <w:pPr>
              <w:pStyle w:val="TableText0"/>
              <w:keepLines/>
              <w:jc w:val="center"/>
            </w:pPr>
            <w:r w:rsidRPr="007A7BC3">
              <w:t>1 (9.1)</w:t>
            </w:r>
          </w:p>
        </w:tc>
        <w:tc>
          <w:tcPr>
            <w:tcW w:w="1405" w:type="dxa"/>
            <w:tcBorders>
              <w:top w:val="nil"/>
              <w:bottom w:val="single" w:sz="4" w:space="0" w:color="auto"/>
            </w:tcBorders>
          </w:tcPr>
          <w:p w14:paraId="6A063FB6" w14:textId="77777777" w:rsidR="00D137A3" w:rsidRDefault="00D137A3" w:rsidP="00712F86">
            <w:pPr>
              <w:pStyle w:val="TableText0"/>
              <w:keepLines/>
              <w:jc w:val="center"/>
            </w:pPr>
            <w:r w:rsidRPr="007A7BC3">
              <w:t>2 (12.5)</w:t>
            </w:r>
          </w:p>
        </w:tc>
      </w:tr>
      <w:tr w:rsidR="00D137A3" w14:paraId="639A5A36" w14:textId="77777777" w:rsidTr="00D137A3">
        <w:trPr>
          <w:cantSplit/>
        </w:trPr>
        <w:tc>
          <w:tcPr>
            <w:tcW w:w="3397" w:type="dxa"/>
            <w:tcBorders>
              <w:top w:val="single" w:sz="4" w:space="0" w:color="auto"/>
              <w:bottom w:val="nil"/>
            </w:tcBorders>
          </w:tcPr>
          <w:p w14:paraId="4B89AE80" w14:textId="77777777" w:rsidR="00D137A3" w:rsidRPr="007A7BC3" w:rsidRDefault="00D137A3" w:rsidP="00712F86">
            <w:pPr>
              <w:pStyle w:val="TableText0"/>
              <w:keepLines/>
            </w:pPr>
            <w:r w:rsidRPr="007A7BC3">
              <w:t>General disorders, administration site</w:t>
            </w:r>
          </w:p>
        </w:tc>
        <w:tc>
          <w:tcPr>
            <w:tcW w:w="1405" w:type="dxa"/>
            <w:tcBorders>
              <w:top w:val="single" w:sz="4" w:space="0" w:color="auto"/>
              <w:bottom w:val="nil"/>
            </w:tcBorders>
          </w:tcPr>
          <w:p w14:paraId="7BF8472D" w14:textId="77777777" w:rsidR="00D137A3" w:rsidRDefault="00D137A3" w:rsidP="00712F86">
            <w:pPr>
              <w:pStyle w:val="TableText0"/>
              <w:keepLines/>
              <w:jc w:val="center"/>
            </w:pPr>
            <w:r w:rsidRPr="007A7BC3">
              <w:t>9 (22.0)</w:t>
            </w:r>
          </w:p>
        </w:tc>
        <w:tc>
          <w:tcPr>
            <w:tcW w:w="1405" w:type="dxa"/>
            <w:tcBorders>
              <w:top w:val="single" w:sz="4" w:space="0" w:color="auto"/>
              <w:bottom w:val="nil"/>
            </w:tcBorders>
          </w:tcPr>
          <w:p w14:paraId="7ECF9203" w14:textId="77777777" w:rsidR="00D137A3" w:rsidRDefault="00D137A3" w:rsidP="00712F86">
            <w:pPr>
              <w:pStyle w:val="TableText0"/>
              <w:keepLines/>
              <w:jc w:val="center"/>
            </w:pPr>
            <w:r w:rsidRPr="007A7BC3">
              <w:t>12 (14.1)</w:t>
            </w:r>
          </w:p>
        </w:tc>
        <w:tc>
          <w:tcPr>
            <w:tcW w:w="1405" w:type="dxa"/>
            <w:tcBorders>
              <w:top w:val="single" w:sz="4" w:space="0" w:color="auto"/>
              <w:bottom w:val="nil"/>
            </w:tcBorders>
          </w:tcPr>
          <w:p w14:paraId="7C218947" w14:textId="77777777" w:rsidR="00D137A3" w:rsidRDefault="00D137A3" w:rsidP="00712F86">
            <w:pPr>
              <w:pStyle w:val="TableText0"/>
              <w:keepLines/>
              <w:jc w:val="center"/>
            </w:pPr>
            <w:r w:rsidRPr="007A7BC3">
              <w:t>4 (36.4)</w:t>
            </w:r>
          </w:p>
        </w:tc>
        <w:tc>
          <w:tcPr>
            <w:tcW w:w="1405" w:type="dxa"/>
            <w:tcBorders>
              <w:top w:val="single" w:sz="4" w:space="0" w:color="auto"/>
              <w:bottom w:val="nil"/>
            </w:tcBorders>
          </w:tcPr>
          <w:p w14:paraId="2D9C634D" w14:textId="77777777" w:rsidR="00D137A3" w:rsidRDefault="00D137A3" w:rsidP="00712F86">
            <w:pPr>
              <w:pStyle w:val="TableText0"/>
              <w:keepLines/>
              <w:jc w:val="center"/>
            </w:pPr>
            <w:r w:rsidRPr="007A7BC3">
              <w:t>4 (25.0)</w:t>
            </w:r>
          </w:p>
        </w:tc>
      </w:tr>
      <w:tr w:rsidR="00D137A3" w14:paraId="6518E552" w14:textId="77777777" w:rsidTr="00D137A3">
        <w:trPr>
          <w:cantSplit/>
        </w:trPr>
        <w:tc>
          <w:tcPr>
            <w:tcW w:w="3397" w:type="dxa"/>
            <w:tcBorders>
              <w:top w:val="nil"/>
              <w:bottom w:val="single" w:sz="4" w:space="0" w:color="auto"/>
            </w:tcBorders>
          </w:tcPr>
          <w:p w14:paraId="3383B045" w14:textId="77777777" w:rsidR="00D137A3" w:rsidRPr="007A7BC3" w:rsidRDefault="00D137A3" w:rsidP="00712F86">
            <w:pPr>
              <w:pStyle w:val="TableText0"/>
              <w:keepLines/>
              <w:ind w:left="107"/>
            </w:pPr>
            <w:r w:rsidRPr="007A7BC3">
              <w:t>Pyrexia</w:t>
            </w:r>
          </w:p>
        </w:tc>
        <w:tc>
          <w:tcPr>
            <w:tcW w:w="1405" w:type="dxa"/>
            <w:tcBorders>
              <w:top w:val="nil"/>
              <w:bottom w:val="single" w:sz="4" w:space="0" w:color="auto"/>
            </w:tcBorders>
          </w:tcPr>
          <w:p w14:paraId="5E0E1B0F" w14:textId="77777777" w:rsidR="00D137A3" w:rsidRDefault="00D137A3" w:rsidP="00712F86">
            <w:pPr>
              <w:pStyle w:val="TableText0"/>
              <w:keepLines/>
              <w:jc w:val="center"/>
            </w:pPr>
            <w:r w:rsidRPr="007A7BC3">
              <w:t>6 (14.6)</w:t>
            </w:r>
          </w:p>
        </w:tc>
        <w:tc>
          <w:tcPr>
            <w:tcW w:w="1405" w:type="dxa"/>
            <w:tcBorders>
              <w:top w:val="nil"/>
              <w:bottom w:val="single" w:sz="4" w:space="0" w:color="auto"/>
            </w:tcBorders>
          </w:tcPr>
          <w:p w14:paraId="5E31000A" w14:textId="77777777" w:rsidR="00D137A3" w:rsidRDefault="00D137A3" w:rsidP="00712F86">
            <w:pPr>
              <w:pStyle w:val="TableText0"/>
              <w:keepLines/>
              <w:jc w:val="center"/>
            </w:pPr>
            <w:r w:rsidRPr="007A7BC3">
              <w:t>9 (10.6)</w:t>
            </w:r>
          </w:p>
        </w:tc>
        <w:tc>
          <w:tcPr>
            <w:tcW w:w="1405" w:type="dxa"/>
            <w:tcBorders>
              <w:top w:val="nil"/>
              <w:bottom w:val="single" w:sz="4" w:space="0" w:color="auto"/>
            </w:tcBorders>
          </w:tcPr>
          <w:p w14:paraId="18DB6790" w14:textId="77777777" w:rsidR="00D137A3" w:rsidRDefault="00D137A3" w:rsidP="00712F86">
            <w:pPr>
              <w:pStyle w:val="TableText0"/>
              <w:keepLines/>
              <w:jc w:val="center"/>
            </w:pPr>
            <w:r w:rsidRPr="007A7BC3">
              <w:t>4 (36.4)</w:t>
            </w:r>
          </w:p>
        </w:tc>
        <w:tc>
          <w:tcPr>
            <w:tcW w:w="1405" w:type="dxa"/>
            <w:tcBorders>
              <w:top w:val="nil"/>
              <w:bottom w:val="single" w:sz="4" w:space="0" w:color="auto"/>
            </w:tcBorders>
          </w:tcPr>
          <w:p w14:paraId="3420B051" w14:textId="77777777" w:rsidR="00D137A3" w:rsidRDefault="00D137A3" w:rsidP="00712F86">
            <w:pPr>
              <w:pStyle w:val="TableText0"/>
              <w:keepLines/>
              <w:jc w:val="center"/>
            </w:pPr>
            <w:r w:rsidRPr="007A7BC3">
              <w:t>4 (25.0)</w:t>
            </w:r>
          </w:p>
        </w:tc>
      </w:tr>
      <w:tr w:rsidR="00D137A3" w14:paraId="49C5E383" w14:textId="77777777" w:rsidTr="00D137A3">
        <w:trPr>
          <w:cantSplit/>
        </w:trPr>
        <w:tc>
          <w:tcPr>
            <w:tcW w:w="3397" w:type="dxa"/>
            <w:tcBorders>
              <w:top w:val="single" w:sz="4" w:space="0" w:color="auto"/>
              <w:bottom w:val="nil"/>
            </w:tcBorders>
          </w:tcPr>
          <w:p w14:paraId="07226916" w14:textId="77777777" w:rsidR="00D137A3" w:rsidRPr="007A7BC3" w:rsidRDefault="00D137A3" w:rsidP="00712F86">
            <w:pPr>
              <w:pStyle w:val="TableText0"/>
              <w:keepLines/>
            </w:pPr>
            <w:r w:rsidRPr="007A7BC3">
              <w:t>Musculoskeletal, connective tissue disorders</w:t>
            </w:r>
          </w:p>
        </w:tc>
        <w:tc>
          <w:tcPr>
            <w:tcW w:w="1405" w:type="dxa"/>
            <w:tcBorders>
              <w:top w:val="single" w:sz="4" w:space="0" w:color="auto"/>
              <w:bottom w:val="nil"/>
            </w:tcBorders>
          </w:tcPr>
          <w:p w14:paraId="4E2632DB" w14:textId="77777777" w:rsidR="00D137A3" w:rsidRDefault="00D137A3" w:rsidP="00712F86">
            <w:pPr>
              <w:pStyle w:val="TableText0"/>
              <w:keepLines/>
              <w:jc w:val="center"/>
            </w:pPr>
            <w:r w:rsidRPr="007A7BC3">
              <w:t>4 (9.8)</w:t>
            </w:r>
          </w:p>
        </w:tc>
        <w:tc>
          <w:tcPr>
            <w:tcW w:w="1405" w:type="dxa"/>
            <w:tcBorders>
              <w:top w:val="single" w:sz="4" w:space="0" w:color="auto"/>
              <w:bottom w:val="nil"/>
            </w:tcBorders>
          </w:tcPr>
          <w:p w14:paraId="2A79C870" w14:textId="77777777" w:rsidR="00D137A3" w:rsidRDefault="00D137A3" w:rsidP="00712F86">
            <w:pPr>
              <w:pStyle w:val="TableText0"/>
              <w:keepLines/>
              <w:jc w:val="center"/>
            </w:pPr>
            <w:r w:rsidRPr="007A7BC3">
              <w:t>5 (5.9)</w:t>
            </w:r>
          </w:p>
        </w:tc>
        <w:tc>
          <w:tcPr>
            <w:tcW w:w="1405" w:type="dxa"/>
            <w:tcBorders>
              <w:top w:val="single" w:sz="4" w:space="0" w:color="auto"/>
              <w:bottom w:val="nil"/>
            </w:tcBorders>
          </w:tcPr>
          <w:p w14:paraId="1D0B321A" w14:textId="77777777" w:rsidR="00D137A3" w:rsidRDefault="00D137A3" w:rsidP="00712F86">
            <w:pPr>
              <w:pStyle w:val="TableText0"/>
              <w:keepLines/>
              <w:jc w:val="center"/>
            </w:pPr>
            <w:r w:rsidRPr="007A7BC3">
              <w:t>1 (9.1)</w:t>
            </w:r>
          </w:p>
        </w:tc>
        <w:tc>
          <w:tcPr>
            <w:tcW w:w="1405" w:type="dxa"/>
            <w:tcBorders>
              <w:top w:val="single" w:sz="4" w:space="0" w:color="auto"/>
              <w:bottom w:val="nil"/>
            </w:tcBorders>
          </w:tcPr>
          <w:p w14:paraId="518DD8E0" w14:textId="77777777" w:rsidR="00D137A3" w:rsidRDefault="00D137A3" w:rsidP="00712F86">
            <w:pPr>
              <w:pStyle w:val="TableText0"/>
              <w:keepLines/>
              <w:jc w:val="center"/>
            </w:pPr>
            <w:r w:rsidRPr="007A7BC3">
              <w:t>3 (18.8)</w:t>
            </w:r>
          </w:p>
        </w:tc>
      </w:tr>
      <w:tr w:rsidR="00D137A3" w14:paraId="74A8E93B" w14:textId="77777777" w:rsidTr="00C507B2">
        <w:trPr>
          <w:cantSplit/>
          <w:trHeight w:val="245"/>
        </w:trPr>
        <w:tc>
          <w:tcPr>
            <w:tcW w:w="3397" w:type="dxa"/>
            <w:tcBorders>
              <w:top w:val="nil"/>
            </w:tcBorders>
          </w:tcPr>
          <w:p w14:paraId="47B60623" w14:textId="77777777" w:rsidR="00D137A3" w:rsidRPr="007A7BC3" w:rsidRDefault="00D137A3" w:rsidP="00712F86">
            <w:pPr>
              <w:pStyle w:val="TableText0"/>
              <w:keepLines/>
              <w:ind w:left="107"/>
            </w:pPr>
            <w:r w:rsidRPr="007A7BC3">
              <w:t>Pain in extremity</w:t>
            </w:r>
          </w:p>
        </w:tc>
        <w:tc>
          <w:tcPr>
            <w:tcW w:w="1405" w:type="dxa"/>
            <w:tcBorders>
              <w:top w:val="nil"/>
            </w:tcBorders>
          </w:tcPr>
          <w:p w14:paraId="2D16359F" w14:textId="77777777" w:rsidR="00D137A3" w:rsidRDefault="00D137A3" w:rsidP="00712F86">
            <w:pPr>
              <w:pStyle w:val="TableText0"/>
              <w:keepLines/>
              <w:jc w:val="center"/>
            </w:pPr>
            <w:r w:rsidRPr="007A7BC3">
              <w:t>3 (7.3)</w:t>
            </w:r>
          </w:p>
        </w:tc>
        <w:tc>
          <w:tcPr>
            <w:tcW w:w="1405" w:type="dxa"/>
            <w:tcBorders>
              <w:top w:val="nil"/>
            </w:tcBorders>
          </w:tcPr>
          <w:p w14:paraId="4813E47C" w14:textId="77777777" w:rsidR="00D137A3" w:rsidRDefault="00D137A3" w:rsidP="00712F86">
            <w:pPr>
              <w:pStyle w:val="TableText0"/>
              <w:keepLines/>
              <w:jc w:val="center"/>
            </w:pPr>
            <w:r w:rsidRPr="007A7BC3">
              <w:t>4 (4.7)</w:t>
            </w:r>
          </w:p>
        </w:tc>
        <w:tc>
          <w:tcPr>
            <w:tcW w:w="1405" w:type="dxa"/>
            <w:tcBorders>
              <w:top w:val="nil"/>
            </w:tcBorders>
          </w:tcPr>
          <w:p w14:paraId="3E314D14" w14:textId="77777777" w:rsidR="00D137A3" w:rsidRDefault="00D137A3" w:rsidP="00712F86">
            <w:pPr>
              <w:pStyle w:val="TableText0"/>
              <w:keepLines/>
              <w:jc w:val="center"/>
            </w:pPr>
            <w:r w:rsidRPr="007A7BC3">
              <w:t>1 (9.1)</w:t>
            </w:r>
          </w:p>
        </w:tc>
        <w:tc>
          <w:tcPr>
            <w:tcW w:w="1405" w:type="dxa"/>
            <w:tcBorders>
              <w:top w:val="nil"/>
            </w:tcBorders>
          </w:tcPr>
          <w:p w14:paraId="0466BE8D" w14:textId="77777777" w:rsidR="00D137A3" w:rsidRDefault="00D137A3" w:rsidP="00712F86">
            <w:pPr>
              <w:pStyle w:val="TableText0"/>
              <w:keepLines/>
              <w:jc w:val="center"/>
            </w:pPr>
            <w:r w:rsidRPr="007A7BC3">
              <w:t>3 (18.8)</w:t>
            </w:r>
          </w:p>
        </w:tc>
      </w:tr>
    </w:tbl>
    <w:p w14:paraId="0F087D9D" w14:textId="77777777" w:rsidR="00D137A3" w:rsidRPr="00B1011F" w:rsidRDefault="00D137A3" w:rsidP="00712F86">
      <w:pPr>
        <w:pStyle w:val="FooterTableFigure"/>
        <w:keepNext/>
        <w:keepLines/>
        <w:rPr>
          <w:sz w:val="20"/>
        </w:rPr>
      </w:pPr>
      <w:r>
        <w:t>Source: Tables 2.34 and 2.38, p126 and p131 of the submission.</w:t>
      </w:r>
    </w:p>
    <w:p w14:paraId="53C7A934" w14:textId="77777777" w:rsidR="00D137A3" w:rsidRDefault="00D137A3" w:rsidP="00FF1008">
      <w:pPr>
        <w:pStyle w:val="FooterTableFigure"/>
        <w:keepLines/>
        <w:rPr>
          <w:rFonts w:eastAsia="Calibri"/>
        </w:rPr>
      </w:pPr>
      <w:r>
        <w:rPr>
          <w:rFonts w:eastAsia="Calibri"/>
        </w:rPr>
        <w:t xml:space="preserve">AE=adverse event; </w:t>
      </w:r>
      <w:r w:rsidRPr="00111ED4">
        <w:rPr>
          <w:rFonts w:eastAsia="Calibri"/>
        </w:rPr>
        <w:t>ALT=alanine aminotransferase;</w:t>
      </w:r>
      <w:r>
        <w:rPr>
          <w:rFonts w:eastAsia="Calibri"/>
        </w:rPr>
        <w:t xml:space="preserve"> </w:t>
      </w:r>
      <w:r w:rsidRPr="00B40358">
        <w:rPr>
          <w:rFonts w:eastAsia="Calibri"/>
        </w:rPr>
        <w:t>n = number of participants reporting data; N = total participants in group</w:t>
      </w:r>
      <w:r>
        <w:rPr>
          <w:rFonts w:eastAsia="Calibri"/>
        </w:rPr>
        <w:t>; SAE=serious adverse event</w:t>
      </w:r>
    </w:p>
    <w:p w14:paraId="2DB3206F" w14:textId="47CFE2A7" w:rsidR="00D137A3" w:rsidRDefault="005C440D" w:rsidP="00D137A3">
      <w:pPr>
        <w:pStyle w:val="3-BodyText"/>
        <w:rPr>
          <w:rFonts w:eastAsia="Calibri"/>
        </w:rPr>
      </w:pPr>
      <w:r>
        <w:rPr>
          <w:rFonts w:eastAsia="Calibri"/>
        </w:rPr>
        <w:t>A</w:t>
      </w:r>
      <w:r w:rsidR="00D137A3" w:rsidRPr="76B6F9DD">
        <w:rPr>
          <w:rFonts w:eastAsia="Calibri"/>
        </w:rPr>
        <w:t xml:space="preserve"> total of </w:t>
      </w:r>
      <w:r w:rsidR="00D137A3" w:rsidRPr="000C3C9D">
        <w:rPr>
          <w:rFonts w:eastAsia="Calibri"/>
        </w:rPr>
        <w:t>77 patients (76.2%) reported an AE and the majority of AEs were Grade 2 or</w:t>
      </w:r>
      <w:r w:rsidR="004E0606" w:rsidRPr="000C3C9D">
        <w:rPr>
          <w:rFonts w:eastAsia="Calibri"/>
        </w:rPr>
        <w:t> </w:t>
      </w:r>
      <w:r w:rsidR="00D137A3" w:rsidRPr="000C3C9D">
        <w:rPr>
          <w:rFonts w:eastAsia="Calibri"/>
        </w:rPr>
        <w:t xml:space="preserve">3. Few patients experienced a serious adverse event (SAE) (10.9%), AEs leading to dose modification (6.9%) </w:t>
      </w:r>
      <w:r w:rsidR="00D137A3" w:rsidRPr="76B6F9DD">
        <w:rPr>
          <w:rFonts w:eastAsia="Calibri"/>
        </w:rPr>
        <w:t>or AEs leading to dose interruption / discontinuation (10.9%). No deaths occurred as a result of a reported AE. The most commonly reported AEs were otitis media, sinusitis, pneumonia, upper respiratory tract infection, conjunctivitis, diarrh</w:t>
      </w:r>
      <w:r w:rsidR="00BA2714" w:rsidRPr="76B6F9DD">
        <w:rPr>
          <w:rFonts w:eastAsia="Calibri"/>
        </w:rPr>
        <w:t>o</w:t>
      </w:r>
      <w:r w:rsidR="00D137A3" w:rsidRPr="76B6F9DD">
        <w:rPr>
          <w:rFonts w:eastAsia="Calibri"/>
        </w:rPr>
        <w:t>ea, vomiting, cough, allergic rhinitis, pyrexia, decreased neutrophils and increased alanine aminotransferase (ALT). Changes in hearing ability were also observed during Study 3b, but the incidence was low and events generally resolved with dose modification and/or temporary interruption.</w:t>
      </w:r>
    </w:p>
    <w:p w14:paraId="501116F1" w14:textId="31C40E74" w:rsidR="00963BEF" w:rsidRDefault="00963BEF" w:rsidP="00712F86">
      <w:pPr>
        <w:pStyle w:val="3-BodyText"/>
        <w:keepNext/>
        <w:keepLines/>
        <w:numPr>
          <w:ilvl w:val="0"/>
          <w:numId w:val="0"/>
        </w:numPr>
        <w:rPr>
          <w:rFonts w:eastAsia="Calibri"/>
        </w:rPr>
      </w:pPr>
      <w:r>
        <w:rPr>
          <w:b/>
          <w:bCs/>
        </w:rPr>
        <w:lastRenderedPageBreak/>
        <w:t>Study 3b and Study 14</w:t>
      </w:r>
    </w:p>
    <w:p w14:paraId="4BF0156B" w14:textId="67B3F140" w:rsidR="00D137A3" w:rsidRPr="00AA1240" w:rsidRDefault="00D137A3" w:rsidP="00712F86">
      <w:pPr>
        <w:pStyle w:val="3-BodyText"/>
        <w:keepNext/>
        <w:keepLines/>
        <w:rPr>
          <w:rFonts w:eastAsia="Calibri"/>
        </w:rPr>
      </w:pPr>
      <w:bookmarkStart w:id="45" w:name="_Ref190513907"/>
      <w:r w:rsidRPr="00AA1240">
        <w:t>Based on a pooled safety population from Study 3b and Study 14</w:t>
      </w:r>
      <w:r w:rsidR="007D6371" w:rsidRPr="00AA1240">
        <w:t xml:space="preserve"> (which was excluded from the analyses in the submission</w:t>
      </w:r>
      <w:r w:rsidR="006B0258">
        <w:t xml:space="preserve">, </w:t>
      </w:r>
      <w:r w:rsidR="006B0258" w:rsidRPr="00F66E28">
        <w:t xml:space="preserve">paragraph </w:t>
      </w:r>
      <w:r w:rsidR="006B0258" w:rsidRPr="00F66E28">
        <w:fldChar w:fldCharType="begin" w:fldLock="1"/>
      </w:r>
      <w:r w:rsidR="006B0258" w:rsidRPr="00F66E28">
        <w:instrText xml:space="preserve"> REF _Ref190513848 \r \h  \* MERGEFORMAT </w:instrText>
      </w:r>
      <w:r w:rsidR="006B0258" w:rsidRPr="00F66E28">
        <w:fldChar w:fldCharType="separate"/>
      </w:r>
      <w:r w:rsidR="00AF2AB7">
        <w:t>6.12</w:t>
      </w:r>
      <w:r w:rsidR="006B0258" w:rsidRPr="00F66E28">
        <w:fldChar w:fldCharType="end"/>
      </w:r>
      <w:r w:rsidR="007D6371" w:rsidRPr="00AA1240">
        <w:t>)</w:t>
      </w:r>
      <w:r w:rsidRPr="00AA1240">
        <w:t>, the FDA recommended the addition of warnings for monitoring for myelosuppression, hepatotoxicity and hearing loss to the label (Section 11, p366 CDER 2021</w:t>
      </w:r>
      <w:r w:rsidRPr="00AA1240">
        <w:rPr>
          <w:rStyle w:val="FootnoteReference"/>
        </w:rPr>
        <w:footnoteReference w:id="16"/>
      </w:r>
      <w:r w:rsidRPr="00AA1240">
        <w:t xml:space="preserve">). These have been included in the draft PI. The FDA determined that spontaneous post-marketing </w:t>
      </w:r>
      <w:r w:rsidR="00096CF2">
        <w:t>AE</w:t>
      </w:r>
      <w:r w:rsidRPr="00AA1240">
        <w:t xml:space="preserve"> reporting would not be adequate, and required the Sponsor to (i) conduct an integrated safety analysis of clinical trial data to assess and characterise the risk factors and sequelae of severe adverse reactions, with a final report due December 2027; and (ii) conduct a clinical pharmacokinetic trial to determine an appropriate dose of eflornithine to minimise the potential risks of increased drug toxicity in patients with renal impairment, with the final report due March 2026 (FDA 2023</w:t>
      </w:r>
      <w:r w:rsidRPr="00AA1240">
        <w:rPr>
          <w:rStyle w:val="FootnoteReference"/>
        </w:rPr>
        <w:footnoteReference w:id="17"/>
      </w:r>
      <w:r w:rsidRPr="00AA1240">
        <w:t>).</w:t>
      </w:r>
      <w:bookmarkEnd w:id="45"/>
    </w:p>
    <w:p w14:paraId="54729491" w14:textId="77777777" w:rsidR="00D137A3" w:rsidRPr="00C9624D" w:rsidRDefault="00D137A3" w:rsidP="0076723F">
      <w:pPr>
        <w:pStyle w:val="4-SubsectionHeading"/>
        <w:keepLines/>
      </w:pPr>
      <w:bookmarkStart w:id="46" w:name="_Toc22897643"/>
      <w:bookmarkStart w:id="47" w:name="_Toc107927629"/>
      <w:bookmarkStart w:id="48" w:name="_Toc188441769"/>
      <w:r w:rsidRPr="00C9624D">
        <w:t>Benefits/harms</w:t>
      </w:r>
      <w:bookmarkEnd w:id="46"/>
      <w:bookmarkEnd w:id="47"/>
      <w:bookmarkEnd w:id="48"/>
    </w:p>
    <w:p w14:paraId="25E0AA54" w14:textId="5C2C740B" w:rsidR="00D61F73" w:rsidRDefault="00D61F73" w:rsidP="00D61F73">
      <w:pPr>
        <w:pStyle w:val="3-BodyText"/>
        <w:keepNext/>
        <w:keepLines/>
        <w:numPr>
          <w:ilvl w:val="0"/>
          <w:numId w:val="0"/>
        </w:numPr>
        <w:spacing w:after="0"/>
        <w:ind w:left="720" w:hanging="720"/>
        <w:rPr>
          <w:b/>
          <w:bCs/>
        </w:rPr>
      </w:pPr>
      <w:r>
        <w:rPr>
          <w:b/>
          <w:bCs/>
        </w:rPr>
        <w:t>STRATUM 1 AND STRATUM 2 PATIENTS</w:t>
      </w:r>
    </w:p>
    <w:p w14:paraId="64D3AC8D" w14:textId="11FCAF60" w:rsidR="0076723F" w:rsidRPr="0076723F" w:rsidRDefault="0076723F" w:rsidP="0076723F">
      <w:pPr>
        <w:pStyle w:val="3-BodyText"/>
        <w:keepNext/>
        <w:keepLines/>
        <w:numPr>
          <w:ilvl w:val="0"/>
          <w:numId w:val="0"/>
        </w:numPr>
        <w:ind w:left="720" w:hanging="720"/>
      </w:pPr>
      <w:r>
        <w:rPr>
          <w:b/>
          <w:bCs/>
        </w:rPr>
        <w:t xml:space="preserve">Study 3b: </w:t>
      </w:r>
      <w:r w:rsidRPr="00493E06">
        <w:rPr>
          <w:b/>
          <w:bCs/>
        </w:rPr>
        <w:t>Eflornithine + SOC versus SOC (via unadjusted comparison to historical controls)</w:t>
      </w:r>
    </w:p>
    <w:p w14:paraId="0C3BADA9" w14:textId="3D7A9D11" w:rsidR="00C60670" w:rsidRPr="0076723F" w:rsidRDefault="00D137A3" w:rsidP="0076723F">
      <w:pPr>
        <w:pStyle w:val="3-BodyText"/>
        <w:keepNext/>
        <w:keepLines/>
      </w:pPr>
      <w:r w:rsidRPr="00D2155B">
        <w:rPr>
          <w:snapToGrid/>
          <w:lang w:val="en-US"/>
        </w:rPr>
        <w:t xml:space="preserve">The </w:t>
      </w:r>
      <w:r>
        <w:rPr>
          <w:snapToGrid/>
          <w:lang w:val="en-US"/>
        </w:rPr>
        <w:t xml:space="preserve">design of Study 3b </w:t>
      </w:r>
      <w:r w:rsidRPr="00D2155B">
        <w:rPr>
          <w:snapToGrid/>
          <w:lang w:val="en-US"/>
        </w:rPr>
        <w:t xml:space="preserve">did not allow for a quantitative comparison of the benefits and harms of </w:t>
      </w:r>
      <w:r>
        <w:rPr>
          <w:snapToGrid/>
          <w:lang w:val="en-US"/>
        </w:rPr>
        <w:t>eflornithine</w:t>
      </w:r>
      <w:r w:rsidRPr="00D2155B">
        <w:rPr>
          <w:snapToGrid/>
          <w:lang w:val="en-US"/>
        </w:rPr>
        <w:t xml:space="preserve"> </w:t>
      </w:r>
      <w:r>
        <w:rPr>
          <w:snapToGrid/>
          <w:lang w:val="en-US"/>
        </w:rPr>
        <w:t xml:space="preserve">plus </w:t>
      </w:r>
      <w:r w:rsidR="006D3A26">
        <w:rPr>
          <w:snapToGrid/>
          <w:lang w:val="en-US"/>
        </w:rPr>
        <w:t xml:space="preserve">SOC </w:t>
      </w:r>
      <w:r w:rsidR="009C2E5D">
        <w:rPr>
          <w:snapToGrid/>
          <w:lang w:val="en-US"/>
        </w:rPr>
        <w:t>versus</w:t>
      </w:r>
      <w:r w:rsidR="009C2E5D" w:rsidRPr="00D2155B">
        <w:rPr>
          <w:snapToGrid/>
          <w:lang w:val="en-US"/>
        </w:rPr>
        <w:t xml:space="preserve"> </w:t>
      </w:r>
      <w:r w:rsidR="006D3A26">
        <w:rPr>
          <w:snapToGrid/>
          <w:lang w:val="en-US"/>
        </w:rPr>
        <w:t>SOC</w:t>
      </w:r>
      <w:r w:rsidRPr="00D2155B">
        <w:rPr>
          <w:snapToGrid/>
          <w:lang w:val="en-US"/>
        </w:rPr>
        <w:t>. Accordingly, a benefits/harms table has not been presented.</w:t>
      </w:r>
      <w:r>
        <w:rPr>
          <w:snapToGrid/>
          <w:lang w:val="en-US"/>
        </w:rPr>
        <w:t xml:space="preserve"> </w:t>
      </w:r>
    </w:p>
    <w:p w14:paraId="518642D9" w14:textId="367AA97E" w:rsidR="00631E8A" w:rsidRDefault="00631E8A" w:rsidP="002608E0">
      <w:pPr>
        <w:pStyle w:val="3-BodyText"/>
        <w:keepNext/>
        <w:keepLines/>
        <w:numPr>
          <w:ilvl w:val="0"/>
          <w:numId w:val="0"/>
        </w:numPr>
        <w:spacing w:after="0"/>
        <w:rPr>
          <w:b/>
          <w:lang w:val="en-US"/>
        </w:rPr>
      </w:pPr>
      <w:r>
        <w:rPr>
          <w:b/>
          <w:lang w:val="en-US"/>
        </w:rPr>
        <w:t>STRATUM 1 PATIENTS</w:t>
      </w:r>
    </w:p>
    <w:p w14:paraId="335FF797" w14:textId="75877546" w:rsidR="0076723F" w:rsidRPr="00C60670" w:rsidRDefault="0076723F" w:rsidP="002608E0">
      <w:pPr>
        <w:pStyle w:val="3-BodyText"/>
        <w:keepNext/>
        <w:keepLines/>
        <w:numPr>
          <w:ilvl w:val="0"/>
          <w:numId w:val="0"/>
        </w:numPr>
      </w:pPr>
      <w:r>
        <w:rPr>
          <w:b/>
          <w:lang w:val="en-US"/>
        </w:rPr>
        <w:t>PSM study: Eflornithine + SOC versus SOC (via adjusted comparison to historical controls)</w:t>
      </w:r>
    </w:p>
    <w:p w14:paraId="4ABA71B1" w14:textId="70B7855C" w:rsidR="00D137A3" w:rsidRDefault="00D137A3" w:rsidP="002608E0">
      <w:pPr>
        <w:pStyle w:val="3-BodyText"/>
        <w:keepNext/>
        <w:keepLines/>
      </w:pPr>
      <w:r w:rsidRPr="00F03D84">
        <w:rPr>
          <w:snapToGrid/>
          <w:lang w:val="en-US"/>
        </w:rPr>
        <w:t xml:space="preserve">Based on the </w:t>
      </w:r>
      <w:r>
        <w:rPr>
          <w:snapToGrid/>
          <w:lang w:val="en-US"/>
        </w:rPr>
        <w:t xml:space="preserve">available </w:t>
      </w:r>
      <w:r w:rsidRPr="00F03D84">
        <w:rPr>
          <w:snapToGrid/>
          <w:lang w:val="en-US"/>
        </w:rPr>
        <w:t xml:space="preserve">results from the </w:t>
      </w:r>
      <w:r>
        <w:rPr>
          <w:snapToGrid/>
          <w:lang w:val="en-US"/>
        </w:rPr>
        <w:t xml:space="preserve">PSM study, for every 100 patients in remission after upfront therapy (Stratum 1) and treated with eflornithine </w:t>
      </w:r>
      <w:r w:rsidR="006837F5">
        <w:rPr>
          <w:snapToGrid/>
          <w:lang w:val="en-US"/>
        </w:rPr>
        <w:t xml:space="preserve">(for a period of up to 2 years) </w:t>
      </w:r>
      <w:r>
        <w:rPr>
          <w:snapToGrid/>
          <w:lang w:val="en-US"/>
        </w:rPr>
        <w:t xml:space="preserve">in comparison to </w:t>
      </w:r>
      <w:r w:rsidR="006D3A26">
        <w:rPr>
          <w:snapToGrid/>
          <w:lang w:val="en-US"/>
        </w:rPr>
        <w:t>SOC</w:t>
      </w:r>
      <w:r w:rsidR="00796843">
        <w:rPr>
          <w:snapToGrid/>
          <w:lang w:val="en-US"/>
        </w:rPr>
        <w:t>:</w:t>
      </w:r>
    </w:p>
    <w:p w14:paraId="6DA8662B" w14:textId="1A99C39B" w:rsidR="00D137A3" w:rsidRDefault="00D137A3" w:rsidP="002608E0">
      <w:pPr>
        <w:pStyle w:val="ListParagraph"/>
        <w:keepNext/>
        <w:keepLines/>
        <w:ind w:left="1134"/>
      </w:pPr>
      <w:r>
        <w:t>Approximately 1</w:t>
      </w:r>
      <w:r w:rsidR="007926E8">
        <w:t>2</w:t>
      </w:r>
      <w:r>
        <w:t xml:space="preserve"> more patients would remain event free (i.e. in remission) after </w:t>
      </w:r>
      <w:r w:rsidR="007926E8">
        <w:t xml:space="preserve">4 </w:t>
      </w:r>
      <w:r>
        <w:t>years;</w:t>
      </w:r>
    </w:p>
    <w:p w14:paraId="70647BC6" w14:textId="2A1BE073" w:rsidR="00D137A3" w:rsidRPr="00916697" w:rsidRDefault="00D137A3" w:rsidP="002608E0">
      <w:pPr>
        <w:pStyle w:val="ListParagraph"/>
        <w:keepNext/>
        <w:keepLines/>
        <w:ind w:left="1134"/>
      </w:pPr>
      <w:r w:rsidRPr="00916697">
        <w:t xml:space="preserve">Approximately </w:t>
      </w:r>
      <w:r w:rsidR="007926E8" w:rsidRPr="00916697">
        <w:t>1</w:t>
      </w:r>
      <w:r w:rsidR="007926E8">
        <w:t xml:space="preserve">1 </w:t>
      </w:r>
      <w:r w:rsidRPr="00916697">
        <w:t xml:space="preserve">more patients would remain alive after </w:t>
      </w:r>
      <w:r w:rsidR="007926E8">
        <w:t>4</w:t>
      </w:r>
      <w:r w:rsidRPr="00916697">
        <w:t xml:space="preserve"> years.</w:t>
      </w:r>
    </w:p>
    <w:p w14:paraId="59ED5A62" w14:textId="77777777" w:rsidR="00D137A3" w:rsidRPr="00C9624D" w:rsidRDefault="00D137A3" w:rsidP="00D137A3">
      <w:pPr>
        <w:pStyle w:val="4-SubsectionHeading"/>
      </w:pPr>
      <w:bookmarkStart w:id="49" w:name="_Toc22897644"/>
      <w:bookmarkStart w:id="50" w:name="_Toc107927630"/>
      <w:bookmarkStart w:id="51" w:name="_Toc188441770"/>
      <w:r w:rsidRPr="00C9624D">
        <w:t>Clinical claim</w:t>
      </w:r>
      <w:bookmarkEnd w:id="49"/>
      <w:bookmarkEnd w:id="50"/>
      <w:bookmarkEnd w:id="51"/>
    </w:p>
    <w:p w14:paraId="01B13A65" w14:textId="012BEC82" w:rsidR="00D137A3" w:rsidRPr="002B5156" w:rsidRDefault="00D137A3" w:rsidP="00D137A3">
      <w:pPr>
        <w:pStyle w:val="3-BodyText"/>
      </w:pPr>
      <w:r w:rsidRPr="002B5156">
        <w:t xml:space="preserve">The submission described eflornithine as superior in terms of effectiveness compared with </w:t>
      </w:r>
      <w:r w:rsidR="006D3A26" w:rsidRPr="002B5156">
        <w:t>S</w:t>
      </w:r>
      <w:r w:rsidR="006D3A26">
        <w:t>O</w:t>
      </w:r>
      <w:r w:rsidR="006D3A26" w:rsidRPr="002B5156">
        <w:t xml:space="preserve">C </w:t>
      </w:r>
      <w:r w:rsidRPr="002B5156">
        <w:t xml:space="preserve">and inferior but manageable in terms of safety compared to </w:t>
      </w:r>
      <w:r w:rsidR="006D3A26" w:rsidRPr="002B5156">
        <w:t>S</w:t>
      </w:r>
      <w:r w:rsidR="006D3A26">
        <w:t>O</w:t>
      </w:r>
      <w:r w:rsidR="006D3A26" w:rsidRPr="002B5156">
        <w:t>C</w:t>
      </w:r>
      <w:r w:rsidR="00486DF7">
        <w:t xml:space="preserve"> for both Stratum 1 and Stratum 2 patients</w:t>
      </w:r>
      <w:r w:rsidRPr="002B5156">
        <w:t>.</w:t>
      </w:r>
    </w:p>
    <w:p w14:paraId="0719F189" w14:textId="0599A059" w:rsidR="00D137A3" w:rsidRPr="00AA1240" w:rsidRDefault="00D137A3" w:rsidP="76B6F9DD">
      <w:pPr>
        <w:pStyle w:val="3-BodyText"/>
      </w:pPr>
      <w:r w:rsidRPr="00AA1240">
        <w:t>The</w:t>
      </w:r>
      <w:r w:rsidR="00802C54">
        <w:t xml:space="preserve"> </w:t>
      </w:r>
      <w:r w:rsidR="00802C54" w:rsidRPr="00DD5186">
        <w:t>evaluation and the ESC considered that the</w:t>
      </w:r>
      <w:r w:rsidRPr="00AA1240">
        <w:t xml:space="preserve"> clinical claim</w:t>
      </w:r>
      <w:r w:rsidR="002729A9" w:rsidRPr="00AA1240">
        <w:t xml:space="preserve"> </w:t>
      </w:r>
      <w:r w:rsidRPr="00AA1240">
        <w:t>of superior effectiveness was likely reasonable given the available evidence</w:t>
      </w:r>
      <w:r w:rsidR="001331CC">
        <w:t>.</w:t>
      </w:r>
      <w:r w:rsidRPr="00AA1240">
        <w:t xml:space="preserve"> </w:t>
      </w:r>
      <w:r w:rsidR="00C46D98" w:rsidRPr="00DD5186">
        <w:t>While the ESC noted that</w:t>
      </w:r>
      <w:r w:rsidR="00C46D98">
        <w:t xml:space="preserve"> </w:t>
      </w:r>
      <w:r w:rsidRPr="00AA1240">
        <w:t xml:space="preserve">the </w:t>
      </w:r>
      <w:r w:rsidRPr="00AA1240">
        <w:lastRenderedPageBreak/>
        <w:t>magnitude of the benefit was uncertain and the level of evidence varied by patient strata</w:t>
      </w:r>
      <w:r w:rsidR="00437825">
        <w:t xml:space="preserve">, </w:t>
      </w:r>
      <w:r w:rsidR="00437825" w:rsidRPr="00DD5186">
        <w:t>it acknowledged the difficulty of obtaining high quality clinical evidence in this patient group</w:t>
      </w:r>
      <w:r w:rsidR="00C63447">
        <w:rPr>
          <w:i/>
          <w:iCs/>
        </w:rPr>
        <w:t>.</w:t>
      </w:r>
    </w:p>
    <w:p w14:paraId="0953DB22" w14:textId="69A3A395" w:rsidR="00D137A3" w:rsidRPr="00AA1240" w:rsidRDefault="00D137A3" w:rsidP="002608E0">
      <w:pPr>
        <w:pStyle w:val="3-BodyText"/>
        <w:numPr>
          <w:ilvl w:val="0"/>
          <w:numId w:val="9"/>
        </w:numPr>
        <w:ind w:left="1134"/>
      </w:pPr>
      <w:r w:rsidRPr="00026DDE">
        <w:t>For Stratum 1 patients</w:t>
      </w:r>
      <w:r w:rsidR="00CF3CF6" w:rsidRPr="00026DDE">
        <w:t xml:space="preserve"> (</w:t>
      </w:r>
      <w:r w:rsidR="00921F7A" w:rsidRPr="00026DDE">
        <w:t>those</w:t>
      </w:r>
      <w:r w:rsidR="00CF3CF6" w:rsidRPr="00026DDE">
        <w:t xml:space="preserve"> in remission at the end of upfront therapy</w:t>
      </w:r>
      <w:r w:rsidR="00DD3174" w:rsidRPr="00026DDE">
        <w:t>)</w:t>
      </w:r>
      <w:r w:rsidRPr="00026DDE">
        <w:t xml:space="preserve">, </w:t>
      </w:r>
      <w:r w:rsidR="00175672" w:rsidRPr="00026DDE">
        <w:t xml:space="preserve">the results for </w:t>
      </w:r>
      <w:r w:rsidRPr="00026DDE">
        <w:t xml:space="preserve">Study 3b </w:t>
      </w:r>
      <w:r w:rsidR="000460DD" w:rsidRPr="00026DDE">
        <w:t xml:space="preserve">showed that </w:t>
      </w:r>
      <w:r w:rsidRPr="00026DDE">
        <w:t xml:space="preserve">patients treated with eflornithine had improved EFS and OS event rates at 24- and 48-months compared to unadjusted historical control data from Study ANBL0032. </w:t>
      </w:r>
      <w:r w:rsidR="001205EA" w:rsidRPr="00026DDE">
        <w:t>The ESC noted that t</w:t>
      </w:r>
      <w:r w:rsidRPr="00026DDE">
        <w:t>hese findings were supported by the PSM study, which</w:t>
      </w:r>
      <w:r w:rsidR="0070460A" w:rsidRPr="00026DDE">
        <w:t xml:space="preserve"> had</w:t>
      </w:r>
      <w:r w:rsidRPr="00026DDE">
        <w:t xml:space="preserve"> </w:t>
      </w:r>
      <w:r w:rsidR="00E83927" w:rsidRPr="00026DDE">
        <w:t>well-</w:t>
      </w:r>
      <w:r w:rsidRPr="00026DDE">
        <w:t>matched patients in Study 3b and Study ANBL0032 based on covariates from a similar index date. Although the HRs suggested a large treatment effect</w:t>
      </w:r>
      <w:r w:rsidR="00AF0971" w:rsidRPr="00026DDE">
        <w:t xml:space="preserve"> (</w:t>
      </w:r>
      <w:r w:rsidR="004A50A6" w:rsidRPr="00026DDE">
        <w:t xml:space="preserve">for the PSM study, </w:t>
      </w:r>
      <w:r w:rsidR="00BD6942" w:rsidRPr="00026DDE">
        <w:t xml:space="preserve">EFS HR 0.49 </w:t>
      </w:r>
      <w:r w:rsidR="006D5A6D" w:rsidRPr="00026DDE">
        <w:t>[</w:t>
      </w:r>
      <w:r w:rsidR="00B865A9" w:rsidRPr="00026DDE">
        <w:t>95%</w:t>
      </w:r>
      <w:r w:rsidR="008F2AF4" w:rsidRPr="00026DDE">
        <w:t xml:space="preserve">CI: </w:t>
      </w:r>
      <w:r w:rsidR="00BD6942" w:rsidRPr="00026DDE">
        <w:t>0.28, 0.86</w:t>
      </w:r>
      <w:r w:rsidR="006D5A6D" w:rsidRPr="00026DDE">
        <w:t>]</w:t>
      </w:r>
      <w:r w:rsidR="004A50A6" w:rsidRPr="00026DDE">
        <w:t xml:space="preserve">, and OS HR 0.33 </w:t>
      </w:r>
      <w:r w:rsidR="006D5A6D" w:rsidRPr="00026DDE">
        <w:t>[</w:t>
      </w:r>
      <w:r w:rsidR="00697B9C" w:rsidRPr="00026DDE">
        <w:t xml:space="preserve">95%CI: </w:t>
      </w:r>
      <w:r w:rsidR="004A50A6" w:rsidRPr="00026DDE">
        <w:t>0.16, 0.70</w:t>
      </w:r>
      <w:r w:rsidR="006D5A6D" w:rsidRPr="00026DDE">
        <w:t>]</w:t>
      </w:r>
      <w:r w:rsidR="004A50A6" w:rsidRPr="00026DDE">
        <w:t>)</w:t>
      </w:r>
      <w:r w:rsidRPr="00026DDE">
        <w:t>, the confidence intervals were relatively wide and moderately sensitive to the study assumptions. The potential impact of residual confounding further</w:t>
      </w:r>
      <w:r w:rsidRPr="00AA1240">
        <w:t xml:space="preserve"> adds some degree of uncertainty around magnitude of treatment effects.</w:t>
      </w:r>
    </w:p>
    <w:p w14:paraId="7F613CD1" w14:textId="7BC4CAF8" w:rsidR="005F7588" w:rsidRPr="00AA1240" w:rsidRDefault="00D137A3" w:rsidP="002608E0">
      <w:pPr>
        <w:pStyle w:val="3-BodyText"/>
        <w:numPr>
          <w:ilvl w:val="0"/>
          <w:numId w:val="9"/>
        </w:numPr>
        <w:ind w:left="1134"/>
        <w:rPr>
          <w:rFonts w:eastAsia="Calibri"/>
        </w:rPr>
      </w:pPr>
      <w:r w:rsidRPr="00AA1240">
        <w:t>For Stratum 2 patients</w:t>
      </w:r>
      <w:r w:rsidR="00652EA7">
        <w:t xml:space="preserve"> (</w:t>
      </w:r>
      <w:r w:rsidR="00921F7A">
        <w:t>those</w:t>
      </w:r>
      <w:r w:rsidR="00652EA7" w:rsidRPr="7F2A1B4F">
        <w:t xml:space="preserve"> in remission after any previous</w:t>
      </w:r>
      <w:r w:rsidR="00921F7A">
        <w:t xml:space="preserve"> therapy for</w:t>
      </w:r>
      <w:r w:rsidR="00652EA7" w:rsidRPr="7F2A1B4F">
        <w:t xml:space="preserve"> relapse</w:t>
      </w:r>
      <w:r w:rsidR="00921F7A">
        <w:t>d</w:t>
      </w:r>
      <w:r w:rsidR="00652EA7" w:rsidRPr="7F2A1B4F">
        <w:t xml:space="preserve"> or refractory </w:t>
      </w:r>
      <w:r w:rsidR="00921F7A">
        <w:t>disease</w:t>
      </w:r>
      <w:r w:rsidR="00652EA7">
        <w:t>)</w:t>
      </w:r>
      <w:r w:rsidRPr="00AA1240">
        <w:t xml:space="preserve">, </w:t>
      </w:r>
      <w:r w:rsidR="000460DD">
        <w:t xml:space="preserve">the results for </w:t>
      </w:r>
      <w:r w:rsidRPr="00AA1240">
        <w:t xml:space="preserve">Study 3b </w:t>
      </w:r>
      <w:r w:rsidR="000460DD">
        <w:t>showed that</w:t>
      </w:r>
      <w:r w:rsidR="000460DD" w:rsidRPr="00AA1240">
        <w:t xml:space="preserve"> </w:t>
      </w:r>
      <w:r w:rsidRPr="00AA1240">
        <w:t xml:space="preserve">patients treated with eflornithine had improved EFS event rates at 24- and 48-months compared to unadjusted historical control data from Santana 2008 (OS data was not presented). Although the results were promising given the poor prognosis of </w:t>
      </w:r>
      <w:r w:rsidR="006C441E">
        <w:t>relapsed/</w:t>
      </w:r>
      <w:r w:rsidRPr="00AA1240">
        <w:t>refractory patients and implied a very large incremental treatment effect, the</w:t>
      </w:r>
      <w:r w:rsidR="006C4BFE">
        <w:t xml:space="preserve"> </w:t>
      </w:r>
      <w:r w:rsidR="006C4BFE" w:rsidRPr="003C524F">
        <w:t>ESC noted that the</w:t>
      </w:r>
      <w:r w:rsidRPr="00AA1240">
        <w:t xml:space="preserve"> unadjusted comparison had a high risk of bias for a number of reasons (e.g. small sample size, lack of contemporary comparator, differences in outcome definition and index date, no assessment of differences in confounders).</w:t>
      </w:r>
    </w:p>
    <w:p w14:paraId="0349794E" w14:textId="520D8F6F" w:rsidR="002F343B" w:rsidRPr="002F343B" w:rsidRDefault="002F343B" w:rsidP="76B6F9DD">
      <w:pPr>
        <w:pStyle w:val="3-BodyText"/>
      </w:pPr>
      <w:r w:rsidRPr="002F343B">
        <w:rPr>
          <w:iCs/>
        </w:rPr>
        <w:t>The</w:t>
      </w:r>
      <w:r w:rsidRPr="002F343B">
        <w:rPr>
          <w:szCs w:val="20"/>
        </w:rPr>
        <w:t xml:space="preserve"> PBAC considered that the claim of superior comparative effectiveness over SOC was reasonable for Stratum 1 patients, based on the </w:t>
      </w:r>
      <w:r w:rsidR="00EA5AE5">
        <w:rPr>
          <w:szCs w:val="20"/>
        </w:rPr>
        <w:t>Study 3b and</w:t>
      </w:r>
      <w:r w:rsidRPr="002F343B">
        <w:rPr>
          <w:szCs w:val="20"/>
        </w:rPr>
        <w:t xml:space="preserve"> PSM results</w:t>
      </w:r>
      <w:r w:rsidR="00944852">
        <w:rPr>
          <w:szCs w:val="20"/>
        </w:rPr>
        <w:t xml:space="preserve"> for</w:t>
      </w:r>
      <w:r w:rsidRPr="002F343B">
        <w:rPr>
          <w:szCs w:val="20"/>
        </w:rPr>
        <w:t xml:space="preserve"> EFS and OS, but uncertain for Stratum 2 patients, due to the unmatched clinical comparison with a high risk of bias.</w:t>
      </w:r>
    </w:p>
    <w:p w14:paraId="18AC7881" w14:textId="5B3F9A56" w:rsidR="00E16C1E" w:rsidRPr="002F343B" w:rsidRDefault="00AE5815" w:rsidP="002F343B">
      <w:pPr>
        <w:pStyle w:val="3-BodyText"/>
      </w:pPr>
      <w:r w:rsidRPr="00DD5186">
        <w:t>T</w:t>
      </w:r>
      <w:r w:rsidR="008F2C47" w:rsidRPr="00DD5186">
        <w:t>he</w:t>
      </w:r>
      <w:r w:rsidR="00E6304A" w:rsidRPr="00DD5186">
        <w:t xml:space="preserve"> ESC agreed with the evaluation that the</w:t>
      </w:r>
      <w:r w:rsidR="008F2C47" w:rsidRPr="00DD5186">
        <w:t xml:space="preserve"> clinical claim of inferior</w:t>
      </w:r>
      <w:r w:rsidR="00AD3935" w:rsidRPr="00DD5186">
        <w:t xml:space="preserve"> safety was appropriate</w:t>
      </w:r>
      <w:r w:rsidR="00CC74C0" w:rsidRPr="00DD5186">
        <w:t xml:space="preserve">, noting the FDA warnings for </w:t>
      </w:r>
      <w:r w:rsidR="00F03AB4" w:rsidRPr="00DD5186">
        <w:t>hepatotoxicity, myelosuppression, and</w:t>
      </w:r>
      <w:r w:rsidR="00482000" w:rsidRPr="00DD5186">
        <w:t xml:space="preserve"> </w:t>
      </w:r>
      <w:r w:rsidR="00F03AB4" w:rsidRPr="00DD5186">
        <w:t>hearing loss</w:t>
      </w:r>
      <w:r w:rsidR="00AD3935" w:rsidRPr="00DD5186">
        <w:t>.</w:t>
      </w:r>
      <w:r w:rsidR="005A2011" w:rsidRPr="00DD5186">
        <w:t xml:space="preserve"> </w:t>
      </w:r>
      <w:r w:rsidR="005848E1" w:rsidRPr="00DD5186">
        <w:t>The</w:t>
      </w:r>
      <w:r w:rsidR="000478D6">
        <w:t xml:space="preserve"> PBAC agreed with the</w:t>
      </w:r>
      <w:r w:rsidR="005848E1" w:rsidRPr="00DD5186">
        <w:t xml:space="preserve"> ESC that</w:t>
      </w:r>
      <w:r w:rsidR="00D843CA" w:rsidRPr="00DD5186">
        <w:t xml:space="preserve"> the </w:t>
      </w:r>
      <w:r w:rsidR="00737875" w:rsidRPr="00DD5186">
        <w:t>clinical claim of inferior safety was appropriate</w:t>
      </w:r>
      <w:r w:rsidR="00737875">
        <w:t>,</w:t>
      </w:r>
      <w:r w:rsidR="00737875" w:rsidRPr="00DD5186" w:rsidDel="00737875">
        <w:t xml:space="preserve"> </w:t>
      </w:r>
      <w:r w:rsidR="00D843CA" w:rsidRPr="00DD5186">
        <w:t xml:space="preserve">and noted the </w:t>
      </w:r>
      <w:r w:rsidR="002E1A8E" w:rsidRPr="00DD5186">
        <w:t xml:space="preserve">registration requirements </w:t>
      </w:r>
      <w:r w:rsidR="003014DE" w:rsidRPr="00DD5186">
        <w:t>with respect to safety set out in the</w:t>
      </w:r>
      <w:r w:rsidR="004654AC" w:rsidRPr="00DD5186">
        <w:t xml:space="preserve"> TGA</w:t>
      </w:r>
      <w:r w:rsidR="003014DE" w:rsidRPr="00DD5186">
        <w:t xml:space="preserve"> Delegate’s Overview (</w:t>
      </w:r>
      <w:r w:rsidR="003014DE" w:rsidRPr="00860413">
        <w:t xml:space="preserve">paragraph </w:t>
      </w:r>
      <w:r w:rsidR="003014DE" w:rsidRPr="00860413">
        <w:fldChar w:fldCharType="begin" w:fldLock="1"/>
      </w:r>
      <w:r w:rsidR="003014DE" w:rsidRPr="00860413">
        <w:instrText xml:space="preserve"> REF _Ref190590324 \r \h  \* MERGEFORMAT </w:instrText>
      </w:r>
      <w:r w:rsidR="003014DE" w:rsidRPr="00860413">
        <w:fldChar w:fldCharType="separate"/>
      </w:r>
      <w:r w:rsidR="00AF2AB7">
        <w:t>2.2</w:t>
      </w:r>
      <w:r w:rsidR="003014DE" w:rsidRPr="00860413">
        <w:fldChar w:fldCharType="end"/>
      </w:r>
      <w:r w:rsidR="003014DE" w:rsidRPr="00DD5186">
        <w:t>)</w:t>
      </w:r>
      <w:r w:rsidR="008F2C47" w:rsidRPr="00DD5186">
        <w:t>.</w:t>
      </w:r>
    </w:p>
    <w:p w14:paraId="5523272D" w14:textId="77777777" w:rsidR="00805FF8" w:rsidRPr="00C9624D" w:rsidRDefault="00805FF8" w:rsidP="00805FF8">
      <w:pPr>
        <w:pStyle w:val="4-SubsectionHeading"/>
      </w:pPr>
      <w:bookmarkStart w:id="52" w:name="_Toc22897645"/>
      <w:bookmarkStart w:id="53" w:name="_Toc107927631"/>
      <w:bookmarkStart w:id="54" w:name="_Toc188441771"/>
      <w:bookmarkStart w:id="55" w:name="_Toc22897646"/>
      <w:r w:rsidRPr="00C9624D">
        <w:t>Economic analysis</w:t>
      </w:r>
      <w:bookmarkEnd w:id="52"/>
      <w:bookmarkEnd w:id="53"/>
      <w:bookmarkEnd w:id="54"/>
      <w:r w:rsidRPr="00C9624D">
        <w:t xml:space="preserve"> </w:t>
      </w:r>
    </w:p>
    <w:p w14:paraId="39B9A071" w14:textId="0959A719" w:rsidR="00904B78" w:rsidRPr="001C55A9" w:rsidRDefault="00805FF8" w:rsidP="001C55A9">
      <w:pPr>
        <w:pStyle w:val="3-BodyText"/>
        <w:rPr>
          <w:b/>
          <w:bCs/>
          <w:lang w:val="en-US"/>
        </w:rPr>
      </w:pPr>
      <w:r w:rsidRPr="0056554D">
        <w:t>The submission presented a</w:t>
      </w:r>
      <w:r w:rsidR="00BA03A1">
        <w:t xml:space="preserve"> cost-utility analysis (CUA) using a</w:t>
      </w:r>
      <w:r w:rsidRPr="0056554D">
        <w:t xml:space="preserve"> partitioned survival analysis model with four health states: event</w:t>
      </w:r>
      <w:r w:rsidR="00FF4501">
        <w:t xml:space="preserve"> </w:t>
      </w:r>
      <w:r w:rsidRPr="0056554D">
        <w:t>free (EF)</w:t>
      </w:r>
      <w:r w:rsidR="000A333D">
        <w:t xml:space="preserve"> disease</w:t>
      </w:r>
      <w:r w:rsidRPr="0056554D">
        <w:t>, relapse, long-term remission (LT-remission),</w:t>
      </w:r>
      <w:r w:rsidR="00FF4501">
        <w:t xml:space="preserve"> and</w:t>
      </w:r>
      <w:r w:rsidRPr="0056554D">
        <w:t xml:space="preserve"> death. The submission modelled the Stratum 1 and Stratum 2 populations separately using the same model structure but different parameters. The model diagram is presented in </w:t>
      </w:r>
      <w:r w:rsidR="00AF2AB7">
        <w:fldChar w:fldCharType="begin" w:fldLock="1"/>
      </w:r>
      <w:r w:rsidR="00AF2AB7">
        <w:instrText xml:space="preserve"> REF _Ref187245948 </w:instrText>
      </w:r>
      <w:r w:rsidR="00AF2AB7">
        <w:fldChar w:fldCharType="separate"/>
      </w:r>
      <w:r w:rsidR="00AF2AB7">
        <w:t xml:space="preserve">Figure </w:t>
      </w:r>
      <w:r w:rsidR="00AF2AB7">
        <w:rPr>
          <w:noProof/>
        </w:rPr>
        <w:t>3</w:t>
      </w:r>
      <w:r w:rsidR="00AF2AB7">
        <w:rPr>
          <w:noProof/>
        </w:rPr>
        <w:fldChar w:fldCharType="end"/>
      </w:r>
      <w:r w:rsidRPr="0056554D">
        <w:t>.</w:t>
      </w:r>
    </w:p>
    <w:p w14:paraId="2A2DC58F" w14:textId="50EBC05C" w:rsidR="00F14EBC" w:rsidRDefault="00F14EBC" w:rsidP="005B5992">
      <w:pPr>
        <w:pStyle w:val="TableFigureHeading"/>
      </w:pPr>
      <w:bookmarkStart w:id="56" w:name="_Ref187245948"/>
      <w:r>
        <w:lastRenderedPageBreak/>
        <w:t xml:space="preserve">Figure </w:t>
      </w:r>
      <w:r w:rsidR="00AF2AB7">
        <w:fldChar w:fldCharType="begin" w:fldLock="1"/>
      </w:r>
      <w:r w:rsidR="00AF2AB7">
        <w:instrText xml:space="preserve"> SEQ Figure \* ARABIC </w:instrText>
      </w:r>
      <w:r w:rsidR="00AF2AB7">
        <w:fldChar w:fldCharType="separate"/>
      </w:r>
      <w:r w:rsidR="00AF2AB7">
        <w:rPr>
          <w:noProof/>
        </w:rPr>
        <w:t>3</w:t>
      </w:r>
      <w:r w:rsidR="00AF2AB7">
        <w:rPr>
          <w:noProof/>
        </w:rPr>
        <w:fldChar w:fldCharType="end"/>
      </w:r>
      <w:bookmarkEnd w:id="56"/>
      <w:r>
        <w:t xml:space="preserve">: </w:t>
      </w:r>
      <w:r w:rsidRPr="00277793">
        <w:t>Model structure</w:t>
      </w:r>
    </w:p>
    <w:p w14:paraId="5343BB75" w14:textId="2CCB9326" w:rsidR="00904B78" w:rsidRDefault="00F14EBC" w:rsidP="001C55A9">
      <w:pPr>
        <w:keepNext/>
        <w:ind w:left="170" w:firstLine="170"/>
      </w:pPr>
      <w:r w:rsidRPr="00B60CC0">
        <w:rPr>
          <w:noProof/>
        </w:rPr>
        <w:drawing>
          <wp:inline distT="0" distB="0" distL="0" distR="0" wp14:anchorId="760E9659" wp14:editId="05C503A4">
            <wp:extent cx="4057650" cy="2348715"/>
            <wp:effectExtent l="0" t="0" r="0" b="0"/>
            <wp:docPr id="530622113" name="Picture 530622113" descr="Figure 3: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22113" name="Picture 530622113" descr="Figure 3: Model stru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1671" cy="2351042"/>
                    </a:xfrm>
                    <a:prstGeom prst="rect">
                      <a:avLst/>
                    </a:prstGeom>
                    <a:noFill/>
                  </pic:spPr>
                </pic:pic>
              </a:graphicData>
            </a:graphic>
          </wp:inline>
        </w:drawing>
      </w:r>
    </w:p>
    <w:p w14:paraId="0C534E24" w14:textId="6611ECDB" w:rsidR="00F14EBC" w:rsidRPr="0056554D" w:rsidRDefault="00F14EBC" w:rsidP="001C55A9">
      <w:pPr>
        <w:pStyle w:val="TableFigureFooter"/>
        <w:rPr>
          <w:lang w:val="en-US"/>
        </w:rPr>
      </w:pPr>
      <w:r>
        <w:t>Source: Figure 3-1 of the submission</w:t>
      </w:r>
    </w:p>
    <w:p w14:paraId="43206C54" w14:textId="2AA21638" w:rsidR="00805FF8" w:rsidRPr="0056554D" w:rsidRDefault="00805FF8" w:rsidP="00805FF8">
      <w:pPr>
        <w:pStyle w:val="3-BodyText"/>
      </w:pPr>
      <w:r w:rsidRPr="0056554D">
        <w:t>Key components of the economic evaluation are presented in</w:t>
      </w:r>
      <w:r w:rsidR="002A6934">
        <w:t xml:space="preserve"> </w:t>
      </w:r>
      <w:r w:rsidR="00100398">
        <w:fldChar w:fldCharType="begin" w:fldLock="1"/>
      </w:r>
      <w:r w:rsidR="00100398">
        <w:instrText xml:space="preserve"> REF _Ref190692417 \h </w:instrText>
      </w:r>
      <w:r w:rsidR="00100398">
        <w:fldChar w:fldCharType="separate"/>
      </w:r>
      <w:r w:rsidR="00AF2AB7">
        <w:t xml:space="preserve">Table </w:t>
      </w:r>
      <w:r w:rsidR="00AF2AB7">
        <w:rPr>
          <w:noProof/>
        </w:rPr>
        <w:t>7</w:t>
      </w:r>
      <w:r w:rsidR="00100398">
        <w:fldChar w:fldCharType="end"/>
      </w:r>
      <w:r w:rsidRPr="0056554D">
        <w:t>. The submission did not present a stepped analysis.</w:t>
      </w:r>
    </w:p>
    <w:p w14:paraId="4DE8AADB" w14:textId="02FB5791" w:rsidR="00805FF8" w:rsidRPr="00641FB3" w:rsidRDefault="00805FF8" w:rsidP="00805FF8">
      <w:pPr>
        <w:pStyle w:val="Caption"/>
        <w:jc w:val="left"/>
        <w:rPr>
          <w:rStyle w:val="CommentReference"/>
          <w:b/>
          <w:szCs w:val="24"/>
        </w:rPr>
      </w:pPr>
      <w:bookmarkStart w:id="57" w:name="_Ref190692417"/>
      <w:r>
        <w:t xml:space="preserve">Table </w:t>
      </w:r>
      <w:r w:rsidR="00AF2AB7">
        <w:fldChar w:fldCharType="begin" w:fldLock="1"/>
      </w:r>
      <w:r w:rsidR="00AF2AB7">
        <w:instrText xml:space="preserve"> SEQ Table \* ARABIC </w:instrText>
      </w:r>
      <w:r w:rsidR="00AF2AB7">
        <w:fldChar w:fldCharType="separate"/>
      </w:r>
      <w:r w:rsidR="00AF2AB7">
        <w:rPr>
          <w:noProof/>
        </w:rPr>
        <w:t>7</w:t>
      </w:r>
      <w:r w:rsidR="00AF2AB7">
        <w:rPr>
          <w:noProof/>
        </w:rPr>
        <w:fldChar w:fldCharType="end"/>
      </w:r>
      <w:bookmarkEnd w:id="57"/>
      <w:r>
        <w:t>:</w:t>
      </w:r>
      <w:r w:rsidRPr="00641FB3">
        <w:rPr>
          <w:rStyle w:val="CommentReference"/>
          <w:b/>
          <w:szCs w:val="24"/>
        </w:rPr>
        <w:t xml:space="preserve"> Summary of model structure, key inputs and rationale</w:t>
      </w:r>
    </w:p>
    <w:tbl>
      <w:tblPr>
        <w:tblStyle w:val="PBAClayout"/>
        <w:tblW w:w="5000" w:type="pct"/>
        <w:tblLayout w:type="fixed"/>
        <w:tblLook w:val="01E0" w:firstRow="1" w:lastRow="1" w:firstColumn="1" w:lastColumn="1" w:noHBand="0" w:noVBand="0"/>
        <w:tblCaption w:val="Table 7: Summary of model structure, key inputs and rationale"/>
      </w:tblPr>
      <w:tblGrid>
        <w:gridCol w:w="1555"/>
        <w:gridCol w:w="7462"/>
      </w:tblGrid>
      <w:tr w:rsidR="00805FF8" w:rsidRPr="00AA1240" w14:paraId="336A6D66" w14:textId="77777777" w:rsidTr="009077CA">
        <w:trPr>
          <w:tblHeader/>
        </w:trPr>
        <w:tc>
          <w:tcPr>
            <w:tcW w:w="862" w:type="pct"/>
          </w:tcPr>
          <w:p w14:paraId="71EF7350" w14:textId="77777777" w:rsidR="00805FF8" w:rsidRPr="00AA1240" w:rsidRDefault="00805FF8" w:rsidP="00D137A3">
            <w:pPr>
              <w:pStyle w:val="In-tableHeading"/>
              <w:keepNext w:val="0"/>
            </w:pPr>
            <w:r w:rsidRPr="00AA1240">
              <w:t>Component</w:t>
            </w:r>
          </w:p>
        </w:tc>
        <w:tc>
          <w:tcPr>
            <w:tcW w:w="4138" w:type="pct"/>
          </w:tcPr>
          <w:p w14:paraId="0A27C983" w14:textId="77777777" w:rsidR="00805FF8" w:rsidRPr="00AA1240" w:rsidRDefault="00805FF8" w:rsidP="00D137A3">
            <w:pPr>
              <w:pStyle w:val="In-tableHeading"/>
              <w:keepNext w:val="0"/>
            </w:pPr>
            <w:r w:rsidRPr="00AA1240">
              <w:t>Summary</w:t>
            </w:r>
          </w:p>
        </w:tc>
      </w:tr>
      <w:tr w:rsidR="00805FF8" w:rsidRPr="00AA1240" w14:paraId="488A1A3F" w14:textId="77777777" w:rsidTr="00D137A3">
        <w:tc>
          <w:tcPr>
            <w:tcW w:w="862" w:type="pct"/>
          </w:tcPr>
          <w:p w14:paraId="14F3AE7C" w14:textId="77777777" w:rsidR="00805FF8" w:rsidRPr="00AA1240" w:rsidRDefault="00805FF8" w:rsidP="00D137A3">
            <w:pPr>
              <w:pStyle w:val="TableText0"/>
              <w:keepNext w:val="0"/>
            </w:pPr>
            <w:r w:rsidRPr="00AA1240">
              <w:t>Treatments</w:t>
            </w:r>
          </w:p>
        </w:tc>
        <w:tc>
          <w:tcPr>
            <w:tcW w:w="4138" w:type="pct"/>
          </w:tcPr>
          <w:p w14:paraId="63798903" w14:textId="77777777" w:rsidR="00805FF8" w:rsidRPr="00AA1240" w:rsidRDefault="00805FF8" w:rsidP="00D137A3">
            <w:pPr>
              <w:pStyle w:val="TableText0"/>
              <w:keepNext w:val="0"/>
            </w:pPr>
            <w:r w:rsidRPr="00AA1240">
              <w:t>Eflornithine vs SOC (no active treatment)</w:t>
            </w:r>
          </w:p>
        </w:tc>
      </w:tr>
      <w:tr w:rsidR="00805FF8" w:rsidRPr="00AA1240" w14:paraId="7C224BC1" w14:textId="77777777" w:rsidTr="00D137A3">
        <w:tc>
          <w:tcPr>
            <w:tcW w:w="862" w:type="pct"/>
          </w:tcPr>
          <w:p w14:paraId="751DBAC6" w14:textId="77777777" w:rsidR="00805FF8" w:rsidRPr="00AA1240" w:rsidRDefault="00805FF8" w:rsidP="00D137A3">
            <w:pPr>
              <w:pStyle w:val="TableText0"/>
              <w:keepNext w:val="0"/>
            </w:pPr>
            <w:r w:rsidRPr="00AA1240">
              <w:t>Time horizon</w:t>
            </w:r>
          </w:p>
        </w:tc>
        <w:tc>
          <w:tcPr>
            <w:tcW w:w="4138" w:type="pct"/>
          </w:tcPr>
          <w:p w14:paraId="1093409C" w14:textId="036FB584" w:rsidR="00805FF8" w:rsidRPr="00AA1240" w:rsidRDefault="00805FF8" w:rsidP="00D137A3">
            <w:pPr>
              <w:pStyle w:val="TableText0"/>
              <w:keepNext w:val="0"/>
            </w:pPr>
            <w:r w:rsidRPr="00AA1240">
              <w:t xml:space="preserve">100 years in the model base case vs. median OS follow up 7.21 years in Study 3b Stratum 1 (Stratum 2 not reported) </w:t>
            </w:r>
            <w:r w:rsidR="002B7760">
              <w:t xml:space="preserve">and </w:t>
            </w:r>
            <w:r w:rsidRPr="00AA1240">
              <w:t xml:space="preserve">5.85 years in Study ANBL0032. </w:t>
            </w:r>
            <w:r w:rsidR="001B08F9">
              <w:t>The evaluation noted that w</w:t>
            </w:r>
            <w:r w:rsidRPr="00AA1240">
              <w:t xml:space="preserve">hile a lifetime model may be reasonable, the extrapolation to 100 years </w:t>
            </w:r>
            <w:r w:rsidR="00FF4501" w:rsidRPr="00AA1240">
              <w:t>wa</w:t>
            </w:r>
            <w:r w:rsidRPr="00AA1240">
              <w:t>s uncertain compared to the length of the study data</w:t>
            </w:r>
            <w:r w:rsidR="00C05EF0" w:rsidRPr="00AA1240">
              <w:t>.</w:t>
            </w:r>
            <w:r w:rsidRPr="00AA1240">
              <w:t xml:space="preserve"> </w:t>
            </w:r>
          </w:p>
        </w:tc>
      </w:tr>
      <w:tr w:rsidR="00805FF8" w:rsidRPr="00AA1240" w14:paraId="468B3960" w14:textId="77777777" w:rsidTr="00D137A3">
        <w:tc>
          <w:tcPr>
            <w:tcW w:w="862" w:type="pct"/>
          </w:tcPr>
          <w:p w14:paraId="4AC115F6" w14:textId="77777777" w:rsidR="00805FF8" w:rsidRPr="00AA1240" w:rsidRDefault="00805FF8" w:rsidP="00D137A3">
            <w:pPr>
              <w:pStyle w:val="TableText0"/>
              <w:keepNext w:val="0"/>
            </w:pPr>
            <w:r w:rsidRPr="00AA1240">
              <w:t>Outcomes</w:t>
            </w:r>
          </w:p>
        </w:tc>
        <w:tc>
          <w:tcPr>
            <w:tcW w:w="4138" w:type="pct"/>
            <w:vAlign w:val="top"/>
          </w:tcPr>
          <w:p w14:paraId="6C74591A" w14:textId="3E92FCC5" w:rsidR="00805FF8" w:rsidRPr="00AA1240" w:rsidRDefault="00805FF8" w:rsidP="00D137A3">
            <w:pPr>
              <w:pStyle w:val="TableText0"/>
              <w:keepNext w:val="0"/>
            </w:pPr>
            <w:r w:rsidRPr="00AA1240">
              <w:t>LYs and QALYs gained</w:t>
            </w:r>
            <w:r w:rsidR="00263A7A">
              <w:t xml:space="preserve"> using</w:t>
            </w:r>
            <w:r w:rsidRPr="00AA1240">
              <w:t xml:space="preserve"> </w:t>
            </w:r>
            <w:r w:rsidR="00A304A9">
              <w:t>s</w:t>
            </w:r>
            <w:r w:rsidRPr="00AA1240">
              <w:t>eparate models for Stratum 1 and Stratum 2 populations.</w:t>
            </w:r>
          </w:p>
        </w:tc>
      </w:tr>
      <w:tr w:rsidR="00805FF8" w:rsidRPr="00AA1240" w14:paraId="4004912D" w14:textId="77777777" w:rsidTr="00D137A3">
        <w:tc>
          <w:tcPr>
            <w:tcW w:w="862" w:type="pct"/>
          </w:tcPr>
          <w:p w14:paraId="6624E653" w14:textId="77777777" w:rsidR="00805FF8" w:rsidRPr="00AA1240" w:rsidRDefault="00805FF8" w:rsidP="00D137A3">
            <w:pPr>
              <w:pStyle w:val="TableText0"/>
              <w:keepNext w:val="0"/>
            </w:pPr>
            <w:r w:rsidRPr="00AA1240">
              <w:t>Methods used to generate results</w:t>
            </w:r>
          </w:p>
        </w:tc>
        <w:tc>
          <w:tcPr>
            <w:tcW w:w="4138" w:type="pct"/>
          </w:tcPr>
          <w:p w14:paraId="30A4DED0" w14:textId="27F7DF32" w:rsidR="00805FF8" w:rsidRPr="00AA1240" w:rsidRDefault="00805FF8" w:rsidP="00D137A3">
            <w:pPr>
              <w:pStyle w:val="TableText0"/>
              <w:keepNext w:val="0"/>
            </w:pPr>
            <w:r w:rsidRPr="00AA1240">
              <w:t>Partitioned survival model</w:t>
            </w:r>
            <w:r w:rsidR="00FF4501" w:rsidRPr="00AA1240">
              <w:t>,</w:t>
            </w:r>
            <w:r w:rsidRPr="00AA1240">
              <w:t xml:space="preserve"> which</w:t>
            </w:r>
            <w:r w:rsidR="00302AAD">
              <w:t xml:space="preserve"> </w:t>
            </w:r>
            <w:r w:rsidR="00302AAD" w:rsidRPr="00A511A1">
              <w:t xml:space="preserve">the evaluation </w:t>
            </w:r>
            <w:r w:rsidR="00302AAD" w:rsidRPr="004F77C9">
              <w:t>considered to be</w:t>
            </w:r>
            <w:r w:rsidRPr="00AA1240">
              <w:t xml:space="preserve"> reasonable, although the resulting proportion allocated to relapse in Stratum 1 was small (health state allocation to relapse was &lt;15% across the time horizon) </w:t>
            </w:r>
            <w:r w:rsidRPr="00E67AF2">
              <w:t>and the approach could not track individual patients, which had implication</w:t>
            </w:r>
            <w:r w:rsidR="00FF4501" w:rsidRPr="00E67AF2">
              <w:t>s</w:t>
            </w:r>
            <w:r w:rsidRPr="00E67AF2">
              <w:t xml:space="preserve"> for the cost of subsequent treatment (see</w:t>
            </w:r>
            <w:r w:rsidR="00E67AF2" w:rsidRPr="00E67AF2">
              <w:t xml:space="preserve"> </w:t>
            </w:r>
            <w:r w:rsidR="00E67AF2" w:rsidRPr="00A511A1">
              <w:t>table row</w:t>
            </w:r>
            <w:r w:rsidRPr="00A511A1">
              <w:t xml:space="preserve"> below</w:t>
            </w:r>
            <w:r w:rsidR="00E67AF2" w:rsidRPr="00A511A1">
              <w:t xml:space="preserve"> – Subsequent therapy costs</w:t>
            </w:r>
            <w:r w:rsidRPr="00E67AF2">
              <w:t>)</w:t>
            </w:r>
          </w:p>
        </w:tc>
      </w:tr>
      <w:tr w:rsidR="00805FF8" w:rsidRPr="00AA1240" w14:paraId="53BC65A5" w14:textId="77777777" w:rsidTr="00D137A3">
        <w:tc>
          <w:tcPr>
            <w:tcW w:w="862" w:type="pct"/>
          </w:tcPr>
          <w:p w14:paraId="0A424D5C" w14:textId="77777777" w:rsidR="00805FF8" w:rsidRPr="00AA1240" w:rsidRDefault="00805FF8" w:rsidP="00D137A3">
            <w:pPr>
              <w:pStyle w:val="TableText0"/>
              <w:keepNext w:val="0"/>
            </w:pPr>
            <w:r w:rsidRPr="00AA1240">
              <w:t>Health states</w:t>
            </w:r>
          </w:p>
        </w:tc>
        <w:tc>
          <w:tcPr>
            <w:tcW w:w="4138" w:type="pct"/>
          </w:tcPr>
          <w:p w14:paraId="2C9E6604" w14:textId="070BC2BA" w:rsidR="00805FF8" w:rsidRPr="00A511A1" w:rsidRDefault="00805FF8" w:rsidP="00D137A3">
            <w:pPr>
              <w:pStyle w:val="TableText0"/>
              <w:keepNext w:val="0"/>
            </w:pPr>
            <w:r w:rsidRPr="00A511A1">
              <w:t xml:space="preserve">EF, LT-remission, relapse, dead. </w:t>
            </w:r>
            <w:r w:rsidR="00C723C5" w:rsidRPr="00A511A1">
              <w:t>The evaluation considered that t</w:t>
            </w:r>
            <w:r w:rsidRPr="00A511A1">
              <w:t xml:space="preserve">hese </w:t>
            </w:r>
            <w:r w:rsidR="00C723C5" w:rsidRPr="00A511A1">
              <w:t>health states were</w:t>
            </w:r>
            <w:r w:rsidRPr="00A511A1">
              <w:t xml:space="preserve"> reasonable, though patients in Stratum 1 who relapse</w:t>
            </w:r>
            <w:r w:rsidR="00C723C5" w:rsidRPr="00A511A1">
              <w:t>d</w:t>
            </w:r>
            <w:r w:rsidRPr="00A511A1">
              <w:t xml:space="preserve"> could not return to event free or achieve long-term remission, which is inconsistent with the assumption that the Stratum 2 population exists.</w:t>
            </w:r>
          </w:p>
        </w:tc>
      </w:tr>
      <w:tr w:rsidR="00805FF8" w:rsidRPr="00AA1240" w14:paraId="11AFBF3F" w14:textId="77777777" w:rsidTr="00D137A3">
        <w:tc>
          <w:tcPr>
            <w:tcW w:w="862" w:type="pct"/>
          </w:tcPr>
          <w:p w14:paraId="7D943BA3" w14:textId="77777777" w:rsidR="00805FF8" w:rsidRPr="00AA1240" w:rsidRDefault="00805FF8" w:rsidP="00D137A3">
            <w:pPr>
              <w:pStyle w:val="TableText0"/>
              <w:keepNext w:val="0"/>
            </w:pPr>
            <w:r w:rsidRPr="00AA1240">
              <w:t>Cycle length</w:t>
            </w:r>
          </w:p>
        </w:tc>
        <w:tc>
          <w:tcPr>
            <w:tcW w:w="4138" w:type="pct"/>
          </w:tcPr>
          <w:p w14:paraId="3AC0CE1B" w14:textId="0C17C243" w:rsidR="00805FF8" w:rsidRPr="00AA1240" w:rsidRDefault="00805FF8" w:rsidP="00D137A3">
            <w:pPr>
              <w:pStyle w:val="TableText0"/>
              <w:keepNext w:val="0"/>
            </w:pPr>
            <w:r w:rsidRPr="00AA1240">
              <w:t>4 weeks</w:t>
            </w:r>
            <w:r w:rsidR="00FF4501" w:rsidRPr="00AA1240">
              <w:t xml:space="preserve"> (</w:t>
            </w:r>
            <w:r w:rsidRPr="00AA1240">
              <w:t>no half</w:t>
            </w:r>
            <w:r w:rsidR="00FF4501" w:rsidRPr="00AA1240">
              <w:t>-</w:t>
            </w:r>
            <w:r w:rsidRPr="00AA1240">
              <w:t>cycle correction</w:t>
            </w:r>
            <w:r w:rsidR="00FF4501" w:rsidRPr="00AA1240">
              <w:t>)</w:t>
            </w:r>
            <w:r w:rsidRPr="00AA1240">
              <w:t xml:space="preserve">. </w:t>
            </w:r>
            <w:r w:rsidR="00440FE1" w:rsidRPr="00A511A1">
              <w:t>The evaluation considered that</w:t>
            </w:r>
            <w:r w:rsidR="00440FE1">
              <w:t xml:space="preserve"> t</w:t>
            </w:r>
            <w:r w:rsidRPr="00AA1240">
              <w:t>his was reasonable</w:t>
            </w:r>
            <w:r w:rsidR="00FF4501" w:rsidRPr="00AA1240">
              <w:t>,</w:t>
            </w:r>
            <w:r w:rsidRPr="00AA1240">
              <w:t xml:space="preserve"> although the model assumed 52 weeks per year</w:t>
            </w:r>
            <w:r w:rsidR="00FF4501" w:rsidRPr="00AA1240">
              <w:t>,</w:t>
            </w:r>
            <w:r w:rsidRPr="00AA1240">
              <w:t xml:space="preserve"> and therefore</w:t>
            </w:r>
            <w:r w:rsidR="00FF4501" w:rsidRPr="00AA1240">
              <w:t>,</w:t>
            </w:r>
            <w:r w:rsidRPr="00AA1240">
              <w:t xml:space="preserve"> there were some slight rounding errors. Furthermore, eflornithine costs were applied at the end of the first model cycle and &lt;100% </w:t>
            </w:r>
            <w:r w:rsidR="00FF4501" w:rsidRPr="00AA1240">
              <w:t xml:space="preserve">of </w:t>
            </w:r>
            <w:r w:rsidRPr="00AA1240">
              <w:t xml:space="preserve">patients in the eflornithine arm received eflornithine (0.4% did not) </w:t>
            </w:r>
            <w:r w:rsidR="00151259">
              <w:t>[</w:t>
            </w:r>
            <w:r w:rsidRPr="00AA1240">
              <w:t>this error would be exacerbated by a longer cycle length</w:t>
            </w:r>
            <w:r w:rsidR="00151259">
              <w:t>]</w:t>
            </w:r>
            <w:r w:rsidRPr="00AA1240">
              <w:t>.</w:t>
            </w:r>
          </w:p>
        </w:tc>
      </w:tr>
      <w:tr w:rsidR="00805FF8" w:rsidRPr="00AA1240" w14:paraId="0EDB2132" w14:textId="77777777" w:rsidTr="00D137A3">
        <w:tc>
          <w:tcPr>
            <w:tcW w:w="862" w:type="pct"/>
          </w:tcPr>
          <w:p w14:paraId="1E489AC5" w14:textId="77777777" w:rsidR="00805FF8" w:rsidRPr="00AA1240" w:rsidRDefault="00805FF8" w:rsidP="00D137A3">
            <w:pPr>
              <w:pStyle w:val="TableText0"/>
              <w:keepNext w:val="0"/>
            </w:pPr>
            <w:r w:rsidRPr="00AA1240">
              <w:t>Allocation to health states</w:t>
            </w:r>
          </w:p>
        </w:tc>
        <w:tc>
          <w:tcPr>
            <w:tcW w:w="4138" w:type="pct"/>
          </w:tcPr>
          <w:p w14:paraId="62664AF6" w14:textId="33DA67E8" w:rsidR="00805FF8" w:rsidRPr="00AA1240" w:rsidRDefault="00805FF8" w:rsidP="00D137A3">
            <w:pPr>
              <w:pStyle w:val="TableText0"/>
              <w:keepNext w:val="0"/>
            </w:pPr>
            <w:r w:rsidRPr="00AA1240">
              <w:t>Stratum 1: PSM analysis of Study 3b Stratum 1 and Study ANBL0032 to Yr 7</w:t>
            </w:r>
            <w:r w:rsidR="00C61744">
              <w:t>.</w:t>
            </w:r>
          </w:p>
          <w:p w14:paraId="09569F94" w14:textId="35D8F696" w:rsidR="00805FF8" w:rsidRPr="00AA1240" w:rsidRDefault="00805FF8" w:rsidP="00D137A3">
            <w:pPr>
              <w:pStyle w:val="TableText0"/>
              <w:keepNext w:val="0"/>
            </w:pPr>
            <w:r w:rsidRPr="00AA1240">
              <w:t>Stratum 2: Study 3b Stratum 2 and PSM analysis Study 3b Stratum 1 populations to Yr 7</w:t>
            </w:r>
            <w:r w:rsidR="00C61744">
              <w:t>.</w:t>
            </w:r>
          </w:p>
          <w:p w14:paraId="5B34ACEF" w14:textId="0DACC967" w:rsidR="00805FF8" w:rsidRPr="00AA1240" w:rsidRDefault="00805FF8" w:rsidP="00D137A3">
            <w:pPr>
              <w:pStyle w:val="TableText0"/>
              <w:keepNext w:val="0"/>
            </w:pPr>
            <w:r w:rsidRPr="00AA1240">
              <w:t>Standardised mortality ratio applied to general population from Yr 7 in both models</w:t>
            </w:r>
            <w:r w:rsidR="00C61744">
              <w:t>.</w:t>
            </w:r>
          </w:p>
        </w:tc>
      </w:tr>
      <w:tr w:rsidR="00805FF8" w:rsidRPr="00AA1240" w14:paraId="59A0F7C2" w14:textId="77777777" w:rsidTr="00D137A3">
        <w:tc>
          <w:tcPr>
            <w:tcW w:w="862" w:type="pct"/>
          </w:tcPr>
          <w:p w14:paraId="079542E0" w14:textId="77777777" w:rsidR="00805FF8" w:rsidRPr="00AA1240" w:rsidRDefault="00805FF8" w:rsidP="00D137A3">
            <w:pPr>
              <w:pStyle w:val="TableText0"/>
              <w:keepNext w:val="0"/>
            </w:pPr>
            <w:r w:rsidRPr="00AA1240">
              <w:t>Extrapolation method</w:t>
            </w:r>
          </w:p>
        </w:tc>
        <w:tc>
          <w:tcPr>
            <w:tcW w:w="4138" w:type="pct"/>
          </w:tcPr>
          <w:p w14:paraId="04333856" w14:textId="0EB13B87" w:rsidR="00805FF8" w:rsidRPr="00AA1240" w:rsidRDefault="00805FF8" w:rsidP="00D137A3">
            <w:pPr>
              <w:pStyle w:val="TableText0"/>
              <w:keepNext w:val="0"/>
            </w:pPr>
            <w:r w:rsidRPr="00AA1240">
              <w:rPr>
                <w:b/>
                <w:bCs w:val="0"/>
              </w:rPr>
              <w:t>EFS</w:t>
            </w:r>
            <w:r w:rsidR="00382521">
              <w:t>:</w:t>
            </w:r>
            <w:r w:rsidRPr="00AA1240">
              <w:rPr>
                <w:b/>
                <w:bCs w:val="0"/>
              </w:rPr>
              <w:t xml:space="preserve"> </w:t>
            </w:r>
            <w:r w:rsidRPr="00AA1240">
              <w:rPr>
                <w:u w:val="single"/>
              </w:rPr>
              <w:t>Stratum 1</w:t>
            </w:r>
            <w:r w:rsidRPr="00AA1240">
              <w:t>: Independent Gompertz extrapolations of PSM matched Study 3b Stratum 1 and ANBL0032 data from Time 0 to Yr 7 (“cure” time point).</w:t>
            </w:r>
          </w:p>
          <w:p w14:paraId="3C04EE1E" w14:textId="42528EA2" w:rsidR="00805FF8" w:rsidRPr="00AA1240" w:rsidRDefault="00805FF8" w:rsidP="00D137A3">
            <w:pPr>
              <w:pStyle w:val="TableText0"/>
              <w:keepNext w:val="0"/>
            </w:pPr>
            <w:r w:rsidRPr="00AA1240">
              <w:rPr>
                <w:u w:val="single"/>
              </w:rPr>
              <w:t>Stratum 2</w:t>
            </w:r>
            <w:r w:rsidRPr="00AA1240">
              <w:t>: Stratum 1 extrapolation with HR 5.13 applied from Time 0 to Yr 7</w:t>
            </w:r>
            <w:r w:rsidR="00C61744">
              <w:t>.</w:t>
            </w:r>
          </w:p>
          <w:p w14:paraId="242FDB8D" w14:textId="311DEE9D" w:rsidR="00805FF8" w:rsidRPr="00AA1240" w:rsidRDefault="00805FF8" w:rsidP="00D137A3">
            <w:pPr>
              <w:pStyle w:val="TableText0"/>
              <w:keepNext w:val="0"/>
            </w:pPr>
            <w:r w:rsidRPr="00AA1240">
              <w:rPr>
                <w:b/>
                <w:bCs w:val="0"/>
              </w:rPr>
              <w:t>OS</w:t>
            </w:r>
            <w:r w:rsidR="00382521">
              <w:rPr>
                <w:b/>
                <w:bCs w:val="0"/>
              </w:rPr>
              <w:t>:</w:t>
            </w:r>
            <w:r w:rsidRPr="00AA1240">
              <w:t xml:space="preserve"> </w:t>
            </w:r>
            <w:r w:rsidRPr="00AA1240">
              <w:rPr>
                <w:u w:val="single"/>
              </w:rPr>
              <w:t>Stratum 1</w:t>
            </w:r>
            <w:r w:rsidRPr="00AA1240">
              <w:t>: Independent generalised gamma extrapolations of PSM matched Study 3b Stratum 1 and ANBL0032 data from Time 0 to Yr 7</w:t>
            </w:r>
            <w:r w:rsidR="00C61744">
              <w:t>.</w:t>
            </w:r>
            <w:r w:rsidRPr="00AA1240">
              <w:t xml:space="preserve"> </w:t>
            </w:r>
          </w:p>
          <w:p w14:paraId="5B068437" w14:textId="569BB927" w:rsidR="00805FF8" w:rsidRPr="00AA1240" w:rsidRDefault="00805FF8" w:rsidP="00D137A3">
            <w:pPr>
              <w:pStyle w:val="TableText0"/>
              <w:keepNext w:val="0"/>
            </w:pPr>
            <w:r w:rsidRPr="00AA1240">
              <w:rPr>
                <w:u w:val="single"/>
              </w:rPr>
              <w:t>Stratum 2</w:t>
            </w:r>
            <w:r w:rsidRPr="00AA1240">
              <w:t>: Stratum 1 extrapolation with HR 7.96 applied from Time 0 to Yr 7</w:t>
            </w:r>
            <w:r w:rsidR="00C61744">
              <w:t>.</w:t>
            </w:r>
          </w:p>
          <w:p w14:paraId="240B2393" w14:textId="2E404AF2" w:rsidR="00805FF8" w:rsidRPr="00AA1240" w:rsidRDefault="00805FF8" w:rsidP="00D137A3">
            <w:pPr>
              <w:pStyle w:val="TableText0"/>
              <w:keepNext w:val="0"/>
            </w:pPr>
            <w:r w:rsidRPr="00AA1240">
              <w:rPr>
                <w:b/>
                <w:bCs w:val="0"/>
              </w:rPr>
              <w:t>LT-remission</w:t>
            </w:r>
            <w:r w:rsidRPr="00AA1240">
              <w:t xml:space="preserve">: 100% patients alive and EF from Yr 7 in </w:t>
            </w:r>
            <w:r w:rsidRPr="00AA1240">
              <w:rPr>
                <w:u w:val="single"/>
              </w:rPr>
              <w:t>both populations</w:t>
            </w:r>
            <w:r w:rsidRPr="00426C51">
              <w:t xml:space="preserve">. </w:t>
            </w:r>
            <w:r w:rsidRPr="00AA1240">
              <w:t xml:space="preserve">Death from LT-remission was estimated with a standardised mortality ratio applied to general population mortality. Without </w:t>
            </w:r>
            <w:r w:rsidR="00FF4501" w:rsidRPr="00AA1240">
              <w:t xml:space="preserve">a </w:t>
            </w:r>
            <w:r w:rsidRPr="00AA1240">
              <w:t>cure point, the models still intrinsically modelled patients as cured as Gompertz EFS extrapolations resulted in long, level tails.</w:t>
            </w:r>
          </w:p>
          <w:p w14:paraId="5A607FF7" w14:textId="7851095B" w:rsidR="00805FF8" w:rsidRPr="00AA1240" w:rsidRDefault="00805FF8" w:rsidP="00D137A3">
            <w:pPr>
              <w:pStyle w:val="TableText0"/>
              <w:keepNext w:val="0"/>
            </w:pPr>
            <w:r w:rsidRPr="00AA1240">
              <w:rPr>
                <w:b/>
                <w:bCs w:val="0"/>
              </w:rPr>
              <w:lastRenderedPageBreak/>
              <w:t>Relapse</w:t>
            </w:r>
            <w:r w:rsidRPr="00AA1240">
              <w:t xml:space="preserve">: </w:t>
            </w:r>
            <w:r w:rsidR="00FF4501" w:rsidRPr="00AA1240">
              <w:t xml:space="preserve">the </w:t>
            </w:r>
            <w:r w:rsidRPr="00AA1240">
              <w:t>difference between OS and EFS. Patients could not move to relapse after Year 7. Death from relapse was equal to extrapolated OS from Yr 7</w:t>
            </w:r>
            <w:r w:rsidR="00DB64B3">
              <w:t>.</w:t>
            </w:r>
          </w:p>
          <w:p w14:paraId="4319FE19" w14:textId="7CCCCB23" w:rsidR="00805FF8" w:rsidRPr="00AA1240" w:rsidRDefault="00805FF8" w:rsidP="00D137A3">
            <w:pPr>
              <w:pStyle w:val="TableText0"/>
              <w:keepNext w:val="0"/>
              <w:rPr>
                <w:b/>
                <w:bCs w:val="0"/>
              </w:rPr>
            </w:pPr>
            <w:r w:rsidRPr="00AA1240">
              <w:rPr>
                <w:b/>
                <w:bCs w:val="0"/>
              </w:rPr>
              <w:t xml:space="preserve">TTD </w:t>
            </w:r>
            <w:r w:rsidRPr="00AA1240">
              <w:t>PSM analysis of Study 3b Stratum 1 KM data</w:t>
            </w:r>
            <w:r w:rsidR="00DB64B3">
              <w:t>.</w:t>
            </w:r>
          </w:p>
          <w:p w14:paraId="5735D6FA" w14:textId="77777777" w:rsidR="00805FF8" w:rsidRPr="00AA1240" w:rsidRDefault="00805FF8" w:rsidP="00D137A3">
            <w:pPr>
              <w:pStyle w:val="TableText0"/>
              <w:keepNext w:val="0"/>
            </w:pPr>
          </w:p>
          <w:p w14:paraId="4785231D" w14:textId="27120102" w:rsidR="00805FF8" w:rsidRPr="00AA1240" w:rsidRDefault="00805FF8" w:rsidP="00D137A3">
            <w:pPr>
              <w:pStyle w:val="TableText0"/>
              <w:keepNext w:val="0"/>
            </w:pPr>
            <w:r w:rsidRPr="00AA1240">
              <w:t xml:space="preserve">The Stratum 2 transition probabilities were highly uncertain and were highly dependent on the relationship between Stratum 1 and Stratum 2 from Study 3b </w:t>
            </w:r>
            <w:r w:rsidR="00272D63">
              <w:t xml:space="preserve">being applicable to </w:t>
            </w:r>
            <w:r w:rsidR="008C3453">
              <w:t>t</w:t>
            </w:r>
            <w:r w:rsidRPr="00AA1240">
              <w:t>he Australian population.</w:t>
            </w:r>
          </w:p>
        </w:tc>
      </w:tr>
      <w:tr w:rsidR="00805FF8" w:rsidRPr="00AA1240" w14:paraId="5F39FCEB" w14:textId="77777777" w:rsidTr="00D137A3">
        <w:tc>
          <w:tcPr>
            <w:tcW w:w="862" w:type="pct"/>
          </w:tcPr>
          <w:p w14:paraId="0F4DC0B8" w14:textId="77777777" w:rsidR="00805FF8" w:rsidRPr="00AA1240" w:rsidRDefault="00805FF8" w:rsidP="00D137A3">
            <w:pPr>
              <w:pStyle w:val="TableText0"/>
              <w:keepNext w:val="0"/>
            </w:pPr>
            <w:r w:rsidRPr="00AA1240">
              <w:lastRenderedPageBreak/>
              <w:t>Health related quality of life</w:t>
            </w:r>
          </w:p>
        </w:tc>
        <w:tc>
          <w:tcPr>
            <w:tcW w:w="4138" w:type="pct"/>
          </w:tcPr>
          <w:p w14:paraId="34E71442" w14:textId="2BE4D93B" w:rsidR="00805FF8" w:rsidRPr="00AA1240" w:rsidRDefault="00805FF8" w:rsidP="00D137A3">
            <w:pPr>
              <w:pStyle w:val="TableText0"/>
              <w:keepNext w:val="0"/>
              <w:rPr>
                <w:szCs w:val="20"/>
              </w:rPr>
            </w:pPr>
            <w:r w:rsidRPr="00AA1240">
              <w:t xml:space="preserve">Paediatric population norms based on EQ-5D-5L adult population norms (McCaffrey 2016) with utility decrements: 7.3% for EF and LT remission states, 41.7% relapse state based on HUI2 and HUI3 values from Portwine 2016 and Barr 1999. </w:t>
            </w:r>
            <w:r w:rsidR="00972AB9">
              <w:t>The s</w:t>
            </w:r>
            <w:r w:rsidRPr="00AA1240">
              <w:t xml:space="preserve">ame approach as </w:t>
            </w:r>
            <w:r w:rsidR="00FF4501" w:rsidRPr="00AA1240">
              <w:t xml:space="preserve">the </w:t>
            </w:r>
            <w:r w:rsidRPr="00AA1240">
              <w:t xml:space="preserve">dinutuximab beta MSAC model </w:t>
            </w:r>
            <w:r w:rsidR="00FF4501" w:rsidRPr="00AA1240">
              <w:t xml:space="preserve">was used </w:t>
            </w:r>
            <w:r w:rsidRPr="00AA1240">
              <w:t xml:space="preserve">(Table 10, dinutuximab beta </w:t>
            </w:r>
            <w:r w:rsidR="006C0C30" w:rsidRPr="006C0C30">
              <w:t xml:space="preserve">Public Summary Document </w:t>
            </w:r>
            <w:r w:rsidR="006C0C30">
              <w:t>(</w:t>
            </w:r>
            <w:r w:rsidRPr="00AA1240">
              <w:t>PSD</w:t>
            </w:r>
            <w:r w:rsidR="006C0C30">
              <w:t>)</w:t>
            </w:r>
            <w:r w:rsidRPr="00AA1240">
              <w:t>, July 2020 MSAC meeting)</w:t>
            </w:r>
            <w:r w:rsidR="00095E82">
              <w:t>,</w:t>
            </w:r>
            <w:r w:rsidRPr="00AA1240">
              <w:t xml:space="preserve"> assuming</w:t>
            </w:r>
            <w:r w:rsidRPr="00AA1240">
              <w:rPr>
                <w:szCs w:val="20"/>
              </w:rPr>
              <w:t xml:space="preserve"> that utilities derived from HUI2, HUI3 and EQ-5D-5L were directly transferrable, which</w:t>
            </w:r>
            <w:r w:rsidR="005A7B34">
              <w:rPr>
                <w:szCs w:val="20"/>
              </w:rPr>
              <w:t xml:space="preserve"> </w:t>
            </w:r>
            <w:r w:rsidR="005A7B34" w:rsidRPr="00ED607D">
              <w:rPr>
                <w:szCs w:val="20"/>
              </w:rPr>
              <w:t>the evaluation noted</w:t>
            </w:r>
            <w:r w:rsidRPr="00AA1240">
              <w:rPr>
                <w:szCs w:val="20"/>
              </w:rPr>
              <w:t xml:space="preserve"> </w:t>
            </w:r>
            <w:r w:rsidR="00FF4501" w:rsidRPr="00AA1240">
              <w:rPr>
                <w:szCs w:val="20"/>
              </w:rPr>
              <w:t>wa</w:t>
            </w:r>
            <w:r w:rsidRPr="00AA1240">
              <w:rPr>
                <w:szCs w:val="20"/>
              </w:rPr>
              <w:t>s not methodologically appropriate. It may also not be reasonable to assume an ongoing decrement over the lifetime for “cured” patients (Kwon 2018).</w:t>
            </w:r>
          </w:p>
          <w:p w14:paraId="2000F169" w14:textId="14991AF6" w:rsidR="00805FF8" w:rsidRPr="00AA1240" w:rsidRDefault="00805FF8" w:rsidP="00D137A3">
            <w:pPr>
              <w:pStyle w:val="TableText0"/>
              <w:keepNext w:val="0"/>
            </w:pPr>
            <w:r w:rsidRPr="00AA1240">
              <w:t xml:space="preserve">Further utility decrements were applied in Cycle 1 for patients receiving eflornithine based on </w:t>
            </w:r>
            <w:r w:rsidR="000C1ABC">
              <w:t xml:space="preserve">AEs </w:t>
            </w:r>
            <w:r w:rsidR="002F7518">
              <w:t>of</w:t>
            </w:r>
            <w:r w:rsidRPr="00AA1240">
              <w:t xml:space="preserve"> anaemia, decreased neutrophil count, hearing loss and diarrhoea. The total QALY loss associate with eflornithine treatment was -0.022 QALYs per person and therefore the ICER was not sensitive to </w:t>
            </w:r>
            <w:r w:rsidR="000C1ABC">
              <w:t>AEs</w:t>
            </w:r>
            <w:r w:rsidRPr="00AA1240">
              <w:t>.</w:t>
            </w:r>
          </w:p>
        </w:tc>
      </w:tr>
      <w:tr w:rsidR="00805FF8" w:rsidRPr="00AA1240" w14:paraId="37E9A384" w14:textId="77777777" w:rsidTr="00D137A3">
        <w:tc>
          <w:tcPr>
            <w:tcW w:w="862" w:type="pct"/>
          </w:tcPr>
          <w:p w14:paraId="4EA8B0EA" w14:textId="77777777" w:rsidR="00805FF8" w:rsidRPr="00AA1240" w:rsidRDefault="00805FF8" w:rsidP="00D137A3">
            <w:pPr>
              <w:pStyle w:val="TableText0"/>
              <w:keepNext w:val="0"/>
            </w:pPr>
            <w:r w:rsidRPr="00AA1240">
              <w:t>Eflornithine costs</w:t>
            </w:r>
          </w:p>
        </w:tc>
        <w:tc>
          <w:tcPr>
            <w:tcW w:w="4138" w:type="pct"/>
          </w:tcPr>
          <w:p w14:paraId="53BA3E82" w14:textId="304A25FB" w:rsidR="00082AF4" w:rsidRDefault="00805FF8" w:rsidP="00D137A3">
            <w:pPr>
              <w:pStyle w:val="TableText0"/>
              <w:keepNext w:val="0"/>
            </w:pPr>
            <w:r w:rsidRPr="00AA1240">
              <w:t>The cost of eflornithine was based on the proposed EMP of $</w:t>
            </w:r>
            <w:r w:rsidR="008C30A7" w:rsidRPr="00FE32E3">
              <w:rPr>
                <w:color w:val="000000"/>
                <w:spacing w:val="55"/>
                <w:shd w:val="solid" w:color="000000" w:fill="000000"/>
                <w:fitText w:val="338" w:id="-694446079"/>
                <w14:textFill>
                  <w14:solidFill>
                    <w14:srgbClr w14:val="000000">
                      <w14:alpha w14:val="100000"/>
                    </w14:srgbClr>
                  </w14:solidFill>
                </w14:textFill>
              </w:rPr>
              <w:t>|||</w:t>
            </w:r>
            <w:r w:rsidR="008C30A7" w:rsidRPr="00FE32E3">
              <w:rPr>
                <w:color w:val="000000"/>
                <w:spacing w:val="3"/>
                <w:shd w:val="solid" w:color="000000" w:fill="000000"/>
                <w:fitText w:val="338" w:id="-694446079"/>
                <w14:textFill>
                  <w14:solidFill>
                    <w14:srgbClr w14:val="000000">
                      <w14:alpha w14:val="100000"/>
                    </w14:srgbClr>
                  </w14:solidFill>
                </w14:textFill>
              </w:rPr>
              <w:t>|</w:t>
            </w:r>
            <w:r w:rsidRPr="00AA1240">
              <w:t xml:space="preserve"> for 100</w:t>
            </w:r>
            <w:r w:rsidR="008F697C">
              <w:t>×</w:t>
            </w:r>
            <w:r w:rsidRPr="00AA1240">
              <w:t>250mg tablets ($</w:t>
            </w:r>
            <w:r w:rsidR="008C30A7" w:rsidRPr="00FE32E3">
              <w:rPr>
                <w:color w:val="000000"/>
                <w:spacing w:val="51"/>
                <w:shd w:val="solid" w:color="000000" w:fill="000000"/>
                <w:fitText w:val="326" w:id="-694446078"/>
                <w14:textFill>
                  <w14:solidFill>
                    <w14:srgbClr w14:val="000000">
                      <w14:alpha w14:val="100000"/>
                    </w14:srgbClr>
                  </w14:solidFill>
                </w14:textFill>
              </w:rPr>
              <w:t>|||</w:t>
            </w:r>
            <w:r w:rsidR="008C30A7" w:rsidRPr="00FE32E3">
              <w:rPr>
                <w:color w:val="000000"/>
                <w:spacing w:val="3"/>
                <w:shd w:val="solid" w:color="000000" w:fill="000000"/>
                <w:fitText w:val="326" w:id="-694446078"/>
                <w14:textFill>
                  <w14:solidFill>
                    <w14:srgbClr w14:val="000000">
                      <w14:alpha w14:val="100000"/>
                    </w14:srgbClr>
                  </w14:solidFill>
                </w14:textFill>
              </w:rPr>
              <w:t>|</w:t>
            </w:r>
            <w:r w:rsidRPr="00AA1240">
              <w:t xml:space="preserve"> per tablet), and the corresponding cost of eflornithine treatment per 28-day cycle was estimated as $</w:t>
            </w:r>
            <w:r w:rsidR="008C30A7" w:rsidRPr="00FE32E3">
              <w:rPr>
                <w:color w:val="000000"/>
                <w:spacing w:val="51"/>
                <w:shd w:val="solid" w:color="000000" w:fill="000000"/>
                <w:fitText w:val="325" w:id="-694446077"/>
                <w14:textFill>
                  <w14:solidFill>
                    <w14:srgbClr w14:val="000000">
                      <w14:alpha w14:val="100000"/>
                    </w14:srgbClr>
                  </w14:solidFill>
                </w14:textFill>
              </w:rPr>
              <w:t>|||</w:t>
            </w:r>
            <w:r w:rsidR="008C30A7" w:rsidRPr="00FE32E3">
              <w:rPr>
                <w:color w:val="000000"/>
                <w:spacing w:val="2"/>
                <w:shd w:val="solid" w:color="000000" w:fill="000000"/>
                <w:fitText w:val="325" w:id="-694446077"/>
                <w14:textFill>
                  <w14:solidFill>
                    <w14:srgbClr w14:val="000000">
                      <w14:alpha w14:val="100000"/>
                    </w14:srgbClr>
                  </w14:solidFill>
                </w14:textFill>
              </w:rPr>
              <w:t>|</w:t>
            </w:r>
            <w:r w:rsidRPr="00AA1240">
              <w:t xml:space="preserve"> per cycle in Yr 1 and $</w:t>
            </w:r>
            <w:r w:rsidR="008C30A7" w:rsidRPr="00FE32E3">
              <w:rPr>
                <w:color w:val="000000"/>
                <w:spacing w:val="51"/>
                <w:shd w:val="solid" w:color="000000" w:fill="000000"/>
                <w:fitText w:val="325" w:id="-694446076"/>
                <w14:textFill>
                  <w14:solidFill>
                    <w14:srgbClr w14:val="000000">
                      <w14:alpha w14:val="100000"/>
                    </w14:srgbClr>
                  </w14:solidFill>
                </w14:textFill>
              </w:rPr>
              <w:t>|||</w:t>
            </w:r>
            <w:r w:rsidR="008C30A7" w:rsidRPr="00FE32E3">
              <w:rPr>
                <w:color w:val="000000"/>
                <w:spacing w:val="2"/>
                <w:shd w:val="solid" w:color="000000" w:fill="000000"/>
                <w:fitText w:val="325" w:id="-694446076"/>
                <w14:textFill>
                  <w14:solidFill>
                    <w14:srgbClr w14:val="000000">
                      <w14:alpha w14:val="100000"/>
                    </w14:srgbClr>
                  </w14:solidFill>
                </w14:textFill>
              </w:rPr>
              <w:t>|</w:t>
            </w:r>
            <w:r w:rsidRPr="00AA1240">
              <w:t xml:space="preserve"> per cycle in Yr 2. </w:t>
            </w:r>
            <w:r w:rsidR="004E037C" w:rsidRPr="00382521">
              <w:t>The evaluation noted that</w:t>
            </w:r>
            <w:r w:rsidR="004E037C">
              <w:t xml:space="preserve"> t</w:t>
            </w:r>
            <w:r w:rsidRPr="00AA1240">
              <w:t xml:space="preserve">here were several concerns with the cost of eflornithine applied in the model: </w:t>
            </w:r>
          </w:p>
          <w:p w14:paraId="5B1978DE" w14:textId="77777777" w:rsidR="00082AF4" w:rsidRDefault="00805FF8" w:rsidP="00611D97">
            <w:pPr>
              <w:pStyle w:val="TableText0"/>
              <w:keepNext w:val="0"/>
              <w:numPr>
                <w:ilvl w:val="0"/>
                <w:numId w:val="20"/>
              </w:numPr>
              <w:ind w:left="395" w:hanging="284"/>
            </w:pPr>
            <w:r w:rsidRPr="00AA1240">
              <w:t xml:space="preserve">use of EMP rather than DPMQ; </w:t>
            </w:r>
          </w:p>
          <w:p w14:paraId="6ED78F68" w14:textId="77777777" w:rsidR="00082AF4" w:rsidRDefault="00805FF8" w:rsidP="00611D97">
            <w:pPr>
              <w:pStyle w:val="TableText0"/>
              <w:keepNext w:val="0"/>
              <w:numPr>
                <w:ilvl w:val="0"/>
                <w:numId w:val="20"/>
              </w:numPr>
              <w:ind w:left="395" w:hanging="284"/>
            </w:pPr>
            <w:r w:rsidRPr="00AA1240">
              <w:t xml:space="preserve">&lt;100% </w:t>
            </w:r>
            <w:r w:rsidR="00FF4501" w:rsidRPr="00AA1240">
              <w:t xml:space="preserve">of </w:t>
            </w:r>
            <w:r w:rsidRPr="00AA1240">
              <w:t xml:space="preserve">patients received cost of eflornithine in the first model cycle; </w:t>
            </w:r>
          </w:p>
          <w:p w14:paraId="5BE0DB5C" w14:textId="77777777" w:rsidR="00082AF4" w:rsidRDefault="00805FF8" w:rsidP="00611D97">
            <w:pPr>
              <w:pStyle w:val="TableText0"/>
              <w:keepNext w:val="0"/>
              <w:numPr>
                <w:ilvl w:val="0"/>
                <w:numId w:val="20"/>
              </w:numPr>
              <w:ind w:left="395" w:hanging="284"/>
            </w:pPr>
            <w:r w:rsidRPr="00AA1240">
              <w:t xml:space="preserve">eflornithine could continue in relapse and this cost was double-counted; </w:t>
            </w:r>
          </w:p>
          <w:p w14:paraId="58030AFD" w14:textId="72FE5E3D" w:rsidR="00082AF4" w:rsidRDefault="00805FF8" w:rsidP="00611D97">
            <w:pPr>
              <w:pStyle w:val="TableText0"/>
              <w:keepNext w:val="0"/>
              <w:numPr>
                <w:ilvl w:val="0"/>
                <w:numId w:val="20"/>
              </w:numPr>
              <w:ind w:left="395" w:hanging="284"/>
            </w:pPr>
            <w:r w:rsidRPr="00AA1240">
              <w:t>pack wastage at the cohort level</w:t>
            </w:r>
            <w:r w:rsidR="00255F11">
              <w:t>,</w:t>
            </w:r>
            <w:r w:rsidRPr="00AA1240">
              <w:t xml:space="preserve"> which</w:t>
            </w:r>
            <w:r w:rsidR="00255F11">
              <w:t xml:space="preserve"> </w:t>
            </w:r>
            <w:r w:rsidR="00255F11" w:rsidRPr="00DB64B3">
              <w:t>the evaluation considered to be</w:t>
            </w:r>
            <w:r w:rsidRPr="00AA1240">
              <w:t xml:space="preserve"> uncertain; </w:t>
            </w:r>
          </w:p>
          <w:p w14:paraId="3897F047" w14:textId="7336DC8C" w:rsidR="00805FF8" w:rsidRPr="00AA1240" w:rsidRDefault="00805FF8" w:rsidP="00611D97">
            <w:pPr>
              <w:pStyle w:val="TableText0"/>
              <w:keepNext w:val="0"/>
              <w:numPr>
                <w:ilvl w:val="0"/>
                <w:numId w:val="20"/>
              </w:numPr>
              <w:ind w:left="395" w:hanging="284"/>
            </w:pPr>
            <w:r w:rsidRPr="00AA1240">
              <w:t>no dosing was directly from Study 3b, instead estimating dose based on projected BSA (estimated from patient age and sex) and then adjusting with a dose modifier (103.6%)</w:t>
            </w:r>
            <w:r w:rsidR="00690749">
              <w:t>,</w:t>
            </w:r>
            <w:r w:rsidRPr="00AA1240">
              <w:t xml:space="preserve"> which </w:t>
            </w:r>
            <w:r w:rsidR="0005230A" w:rsidRPr="00382521">
              <w:t>the evaluation</w:t>
            </w:r>
            <w:r w:rsidR="0005230A">
              <w:t xml:space="preserve"> </w:t>
            </w:r>
            <w:r w:rsidRPr="00AA1240">
              <w:t>could not verif</w:t>
            </w:r>
            <w:r w:rsidR="0005230A">
              <w:t>y</w:t>
            </w:r>
            <w:r w:rsidRPr="00AA1240">
              <w:t>.</w:t>
            </w:r>
            <w:r w:rsidR="00E96301" w:rsidRPr="00AA1240">
              <w:t xml:space="preserve"> Dose was no</w:t>
            </w:r>
            <w:r w:rsidR="002729A9" w:rsidRPr="00AA1240">
              <w:t>t</w:t>
            </w:r>
            <w:r w:rsidR="00E96301" w:rsidRPr="00AA1240">
              <w:t xml:space="preserve"> altered by changing age at baseline in the model.</w:t>
            </w:r>
          </w:p>
        </w:tc>
      </w:tr>
      <w:tr w:rsidR="00805FF8" w:rsidRPr="00AA1240" w14:paraId="74ABE463" w14:textId="77777777" w:rsidTr="00D137A3">
        <w:tc>
          <w:tcPr>
            <w:tcW w:w="862" w:type="pct"/>
          </w:tcPr>
          <w:p w14:paraId="1932E2FC" w14:textId="77777777" w:rsidR="00805FF8" w:rsidRPr="00AA1240" w:rsidRDefault="00805FF8" w:rsidP="00D137A3">
            <w:pPr>
              <w:pStyle w:val="TableText0"/>
              <w:keepNext w:val="0"/>
            </w:pPr>
            <w:r w:rsidRPr="00AA1240">
              <w:t xml:space="preserve">Subsequent therapy costs </w:t>
            </w:r>
          </w:p>
        </w:tc>
        <w:tc>
          <w:tcPr>
            <w:tcW w:w="4138" w:type="pct"/>
          </w:tcPr>
          <w:p w14:paraId="503AA3D4" w14:textId="407388A8" w:rsidR="00805FF8" w:rsidRPr="00AA1240" w:rsidRDefault="00805FF8" w:rsidP="00D137A3">
            <w:pPr>
              <w:pStyle w:val="TableText0"/>
              <w:keepNext w:val="0"/>
            </w:pPr>
            <w:r w:rsidRPr="00AA1240">
              <w:t xml:space="preserve">One-off cost </w:t>
            </w:r>
            <w:r w:rsidRPr="00CE6AE1">
              <w:t>($213,38</w:t>
            </w:r>
            <w:r w:rsidR="00D610A2" w:rsidRPr="00CE6AE1">
              <w:t>1</w:t>
            </w:r>
            <w:r w:rsidRPr="00AA1240">
              <w:t xml:space="preserve">) for a year of subsequent therapy (dinutuximab plus irinotecan and temozolomide, plus additional MIBG, CT and MRI costs) was applied to the proportion of patients relapsing each cycle. As the model was memoryless (i.e., did not follow individual patients), subsequent therapy costs were only applied if </w:t>
            </w:r>
            <w:r w:rsidR="00264263" w:rsidRPr="00AA1240">
              <w:t xml:space="preserve">the </w:t>
            </w:r>
            <w:r w:rsidRPr="00AA1240">
              <w:t>proportion in relapse</w:t>
            </w:r>
            <w:r w:rsidR="000056B3">
              <w:t xml:space="preserve"> in</w:t>
            </w:r>
            <w:r w:rsidRPr="00AA1240">
              <w:t xml:space="preserve"> each cycle had increased from </w:t>
            </w:r>
            <w:r w:rsidR="00264263" w:rsidRPr="00AA1240">
              <w:t xml:space="preserve">the </w:t>
            </w:r>
            <w:r w:rsidRPr="00AA1240">
              <w:t>previous cycle. Therefore, when mortality was equal to or exceeded the probability of relapse, the cost of relapse was not applied, and the proportion of patients receiving subsequent therapy was likely underestimated.</w:t>
            </w:r>
          </w:p>
        </w:tc>
      </w:tr>
    </w:tbl>
    <w:p w14:paraId="0165AB25" w14:textId="77777777" w:rsidR="00805FF8" w:rsidRDefault="00805FF8" w:rsidP="00805FF8">
      <w:pPr>
        <w:pStyle w:val="FooterTableFigure"/>
      </w:pPr>
      <w:r w:rsidRPr="005517B2">
        <w:t xml:space="preserve">Source: </w:t>
      </w:r>
      <w:r>
        <w:t xml:space="preserve">compiled during the evaluation using </w:t>
      </w:r>
      <w:r w:rsidRPr="005517B2">
        <w:t>Table 3-1, pp143-144, Section 3.2.4 p 152, Sections 3.4.2.1.-3.4.2.2, pp157-172, Table 3-16, p180</w:t>
      </w:r>
      <w:r>
        <w:t>, Section 3.6.1.1 pp181-184 Table 3-25, p187</w:t>
      </w:r>
      <w:r w:rsidRPr="005517B2">
        <w:t xml:space="preserve"> of the submission</w:t>
      </w:r>
    </w:p>
    <w:p w14:paraId="771B67D2" w14:textId="21B2F58E" w:rsidR="009077CA" w:rsidRDefault="00727048" w:rsidP="00805FF8">
      <w:pPr>
        <w:pStyle w:val="FooterTableFigure"/>
      </w:pPr>
      <w:r>
        <w:t>AEs</w:t>
      </w:r>
      <w:r w:rsidR="000C1ABC">
        <w:t xml:space="preserve"> = adverse events, </w:t>
      </w:r>
      <w:r w:rsidR="002D7959">
        <w:t>BSA=body surface area</w:t>
      </w:r>
      <w:r w:rsidR="00205D15">
        <w:t>,</w:t>
      </w:r>
      <w:r w:rsidR="002D7959">
        <w:t xml:space="preserve"> </w:t>
      </w:r>
      <w:r w:rsidR="004C2D79">
        <w:t xml:space="preserve">CT=computed tomography, </w:t>
      </w:r>
      <w:r w:rsidR="006A37C3">
        <w:t xml:space="preserve">DPMQ=dispensed price for maximum quantity, </w:t>
      </w:r>
      <w:r w:rsidR="00CB0C8A">
        <w:t xml:space="preserve">EF=event free, EFS=event free survival, </w:t>
      </w:r>
      <w:r w:rsidR="00DE0C2C">
        <w:t>EMP=ex-manufacturer price</w:t>
      </w:r>
      <w:r w:rsidR="00205D15">
        <w:t>,</w:t>
      </w:r>
      <w:r w:rsidR="00DE0C2C">
        <w:t xml:space="preserve"> </w:t>
      </w:r>
      <w:r w:rsidR="00CB4E04">
        <w:t xml:space="preserve">EQ-5D-5L=EuroQoL-5 dimensions-5 levels, </w:t>
      </w:r>
      <w:r w:rsidR="0084556E">
        <w:t xml:space="preserve">HR=hazard ratio, </w:t>
      </w:r>
      <w:r w:rsidR="00CB4E04">
        <w:t xml:space="preserve">HUI=health utilities index, </w:t>
      </w:r>
      <w:r w:rsidR="005B37B7">
        <w:t xml:space="preserve">ICER = incremental cost effectiveness ratio, </w:t>
      </w:r>
      <w:r w:rsidR="00F72F0B">
        <w:t xml:space="preserve">KM=Kaplan-Meier, </w:t>
      </w:r>
      <w:r w:rsidR="00E408CC">
        <w:t xml:space="preserve">LT=long-term, </w:t>
      </w:r>
      <w:r w:rsidR="00805FF8">
        <w:t xml:space="preserve">LY=life year, </w:t>
      </w:r>
      <w:r w:rsidR="00E721EA">
        <w:t>MIBG=</w:t>
      </w:r>
      <w:r w:rsidR="007A2153">
        <w:t>meta-</w:t>
      </w:r>
      <w:r w:rsidR="00756185" w:rsidRPr="00F079F1">
        <w:t>iodobenzylguanidine</w:t>
      </w:r>
      <w:r w:rsidR="00153778">
        <w:t xml:space="preserve">, </w:t>
      </w:r>
      <w:r w:rsidR="00320D0A">
        <w:t xml:space="preserve">MRI=magnetic resonance imaging, </w:t>
      </w:r>
      <w:r w:rsidR="00F375F5">
        <w:t xml:space="preserve">OS=overall survival, </w:t>
      </w:r>
      <w:r w:rsidR="003B4A18">
        <w:t>PSD=Public Summary Document</w:t>
      </w:r>
      <w:r w:rsidR="00F4164D">
        <w:t>,</w:t>
      </w:r>
      <w:r w:rsidR="003B4A18">
        <w:t xml:space="preserve"> </w:t>
      </w:r>
      <w:r w:rsidR="00BB6896">
        <w:t>PSM=</w:t>
      </w:r>
      <w:r w:rsidR="00191427">
        <w:t xml:space="preserve">propensity score matching, </w:t>
      </w:r>
      <w:r w:rsidR="00805FF8">
        <w:t>QALY=quality adjusted life year</w:t>
      </w:r>
      <w:r w:rsidR="00DD2FB6">
        <w:t>, SOC=standard of care.</w:t>
      </w:r>
      <w:r w:rsidR="00805FF8">
        <w:t xml:space="preserve"> </w:t>
      </w:r>
    </w:p>
    <w:p w14:paraId="2D512DB8" w14:textId="4DD93CD7" w:rsidR="00805FF8" w:rsidRPr="00585013" w:rsidRDefault="00805FF8" w:rsidP="004C33E7">
      <w:pPr>
        <w:pStyle w:val="3-BodyText"/>
      </w:pPr>
      <w:r w:rsidRPr="00585013">
        <w:t xml:space="preserve">EFS and OS extrapolations for </w:t>
      </w:r>
      <w:r w:rsidR="00264263" w:rsidRPr="00585013">
        <w:t xml:space="preserve">the </w:t>
      </w:r>
      <w:r w:rsidRPr="00585013">
        <w:t>Stratum 1 population were fit</w:t>
      </w:r>
      <w:r w:rsidR="00264263" w:rsidRPr="00585013">
        <w:t>ted</w:t>
      </w:r>
      <w:r w:rsidRPr="00585013">
        <w:t xml:space="preserve"> on all KM data available from the PSM analysis of Study 3b Stratum 1 and Study ANBL0032 (8.5 years in the eflornithine arm, 11.6 years in the SOC arm). A high proportion of patients were censored compared to those who experienced an event by Year 6, with less than 20% of each arm remaining at risk by Year 8 for both EFS and OS. As such, small numbers of patients shaped the long-term extrapolations. Based on visual and statistical fit, as well as clinical plausibility for the shape of the hazard over time, the submission chose Gompertz extrapolations for EFS and generalised gamma for OS in both arms of the Stratum 1 model. </w:t>
      </w:r>
      <w:r w:rsidR="00D1554D" w:rsidRPr="00585013">
        <w:t>The evaluation noted</w:t>
      </w:r>
      <w:r w:rsidRPr="00585013">
        <w:t xml:space="preserve"> the chosen extrapolations produced the </w:t>
      </w:r>
      <w:r w:rsidRPr="00585013">
        <w:lastRenderedPageBreak/>
        <w:t>longest tails for EFS and OS.</w:t>
      </w:r>
      <w:r w:rsidR="00892F2B" w:rsidRPr="00585013">
        <w:t xml:space="preserve"> The PSCR stated </w:t>
      </w:r>
      <w:r w:rsidR="00C13D31" w:rsidRPr="00585013">
        <w:t>that curve selection</w:t>
      </w:r>
      <w:r w:rsidR="00E91BA1" w:rsidRPr="00585013">
        <w:t xml:space="preserve"> was</w:t>
      </w:r>
      <w:r w:rsidR="00C13D31" w:rsidRPr="00585013">
        <w:t xml:space="preserve"> based on standard criteria (AIC, BIC</w:t>
      </w:r>
      <w:r w:rsidR="00F52E03" w:rsidRPr="00585013">
        <w:rPr>
          <w:rStyle w:val="FootnoteReference"/>
        </w:rPr>
        <w:footnoteReference w:id="18"/>
      </w:r>
      <w:r w:rsidR="00C13D31" w:rsidRPr="00585013">
        <w:t xml:space="preserve"> and visual fit). Additionally, the alternative distributions appear to overfit to the lower portion of the data, whilst the Gompertz</w:t>
      </w:r>
      <w:r w:rsidR="00B93CB9" w:rsidRPr="00585013">
        <w:t xml:space="preserve"> [for EFS]</w:t>
      </w:r>
      <w:r w:rsidR="00C13D31" w:rsidRPr="00585013">
        <w:t xml:space="preserve"> </w:t>
      </w:r>
      <w:r w:rsidR="00A269DD" w:rsidRPr="00585013">
        <w:t>was</w:t>
      </w:r>
      <w:r w:rsidR="00C13D31" w:rsidRPr="00585013">
        <w:t xml:space="preserve"> match</w:t>
      </w:r>
      <w:r w:rsidR="00A269DD" w:rsidRPr="00585013">
        <w:t>ed</w:t>
      </w:r>
      <w:r w:rsidR="00C13D31" w:rsidRPr="00585013">
        <w:t xml:space="preserve"> across the entirety of the data. </w:t>
      </w:r>
      <w:r w:rsidR="0003300D" w:rsidRPr="00585013">
        <w:t>The PSCR stated that</w:t>
      </w:r>
      <w:r w:rsidR="002669A8" w:rsidRPr="00585013">
        <w:t xml:space="preserve"> while</w:t>
      </w:r>
      <w:r w:rsidR="00C13D31" w:rsidRPr="00585013">
        <w:t xml:space="preserve"> a long tail is consistently observed</w:t>
      </w:r>
      <w:r w:rsidR="003D3DD3" w:rsidRPr="00585013">
        <w:t xml:space="preserve"> in HRNB studies</w:t>
      </w:r>
      <w:r w:rsidR="002669A8" w:rsidRPr="00585013">
        <w:t xml:space="preserve">, it was </w:t>
      </w:r>
      <w:r w:rsidR="00C13D31" w:rsidRPr="00585013">
        <w:t>acknowledged</w:t>
      </w:r>
      <w:r w:rsidR="00B36125" w:rsidRPr="00585013">
        <w:t xml:space="preserve"> </w:t>
      </w:r>
      <w:r w:rsidR="00C13D31" w:rsidRPr="00585013">
        <w:t>that any curve that demonstrates zero risk is implausible</w:t>
      </w:r>
      <w:r w:rsidR="00424973" w:rsidRPr="00585013">
        <w:t xml:space="preserve"> </w:t>
      </w:r>
      <w:r w:rsidR="00B36125" w:rsidRPr="00585013">
        <w:t>and this</w:t>
      </w:r>
      <w:r w:rsidR="00424973" w:rsidRPr="00585013">
        <w:t xml:space="preserve"> was</w:t>
      </w:r>
      <w:r w:rsidR="00C13D31" w:rsidRPr="00585013">
        <w:t xml:space="preserve"> addressed by application of a cure point</w:t>
      </w:r>
      <w:r w:rsidR="00432034" w:rsidRPr="00585013">
        <w:t xml:space="preserve"> (</w:t>
      </w:r>
      <w:r w:rsidR="00185636" w:rsidRPr="00585013">
        <w:t xml:space="preserve">see </w:t>
      </w:r>
      <w:r w:rsidR="00432034" w:rsidRPr="00585013">
        <w:t xml:space="preserve">paragraph </w:t>
      </w:r>
      <w:r w:rsidR="00432034" w:rsidRPr="00585013">
        <w:fldChar w:fldCharType="begin" w:fldLock="1"/>
      </w:r>
      <w:r w:rsidR="00432034" w:rsidRPr="00585013">
        <w:instrText xml:space="preserve"> REF _Ref190702586 \r \h </w:instrText>
      </w:r>
      <w:r w:rsidR="00DD5186" w:rsidRPr="00585013">
        <w:instrText xml:space="preserve"> \* MERGEFORMAT </w:instrText>
      </w:r>
      <w:r w:rsidR="00432034" w:rsidRPr="00585013">
        <w:fldChar w:fldCharType="separate"/>
      </w:r>
      <w:r w:rsidR="00AF2AB7" w:rsidRPr="00585013">
        <w:t>6.41</w:t>
      </w:r>
      <w:r w:rsidR="00432034" w:rsidRPr="00585013">
        <w:fldChar w:fldCharType="end"/>
      </w:r>
      <w:r w:rsidR="00185636" w:rsidRPr="00585013">
        <w:t xml:space="preserve"> below</w:t>
      </w:r>
      <w:r w:rsidR="00432034" w:rsidRPr="00585013">
        <w:t>)</w:t>
      </w:r>
      <w:r w:rsidR="00415304" w:rsidRPr="00585013">
        <w:t>,</w:t>
      </w:r>
      <w:r w:rsidR="00C13D31" w:rsidRPr="00585013">
        <w:t xml:space="preserve"> after which</w:t>
      </w:r>
      <w:r w:rsidR="00432034" w:rsidRPr="00585013">
        <w:t xml:space="preserve"> time</w:t>
      </w:r>
      <w:r w:rsidR="00C13D31" w:rsidRPr="00585013">
        <w:t xml:space="preserve"> general population mortality </w:t>
      </w:r>
      <w:r w:rsidR="005B1D2C" w:rsidRPr="00585013">
        <w:t>was</w:t>
      </w:r>
      <w:r w:rsidR="00C13D31" w:rsidRPr="00585013">
        <w:t xml:space="preserve"> applied.</w:t>
      </w:r>
    </w:p>
    <w:p w14:paraId="1E53A9D0" w14:textId="60BB347E" w:rsidR="00805FF8" w:rsidRPr="004E58C5" w:rsidRDefault="00805FF8" w:rsidP="00805FF8">
      <w:pPr>
        <w:pStyle w:val="3-BodyText"/>
      </w:pPr>
      <w:r w:rsidRPr="004E58C5">
        <w:t>For the Stratum 2 population, the submission applied an EFS hazard ratio of 5.13 (95%CI 2.56, 10.28) and OS hazard ratio 7.96 (95%CI 3.26, 19.43) to the Stratum 1 base case extrapolations of both arms. The hazard ratios were derived from the comparison of the Study 3b Stratum 2 population versus the Study 3b Stratum 1 PSM population.</w:t>
      </w:r>
      <w:r w:rsidR="00487E4E" w:rsidRPr="004E58C5">
        <w:rPr>
          <w:rStyle w:val="FootnoteReference"/>
        </w:rPr>
        <w:footnoteReference w:id="19"/>
      </w:r>
      <w:r w:rsidRPr="004E58C5">
        <w:t xml:space="preserve"> </w:t>
      </w:r>
      <w:r w:rsidR="003E5927" w:rsidRPr="004E58C5">
        <w:t>The evaluation noted that t</w:t>
      </w:r>
      <w:r w:rsidRPr="004E58C5">
        <w:t>his approach may overestimate the effect of eflornithine as it predicts a larger difference between the eflornithine and SOC arms in Stratum 2 than estimated in the PSM study for Stratum 1.</w:t>
      </w:r>
    </w:p>
    <w:p w14:paraId="0AA64C5C" w14:textId="4489EB98" w:rsidR="00805FF8" w:rsidRPr="003D331D" w:rsidRDefault="00805FF8" w:rsidP="00805FF8">
      <w:pPr>
        <w:pStyle w:val="3-BodyText"/>
      </w:pPr>
      <w:bookmarkStart w:id="58" w:name="_Ref190702586"/>
      <w:r>
        <w:t>As the base case EFS extrapolations would eventually exceed OS extrapolations in all arms of both models, EFS curves were capped to not exceed OS. The submission assumed a cure point in both the Stratum 1 and 2 populations at Year 7, and all patients in EFS at Year 7 transitioned to LT-remission.</w:t>
      </w:r>
      <w:r w:rsidRPr="00E177CE">
        <w:t xml:space="preserve"> </w:t>
      </w:r>
      <w:r w:rsidRPr="0081338E">
        <w:t>Without a set cure point, the extrapolations mimicked a cure point, with the EFS extrapolations all plateauing around Year 5, resulting in very few patients transitioning out of</w:t>
      </w:r>
      <w:r w:rsidR="00022293" w:rsidRPr="0081338E">
        <w:t xml:space="preserve"> the</w:t>
      </w:r>
      <w:r w:rsidRPr="0081338E">
        <w:t xml:space="preserve"> EF</w:t>
      </w:r>
      <w:r w:rsidR="00022293" w:rsidRPr="0081338E">
        <w:t xml:space="preserve"> health state</w:t>
      </w:r>
      <w:r w:rsidRPr="0081338E">
        <w:t xml:space="preserve"> before dying beyond Year 5. As such, the cure point only affected long term survival, rather than relapse rates.</w:t>
      </w:r>
      <w:bookmarkEnd w:id="58"/>
    </w:p>
    <w:p w14:paraId="28CC16F4" w14:textId="71ACD0F5" w:rsidR="00805FF8" w:rsidRPr="0081338E" w:rsidRDefault="00805FF8" w:rsidP="00805FF8">
      <w:pPr>
        <w:pStyle w:val="3-BodyText"/>
      </w:pPr>
      <w:r>
        <w:t xml:space="preserve">After the assumed cure point at Year 7, the OS extrapolations continued to be applied to relapsed patients, </w:t>
      </w:r>
      <w:r w:rsidRPr="0081338E">
        <w:t>which</w:t>
      </w:r>
      <w:r w:rsidR="00C0480C">
        <w:t xml:space="preserve"> </w:t>
      </w:r>
      <w:r w:rsidR="00C0480C" w:rsidRPr="00DD5186">
        <w:t>the evaluation considered</w:t>
      </w:r>
      <w:r w:rsidRPr="0081338E">
        <w:t xml:space="preserve"> may not be reasonable as they were estimated from both EF and relapsed patients and resulted in a survival benefit for relapsed patients in the eflornithine arm over the SOC arm. Mortality from LT-remission was estimated by applying a standardised mortality ratio (SMR) of 5.6 from Laverdière 2009 to age-based general population mortality (ABS life tables). This approach to mortality in LT-remission appeared similar to that previously applied in the dinutuximab submission to MSAC (Table 10, dinutuximab beta Public Summary Document</w:t>
      </w:r>
      <w:r w:rsidR="0084483A">
        <w:t xml:space="preserve"> </w:t>
      </w:r>
      <w:r w:rsidR="0084483A" w:rsidRPr="00CC5A13">
        <w:t>[PSD]</w:t>
      </w:r>
      <w:r w:rsidRPr="0081338E">
        <w:t>, July 2020 MSAC meeting), except applied to an earlier time point (Year 7 compared to Year 10 in the dinutuximab beta model).</w:t>
      </w:r>
    </w:p>
    <w:p w14:paraId="38994497" w14:textId="4A465368" w:rsidR="00805FF8" w:rsidRPr="0081338E" w:rsidRDefault="00805FF8" w:rsidP="00805FF8">
      <w:pPr>
        <w:pStyle w:val="3-BodyText"/>
      </w:pPr>
      <w:bookmarkStart w:id="59" w:name="_Ref194664548"/>
      <w:r>
        <w:t xml:space="preserve">Time to treatment discontinuation (TTD) of eflornithine was modelled based on the KM data for Stratum 1 in Study 3b, capped to not exceed mortality or 2 years maximum treatment. </w:t>
      </w:r>
      <w:r w:rsidR="008B140B">
        <w:t>T</w:t>
      </w:r>
      <w:r w:rsidRPr="0081338E">
        <w:t>ime on treatment was incorrectly applied to the modelled costs, with patients on treatment in relapse double-counted each cycle. Time on treatment was corrected during the evaluation, altering the base case</w:t>
      </w:r>
      <w:r w:rsidR="00004B36">
        <w:t xml:space="preserve"> </w:t>
      </w:r>
      <w:r w:rsidR="00004B36" w:rsidRPr="00DD5186">
        <w:t xml:space="preserve">incremental </w:t>
      </w:r>
      <w:r w:rsidR="00004B36" w:rsidRPr="00DD5186">
        <w:lastRenderedPageBreak/>
        <w:t>cost effectiveness ratios</w:t>
      </w:r>
      <w:r w:rsidRPr="0081338E">
        <w:t xml:space="preserve"> </w:t>
      </w:r>
      <w:r w:rsidR="00004B36">
        <w:t>(</w:t>
      </w:r>
      <w:r w:rsidRPr="0081338E">
        <w:t>ICERs</w:t>
      </w:r>
      <w:r w:rsidR="00004B36">
        <w:t>)</w:t>
      </w:r>
      <w:r w:rsidRPr="0081338E">
        <w:t xml:space="preserve"> from $</w:t>
      </w:r>
      <w:r w:rsidR="00967BED" w:rsidRPr="00967BED">
        <w:t>155,000 to &lt; $255,000</w:t>
      </w:r>
      <w:r w:rsidR="00606F0B">
        <w:t xml:space="preserve"> </w:t>
      </w:r>
      <w:r w:rsidRPr="0081338E">
        <w:t>per QALY gained for Stratum 1 and $</w:t>
      </w:r>
      <w:r w:rsidR="004F5C49" w:rsidRPr="004F5C49">
        <w:t>95,000 to &lt; $115,000</w:t>
      </w:r>
      <w:r w:rsidRPr="0081338E">
        <w:t xml:space="preserve"> per QALY gained for Stratum 2 to $</w:t>
      </w:r>
      <w:r w:rsidR="00022D30" w:rsidRPr="00967BED">
        <w:t>155,000 to &lt;</w:t>
      </w:r>
      <w:r w:rsidR="00606F0B">
        <w:t> </w:t>
      </w:r>
      <w:r w:rsidR="00022D30" w:rsidRPr="00967BED">
        <w:t>$255,000</w:t>
      </w:r>
      <w:r w:rsidRPr="0081338E">
        <w:t xml:space="preserve"> and $</w:t>
      </w:r>
      <w:r w:rsidR="00323DCD" w:rsidRPr="00323DCD">
        <w:t>75,000 to &lt; $95,000</w:t>
      </w:r>
      <w:r w:rsidRPr="0081338E">
        <w:t xml:space="preserve"> per QALY gained</w:t>
      </w:r>
      <w:r w:rsidR="00243371">
        <w:t>,</w:t>
      </w:r>
      <w:r w:rsidRPr="0081338E">
        <w:t xml:space="preserve"> respectively.</w:t>
      </w:r>
      <w:bookmarkEnd w:id="59"/>
    </w:p>
    <w:p w14:paraId="0D6F42D3" w14:textId="4168D4D2" w:rsidR="00805FF8" w:rsidRPr="00DD5186" w:rsidRDefault="00805FF8" w:rsidP="00805FF8">
      <w:pPr>
        <w:pStyle w:val="3-BodyText"/>
      </w:pPr>
      <w:r>
        <w:t>N</w:t>
      </w:r>
      <w:r w:rsidRPr="0018610E">
        <w:t xml:space="preserve">o quality of life data </w:t>
      </w:r>
      <w:r>
        <w:t xml:space="preserve">was </w:t>
      </w:r>
      <w:r w:rsidRPr="0018610E">
        <w:t xml:space="preserve">available from </w:t>
      </w:r>
      <w:r>
        <w:t>Study 3b</w:t>
      </w:r>
      <w:r w:rsidR="00876999">
        <w:t>;</w:t>
      </w:r>
      <w:r w:rsidRPr="0018610E">
        <w:t xml:space="preserve"> </w:t>
      </w:r>
      <w:r>
        <w:t>instead, the submission implemented an approach similar to that</w:t>
      </w:r>
      <w:r w:rsidR="000A6593">
        <w:t xml:space="preserve"> for</w:t>
      </w:r>
      <w:r>
        <w:t xml:space="preserve"> presented</w:t>
      </w:r>
      <w:r w:rsidR="00BB6273">
        <w:t xml:space="preserve"> for</w:t>
      </w:r>
      <w:r>
        <w:t xml:space="preserve"> dinutuximab beta </w:t>
      </w:r>
      <w:r w:rsidR="00B76057">
        <w:t>(</w:t>
      </w:r>
      <w:r w:rsidR="000A6593">
        <w:t>Table 10</w:t>
      </w:r>
      <w:r w:rsidR="00876999">
        <w:t>,</w:t>
      </w:r>
      <w:r w:rsidR="00F6759F">
        <w:t xml:space="preserve"> </w:t>
      </w:r>
      <w:r w:rsidR="002E357F">
        <w:t xml:space="preserve">dinutuximab beta </w:t>
      </w:r>
      <w:r w:rsidR="00BB6273">
        <w:t>PSD</w:t>
      </w:r>
      <w:r>
        <w:t>, July 2020 MSAC meeting</w:t>
      </w:r>
      <w:r w:rsidR="00BB6273">
        <w:t>)</w:t>
      </w:r>
      <w:r>
        <w:t>. T</w:t>
      </w:r>
      <w:r w:rsidRPr="0018610E">
        <w:t xml:space="preserve">he submission estimated age-based utility weights for patients in the </w:t>
      </w:r>
      <w:r>
        <w:t>EF, LT-remission and relapse</w:t>
      </w:r>
      <w:r w:rsidRPr="0018610E">
        <w:t xml:space="preserve"> health states</w:t>
      </w:r>
      <w:r>
        <w:t xml:space="preserve"> from </w:t>
      </w:r>
      <w:r w:rsidRPr="00A6578E">
        <w:t>EQ-5D-5L adult population norms (McCaffrey 2016)</w:t>
      </w:r>
      <w:r>
        <w:t xml:space="preserve"> with </w:t>
      </w:r>
      <w:r w:rsidRPr="00A6578E">
        <w:t>utility decrement</w:t>
      </w:r>
      <w:r>
        <w:t xml:space="preserve">s: </w:t>
      </w:r>
      <w:r w:rsidRPr="00A6578E">
        <w:t xml:space="preserve">7.3% for </w:t>
      </w:r>
      <w:r>
        <w:t>EF and LT remission</w:t>
      </w:r>
      <w:r w:rsidRPr="00A6578E">
        <w:t xml:space="preserve"> state</w:t>
      </w:r>
      <w:r>
        <w:t xml:space="preserve">s, </w:t>
      </w:r>
      <w:r w:rsidR="00050184">
        <w:t xml:space="preserve">and </w:t>
      </w:r>
      <w:r>
        <w:t xml:space="preserve">41.7% relapse </w:t>
      </w:r>
      <w:r w:rsidRPr="00A6578E">
        <w:t>state based on HUI2 and HUI3 values from Portwine 2016 and Barr 1999</w:t>
      </w:r>
      <w:r>
        <w:t xml:space="preserve">. </w:t>
      </w:r>
      <w:r w:rsidRPr="0081338E">
        <w:t xml:space="preserve">The submission assumed that utilities derived from HUI2, HUI3 and EQ-5D-5L were directly transferrable, </w:t>
      </w:r>
      <w:r w:rsidRPr="00DD5186">
        <w:t>which</w:t>
      </w:r>
      <w:r w:rsidR="008F5CC2" w:rsidRPr="00DD5186">
        <w:t xml:space="preserve"> the evaluation considered</w:t>
      </w:r>
      <w:r w:rsidRPr="0081338E">
        <w:t xml:space="preserve"> </w:t>
      </w:r>
      <w:r w:rsidR="00264263" w:rsidRPr="0081338E">
        <w:t>wa</w:t>
      </w:r>
      <w:r w:rsidRPr="0081338E">
        <w:t>s not methodologically appropriate</w:t>
      </w:r>
      <w:r w:rsidR="0061561C">
        <w:t xml:space="preserve">, </w:t>
      </w:r>
      <w:r w:rsidR="0061561C" w:rsidRPr="000052D5">
        <w:t>noting that</w:t>
      </w:r>
      <w:r w:rsidRPr="0081338E">
        <w:t xml:space="preserve"> </w:t>
      </w:r>
      <w:r w:rsidR="0061561C">
        <w:t>t</w:t>
      </w:r>
      <w:r w:rsidRPr="0081338E">
        <w:t xml:space="preserve">he ICERs were sensitive to the underlying general population and EF/LT-remission utility estimates. </w:t>
      </w:r>
      <w:r w:rsidR="009A6D0D" w:rsidRPr="00DD5186">
        <w:t xml:space="preserve">The PSCR </w:t>
      </w:r>
      <w:r w:rsidR="00EF6C3E" w:rsidRPr="00DD5186">
        <w:t>stated</w:t>
      </w:r>
      <w:r w:rsidR="009A6D0D" w:rsidRPr="00DD5186">
        <w:t xml:space="preserve"> t</w:t>
      </w:r>
      <w:r w:rsidR="00EF6C3E" w:rsidRPr="00DD5186">
        <w:t xml:space="preserve">hat in the absence of trial-based utility values from Study 3b, literature-based values were </w:t>
      </w:r>
      <w:r w:rsidR="00067C88" w:rsidRPr="00DD5186">
        <w:t>used</w:t>
      </w:r>
      <w:r w:rsidR="000B1286" w:rsidRPr="00DD5186">
        <w:t xml:space="preserve"> that have been considered appropriate for decision-making in the United Kingdom and Australia. </w:t>
      </w:r>
      <w:r w:rsidR="00067C88" w:rsidRPr="00DD5186">
        <w:t>Further,</w:t>
      </w:r>
      <w:r w:rsidR="00113EFC" w:rsidRPr="00DD5186">
        <w:t xml:space="preserve"> </w:t>
      </w:r>
      <w:r w:rsidR="00ED69A2" w:rsidRPr="00DD5186">
        <w:t xml:space="preserve">the </w:t>
      </w:r>
      <w:r w:rsidR="00113EFC" w:rsidRPr="00DD5186">
        <w:t xml:space="preserve">PSCR </w:t>
      </w:r>
      <w:r w:rsidR="00C47161" w:rsidRPr="00DD5186">
        <w:t>referred to</w:t>
      </w:r>
      <w:r w:rsidR="00113EFC" w:rsidRPr="00DD5186">
        <w:t xml:space="preserve"> the challenge of </w:t>
      </w:r>
      <w:r w:rsidR="00C47161" w:rsidRPr="00DD5186">
        <w:t>measuring QoL for very rare diseases in an orphan, paediatric population such as HRNB.</w:t>
      </w:r>
    </w:p>
    <w:p w14:paraId="7C8EDE1B" w14:textId="7C637585" w:rsidR="00805FF8" w:rsidRPr="00693D8A" w:rsidRDefault="00805FF8" w:rsidP="00805FF8">
      <w:pPr>
        <w:pStyle w:val="3-BodyText"/>
      </w:pPr>
      <w:r w:rsidRPr="00693D8A">
        <w:t xml:space="preserve">The cost of eflornithine was based on </w:t>
      </w:r>
      <w:r w:rsidR="00CF03F7">
        <w:t>an ex-manufacturer price</w:t>
      </w:r>
      <w:r w:rsidR="00CF03F7" w:rsidRPr="00693D8A">
        <w:t xml:space="preserve"> </w:t>
      </w:r>
      <w:r w:rsidR="00CF03F7">
        <w:t>(</w:t>
      </w:r>
      <w:r w:rsidRPr="00693D8A">
        <w:t>EMP</w:t>
      </w:r>
      <w:r w:rsidR="00CF03F7">
        <w:t>)</w:t>
      </w:r>
      <w:r w:rsidRPr="00693D8A">
        <w:t xml:space="preserve"> of $</w:t>
      </w:r>
      <w:r w:rsidR="008C30A7" w:rsidRPr="00F6759F">
        <w:rPr>
          <w:color w:val="000000"/>
          <w:spacing w:val="6"/>
          <w:w w:val="62"/>
          <w:shd w:val="solid" w:color="000000" w:fill="000000"/>
          <w:fitText w:val="481" w:id="-694446075"/>
          <w14:textFill>
            <w14:solidFill>
              <w14:srgbClr w14:val="000000">
                <w14:alpha w14:val="100000"/>
              </w14:srgbClr>
            </w14:solidFill>
          </w14:textFill>
        </w:rPr>
        <w:t>|||</w:t>
      </w:r>
      <w:r w:rsidR="00F6759F" w:rsidRPr="00F6759F">
        <w:rPr>
          <w:color w:val="000000"/>
          <w:spacing w:val="6"/>
          <w:w w:val="62"/>
          <w:shd w:val="solid" w:color="000000" w:fill="000000"/>
          <w:fitText w:val="481" w:id="-694446075"/>
          <w14:textFill>
            <w14:solidFill>
              <w14:srgbClr w14:val="000000">
                <w14:alpha w14:val="100000"/>
              </w14:srgbClr>
            </w14:solidFill>
          </w14:textFill>
        </w:rPr>
        <w:t xml:space="preserve"> </w:t>
      </w:r>
      <w:r w:rsidR="008C30A7" w:rsidRPr="00F6759F">
        <w:rPr>
          <w:color w:val="000000"/>
          <w:spacing w:val="6"/>
          <w:w w:val="62"/>
          <w:shd w:val="solid" w:color="000000" w:fill="000000"/>
          <w:fitText w:val="481" w:id="-694446075"/>
          <w14:textFill>
            <w14:solidFill>
              <w14:srgbClr w14:val="000000">
                <w14:alpha w14:val="100000"/>
              </w14:srgbClr>
            </w14:solidFill>
          </w14:textFill>
        </w:rPr>
        <w:t>||</w:t>
      </w:r>
      <w:r w:rsidR="008C30A7" w:rsidRPr="00F6759F">
        <w:rPr>
          <w:color w:val="000000"/>
          <w:spacing w:val="1"/>
          <w:w w:val="62"/>
          <w:shd w:val="solid" w:color="000000" w:fill="000000"/>
          <w:fitText w:val="481" w:id="-694446075"/>
          <w14:textFill>
            <w14:solidFill>
              <w14:srgbClr w14:val="000000">
                <w14:alpha w14:val="100000"/>
              </w14:srgbClr>
            </w14:solidFill>
          </w14:textFill>
        </w:rPr>
        <w:t>|</w:t>
      </w:r>
      <w:r w:rsidRPr="00693D8A">
        <w:t xml:space="preserve"> for 100x250</w:t>
      </w:r>
      <w:r w:rsidR="0007735D">
        <w:t> </w:t>
      </w:r>
      <w:r w:rsidRPr="00693D8A">
        <w:t>mg tablets ($</w:t>
      </w:r>
      <w:r w:rsidR="008C30A7" w:rsidRPr="002409D6">
        <w:rPr>
          <w:color w:val="000000"/>
          <w:w w:val="15"/>
          <w:shd w:val="solid" w:color="000000" w:fill="000000"/>
          <w:fitText w:val="-20" w:id="-694446074"/>
          <w14:textFill>
            <w14:solidFill>
              <w14:srgbClr w14:val="000000">
                <w14:alpha w14:val="100000"/>
              </w14:srgbClr>
            </w14:solidFill>
          </w14:textFill>
        </w:rPr>
        <w:t>|</w:t>
      </w:r>
      <w:r w:rsidR="00F6759F" w:rsidRPr="002409D6">
        <w:rPr>
          <w:color w:val="000000"/>
          <w:w w:val="15"/>
          <w:shd w:val="solid" w:color="000000" w:fill="000000"/>
          <w:fitText w:val="-20" w:id="-694446074"/>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4"/>
          <w14:textFill>
            <w14:solidFill>
              <w14:srgbClr w14:val="000000">
                <w14:alpha w14:val="100000"/>
              </w14:srgbClr>
            </w14:solidFill>
          </w14:textFill>
        </w:rPr>
        <w:t>|</w:t>
      </w:r>
      <w:r w:rsidRPr="0007735D">
        <w:t xml:space="preserve"> </w:t>
      </w:r>
      <w:r w:rsidRPr="00693D8A">
        <w:t xml:space="preserve">per tablet). The submission assumed patients would receive a weighted average of </w:t>
      </w:r>
      <w:r w:rsidRPr="0007735D">
        <w:t>4.7</w:t>
      </w:r>
      <w:r w:rsidRPr="00693D8A">
        <w:t xml:space="preserve"> tablets per day in Year 1 and a weighted average of </w:t>
      </w:r>
      <w:r w:rsidRPr="0007735D">
        <w:t>5.2</w:t>
      </w:r>
      <w:r w:rsidR="004E58C5">
        <w:t> </w:t>
      </w:r>
      <w:r w:rsidRPr="00693D8A">
        <w:t>tablets per day in Year 2 based on projected BSA distribution in Study 3b Stratum</w:t>
      </w:r>
      <w:r w:rsidR="004E58C5">
        <w:t> </w:t>
      </w:r>
      <w:r w:rsidRPr="00693D8A">
        <w:t>1</w:t>
      </w:r>
      <w:r w:rsidR="0079405D">
        <w:t>,</w:t>
      </w:r>
      <w:r w:rsidRPr="00693D8A">
        <w:t xml:space="preserve"> according to </w:t>
      </w:r>
      <w:r w:rsidR="00264263">
        <w:t xml:space="preserve">the </w:t>
      </w:r>
      <w:r w:rsidR="00E07B05">
        <w:t xml:space="preserve">individual </w:t>
      </w:r>
      <w:r w:rsidRPr="00693D8A">
        <w:t xml:space="preserve">age and sex of </w:t>
      </w:r>
      <w:r w:rsidR="00264263">
        <w:t xml:space="preserve">the </w:t>
      </w:r>
      <w:r w:rsidRPr="00693D8A">
        <w:t>patient</w:t>
      </w:r>
      <w:r w:rsidR="00E07B05">
        <w:t xml:space="preserve">s in </w:t>
      </w:r>
      <w:r w:rsidR="00E07B05" w:rsidRPr="00693D8A">
        <w:t>Study 3b Stratum 1</w:t>
      </w:r>
      <w:r w:rsidRPr="00693D8A">
        <w:t>. With a dosing adjustment of 103.6% based on the comparison of actual treatment versus predicted treatment received for the Study 3b Stratum 1 safety set (n=85), the corresponding cost of eflornithine treatment was $</w:t>
      </w:r>
      <w:r w:rsidR="008C30A7" w:rsidRPr="002409D6">
        <w:rPr>
          <w:color w:val="000000"/>
          <w:w w:val="15"/>
          <w:shd w:val="solid" w:color="000000" w:fill="000000"/>
          <w:fitText w:val="-20" w:id="-694446073"/>
          <w14:textFill>
            <w14:solidFill>
              <w14:srgbClr w14:val="000000">
                <w14:alpha w14:val="100000"/>
              </w14:srgbClr>
            </w14:solidFill>
          </w14:textFill>
        </w:rPr>
        <w:t>|</w:t>
      </w:r>
      <w:r w:rsidR="00F6759F" w:rsidRPr="002409D6">
        <w:rPr>
          <w:color w:val="000000"/>
          <w:w w:val="15"/>
          <w:shd w:val="solid" w:color="000000" w:fill="000000"/>
          <w:fitText w:val="-20" w:id="-694446073"/>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3"/>
          <w14:textFill>
            <w14:solidFill>
              <w14:srgbClr w14:val="000000">
                <w14:alpha w14:val="100000"/>
              </w14:srgbClr>
            </w14:solidFill>
          </w14:textFill>
        </w:rPr>
        <w:t>|</w:t>
      </w:r>
      <w:r w:rsidRPr="0007735D">
        <w:t xml:space="preserve"> </w:t>
      </w:r>
      <w:r w:rsidRPr="00693D8A">
        <w:t xml:space="preserve">per 28-day cycle in </w:t>
      </w:r>
      <w:r w:rsidR="008878FE" w:rsidRPr="00693D8A">
        <w:t>Year</w:t>
      </w:r>
      <w:r w:rsidR="008878FE">
        <w:t> </w:t>
      </w:r>
      <w:r w:rsidRPr="00693D8A">
        <w:t>1 and $</w:t>
      </w:r>
      <w:r w:rsidR="008C30A7" w:rsidRPr="002409D6">
        <w:rPr>
          <w:color w:val="000000"/>
          <w:w w:val="15"/>
          <w:shd w:val="solid" w:color="000000" w:fill="000000"/>
          <w:fitText w:val="-20" w:id="-694446072"/>
          <w14:textFill>
            <w14:solidFill>
              <w14:srgbClr w14:val="000000">
                <w14:alpha w14:val="100000"/>
              </w14:srgbClr>
            </w14:solidFill>
          </w14:textFill>
        </w:rPr>
        <w:t>|</w:t>
      </w:r>
      <w:r w:rsidR="00F6759F" w:rsidRPr="002409D6">
        <w:rPr>
          <w:color w:val="000000"/>
          <w:w w:val="15"/>
          <w:shd w:val="solid" w:color="000000" w:fill="000000"/>
          <w:fitText w:val="-20" w:id="-694446072"/>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2"/>
          <w14:textFill>
            <w14:solidFill>
              <w14:srgbClr w14:val="000000">
                <w14:alpha w14:val="100000"/>
              </w14:srgbClr>
            </w14:solidFill>
          </w14:textFill>
        </w:rPr>
        <w:t>|</w:t>
      </w:r>
      <w:r w:rsidRPr="0007735D">
        <w:t xml:space="preserve"> </w:t>
      </w:r>
      <w:r w:rsidRPr="00693D8A">
        <w:t>per 28-day cycle in Year 2. Pack wastage was also applied, where the number of tablets required for the cohort was rounded to the nearest 100 each cycle. Per cycle cost was applied to the proportion of patients estimated to be on treatment in the EF and relapse states.</w:t>
      </w:r>
    </w:p>
    <w:p w14:paraId="522EAAB2" w14:textId="77777777" w:rsidR="00624B08" w:rsidRDefault="00805FF8" w:rsidP="00805FF8">
      <w:pPr>
        <w:pStyle w:val="3-BodyText"/>
      </w:pPr>
      <w:r w:rsidRPr="0081338E">
        <w:t>There were several concerns with the cost of eflornithine applied in the model in addition to the double-counting of patients receiving eflornithine in relapse, such as</w:t>
      </w:r>
      <w:r w:rsidR="00624B08">
        <w:t>:</w:t>
      </w:r>
      <w:r w:rsidRPr="0081338E">
        <w:t xml:space="preserve"> </w:t>
      </w:r>
    </w:p>
    <w:p w14:paraId="51E78177" w14:textId="1C0EB2FC" w:rsidR="00624B08" w:rsidRDefault="00805FF8" w:rsidP="002C18A6">
      <w:pPr>
        <w:pStyle w:val="3-BodyText"/>
        <w:numPr>
          <w:ilvl w:val="0"/>
          <w:numId w:val="21"/>
        </w:numPr>
        <w:spacing w:before="0"/>
        <w:ind w:left="1134" w:hanging="357"/>
      </w:pPr>
      <w:r w:rsidRPr="0081338E">
        <w:t>utilising EMP rather than</w:t>
      </w:r>
      <w:r w:rsidR="00C269F9">
        <w:t xml:space="preserve"> the </w:t>
      </w:r>
      <w:r w:rsidR="00B07FF3">
        <w:t>d</w:t>
      </w:r>
      <w:r w:rsidR="00C269F9">
        <w:t xml:space="preserve">ispensed </w:t>
      </w:r>
      <w:r w:rsidR="00B07FF3">
        <w:t>p</w:t>
      </w:r>
      <w:r w:rsidR="00C269F9">
        <w:t xml:space="preserve">rice for </w:t>
      </w:r>
      <w:r w:rsidR="00B07FF3">
        <w:t>m</w:t>
      </w:r>
      <w:r w:rsidR="00C269F9">
        <w:t xml:space="preserve">aximum </w:t>
      </w:r>
      <w:r w:rsidR="00B07FF3">
        <w:t>q</w:t>
      </w:r>
      <w:r w:rsidR="00C269F9">
        <w:t>uantiti</w:t>
      </w:r>
      <w:r w:rsidR="001A3FFC">
        <w:t>es</w:t>
      </w:r>
      <w:r w:rsidRPr="0081338E">
        <w:t xml:space="preserve"> </w:t>
      </w:r>
      <w:r w:rsidR="001A3FFC">
        <w:t>(</w:t>
      </w:r>
      <w:r w:rsidRPr="0081338E">
        <w:t>DPMQs</w:t>
      </w:r>
      <w:r w:rsidR="001A3FFC">
        <w:t>)</w:t>
      </w:r>
      <w:r w:rsidR="00624B08">
        <w:t>;</w:t>
      </w:r>
      <w:r w:rsidRPr="0081338E">
        <w:t xml:space="preserve"> </w:t>
      </w:r>
    </w:p>
    <w:p w14:paraId="74C255E5" w14:textId="01B2D263" w:rsidR="00624B08" w:rsidRDefault="00805FF8" w:rsidP="002C18A6">
      <w:pPr>
        <w:pStyle w:val="3-BodyText"/>
        <w:numPr>
          <w:ilvl w:val="0"/>
          <w:numId w:val="21"/>
        </w:numPr>
        <w:spacing w:before="0"/>
        <w:ind w:left="1134" w:hanging="357"/>
      </w:pPr>
      <w:r w:rsidRPr="0081338E">
        <w:t>not costing eflornithine for 0.4% patients in the first model cycle</w:t>
      </w:r>
      <w:r w:rsidR="00624B08">
        <w:t>;</w:t>
      </w:r>
      <w:r w:rsidRPr="0081338E">
        <w:t xml:space="preserve"> </w:t>
      </w:r>
    </w:p>
    <w:p w14:paraId="088AD1B4" w14:textId="7060D377" w:rsidR="00624B08" w:rsidRDefault="00805FF8" w:rsidP="002C18A6">
      <w:pPr>
        <w:pStyle w:val="3-BodyText"/>
        <w:numPr>
          <w:ilvl w:val="0"/>
          <w:numId w:val="21"/>
        </w:numPr>
        <w:spacing w:before="0"/>
        <w:ind w:left="1134" w:hanging="357"/>
      </w:pPr>
      <w:r w:rsidRPr="0081338E">
        <w:t>the dose modifier not be</w:t>
      </w:r>
      <w:r w:rsidR="00571996">
        <w:t>ing</w:t>
      </w:r>
      <w:r w:rsidRPr="0081338E">
        <w:t xml:space="preserve"> verifi</w:t>
      </w:r>
      <w:r w:rsidR="00571996">
        <w:t>able</w:t>
      </w:r>
      <w:r w:rsidR="00295876">
        <w:t>;</w:t>
      </w:r>
      <w:r w:rsidR="00E07B05" w:rsidRPr="0081338E">
        <w:t xml:space="preserve"> </w:t>
      </w:r>
    </w:p>
    <w:p w14:paraId="049ACE79" w14:textId="4D9D8187" w:rsidR="00624B08" w:rsidRDefault="00E07B05" w:rsidP="002C18A6">
      <w:pPr>
        <w:pStyle w:val="3-BodyText"/>
        <w:numPr>
          <w:ilvl w:val="0"/>
          <w:numId w:val="21"/>
        </w:numPr>
        <w:spacing w:before="0"/>
        <w:ind w:left="1134" w:hanging="357"/>
      </w:pPr>
      <w:r w:rsidRPr="0081338E">
        <w:t>age at baseline not affect</w:t>
      </w:r>
      <w:r w:rsidR="00295876">
        <w:t>ing</w:t>
      </w:r>
      <w:r w:rsidRPr="0081338E">
        <w:t xml:space="preserve"> the dose estimates</w:t>
      </w:r>
      <w:r w:rsidR="00805FF8" w:rsidRPr="0081338E">
        <w:t xml:space="preserve">. </w:t>
      </w:r>
    </w:p>
    <w:p w14:paraId="5E5E5123" w14:textId="20DAA664" w:rsidR="00805FF8" w:rsidRPr="0081338E" w:rsidRDefault="00805FF8" w:rsidP="00805FF8">
      <w:pPr>
        <w:pStyle w:val="3-BodyText"/>
      </w:pPr>
      <w:r w:rsidRPr="001D00DA">
        <w:t>The EF and relapse health states accrued costs per cycle for</w:t>
      </w:r>
      <w:r w:rsidR="00264263">
        <w:t xml:space="preserve"> </w:t>
      </w:r>
      <w:r w:rsidR="00264263" w:rsidRPr="00F079F1">
        <w:t>meta-iodobenzylguanidine</w:t>
      </w:r>
      <w:r w:rsidRPr="001D00DA">
        <w:t xml:space="preserve"> </w:t>
      </w:r>
      <w:r w:rsidR="00264263">
        <w:t>(</w:t>
      </w:r>
      <w:r w:rsidRPr="001D00DA">
        <w:t>MIBG</w:t>
      </w:r>
      <w:r w:rsidR="00264263">
        <w:t>)</w:t>
      </w:r>
      <w:r w:rsidRPr="001D00DA">
        <w:t xml:space="preserve">, CT scan, MRI, blood, urine, bone marrow testing and abdominal ultrasound. </w:t>
      </w:r>
      <w:r w:rsidRPr="00724A8E">
        <w:rPr>
          <w:caps/>
        </w:rPr>
        <w:t>The</w:t>
      </w:r>
      <w:r w:rsidRPr="001D00DA">
        <w:t xml:space="preserve"> frequency was based on expert opinion from 10 paediatric oncologists (6 specialising in HRNB). </w:t>
      </w:r>
    </w:p>
    <w:p w14:paraId="635B9C1B" w14:textId="39A9ECAC" w:rsidR="00805FF8" w:rsidRPr="0081338E" w:rsidRDefault="00805FF8" w:rsidP="00805FF8">
      <w:pPr>
        <w:pStyle w:val="3-BodyText"/>
      </w:pPr>
      <w:r>
        <w:lastRenderedPageBreak/>
        <w:t>A one-off cost ($</w:t>
      </w:r>
      <w:r w:rsidRPr="00DE1B36">
        <w:t>213,38</w:t>
      </w:r>
      <w:r w:rsidR="00CB21EC" w:rsidRPr="00DE1B36">
        <w:t>1</w:t>
      </w:r>
      <w:r>
        <w:t xml:space="preserve">) for a year of subsequent therapy (dinutuximab plus irinotecan and temozolomide plus additional MIBG, CT and MRI costs for diagnosing relapse, based on clinical opinion) was </w:t>
      </w:r>
      <w:r w:rsidR="00AF2AB7">
        <w:t xml:space="preserve">applied </w:t>
      </w:r>
      <w:r>
        <w:t xml:space="preserve">to the proportion of patients relapsing each cycle. </w:t>
      </w:r>
      <w:bookmarkStart w:id="60" w:name="_Hlk187249083"/>
      <w:r w:rsidRPr="0081338E">
        <w:t>There are currently no specific guidelines for treatment in relapse</w:t>
      </w:r>
      <w:bookmarkEnd w:id="60"/>
      <w:r w:rsidRPr="0081338E">
        <w:t xml:space="preserve"> and not all patients who experience relapse will receive a full year of treatment (particularly Stratum 2 patients who have a longer history of prior treatment than Stratum 1 patients)</w:t>
      </w:r>
      <w:r w:rsidR="00865337">
        <w:t>;</w:t>
      </w:r>
      <w:r w:rsidRPr="0081338E">
        <w:t xml:space="preserve"> therefore</w:t>
      </w:r>
      <w:r w:rsidR="00865337">
        <w:t>,</w:t>
      </w:r>
      <w:r w:rsidRPr="0081338E">
        <w:t xml:space="preserve"> </w:t>
      </w:r>
      <w:r w:rsidR="00AB3B56" w:rsidRPr="00DD5186">
        <w:t xml:space="preserve">the evaluation considered that </w:t>
      </w:r>
      <w:r w:rsidRPr="0081338E">
        <w:t xml:space="preserve">this one-off cost may be </w:t>
      </w:r>
      <w:r w:rsidRPr="007874BF">
        <w:t>overestimated.</w:t>
      </w:r>
      <w:r w:rsidR="007878AA">
        <w:t xml:space="preserve"> Removing the cost </w:t>
      </w:r>
      <w:r w:rsidR="003F28AA">
        <w:t xml:space="preserve">of subsequent therapy increased the Stratum 1 ICER by </w:t>
      </w:r>
      <w:r w:rsidR="008C30A7" w:rsidRPr="002409D6">
        <w:rPr>
          <w:color w:val="000000"/>
          <w:w w:val="15"/>
          <w:shd w:val="solid" w:color="000000" w:fill="000000"/>
          <w:fitText w:val="-20" w:id="-694446071"/>
          <w14:textFill>
            <w14:solidFill>
              <w14:srgbClr w14:val="000000">
                <w14:alpha w14:val="100000"/>
              </w14:srgbClr>
            </w14:solidFill>
          </w14:textFill>
        </w:rPr>
        <w:t>|</w:t>
      </w:r>
      <w:r w:rsidR="00F6759F" w:rsidRPr="002409D6">
        <w:rPr>
          <w:color w:val="000000"/>
          <w:w w:val="15"/>
          <w:shd w:val="solid" w:color="000000" w:fill="000000"/>
          <w:fitText w:val="-20" w:id="-694446071"/>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1"/>
          <w14:textFill>
            <w14:solidFill>
              <w14:srgbClr w14:val="000000">
                <w14:alpha w14:val="100000"/>
              </w14:srgbClr>
            </w14:solidFill>
          </w14:textFill>
        </w:rPr>
        <w:t>|</w:t>
      </w:r>
      <w:r w:rsidR="003F28AA">
        <w:t xml:space="preserve">%. </w:t>
      </w:r>
    </w:p>
    <w:p w14:paraId="4C80A355" w14:textId="4AA96B4E" w:rsidR="00805FF8" w:rsidRPr="0081338E" w:rsidRDefault="00805FF8" w:rsidP="00805FF8">
      <w:pPr>
        <w:pStyle w:val="3-BodyText"/>
        <w:rPr>
          <w:iCs/>
        </w:rPr>
      </w:pPr>
      <w:r w:rsidRPr="0081338E">
        <w:rPr>
          <w:iCs/>
        </w:rPr>
        <w:t xml:space="preserve">Cohort traces are presented in </w:t>
      </w:r>
      <w:r w:rsidRPr="0081338E">
        <w:rPr>
          <w:iCs/>
        </w:rPr>
        <w:fldChar w:fldCharType="begin" w:fldLock="1"/>
      </w:r>
      <w:r w:rsidRPr="0081338E">
        <w:rPr>
          <w:iCs/>
        </w:rPr>
        <w:instrText xml:space="preserve"> REF _Ref187249713  \* MERGEFORMAT </w:instrText>
      </w:r>
      <w:r w:rsidRPr="0081338E">
        <w:rPr>
          <w:iCs/>
        </w:rPr>
        <w:fldChar w:fldCharType="separate"/>
      </w:r>
      <w:r w:rsidR="00AF2AB7" w:rsidRPr="00AF2AB7">
        <w:rPr>
          <w:iCs/>
        </w:rPr>
        <w:t xml:space="preserve">Figure </w:t>
      </w:r>
      <w:r w:rsidR="00AF2AB7" w:rsidRPr="00AF2AB7">
        <w:rPr>
          <w:iCs/>
          <w:noProof/>
        </w:rPr>
        <w:t>4</w:t>
      </w:r>
      <w:r w:rsidRPr="0081338E">
        <w:rPr>
          <w:iCs/>
        </w:rPr>
        <w:fldChar w:fldCharType="end"/>
      </w:r>
      <w:r w:rsidRPr="0081338E">
        <w:rPr>
          <w:iCs/>
        </w:rPr>
        <w:t>. For the majority of the time horizon, Stratum 1 patients were either in EF, LT-remission or dead state, with a low percentage of patients who ever enter</w:t>
      </w:r>
      <w:r w:rsidR="0097533E" w:rsidRPr="0081338E">
        <w:rPr>
          <w:iCs/>
        </w:rPr>
        <w:t>ed</w:t>
      </w:r>
      <w:r w:rsidRPr="0081338E">
        <w:rPr>
          <w:iCs/>
        </w:rPr>
        <w:t xml:space="preserve"> the relapse health state, which was consistent with the choice of EFS extrapolation and assumption that patients who achieve long term EFS will not experience disease progression beyond Year 7. In both models, the absolute incremental difference in health state occupancy of the relapse state was small, though the relative incremental difference was larger, given the improved survival in the eflornithine arms. At the end of the time horizon 0% patients remained alive in either arm o</w:t>
      </w:r>
      <w:r w:rsidR="00484DE0" w:rsidRPr="0081338E">
        <w:rPr>
          <w:iCs/>
        </w:rPr>
        <w:t>f</w:t>
      </w:r>
      <w:r w:rsidRPr="0081338E">
        <w:rPr>
          <w:iCs/>
        </w:rPr>
        <w:t xml:space="preserve"> both models.</w:t>
      </w:r>
    </w:p>
    <w:p w14:paraId="7E06C074" w14:textId="324B0C94" w:rsidR="00805FF8" w:rsidRPr="00FC5F0B" w:rsidRDefault="00805FF8" w:rsidP="00805FF8">
      <w:pPr>
        <w:pStyle w:val="TableFigureHeading"/>
      </w:pPr>
      <w:bookmarkStart w:id="61" w:name="_Ref187249713"/>
      <w:r>
        <w:t xml:space="preserve">Figure </w:t>
      </w:r>
      <w:r w:rsidR="00AF2AB7">
        <w:fldChar w:fldCharType="begin" w:fldLock="1"/>
      </w:r>
      <w:r w:rsidR="00AF2AB7">
        <w:instrText xml:space="preserve"> SEQ Figure \* ARABIC </w:instrText>
      </w:r>
      <w:r w:rsidR="00AF2AB7">
        <w:fldChar w:fldCharType="separate"/>
      </w:r>
      <w:r w:rsidR="00AF2AB7">
        <w:rPr>
          <w:noProof/>
        </w:rPr>
        <w:t>4</w:t>
      </w:r>
      <w:r w:rsidR="00AF2AB7">
        <w:rPr>
          <w:noProof/>
        </w:rPr>
        <w:fldChar w:fldCharType="end"/>
      </w:r>
      <w:bookmarkEnd w:id="61"/>
      <w:r>
        <w:t>: Health state allocation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805FF8" w14:paraId="03EE6C2E" w14:textId="77777777" w:rsidTr="0097533E">
        <w:tc>
          <w:tcPr>
            <w:tcW w:w="4508" w:type="dxa"/>
            <w:vAlign w:val="center"/>
          </w:tcPr>
          <w:p w14:paraId="64121468" w14:textId="77777777" w:rsidR="00805FF8" w:rsidRDefault="00805FF8" w:rsidP="00D137A3">
            <w:pPr>
              <w:pStyle w:val="In-tableHeading"/>
              <w:jc w:val="center"/>
            </w:pPr>
            <w:r>
              <w:t>Stratum 1</w:t>
            </w:r>
          </w:p>
        </w:tc>
        <w:tc>
          <w:tcPr>
            <w:tcW w:w="4509" w:type="dxa"/>
            <w:vAlign w:val="center"/>
          </w:tcPr>
          <w:p w14:paraId="24A5B3C6" w14:textId="77777777" w:rsidR="00805FF8" w:rsidRDefault="00805FF8" w:rsidP="00D137A3">
            <w:pPr>
              <w:pStyle w:val="In-tableHeading"/>
              <w:jc w:val="center"/>
            </w:pPr>
            <w:r>
              <w:t>Stratum 2</w:t>
            </w:r>
          </w:p>
        </w:tc>
      </w:tr>
      <w:tr w:rsidR="00805FF8" w14:paraId="6F829B64" w14:textId="77777777" w:rsidTr="0097533E">
        <w:tc>
          <w:tcPr>
            <w:tcW w:w="4508" w:type="dxa"/>
            <w:vAlign w:val="center"/>
          </w:tcPr>
          <w:p w14:paraId="6CB8CB7E" w14:textId="77777777" w:rsidR="00805FF8" w:rsidRDefault="00805FF8" w:rsidP="00D137A3">
            <w:pPr>
              <w:jc w:val="center"/>
            </w:pPr>
            <w:r>
              <w:rPr>
                <w:noProof/>
              </w:rPr>
              <w:drawing>
                <wp:inline distT="0" distB="0" distL="0" distR="0" wp14:anchorId="3063720C" wp14:editId="0BA11E81">
                  <wp:extent cx="2790000" cy="1817924"/>
                  <wp:effectExtent l="0" t="0" r="0" b="0"/>
                  <wp:docPr id="38" name="Picture 38" descr="Figure 4a: Health state allocation in stratu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gure 4a: Health state allocation in stratu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0000" cy="1817924"/>
                          </a:xfrm>
                          <a:prstGeom prst="rect">
                            <a:avLst/>
                          </a:prstGeom>
                          <a:noFill/>
                        </pic:spPr>
                      </pic:pic>
                    </a:graphicData>
                  </a:graphic>
                </wp:inline>
              </w:drawing>
            </w:r>
          </w:p>
        </w:tc>
        <w:tc>
          <w:tcPr>
            <w:tcW w:w="4509" w:type="dxa"/>
            <w:vAlign w:val="center"/>
          </w:tcPr>
          <w:p w14:paraId="0863961D" w14:textId="77777777" w:rsidR="00805FF8" w:rsidRDefault="00805FF8" w:rsidP="00D137A3">
            <w:pPr>
              <w:jc w:val="center"/>
            </w:pPr>
            <w:r>
              <w:rPr>
                <w:noProof/>
              </w:rPr>
              <w:drawing>
                <wp:inline distT="0" distB="0" distL="0" distR="0" wp14:anchorId="1282EF20" wp14:editId="53124D7C">
                  <wp:extent cx="2790000" cy="1817924"/>
                  <wp:effectExtent l="0" t="0" r="0" b="0"/>
                  <wp:docPr id="39" name="Picture 39" descr="Figure 4a: Health state allocation in stratu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igure 4a: Health state allocation in stratum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000" cy="1817924"/>
                          </a:xfrm>
                          <a:prstGeom prst="rect">
                            <a:avLst/>
                          </a:prstGeom>
                          <a:noFill/>
                        </pic:spPr>
                      </pic:pic>
                    </a:graphicData>
                  </a:graphic>
                </wp:inline>
              </w:drawing>
            </w:r>
          </w:p>
        </w:tc>
      </w:tr>
    </w:tbl>
    <w:p w14:paraId="009048C3" w14:textId="77777777" w:rsidR="00805FF8" w:rsidRDefault="00805FF8" w:rsidP="00805FF8">
      <w:pPr>
        <w:pStyle w:val="TableFigureFooter"/>
      </w:pPr>
      <w:r>
        <w:t>Source: compiled during the evaluation using Sheets ‘DFMO Trace’ and ‘WW Trace’ of Excel workbook ‘EFLORNITHINE – Cost effectiveness analysis. Final model 4thNov_2024 PBAC submission.xlsm’</w:t>
      </w:r>
    </w:p>
    <w:p w14:paraId="3A441704" w14:textId="43E175F0" w:rsidR="00805FF8" w:rsidRDefault="00805FF8" w:rsidP="00805FF8">
      <w:pPr>
        <w:pStyle w:val="TableFigureFooter"/>
      </w:pPr>
      <w:r>
        <w:t xml:space="preserve">DFMO= </w:t>
      </w:r>
      <w:r w:rsidRPr="007A304C">
        <w:t xml:space="preserve">difluoromethylornithine = eflornithine </w:t>
      </w:r>
      <w:r>
        <w:t>arm, EF=event free, LT=long-term, SOC=standard of care arm, tx=treatment</w:t>
      </w:r>
    </w:p>
    <w:p w14:paraId="6133B471" w14:textId="77777777" w:rsidR="00805FF8" w:rsidRDefault="00805FF8" w:rsidP="00805FF8">
      <w:pPr>
        <w:pStyle w:val="TableFigureFooter"/>
      </w:pPr>
      <w:r>
        <w:t xml:space="preserve">* </w:t>
      </w:r>
      <w:r>
        <w:tab/>
        <w:t xml:space="preserve"> EF and Relapse curves in the eflornithine arm include patients on and off treatment</w:t>
      </w:r>
    </w:p>
    <w:p w14:paraId="510DEB27" w14:textId="77777777" w:rsidR="000C4139" w:rsidRDefault="000C4139">
      <w:pPr>
        <w:jc w:val="left"/>
        <w:rPr>
          <w:rFonts w:asciiTheme="minorHAnsi" w:hAnsiTheme="minorHAnsi"/>
          <w:snapToGrid w:val="0"/>
        </w:rPr>
      </w:pPr>
      <w:r>
        <w:br w:type="page"/>
      </w:r>
    </w:p>
    <w:p w14:paraId="545997A6" w14:textId="003374A1" w:rsidR="00805FF8" w:rsidRPr="00175267" w:rsidRDefault="00805FF8" w:rsidP="00805FF8">
      <w:pPr>
        <w:pStyle w:val="3-BodyText"/>
      </w:pPr>
      <w:r w:rsidRPr="00175267">
        <w:lastRenderedPageBreak/>
        <w:t xml:space="preserve">A summary of the key drivers of the model is presented in </w:t>
      </w:r>
      <w:r w:rsidRPr="00175267">
        <w:fldChar w:fldCharType="begin" w:fldLock="1"/>
      </w:r>
      <w:r w:rsidRPr="00175267">
        <w:instrText xml:space="preserve"> REF _Ref104805122 \h  \* MERGEFORMAT </w:instrText>
      </w:r>
      <w:r w:rsidRPr="00175267">
        <w:fldChar w:fldCharType="separate"/>
      </w:r>
      <w:r w:rsidR="00AF2AB7">
        <w:t>Table 8</w:t>
      </w:r>
      <w:r w:rsidRPr="00175267">
        <w:fldChar w:fldCharType="end"/>
      </w:r>
      <w:r w:rsidRPr="00175267">
        <w:t>.</w:t>
      </w:r>
    </w:p>
    <w:p w14:paraId="0C1B912D" w14:textId="67C0CA14" w:rsidR="00805FF8" w:rsidRPr="00BB00B3" w:rsidRDefault="00805FF8" w:rsidP="00805FF8">
      <w:pPr>
        <w:pStyle w:val="Caption"/>
        <w:jc w:val="left"/>
        <w:rPr>
          <w:rStyle w:val="CommentReference"/>
          <w:b/>
          <w:szCs w:val="24"/>
        </w:rPr>
      </w:pPr>
      <w:bookmarkStart w:id="62" w:name="_Ref104805122"/>
      <w:r>
        <w:t xml:space="preserve">Table </w:t>
      </w:r>
      <w:r w:rsidR="00AF2AB7">
        <w:fldChar w:fldCharType="begin" w:fldLock="1"/>
      </w:r>
      <w:r w:rsidR="00AF2AB7">
        <w:instrText xml:space="preserve"> SEQ Table \* ARABIC </w:instrText>
      </w:r>
      <w:r w:rsidR="00AF2AB7">
        <w:fldChar w:fldCharType="separate"/>
      </w:r>
      <w:r w:rsidR="00AF2AB7">
        <w:rPr>
          <w:noProof/>
        </w:rPr>
        <w:t>8</w:t>
      </w:r>
      <w:r w:rsidR="00AF2AB7">
        <w:rPr>
          <w:noProof/>
        </w:rPr>
        <w:fldChar w:fldCharType="end"/>
      </w:r>
      <w:bookmarkEnd w:id="62"/>
      <w:r>
        <w:t>:</w:t>
      </w:r>
      <w:r w:rsidRPr="00BB00B3">
        <w:rPr>
          <w:rStyle w:val="CommentReference"/>
          <w:b/>
          <w:szCs w:val="24"/>
        </w:rPr>
        <w:t xml:space="preserve"> Key drivers of the model</w:t>
      </w:r>
    </w:p>
    <w:tbl>
      <w:tblPr>
        <w:tblStyle w:val="PBAClayout"/>
        <w:tblW w:w="5000" w:type="pct"/>
        <w:tblLayout w:type="fixed"/>
        <w:tblLook w:val="04A0" w:firstRow="1" w:lastRow="0" w:firstColumn="1" w:lastColumn="0" w:noHBand="0" w:noVBand="1"/>
        <w:tblCaption w:val="Table 8: Key drivers of the model"/>
      </w:tblPr>
      <w:tblGrid>
        <w:gridCol w:w="1129"/>
        <w:gridCol w:w="5104"/>
        <w:gridCol w:w="2784"/>
      </w:tblGrid>
      <w:tr w:rsidR="00805FF8" w:rsidRPr="0081338E" w14:paraId="507DE763" w14:textId="77777777" w:rsidTr="007D583D">
        <w:trPr>
          <w:tblHeader/>
        </w:trPr>
        <w:tc>
          <w:tcPr>
            <w:tcW w:w="626" w:type="pct"/>
          </w:tcPr>
          <w:p w14:paraId="189D24F8" w14:textId="77777777" w:rsidR="00805FF8" w:rsidRPr="0081338E" w:rsidRDefault="00805FF8" w:rsidP="007D583D">
            <w:pPr>
              <w:pStyle w:val="In-tableHeading"/>
            </w:pPr>
            <w:r w:rsidRPr="0081338E">
              <w:t>Description</w:t>
            </w:r>
          </w:p>
        </w:tc>
        <w:tc>
          <w:tcPr>
            <w:tcW w:w="2830" w:type="pct"/>
          </w:tcPr>
          <w:p w14:paraId="5FA00BB8" w14:textId="77777777" w:rsidR="00805FF8" w:rsidRPr="0081338E" w:rsidRDefault="00805FF8" w:rsidP="007D583D">
            <w:pPr>
              <w:pStyle w:val="In-tableHeading"/>
              <w:jc w:val="center"/>
            </w:pPr>
            <w:r w:rsidRPr="0081338E">
              <w:t>Method/Value</w:t>
            </w:r>
          </w:p>
        </w:tc>
        <w:tc>
          <w:tcPr>
            <w:tcW w:w="1544" w:type="pct"/>
          </w:tcPr>
          <w:p w14:paraId="19EE7294" w14:textId="77777777" w:rsidR="00805FF8" w:rsidRPr="0081338E" w:rsidRDefault="00805FF8" w:rsidP="007D583D">
            <w:pPr>
              <w:pStyle w:val="In-tableHeading"/>
              <w:jc w:val="center"/>
            </w:pPr>
            <w:r w:rsidRPr="0081338E">
              <w:t>Impact</w:t>
            </w:r>
          </w:p>
          <w:p w14:paraId="6BAE5E59" w14:textId="77777777" w:rsidR="00805FF8" w:rsidRPr="0081338E" w:rsidRDefault="00805FF8" w:rsidP="007D583D">
            <w:pPr>
              <w:pStyle w:val="In-tableHeading"/>
              <w:jc w:val="center"/>
              <w:rPr>
                <w:rFonts w:cs="Arial"/>
                <w:szCs w:val="20"/>
              </w:rPr>
            </w:pPr>
            <w:r w:rsidRPr="0081338E">
              <w:rPr>
                <w:rFonts w:cs="Arial"/>
                <w:szCs w:val="20"/>
              </w:rPr>
              <w:t xml:space="preserve">Corrected base case: </w:t>
            </w:r>
          </w:p>
          <w:p w14:paraId="1B665A38" w14:textId="5E7AC2B8" w:rsidR="00805FF8" w:rsidRPr="0081338E" w:rsidRDefault="00805FF8" w:rsidP="007D583D">
            <w:pPr>
              <w:pStyle w:val="In-tableHeading"/>
              <w:jc w:val="center"/>
              <w:rPr>
                <w:rFonts w:cs="Arial"/>
                <w:szCs w:val="20"/>
              </w:rPr>
            </w:pPr>
            <w:r w:rsidRPr="0081338E">
              <w:rPr>
                <w:rFonts w:cs="Arial"/>
                <w:szCs w:val="20"/>
              </w:rPr>
              <w:t>Stratum 1 $</w:t>
            </w:r>
            <w:r w:rsidR="008C30A7" w:rsidRPr="00FE32E3">
              <w:rPr>
                <w:rFonts w:cs="Arial"/>
                <w:color w:val="000000"/>
                <w:spacing w:val="50"/>
                <w:szCs w:val="20"/>
                <w:shd w:val="solid" w:color="000000" w:fill="000000"/>
                <w:fitText w:val="238" w:id="-694446070"/>
                <w14:textFill>
                  <w14:solidFill>
                    <w14:srgbClr w14:val="000000">
                      <w14:alpha w14:val="100000"/>
                    </w14:srgbClr>
                  </w14:solidFill>
                </w14:textFill>
              </w:rPr>
              <w:t>||</w:t>
            </w:r>
            <w:r w:rsidR="008C30A7" w:rsidRPr="00FE32E3">
              <w:rPr>
                <w:rFonts w:cs="Arial"/>
                <w:color w:val="000000"/>
                <w:spacing w:val="1"/>
                <w:szCs w:val="20"/>
                <w:shd w:val="solid" w:color="000000" w:fill="000000"/>
                <w:fitText w:val="238" w:id="-694446070"/>
                <w14:textFill>
                  <w14:solidFill>
                    <w14:srgbClr w14:val="000000">
                      <w14:alpha w14:val="100000"/>
                    </w14:srgbClr>
                  </w14:solidFill>
                </w14:textFill>
              </w:rPr>
              <w:t>|</w:t>
            </w:r>
            <w:r w:rsidR="00306F65">
              <w:rPr>
                <w:rFonts w:cs="Arial"/>
                <w:szCs w:val="20"/>
                <w:vertAlign w:val="superscript"/>
              </w:rPr>
              <w:t>1</w:t>
            </w:r>
            <w:r w:rsidRPr="0081338E">
              <w:rPr>
                <w:rFonts w:cs="Arial"/>
                <w:szCs w:val="20"/>
              </w:rPr>
              <w:t>/QALY gained</w:t>
            </w:r>
          </w:p>
          <w:p w14:paraId="409FE0BF" w14:textId="2A86D96C" w:rsidR="00805FF8" w:rsidRPr="0081338E" w:rsidRDefault="00805FF8" w:rsidP="007D583D">
            <w:pPr>
              <w:pStyle w:val="In-tableHeading"/>
              <w:jc w:val="center"/>
            </w:pPr>
            <w:r w:rsidRPr="0081338E">
              <w:t>Stratum 2 $</w:t>
            </w:r>
            <w:r w:rsidR="008C30A7" w:rsidRPr="00FE32E3">
              <w:rPr>
                <w:color w:val="000000"/>
                <w:spacing w:val="171"/>
                <w:shd w:val="solid" w:color="000000" w:fill="000000"/>
                <w:fitText w:val="263" w:id="-694446069"/>
                <w14:textFill>
                  <w14:solidFill>
                    <w14:srgbClr w14:val="000000">
                      <w14:alpha w14:val="100000"/>
                    </w14:srgbClr>
                  </w14:solidFill>
                </w14:textFill>
              </w:rPr>
              <w:t>|</w:t>
            </w:r>
            <w:r w:rsidR="008C30A7" w:rsidRPr="00FE32E3">
              <w:rPr>
                <w:color w:val="000000"/>
                <w:spacing w:val="1"/>
                <w:shd w:val="solid" w:color="000000" w:fill="000000"/>
                <w:fitText w:val="263" w:id="-694446069"/>
                <w14:textFill>
                  <w14:solidFill>
                    <w14:srgbClr w14:val="000000">
                      <w14:alpha w14:val="100000"/>
                    </w14:srgbClr>
                  </w14:solidFill>
                </w14:textFill>
              </w:rPr>
              <w:t>|</w:t>
            </w:r>
            <w:r w:rsidR="00CF2462">
              <w:rPr>
                <w:vertAlign w:val="superscript"/>
              </w:rPr>
              <w:t>2</w:t>
            </w:r>
            <w:r w:rsidRPr="0081338E">
              <w:t xml:space="preserve">/QALY gained. </w:t>
            </w:r>
          </w:p>
        </w:tc>
      </w:tr>
      <w:tr w:rsidR="00805FF8" w:rsidRPr="0081338E" w14:paraId="58CFCBD9" w14:textId="77777777" w:rsidTr="00D137A3">
        <w:tc>
          <w:tcPr>
            <w:tcW w:w="626" w:type="pct"/>
          </w:tcPr>
          <w:p w14:paraId="09229F4E" w14:textId="77777777" w:rsidR="00805FF8" w:rsidRPr="0081338E" w:rsidRDefault="00805FF8" w:rsidP="00D137A3">
            <w:pPr>
              <w:pStyle w:val="TableText0"/>
              <w:keepNext w:val="0"/>
              <w:rPr>
                <w:lang w:val="en-US"/>
              </w:rPr>
            </w:pPr>
            <w:r w:rsidRPr="0081338E">
              <w:rPr>
                <w:lang w:val="en-US"/>
              </w:rPr>
              <w:t>Treatment effect size (to Year 7)</w:t>
            </w:r>
          </w:p>
        </w:tc>
        <w:tc>
          <w:tcPr>
            <w:tcW w:w="2830" w:type="pct"/>
          </w:tcPr>
          <w:p w14:paraId="10461AC0" w14:textId="77777777" w:rsidR="00805FF8" w:rsidRPr="0081338E" w:rsidRDefault="00805FF8" w:rsidP="00D137A3">
            <w:pPr>
              <w:pStyle w:val="TableText0"/>
              <w:keepNext w:val="0"/>
              <w:rPr>
                <w:lang w:val="en-US"/>
              </w:rPr>
            </w:pPr>
            <w:r w:rsidRPr="0081338E">
              <w:rPr>
                <w:lang w:val="en-US"/>
              </w:rPr>
              <w:t>Stratum 1 EFS and OS benefit for eflornithine to Year 7 was based on extrapolated KM data from the PSM analysis of Study 3b Stratum 1 and Study ANBL0032. This was also carried through to the Stratum 2 analysis This submission did not address the uncertainty in these estimates, e.g., the EFS HR from the PSM analysis had EFS HR 95%CI 0.282, 0.855 and OS HR 95%CI 0.158, 0.703</w:t>
            </w:r>
          </w:p>
          <w:p w14:paraId="6C7D000E" w14:textId="77777777" w:rsidR="00805FF8" w:rsidRPr="0081338E" w:rsidRDefault="00805FF8" w:rsidP="00D137A3">
            <w:pPr>
              <w:pStyle w:val="TableText0"/>
              <w:keepNext w:val="0"/>
              <w:rPr>
                <w:lang w:val="en-US"/>
              </w:rPr>
            </w:pPr>
          </w:p>
          <w:p w14:paraId="1277FDCB" w14:textId="0CB84002" w:rsidR="00805FF8" w:rsidRPr="0081338E" w:rsidRDefault="00805FF8" w:rsidP="00D137A3">
            <w:pPr>
              <w:pStyle w:val="TableText0"/>
              <w:keepNext w:val="0"/>
              <w:rPr>
                <w:lang w:val="en-US"/>
              </w:rPr>
            </w:pPr>
            <w:r w:rsidRPr="0081338E">
              <w:rPr>
                <w:lang w:val="en-US"/>
              </w:rPr>
              <w:t>Stratum 2 EFS and OS benefit for eflornithine to Year 7 was further based on the point estimate HRs between Study 3b Stratum 2 and PSM analysis of Study 3b Stratum 1 KM data. The submission did not address the uncertainty in these point estimates, EFS HR 95%CI 2.56, 10.28 and OS HR 95%CI 3.26, 19.43; and did not provide evidence to validate the Stratum 2 model SOC arm, resulting in further uncertainty.</w:t>
            </w:r>
          </w:p>
        </w:tc>
        <w:tc>
          <w:tcPr>
            <w:tcW w:w="1544" w:type="pct"/>
          </w:tcPr>
          <w:p w14:paraId="20500D05" w14:textId="77777777" w:rsidR="00805FF8" w:rsidRPr="0081338E" w:rsidRDefault="00805FF8" w:rsidP="00D137A3">
            <w:pPr>
              <w:pStyle w:val="TableText0"/>
              <w:keepNext w:val="0"/>
              <w:rPr>
                <w:lang w:val="en-US"/>
              </w:rPr>
            </w:pPr>
            <w:r w:rsidRPr="0081338E">
              <w:rPr>
                <w:lang w:val="en-US"/>
              </w:rPr>
              <w:t>High, uncertain impact.</w:t>
            </w:r>
          </w:p>
          <w:p w14:paraId="3A103C1A" w14:textId="68116AC6" w:rsidR="00805FF8" w:rsidRPr="0081338E" w:rsidRDefault="00805FF8" w:rsidP="00D137A3">
            <w:pPr>
              <w:pStyle w:val="TableText0"/>
              <w:keepNext w:val="0"/>
              <w:rPr>
                <w:lang w:val="en-US"/>
              </w:rPr>
            </w:pPr>
            <w:r w:rsidRPr="0081338E">
              <w:rPr>
                <w:lang w:val="en-US"/>
              </w:rPr>
              <w:t>If the PSM HRs were applied, the ICERs ranged from $</w:t>
            </w:r>
            <w:r w:rsidR="008C30A7" w:rsidRPr="00FE32E3">
              <w:rPr>
                <w:color w:val="000000"/>
                <w:spacing w:val="51"/>
                <w:shd w:val="solid" w:color="000000" w:fill="000000"/>
                <w:fitText w:val="325" w:id="-694446068"/>
                <w:lang w:val="en-US"/>
                <w14:textFill>
                  <w14:solidFill>
                    <w14:srgbClr w14:val="000000">
                      <w14:alpha w14:val="100000"/>
                    </w14:srgbClr>
                  </w14:solidFill>
                </w14:textFill>
              </w:rPr>
              <w:t>|||</w:t>
            </w:r>
            <w:r w:rsidR="008C30A7" w:rsidRPr="00FE32E3">
              <w:rPr>
                <w:color w:val="000000"/>
                <w:spacing w:val="2"/>
                <w:shd w:val="solid" w:color="000000" w:fill="000000"/>
                <w:fitText w:val="325" w:id="-694446068"/>
                <w:lang w:val="en-US"/>
                <w14:textFill>
                  <w14:solidFill>
                    <w14:srgbClr w14:val="000000">
                      <w14:alpha w14:val="100000"/>
                    </w14:srgbClr>
                  </w14:solidFill>
                </w14:textFill>
              </w:rPr>
              <w:t>|</w:t>
            </w:r>
            <w:r w:rsidR="00F50C98">
              <w:rPr>
                <w:vertAlign w:val="superscript"/>
                <w:lang w:val="en-US"/>
              </w:rPr>
              <w:t>3</w:t>
            </w:r>
            <w:r w:rsidRPr="0081338E">
              <w:rPr>
                <w:lang w:val="en-US"/>
              </w:rPr>
              <w:t xml:space="preserve"> to $</w:t>
            </w:r>
            <w:r w:rsidR="008C30A7" w:rsidRPr="00FE32E3">
              <w:rPr>
                <w:color w:val="000000"/>
                <w:spacing w:val="51"/>
                <w:shd w:val="solid" w:color="000000" w:fill="000000"/>
                <w:fitText w:val="326" w:id="-694446067"/>
                <w:lang w:val="en-US"/>
                <w14:textFill>
                  <w14:solidFill>
                    <w14:srgbClr w14:val="000000">
                      <w14:alpha w14:val="100000"/>
                    </w14:srgbClr>
                  </w14:solidFill>
                </w14:textFill>
              </w:rPr>
              <w:t>|||</w:t>
            </w:r>
            <w:r w:rsidR="008C30A7" w:rsidRPr="00FE32E3">
              <w:rPr>
                <w:color w:val="000000"/>
                <w:spacing w:val="3"/>
                <w:shd w:val="solid" w:color="000000" w:fill="000000"/>
                <w:fitText w:val="326" w:id="-694446067"/>
                <w:lang w:val="en-US"/>
                <w14:textFill>
                  <w14:solidFill>
                    <w14:srgbClr w14:val="000000">
                      <w14:alpha w14:val="100000"/>
                    </w14:srgbClr>
                  </w14:solidFill>
                </w14:textFill>
              </w:rPr>
              <w:t>|</w:t>
            </w:r>
            <w:r w:rsidR="002C4087">
              <w:rPr>
                <w:vertAlign w:val="superscript"/>
                <w:lang w:val="en-US"/>
              </w:rPr>
              <w:t>4</w:t>
            </w:r>
            <w:r w:rsidRPr="0081338E">
              <w:rPr>
                <w:lang w:val="en-US"/>
              </w:rPr>
              <w:t>/QALY gained for Stratum</w:t>
            </w:r>
            <w:r w:rsidR="0097533E" w:rsidRPr="0081338E">
              <w:rPr>
                <w:lang w:val="en-US"/>
              </w:rPr>
              <w:t> </w:t>
            </w:r>
            <w:r w:rsidRPr="0081338E">
              <w:rPr>
                <w:lang w:val="en-US"/>
              </w:rPr>
              <w:t>1, $</w:t>
            </w:r>
            <w:r w:rsidR="008C30A7" w:rsidRPr="00FE32E3">
              <w:rPr>
                <w:color w:val="000000"/>
                <w:spacing w:val="51"/>
                <w:shd w:val="solid" w:color="000000" w:fill="000000"/>
                <w:fitText w:val="326" w:id="-694446066"/>
                <w:lang w:val="en-US"/>
                <w14:textFill>
                  <w14:solidFill>
                    <w14:srgbClr w14:val="000000">
                      <w14:alpha w14:val="100000"/>
                    </w14:srgbClr>
                  </w14:solidFill>
                </w14:textFill>
              </w:rPr>
              <w:t>|||</w:t>
            </w:r>
            <w:r w:rsidR="008C30A7" w:rsidRPr="00FE32E3">
              <w:rPr>
                <w:color w:val="000000"/>
                <w:spacing w:val="3"/>
                <w:shd w:val="solid" w:color="000000" w:fill="000000"/>
                <w:fitText w:val="326" w:id="-694446066"/>
                <w:lang w:val="en-US"/>
                <w14:textFill>
                  <w14:solidFill>
                    <w14:srgbClr w14:val="000000">
                      <w14:alpha w14:val="100000"/>
                    </w14:srgbClr>
                  </w14:solidFill>
                </w14:textFill>
              </w:rPr>
              <w:t>|</w:t>
            </w:r>
            <w:r w:rsidR="00DF4298">
              <w:rPr>
                <w:vertAlign w:val="superscript"/>
                <w:lang w:val="en-US"/>
              </w:rPr>
              <w:t>3</w:t>
            </w:r>
            <w:r w:rsidRPr="0081338E">
              <w:rPr>
                <w:lang w:val="en-US"/>
              </w:rPr>
              <w:t xml:space="preserve"> to $</w:t>
            </w:r>
            <w:r w:rsidR="008C30A7" w:rsidRPr="00FE32E3">
              <w:rPr>
                <w:color w:val="000000"/>
                <w:spacing w:val="56"/>
                <w:shd w:val="solid" w:color="000000" w:fill="000000"/>
                <w:fitText w:val="339" w:id="-694446065"/>
                <w:lang w:val="en-US"/>
                <w14:textFill>
                  <w14:solidFill>
                    <w14:srgbClr w14:val="000000">
                      <w14:alpha w14:val="100000"/>
                    </w14:srgbClr>
                  </w14:solidFill>
                </w14:textFill>
              </w:rPr>
              <w:t>|||</w:t>
            </w:r>
            <w:r w:rsidR="008C30A7" w:rsidRPr="00FE32E3">
              <w:rPr>
                <w:color w:val="000000"/>
                <w:spacing w:val="1"/>
                <w:shd w:val="solid" w:color="000000" w:fill="000000"/>
                <w:fitText w:val="339" w:id="-694446065"/>
                <w:lang w:val="en-US"/>
                <w14:textFill>
                  <w14:solidFill>
                    <w14:srgbClr w14:val="000000">
                      <w14:alpha w14:val="100000"/>
                    </w14:srgbClr>
                  </w14:solidFill>
                </w14:textFill>
              </w:rPr>
              <w:t>|</w:t>
            </w:r>
            <w:r w:rsidR="003F494F">
              <w:rPr>
                <w:vertAlign w:val="superscript"/>
                <w:lang w:val="en-US"/>
              </w:rPr>
              <w:t>5</w:t>
            </w:r>
            <w:r w:rsidRPr="0081338E">
              <w:rPr>
                <w:lang w:val="en-US"/>
              </w:rPr>
              <w:t>/QALY gained for Stratum</w:t>
            </w:r>
            <w:r w:rsidR="0097533E" w:rsidRPr="0081338E">
              <w:rPr>
                <w:lang w:val="en-US"/>
              </w:rPr>
              <w:t> </w:t>
            </w:r>
            <w:r w:rsidRPr="0081338E">
              <w:rPr>
                <w:lang w:val="en-US"/>
              </w:rPr>
              <w:t>2.</w:t>
            </w:r>
          </w:p>
          <w:p w14:paraId="1BDE8FA2" w14:textId="77777777" w:rsidR="00805FF8" w:rsidRPr="0081338E" w:rsidRDefault="00805FF8" w:rsidP="00D137A3">
            <w:pPr>
              <w:pStyle w:val="TableText0"/>
              <w:keepNext w:val="0"/>
              <w:rPr>
                <w:lang w:val="en-US"/>
              </w:rPr>
            </w:pPr>
          </w:p>
          <w:p w14:paraId="4438F9B1" w14:textId="14A75350" w:rsidR="00805FF8" w:rsidRPr="0081338E" w:rsidRDefault="00805FF8" w:rsidP="00D137A3">
            <w:pPr>
              <w:pStyle w:val="TableText0"/>
              <w:keepNext w:val="0"/>
              <w:rPr>
                <w:lang w:val="en-US"/>
              </w:rPr>
            </w:pPr>
            <w:r w:rsidRPr="0081338E">
              <w:rPr>
                <w:lang w:val="en-US"/>
              </w:rPr>
              <w:t>For Stratum 2 if the Stratum 2 vs Stratum 1 EFS HR 95%CI was explored, the ICER ranged from $</w:t>
            </w:r>
            <w:r w:rsidR="008C30A7" w:rsidRPr="00FE32E3">
              <w:rPr>
                <w:color w:val="000000"/>
                <w:spacing w:val="51"/>
                <w:shd w:val="solid" w:color="000000" w:fill="000000"/>
                <w:fitText w:val="326" w:id="-694446064"/>
                <w:lang w:val="en-US"/>
                <w14:textFill>
                  <w14:solidFill>
                    <w14:srgbClr w14:val="000000">
                      <w14:alpha w14:val="100000"/>
                    </w14:srgbClr>
                  </w14:solidFill>
                </w14:textFill>
              </w:rPr>
              <w:t>|||</w:t>
            </w:r>
            <w:r w:rsidR="008C30A7" w:rsidRPr="00FE32E3">
              <w:rPr>
                <w:color w:val="000000"/>
                <w:spacing w:val="3"/>
                <w:shd w:val="solid" w:color="000000" w:fill="000000"/>
                <w:fitText w:val="326" w:id="-694446064"/>
                <w:lang w:val="en-US"/>
                <w14:textFill>
                  <w14:solidFill>
                    <w14:srgbClr w14:val="000000">
                      <w14:alpha w14:val="100000"/>
                    </w14:srgbClr>
                  </w14:solidFill>
                </w14:textFill>
              </w:rPr>
              <w:t>|</w:t>
            </w:r>
            <w:r w:rsidR="00DF4298">
              <w:rPr>
                <w:vertAlign w:val="superscript"/>
                <w:lang w:val="en-US"/>
              </w:rPr>
              <w:t>3</w:t>
            </w:r>
            <w:r w:rsidRPr="0081338E">
              <w:rPr>
                <w:lang w:val="en-US"/>
              </w:rPr>
              <w:t xml:space="preserve"> to $</w:t>
            </w:r>
            <w:r w:rsidR="008C30A7" w:rsidRPr="00FE32E3">
              <w:rPr>
                <w:color w:val="000000"/>
                <w:spacing w:val="56"/>
                <w:shd w:val="solid" w:color="000000" w:fill="000000"/>
                <w:fitText w:val="339" w:id="-694446080"/>
                <w:lang w:val="en-US"/>
                <w14:textFill>
                  <w14:solidFill>
                    <w14:srgbClr w14:val="000000">
                      <w14:alpha w14:val="100000"/>
                    </w14:srgbClr>
                  </w14:solidFill>
                </w14:textFill>
              </w:rPr>
              <w:t>|||</w:t>
            </w:r>
            <w:r w:rsidR="008C30A7" w:rsidRPr="00FE32E3">
              <w:rPr>
                <w:color w:val="000000"/>
                <w:spacing w:val="1"/>
                <w:shd w:val="solid" w:color="000000" w:fill="000000"/>
                <w:fitText w:val="339" w:id="-694446080"/>
                <w:lang w:val="en-US"/>
                <w14:textFill>
                  <w14:solidFill>
                    <w14:srgbClr w14:val="000000">
                      <w14:alpha w14:val="100000"/>
                    </w14:srgbClr>
                  </w14:solidFill>
                </w14:textFill>
              </w:rPr>
              <w:t>|</w:t>
            </w:r>
            <w:r w:rsidR="00525E27">
              <w:rPr>
                <w:vertAlign w:val="superscript"/>
                <w:lang w:val="en-US"/>
              </w:rPr>
              <w:t>6</w:t>
            </w:r>
            <w:r w:rsidRPr="0081338E">
              <w:rPr>
                <w:lang w:val="en-US"/>
              </w:rPr>
              <w:t>/QALY gained. Similarly, if the OS HR 95%CI was explored, the ICER ranged from $</w:t>
            </w:r>
            <w:r w:rsidR="008C30A7" w:rsidRPr="00FE32E3">
              <w:rPr>
                <w:color w:val="000000"/>
                <w:spacing w:val="51"/>
                <w:shd w:val="solid" w:color="000000" w:fill="000000"/>
                <w:fitText w:val="326" w:id="-694446079"/>
                <w:lang w:val="en-US"/>
                <w14:textFill>
                  <w14:solidFill>
                    <w14:srgbClr w14:val="000000">
                      <w14:alpha w14:val="100000"/>
                    </w14:srgbClr>
                  </w14:solidFill>
                </w14:textFill>
              </w:rPr>
              <w:t>|||</w:t>
            </w:r>
            <w:r w:rsidR="008C30A7" w:rsidRPr="00FE32E3">
              <w:rPr>
                <w:color w:val="000000"/>
                <w:spacing w:val="3"/>
                <w:shd w:val="solid" w:color="000000" w:fill="000000"/>
                <w:fitText w:val="326" w:id="-694446079"/>
                <w:lang w:val="en-US"/>
                <w14:textFill>
                  <w14:solidFill>
                    <w14:srgbClr w14:val="000000">
                      <w14:alpha w14:val="100000"/>
                    </w14:srgbClr>
                  </w14:solidFill>
                </w14:textFill>
              </w:rPr>
              <w:t>|</w:t>
            </w:r>
            <w:r w:rsidR="007F39BD">
              <w:rPr>
                <w:vertAlign w:val="superscript"/>
                <w:lang w:val="en-US"/>
              </w:rPr>
              <w:t>2</w:t>
            </w:r>
            <w:r w:rsidRPr="0081338E">
              <w:rPr>
                <w:lang w:val="en-US"/>
              </w:rPr>
              <w:t xml:space="preserve"> to $</w:t>
            </w:r>
            <w:r w:rsidR="008C30A7" w:rsidRPr="00FE32E3">
              <w:rPr>
                <w:color w:val="000000"/>
                <w:spacing w:val="56"/>
                <w:shd w:val="solid" w:color="000000" w:fill="000000"/>
                <w:fitText w:val="339" w:id="-694446078"/>
                <w:lang w:val="en-US"/>
                <w14:textFill>
                  <w14:solidFill>
                    <w14:srgbClr w14:val="000000">
                      <w14:alpha w14:val="100000"/>
                    </w14:srgbClr>
                  </w14:solidFill>
                </w14:textFill>
              </w:rPr>
              <w:t>|||</w:t>
            </w:r>
            <w:r w:rsidR="008C30A7" w:rsidRPr="00FE32E3">
              <w:rPr>
                <w:color w:val="000000"/>
                <w:spacing w:val="1"/>
                <w:shd w:val="solid" w:color="000000" w:fill="000000"/>
                <w:fitText w:val="339" w:id="-694446078"/>
                <w:lang w:val="en-US"/>
                <w14:textFill>
                  <w14:solidFill>
                    <w14:srgbClr w14:val="000000">
                      <w14:alpha w14:val="100000"/>
                    </w14:srgbClr>
                  </w14:solidFill>
                </w14:textFill>
              </w:rPr>
              <w:t>|</w:t>
            </w:r>
            <w:r w:rsidR="007D4D25">
              <w:rPr>
                <w:vertAlign w:val="superscript"/>
                <w:lang w:val="en-US"/>
              </w:rPr>
              <w:t>6</w:t>
            </w:r>
            <w:r w:rsidRPr="0081338E">
              <w:rPr>
                <w:lang w:val="en-US"/>
              </w:rPr>
              <w:t>/QALY gained</w:t>
            </w:r>
          </w:p>
        </w:tc>
      </w:tr>
      <w:tr w:rsidR="00805FF8" w:rsidRPr="0081338E" w14:paraId="402B02E5" w14:textId="77777777" w:rsidTr="00D137A3">
        <w:tc>
          <w:tcPr>
            <w:tcW w:w="626" w:type="pct"/>
          </w:tcPr>
          <w:p w14:paraId="36CC27CA" w14:textId="77777777" w:rsidR="00805FF8" w:rsidRPr="0081338E" w:rsidRDefault="00805FF8" w:rsidP="00D137A3">
            <w:pPr>
              <w:pStyle w:val="TableText0"/>
              <w:keepNext w:val="0"/>
              <w:rPr>
                <w:lang w:val="en-US"/>
              </w:rPr>
            </w:pPr>
            <w:r w:rsidRPr="0081338E">
              <w:rPr>
                <w:lang w:val="en-US"/>
              </w:rPr>
              <w:t>Cure threshold</w:t>
            </w:r>
          </w:p>
        </w:tc>
        <w:tc>
          <w:tcPr>
            <w:tcW w:w="2830" w:type="pct"/>
          </w:tcPr>
          <w:p w14:paraId="511F2FB2" w14:textId="378AF6D0" w:rsidR="00805FF8" w:rsidRPr="0081338E" w:rsidRDefault="00805FF8" w:rsidP="00D137A3">
            <w:pPr>
              <w:pStyle w:val="TableText0"/>
              <w:keepNext w:val="0"/>
            </w:pPr>
            <w:r w:rsidRPr="0081338E">
              <w:rPr>
                <w:lang w:val="en-US"/>
              </w:rPr>
              <w:t xml:space="preserve">The submission assumed patients alive and event free at Year 7 would enter LT-remission and would not experience relapse beyond this point (i.e., assumed “cured”). A cure point is likely reasonable, particularly for Stratum1 patients. However, the extrapolations of EFS in the base case effectively </w:t>
            </w:r>
            <w:r w:rsidRPr="0081338E">
              <w:t>mimicked a cure point, with the EFS extrapolations all plateauing around Year 5, resulting in very few patients transitioning out of</w:t>
            </w:r>
            <w:r w:rsidR="00655D8C" w:rsidRPr="0081338E">
              <w:t xml:space="preserve"> the</w:t>
            </w:r>
            <w:r w:rsidRPr="0081338E">
              <w:t xml:space="preserve"> EF</w:t>
            </w:r>
            <w:r w:rsidR="00655D8C" w:rsidRPr="0081338E">
              <w:t xml:space="preserve"> health state</w:t>
            </w:r>
            <w:r w:rsidRPr="0081338E">
              <w:t xml:space="preserve"> before dying beyond Year 5. As such, the cure point only affected long term survival, rather than relapse rates.</w:t>
            </w:r>
          </w:p>
          <w:p w14:paraId="3475AC29" w14:textId="1C0DFB2E" w:rsidR="00805FF8" w:rsidRPr="0081338E" w:rsidRDefault="00805FF8" w:rsidP="00D137A3">
            <w:pPr>
              <w:pStyle w:val="TableText0"/>
              <w:keepNext w:val="0"/>
              <w:rPr>
                <w:lang w:val="en-US"/>
              </w:rPr>
            </w:pPr>
            <w:r w:rsidRPr="0081338E">
              <w:rPr>
                <w:lang w:val="en-US"/>
              </w:rPr>
              <w:t>The</w:t>
            </w:r>
            <w:r w:rsidR="002315C5">
              <w:rPr>
                <w:lang w:val="en-US"/>
              </w:rPr>
              <w:t xml:space="preserve"> </w:t>
            </w:r>
            <w:r w:rsidR="002315C5" w:rsidRPr="00AC784B">
              <w:rPr>
                <w:lang w:val="en-US"/>
              </w:rPr>
              <w:t>evaluation considered that the</w:t>
            </w:r>
            <w:r w:rsidRPr="0081338E">
              <w:rPr>
                <w:lang w:val="en-US"/>
              </w:rPr>
              <w:t xml:space="preserve"> timing of the cure threshold was not well justified</w:t>
            </w:r>
            <w:r w:rsidR="002B6C5E">
              <w:rPr>
                <w:lang w:val="en-US"/>
              </w:rPr>
              <w:t>;</w:t>
            </w:r>
            <w:r w:rsidRPr="0081338E">
              <w:rPr>
                <w:lang w:val="en-US"/>
              </w:rPr>
              <w:t xml:space="preserve"> in the dinutuximab beta MSAC submission the threshold was 10 years. </w:t>
            </w:r>
          </w:p>
        </w:tc>
        <w:tc>
          <w:tcPr>
            <w:tcW w:w="1544" w:type="pct"/>
          </w:tcPr>
          <w:p w14:paraId="215A7B56" w14:textId="3177E572" w:rsidR="00805FF8" w:rsidRPr="0081338E" w:rsidRDefault="00805FF8" w:rsidP="00D137A3">
            <w:pPr>
              <w:pStyle w:val="TableText0"/>
              <w:keepNext w:val="0"/>
              <w:rPr>
                <w:lang w:val="en-US"/>
              </w:rPr>
            </w:pPr>
            <w:r w:rsidRPr="0081338E">
              <w:rPr>
                <w:lang w:val="en-US"/>
              </w:rPr>
              <w:t>High, favoured SOC in Stratum 1 model, favoured eflornithine in Stratum 2 model. Without the cure point the Stratum 1</w:t>
            </w:r>
            <w:r w:rsidR="0097533E" w:rsidRPr="0081338E">
              <w:rPr>
                <w:lang w:val="en-US"/>
              </w:rPr>
              <w:t>, the</w:t>
            </w:r>
            <w:r w:rsidRPr="0081338E">
              <w:rPr>
                <w:lang w:val="en-US"/>
              </w:rPr>
              <w:t xml:space="preserve"> ICER decreased to $</w:t>
            </w:r>
            <w:r w:rsidR="008C30A7" w:rsidRPr="00FE32E3">
              <w:rPr>
                <w:color w:val="000000"/>
                <w:spacing w:val="56"/>
                <w:shd w:val="solid" w:color="000000" w:fill="000000"/>
                <w:fitText w:val="339" w:id="-694446077"/>
                <w:lang w:val="en-US"/>
                <w14:textFill>
                  <w14:solidFill>
                    <w14:srgbClr w14:val="000000">
                      <w14:alpha w14:val="100000"/>
                    </w14:srgbClr>
                  </w14:solidFill>
                </w14:textFill>
              </w:rPr>
              <w:t>|||</w:t>
            </w:r>
            <w:r w:rsidR="008C30A7" w:rsidRPr="00FE32E3">
              <w:rPr>
                <w:color w:val="000000"/>
                <w:spacing w:val="1"/>
                <w:shd w:val="solid" w:color="000000" w:fill="000000"/>
                <w:fitText w:val="339" w:id="-694446077"/>
                <w:lang w:val="en-US"/>
                <w14:textFill>
                  <w14:solidFill>
                    <w14:srgbClr w14:val="000000">
                      <w14:alpha w14:val="100000"/>
                    </w14:srgbClr>
                  </w14:solidFill>
                </w14:textFill>
              </w:rPr>
              <w:t>|</w:t>
            </w:r>
            <w:r w:rsidR="00FE25A3">
              <w:rPr>
                <w:vertAlign w:val="superscript"/>
                <w:lang w:val="en-US"/>
              </w:rPr>
              <w:t>7</w:t>
            </w:r>
            <w:r w:rsidRPr="0081338E">
              <w:rPr>
                <w:lang w:val="en-US"/>
              </w:rPr>
              <w:t>/QALY gained, and the Stratum 2 ICER increase</w:t>
            </w:r>
            <w:r w:rsidR="0097533E" w:rsidRPr="0081338E">
              <w:rPr>
                <w:lang w:val="en-US"/>
              </w:rPr>
              <w:t>d</w:t>
            </w:r>
            <w:r w:rsidRPr="0081338E">
              <w:rPr>
                <w:lang w:val="en-US"/>
              </w:rPr>
              <w:t xml:space="preserve"> to $</w:t>
            </w:r>
            <w:r w:rsidR="008C30A7" w:rsidRPr="00FE32E3">
              <w:rPr>
                <w:color w:val="000000"/>
                <w:spacing w:val="51"/>
                <w:shd w:val="solid" w:color="000000" w:fill="000000"/>
                <w:fitText w:val="326" w:id="-694446076"/>
                <w:lang w:val="en-US"/>
                <w14:textFill>
                  <w14:solidFill>
                    <w14:srgbClr w14:val="000000">
                      <w14:alpha w14:val="100000"/>
                    </w14:srgbClr>
                  </w14:solidFill>
                </w14:textFill>
              </w:rPr>
              <w:t>|||</w:t>
            </w:r>
            <w:r w:rsidR="008C30A7" w:rsidRPr="00FE32E3">
              <w:rPr>
                <w:color w:val="000000"/>
                <w:spacing w:val="3"/>
                <w:shd w:val="solid" w:color="000000" w:fill="000000"/>
                <w:fitText w:val="326" w:id="-694446076"/>
                <w:lang w:val="en-US"/>
                <w14:textFill>
                  <w14:solidFill>
                    <w14:srgbClr w14:val="000000">
                      <w14:alpha w14:val="100000"/>
                    </w14:srgbClr>
                  </w14:solidFill>
                </w14:textFill>
              </w:rPr>
              <w:t>|</w:t>
            </w:r>
            <w:r w:rsidR="00FE25A3">
              <w:rPr>
                <w:vertAlign w:val="superscript"/>
                <w:lang w:val="en-US"/>
              </w:rPr>
              <w:t>7</w:t>
            </w:r>
            <w:r w:rsidRPr="0081338E">
              <w:rPr>
                <w:lang w:val="en-US"/>
              </w:rPr>
              <w:t xml:space="preserve">/QALY gained. However, the inclusion of a cure point </w:t>
            </w:r>
            <w:r w:rsidR="0097533E" w:rsidRPr="0081338E">
              <w:rPr>
                <w:lang w:val="en-US"/>
              </w:rPr>
              <w:t>wa</w:t>
            </w:r>
            <w:r w:rsidRPr="0081338E">
              <w:rPr>
                <w:lang w:val="en-US"/>
              </w:rPr>
              <w:t>s likely to be more reasonable.</w:t>
            </w:r>
          </w:p>
          <w:p w14:paraId="273A4EF0" w14:textId="77777777" w:rsidR="00805FF8" w:rsidRPr="0081338E" w:rsidRDefault="00805FF8" w:rsidP="00D137A3">
            <w:pPr>
              <w:pStyle w:val="TableText0"/>
              <w:keepNext w:val="0"/>
              <w:rPr>
                <w:lang w:val="en-US"/>
              </w:rPr>
            </w:pPr>
          </w:p>
          <w:p w14:paraId="02F3059D" w14:textId="184DC094" w:rsidR="00805FF8" w:rsidRPr="0081338E" w:rsidRDefault="00805FF8" w:rsidP="00D137A3">
            <w:pPr>
              <w:pStyle w:val="TableText0"/>
              <w:keepNext w:val="0"/>
              <w:rPr>
                <w:lang w:val="en-US"/>
              </w:rPr>
            </w:pPr>
          </w:p>
        </w:tc>
      </w:tr>
      <w:tr w:rsidR="00805FF8" w:rsidRPr="0081338E" w14:paraId="132AA6A6" w14:textId="77777777" w:rsidTr="00D137A3">
        <w:tc>
          <w:tcPr>
            <w:tcW w:w="626" w:type="pct"/>
          </w:tcPr>
          <w:p w14:paraId="4D1AE123" w14:textId="77777777" w:rsidR="00805FF8" w:rsidRPr="0081338E" w:rsidRDefault="00805FF8" w:rsidP="00D137A3">
            <w:pPr>
              <w:pStyle w:val="TableText0"/>
              <w:keepNext w:val="0"/>
              <w:rPr>
                <w:lang w:val="en-US"/>
              </w:rPr>
            </w:pPr>
            <w:r w:rsidRPr="0081338E">
              <w:rPr>
                <w:lang w:val="en-US"/>
              </w:rPr>
              <w:t>Time horizon</w:t>
            </w:r>
          </w:p>
        </w:tc>
        <w:tc>
          <w:tcPr>
            <w:tcW w:w="2830" w:type="pct"/>
          </w:tcPr>
          <w:p w14:paraId="1B3BD34F" w14:textId="57D442A2" w:rsidR="00805FF8" w:rsidRPr="0081338E" w:rsidRDefault="00805FF8" w:rsidP="00D137A3">
            <w:pPr>
              <w:pStyle w:val="TableText0"/>
              <w:keepNext w:val="0"/>
              <w:rPr>
                <w:lang w:val="en-US"/>
              </w:rPr>
            </w:pPr>
            <w:r w:rsidRPr="0081338E">
              <w:rPr>
                <w:lang w:val="en-US"/>
              </w:rPr>
              <w:t>100 years in the base case</w:t>
            </w:r>
            <w:r w:rsidR="00570AD2" w:rsidRPr="0081338E">
              <w:rPr>
                <w:lang w:val="en-US"/>
              </w:rPr>
              <w:t>,</w:t>
            </w:r>
            <w:r w:rsidRPr="0081338E">
              <w:rPr>
                <w:lang w:val="en-US"/>
              </w:rPr>
              <w:t xml:space="preserve"> versus </w:t>
            </w:r>
            <w:r w:rsidRPr="0081338E">
              <w:t xml:space="preserve">median OS follow up 7.21 years in Study 3b Stratum 1 (Stratum 2 not reported), </w:t>
            </w:r>
            <w:r w:rsidR="00570AD2" w:rsidRPr="0081338E">
              <w:t xml:space="preserve">and </w:t>
            </w:r>
            <w:r w:rsidRPr="0081338E">
              <w:t>5.85 years in Study ANBL0032</w:t>
            </w:r>
          </w:p>
        </w:tc>
        <w:tc>
          <w:tcPr>
            <w:tcW w:w="1544" w:type="pct"/>
          </w:tcPr>
          <w:p w14:paraId="61263E23" w14:textId="1D57EE66" w:rsidR="00805FF8" w:rsidRPr="0081338E" w:rsidRDefault="00805FF8" w:rsidP="00D137A3">
            <w:pPr>
              <w:pStyle w:val="TableText0"/>
              <w:keepNext w:val="0"/>
              <w:rPr>
                <w:lang w:val="en-US"/>
              </w:rPr>
            </w:pPr>
            <w:r w:rsidRPr="0081338E">
              <w:rPr>
                <w:lang w:val="en-US"/>
              </w:rPr>
              <w:t xml:space="preserve">High, favoured eflornithine. If time horizon reduced to 25 years (patients follow to ~age 30), the </w:t>
            </w:r>
            <w:r w:rsidRPr="0081338E">
              <w:t>ICERs increased to $</w:t>
            </w:r>
            <w:r w:rsidR="008C30A7" w:rsidRPr="00FE32E3">
              <w:rPr>
                <w:color w:val="000000"/>
                <w:spacing w:val="51"/>
                <w:shd w:val="solid" w:color="000000" w:fill="000000"/>
                <w:fitText w:val="326" w:id="-694446075"/>
                <w14:textFill>
                  <w14:solidFill>
                    <w14:srgbClr w14:val="000000">
                      <w14:alpha w14:val="100000"/>
                    </w14:srgbClr>
                  </w14:solidFill>
                </w14:textFill>
              </w:rPr>
              <w:t>|||</w:t>
            </w:r>
            <w:r w:rsidR="008C30A7" w:rsidRPr="00FE32E3">
              <w:rPr>
                <w:color w:val="000000"/>
                <w:spacing w:val="3"/>
                <w:shd w:val="solid" w:color="000000" w:fill="000000"/>
                <w:fitText w:val="326" w:id="-694446075"/>
                <w14:textFill>
                  <w14:solidFill>
                    <w14:srgbClr w14:val="000000">
                      <w14:alpha w14:val="100000"/>
                    </w14:srgbClr>
                  </w14:solidFill>
                </w14:textFill>
              </w:rPr>
              <w:t>|</w:t>
            </w:r>
            <w:r w:rsidR="008E2334">
              <w:rPr>
                <w:vertAlign w:val="superscript"/>
              </w:rPr>
              <w:t>1</w:t>
            </w:r>
            <w:r w:rsidRPr="0081338E">
              <w:t>/QALY gained and $</w:t>
            </w:r>
            <w:r w:rsidR="008C30A7" w:rsidRPr="00FE32E3">
              <w:rPr>
                <w:color w:val="000000"/>
                <w:spacing w:val="51"/>
                <w:shd w:val="solid" w:color="000000" w:fill="000000"/>
                <w:fitText w:val="325" w:id="-694446074"/>
                <w14:textFill>
                  <w14:solidFill>
                    <w14:srgbClr w14:val="000000">
                      <w14:alpha w14:val="100000"/>
                    </w14:srgbClr>
                  </w14:solidFill>
                </w14:textFill>
              </w:rPr>
              <w:t>|||</w:t>
            </w:r>
            <w:r w:rsidR="008C30A7" w:rsidRPr="00FE32E3">
              <w:rPr>
                <w:color w:val="000000"/>
                <w:spacing w:val="2"/>
                <w:shd w:val="solid" w:color="000000" w:fill="000000"/>
                <w:fitText w:val="325" w:id="-694446074"/>
                <w14:textFill>
                  <w14:solidFill>
                    <w14:srgbClr w14:val="000000">
                      <w14:alpha w14:val="100000"/>
                    </w14:srgbClr>
                  </w14:solidFill>
                </w14:textFill>
              </w:rPr>
              <w:t>|</w:t>
            </w:r>
            <w:r w:rsidR="00052EA7">
              <w:rPr>
                <w:vertAlign w:val="superscript"/>
              </w:rPr>
              <w:t>8</w:t>
            </w:r>
            <w:r w:rsidRPr="0081338E">
              <w:t>/QALY gained in Stratum 1 and Stratum 2 populations respectively.</w:t>
            </w:r>
          </w:p>
        </w:tc>
      </w:tr>
      <w:tr w:rsidR="00805FF8" w:rsidRPr="0081338E" w14:paraId="2085BE7B" w14:textId="77777777" w:rsidTr="00D137A3">
        <w:tc>
          <w:tcPr>
            <w:tcW w:w="626" w:type="pct"/>
          </w:tcPr>
          <w:p w14:paraId="6647F14A" w14:textId="77777777" w:rsidR="00805FF8" w:rsidRPr="0081338E" w:rsidRDefault="00805FF8" w:rsidP="00D137A3">
            <w:pPr>
              <w:pStyle w:val="TableText0"/>
              <w:keepNext w:val="0"/>
              <w:rPr>
                <w:lang w:val="en-US"/>
              </w:rPr>
            </w:pPr>
            <w:r w:rsidRPr="0081338E">
              <w:rPr>
                <w:lang w:val="en-US"/>
              </w:rPr>
              <w:t>Utility</w:t>
            </w:r>
          </w:p>
        </w:tc>
        <w:tc>
          <w:tcPr>
            <w:tcW w:w="2830" w:type="pct"/>
          </w:tcPr>
          <w:p w14:paraId="71008C8E" w14:textId="77777777" w:rsidR="00805FF8" w:rsidRPr="0081338E" w:rsidRDefault="00805FF8" w:rsidP="00D137A3">
            <w:pPr>
              <w:pStyle w:val="TableText0"/>
              <w:keepNext w:val="0"/>
              <w:rPr>
                <w:lang w:val="en-US"/>
              </w:rPr>
            </w:pPr>
            <w:r w:rsidRPr="0081338E">
              <w:t>Paediatric population norms based on EQ-5D-5L adult population norms (McCaffrey 2016) with utility decrements: 7.3% for EF and LT remission states, 41.7% relapse state based on HUI2 and HUI3 values from Portwine 2016 and Barr 1999.</w:t>
            </w:r>
          </w:p>
        </w:tc>
        <w:tc>
          <w:tcPr>
            <w:tcW w:w="1544" w:type="pct"/>
          </w:tcPr>
          <w:p w14:paraId="3D1D1A46" w14:textId="43F2CBC5" w:rsidR="00805FF8" w:rsidRPr="0081338E" w:rsidRDefault="00805FF8" w:rsidP="00D137A3">
            <w:pPr>
              <w:pStyle w:val="TableText0"/>
              <w:keepNext w:val="0"/>
              <w:rPr>
                <w:lang w:val="en-US"/>
              </w:rPr>
            </w:pPr>
            <w:r w:rsidRPr="0081338E">
              <w:rPr>
                <w:lang w:val="en-US"/>
              </w:rPr>
              <w:t>High, favoured eflornithine. In one-way sensitivity analyses if utility was reduced in the EF/LT-remission states by 20%, the Stratum 1 ICER increased to $</w:t>
            </w:r>
            <w:r w:rsidR="008C30A7" w:rsidRPr="00FE32E3">
              <w:rPr>
                <w:color w:val="000000"/>
                <w:spacing w:val="51"/>
                <w:shd w:val="solid" w:color="000000" w:fill="000000"/>
                <w:fitText w:val="326" w:id="-694446073"/>
                <w:lang w:val="en-US"/>
                <w14:textFill>
                  <w14:solidFill>
                    <w14:srgbClr w14:val="000000">
                      <w14:alpha w14:val="100000"/>
                    </w14:srgbClr>
                  </w14:solidFill>
                </w14:textFill>
              </w:rPr>
              <w:t>|||</w:t>
            </w:r>
            <w:r w:rsidR="008C30A7" w:rsidRPr="00FE32E3">
              <w:rPr>
                <w:color w:val="000000"/>
                <w:spacing w:val="3"/>
                <w:shd w:val="solid" w:color="000000" w:fill="000000"/>
                <w:fitText w:val="326" w:id="-694446073"/>
                <w:lang w:val="en-US"/>
                <w14:textFill>
                  <w14:solidFill>
                    <w14:srgbClr w14:val="000000">
                      <w14:alpha w14:val="100000"/>
                    </w14:srgbClr>
                  </w14:solidFill>
                </w14:textFill>
              </w:rPr>
              <w:t>|</w:t>
            </w:r>
            <w:r w:rsidR="00E3391B">
              <w:rPr>
                <w:vertAlign w:val="superscript"/>
                <w:lang w:val="en-US"/>
              </w:rPr>
              <w:t>1</w:t>
            </w:r>
            <w:r w:rsidRPr="0081338E">
              <w:rPr>
                <w:lang w:val="en-US"/>
              </w:rPr>
              <w:t>/QALY gained and the Stratum 2 ICER to $</w:t>
            </w:r>
            <w:r w:rsidR="008C30A7" w:rsidRPr="00FE32E3">
              <w:rPr>
                <w:color w:val="000000"/>
                <w:spacing w:val="51"/>
                <w:shd w:val="solid" w:color="000000" w:fill="000000"/>
                <w:fitText w:val="326" w:id="-694446072"/>
                <w:lang w:val="en-US"/>
                <w14:textFill>
                  <w14:solidFill>
                    <w14:srgbClr w14:val="000000">
                      <w14:alpha w14:val="100000"/>
                    </w14:srgbClr>
                  </w14:solidFill>
                </w14:textFill>
              </w:rPr>
              <w:t>|||</w:t>
            </w:r>
            <w:r w:rsidR="008C30A7" w:rsidRPr="00FE32E3">
              <w:rPr>
                <w:color w:val="000000"/>
                <w:spacing w:val="3"/>
                <w:shd w:val="solid" w:color="000000" w:fill="000000"/>
                <w:fitText w:val="326" w:id="-694446072"/>
                <w:lang w:val="en-US"/>
                <w14:textFill>
                  <w14:solidFill>
                    <w14:srgbClr w14:val="000000">
                      <w14:alpha w14:val="100000"/>
                    </w14:srgbClr>
                  </w14:solidFill>
                </w14:textFill>
              </w:rPr>
              <w:t>|</w:t>
            </w:r>
            <w:r w:rsidR="00FE25A3">
              <w:rPr>
                <w:vertAlign w:val="superscript"/>
                <w:lang w:val="en-US"/>
              </w:rPr>
              <w:t>7</w:t>
            </w:r>
            <w:r w:rsidRPr="0081338E">
              <w:rPr>
                <w:lang w:val="en-US"/>
              </w:rPr>
              <w:t xml:space="preserve"> per QALY gained.</w:t>
            </w:r>
          </w:p>
        </w:tc>
      </w:tr>
      <w:tr w:rsidR="00805FF8" w:rsidRPr="0081338E" w14:paraId="0A2F3DE6" w14:textId="036E25FD" w:rsidTr="00D137A3">
        <w:tc>
          <w:tcPr>
            <w:tcW w:w="626" w:type="pct"/>
          </w:tcPr>
          <w:p w14:paraId="45E9405C" w14:textId="1187EB04" w:rsidR="00805FF8" w:rsidRPr="0081338E" w:rsidRDefault="00805FF8" w:rsidP="00D137A3">
            <w:pPr>
              <w:pStyle w:val="TableText0"/>
              <w:keepNext w:val="0"/>
              <w:rPr>
                <w:lang w:val="en-US"/>
              </w:rPr>
            </w:pPr>
            <w:r w:rsidRPr="0081338E">
              <w:rPr>
                <w:lang w:val="en-US"/>
              </w:rPr>
              <w:t>Time on treatment</w:t>
            </w:r>
          </w:p>
        </w:tc>
        <w:tc>
          <w:tcPr>
            <w:tcW w:w="2830" w:type="pct"/>
          </w:tcPr>
          <w:p w14:paraId="2056F4CC" w14:textId="0359A416" w:rsidR="00805FF8" w:rsidRPr="0081338E" w:rsidRDefault="00805FF8" w:rsidP="00D137A3">
            <w:pPr>
              <w:pStyle w:val="TableText0"/>
              <w:keepNext w:val="0"/>
              <w:rPr>
                <w:lang w:val="en-US"/>
              </w:rPr>
            </w:pPr>
            <w:r w:rsidRPr="0081338E">
              <w:rPr>
                <w:lang w:val="en-US"/>
              </w:rPr>
              <w:t>Study 3b Stratum 1 TTD KM data capped at 2 years</w:t>
            </w:r>
            <w:r w:rsidR="00D85487" w:rsidRPr="0081338E">
              <w:rPr>
                <w:lang w:val="en-US"/>
              </w:rPr>
              <w:t xml:space="preserve"> in line with requested restriction</w:t>
            </w:r>
            <w:r w:rsidRPr="0081338E">
              <w:rPr>
                <w:lang w:val="en-US"/>
              </w:rPr>
              <w:t xml:space="preserve">. Patients could receive eflornithine in relapse when TTD exceed EFS extrapolation (particularly significant in the Stratum 2 population). </w:t>
            </w:r>
            <w:r w:rsidRPr="0081338E">
              <w:t>As eflornithine may be seen as a less toxic therapy than other treatments in this area, patient families may wish to extend time on treatment while a benefit is observed.</w:t>
            </w:r>
          </w:p>
        </w:tc>
        <w:tc>
          <w:tcPr>
            <w:tcW w:w="1544" w:type="pct"/>
          </w:tcPr>
          <w:p w14:paraId="42F9F4C0" w14:textId="40BF6A6B" w:rsidR="00805FF8" w:rsidRPr="0081338E" w:rsidRDefault="00805FF8" w:rsidP="00D137A3">
            <w:pPr>
              <w:pStyle w:val="TableText0"/>
              <w:keepNext w:val="0"/>
              <w:rPr>
                <w:lang w:val="en-US"/>
              </w:rPr>
            </w:pPr>
            <w:r w:rsidRPr="0081338E">
              <w:rPr>
                <w:lang w:val="en-US"/>
              </w:rPr>
              <w:t xml:space="preserve">High, favoured eflornithine. If </w:t>
            </w:r>
            <w:r w:rsidR="001404FD" w:rsidRPr="0081338E">
              <w:rPr>
                <w:lang w:val="en-US"/>
              </w:rPr>
              <w:t xml:space="preserve">eflornithine </w:t>
            </w:r>
            <w:r w:rsidRPr="0081338E">
              <w:rPr>
                <w:lang w:val="en-US"/>
              </w:rPr>
              <w:t xml:space="preserve">treatment was extended to </w:t>
            </w:r>
            <w:r w:rsidRPr="0081338E">
              <w:t>all patients in</w:t>
            </w:r>
            <w:r w:rsidR="001404FD" w:rsidRPr="0081338E">
              <w:t xml:space="preserve"> the</w:t>
            </w:r>
            <w:r w:rsidRPr="0081338E">
              <w:t xml:space="preserve"> EF</w:t>
            </w:r>
            <w:r w:rsidR="001404FD" w:rsidRPr="0081338E">
              <w:t xml:space="preserve"> health state</w:t>
            </w:r>
            <w:r w:rsidRPr="0081338E">
              <w:t xml:space="preserve"> but no patients in relapse or LT-remission, the ICERs increased to $</w:t>
            </w:r>
            <w:r w:rsidR="008C30A7" w:rsidRPr="00FE32E3">
              <w:rPr>
                <w:color w:val="000000"/>
                <w:spacing w:val="51"/>
                <w:shd w:val="solid" w:color="000000" w:fill="000000"/>
                <w:fitText w:val="326" w:id="-694446071"/>
                <w14:textFill>
                  <w14:solidFill>
                    <w14:srgbClr w14:val="000000">
                      <w14:alpha w14:val="100000"/>
                    </w14:srgbClr>
                  </w14:solidFill>
                </w14:textFill>
              </w:rPr>
              <w:t>|||</w:t>
            </w:r>
            <w:r w:rsidR="008C30A7" w:rsidRPr="00FE32E3">
              <w:rPr>
                <w:color w:val="000000"/>
                <w:spacing w:val="3"/>
                <w:shd w:val="solid" w:color="000000" w:fill="000000"/>
                <w:fitText w:val="326" w:id="-694446071"/>
                <w14:textFill>
                  <w14:solidFill>
                    <w14:srgbClr w14:val="000000">
                      <w14:alpha w14:val="100000"/>
                    </w14:srgbClr>
                  </w14:solidFill>
                </w14:textFill>
              </w:rPr>
              <w:t>|</w:t>
            </w:r>
            <w:r w:rsidR="00F039F9">
              <w:rPr>
                <w:vertAlign w:val="superscript"/>
              </w:rPr>
              <w:t>9</w:t>
            </w:r>
            <w:r w:rsidRPr="0081338E">
              <w:t>/QALY gained for Stratum</w:t>
            </w:r>
            <w:r w:rsidR="007D583D" w:rsidRPr="0081338E">
              <w:t> </w:t>
            </w:r>
            <w:r w:rsidRPr="0081338E">
              <w:t>1 and $</w:t>
            </w:r>
            <w:r w:rsidR="008C30A7" w:rsidRPr="00FE32E3">
              <w:rPr>
                <w:color w:val="000000"/>
                <w:spacing w:val="51"/>
                <w:shd w:val="solid" w:color="000000" w:fill="000000"/>
                <w:fitText w:val="325" w:id="-694446070"/>
                <w14:textFill>
                  <w14:solidFill>
                    <w14:srgbClr w14:val="000000">
                      <w14:alpha w14:val="100000"/>
                    </w14:srgbClr>
                  </w14:solidFill>
                </w14:textFill>
              </w:rPr>
              <w:t>|||</w:t>
            </w:r>
            <w:r w:rsidR="008C30A7" w:rsidRPr="00FE32E3">
              <w:rPr>
                <w:color w:val="000000"/>
                <w:spacing w:val="2"/>
                <w:shd w:val="solid" w:color="000000" w:fill="000000"/>
                <w:fitText w:val="325" w:id="-694446070"/>
                <w14:textFill>
                  <w14:solidFill>
                    <w14:srgbClr w14:val="000000">
                      <w14:alpha w14:val="100000"/>
                    </w14:srgbClr>
                  </w14:solidFill>
                </w14:textFill>
              </w:rPr>
              <w:t>|</w:t>
            </w:r>
            <w:r w:rsidR="003F25A4">
              <w:rPr>
                <w:vertAlign w:val="superscript"/>
              </w:rPr>
              <w:t>6</w:t>
            </w:r>
            <w:r w:rsidRPr="0081338E">
              <w:t>/ QALY gained for Stratum 2</w:t>
            </w:r>
          </w:p>
        </w:tc>
      </w:tr>
      <w:tr w:rsidR="00C3216A" w:rsidRPr="0081338E" w14:paraId="5662F43B" w14:textId="77777777">
        <w:tc>
          <w:tcPr>
            <w:tcW w:w="626" w:type="pct"/>
          </w:tcPr>
          <w:p w14:paraId="481AFCD6" w14:textId="77777777" w:rsidR="00C3216A" w:rsidRPr="0081338E" w:rsidRDefault="00C3216A">
            <w:pPr>
              <w:pStyle w:val="TableText0"/>
              <w:keepNext w:val="0"/>
              <w:rPr>
                <w:lang w:val="en-US"/>
              </w:rPr>
            </w:pPr>
            <w:r w:rsidRPr="0081338E">
              <w:rPr>
                <w:lang w:val="en-US"/>
              </w:rPr>
              <w:lastRenderedPageBreak/>
              <w:t>Subsequent therapy cost</w:t>
            </w:r>
          </w:p>
        </w:tc>
        <w:tc>
          <w:tcPr>
            <w:tcW w:w="2830" w:type="pct"/>
          </w:tcPr>
          <w:p w14:paraId="4E626AFE" w14:textId="7E4EB2F0" w:rsidR="00C3216A" w:rsidRPr="0081338E" w:rsidRDefault="00C3216A">
            <w:pPr>
              <w:pStyle w:val="TableText0"/>
              <w:keepNext w:val="0"/>
              <w:rPr>
                <w:lang w:val="en-US"/>
              </w:rPr>
            </w:pPr>
            <w:r w:rsidRPr="0081338E">
              <w:t>One-off cost ($</w:t>
            </w:r>
            <w:r w:rsidRPr="002D76C8">
              <w:t>213,380.76</w:t>
            </w:r>
            <w:r w:rsidRPr="0081338E">
              <w:t xml:space="preserve">) for a year of subsequent therapy was applied to the proportion of patients relapsing each cycle. </w:t>
            </w:r>
            <w:r w:rsidRPr="0081338E">
              <w:rPr>
                <w:lang w:val="en-US"/>
              </w:rPr>
              <w:t>Due to the memoryless and cohort nature of the model, the submission estimated the number of patients receiving subsequent therapy each cycle only when the proportion of patients in relapse increased from the cycle before and generally lacks face validity.</w:t>
            </w:r>
            <w:r w:rsidR="00F6759F">
              <w:rPr>
                <w:lang w:val="en-US"/>
              </w:rPr>
              <w:t xml:space="preserve"> </w:t>
            </w:r>
          </w:p>
        </w:tc>
        <w:tc>
          <w:tcPr>
            <w:tcW w:w="1544" w:type="pct"/>
          </w:tcPr>
          <w:p w14:paraId="30AF7687" w14:textId="36B411C8" w:rsidR="00C3216A" w:rsidRPr="0081338E" w:rsidRDefault="00C3216A">
            <w:pPr>
              <w:pStyle w:val="TableText0"/>
              <w:keepNext w:val="0"/>
              <w:rPr>
                <w:lang w:val="en-US"/>
              </w:rPr>
            </w:pPr>
            <w:r w:rsidRPr="0081338E">
              <w:rPr>
                <w:lang w:val="en-US"/>
              </w:rPr>
              <w:t xml:space="preserve">High, favoured SOC in the Stratum 2 model. </w:t>
            </w:r>
            <w:r w:rsidRPr="0081338E">
              <w:t>Removing the relapse costs decreased the Stratum 2 ICER to $</w:t>
            </w:r>
            <w:r w:rsidR="008C30A7" w:rsidRPr="00FE32E3">
              <w:rPr>
                <w:color w:val="000000"/>
                <w:spacing w:val="51"/>
                <w:shd w:val="solid" w:color="000000" w:fill="000000"/>
                <w:fitText w:val="326" w:id="-694446069"/>
                <w14:textFill>
                  <w14:solidFill>
                    <w14:srgbClr w14:val="000000">
                      <w14:alpha w14:val="100000"/>
                    </w14:srgbClr>
                  </w14:solidFill>
                </w14:textFill>
              </w:rPr>
              <w:t>|||</w:t>
            </w:r>
            <w:r w:rsidR="008C30A7" w:rsidRPr="00FE32E3">
              <w:rPr>
                <w:color w:val="000000"/>
                <w:spacing w:val="3"/>
                <w:shd w:val="solid" w:color="000000" w:fill="000000"/>
                <w:fitText w:val="326" w:id="-694446069"/>
                <w14:textFill>
                  <w14:solidFill>
                    <w14:srgbClr w14:val="000000">
                      <w14:alpha w14:val="100000"/>
                    </w14:srgbClr>
                  </w14:solidFill>
                </w14:textFill>
              </w:rPr>
              <w:t>|</w:t>
            </w:r>
            <w:r w:rsidR="007F39BD">
              <w:rPr>
                <w:vertAlign w:val="superscript"/>
              </w:rPr>
              <w:t>2</w:t>
            </w:r>
            <w:r w:rsidRPr="0081338E">
              <w:t>/QALY gained and increased the Stratum 1 ICER to $</w:t>
            </w:r>
            <w:r w:rsidR="008C30A7" w:rsidRPr="00FE32E3">
              <w:rPr>
                <w:color w:val="000000"/>
                <w:spacing w:val="51"/>
                <w:shd w:val="solid" w:color="000000" w:fill="000000"/>
                <w:fitText w:val="326" w:id="-694446068"/>
                <w14:textFill>
                  <w14:solidFill>
                    <w14:srgbClr w14:val="000000">
                      <w14:alpha w14:val="100000"/>
                    </w14:srgbClr>
                  </w14:solidFill>
                </w14:textFill>
              </w:rPr>
              <w:t>|||</w:t>
            </w:r>
            <w:r w:rsidR="008C30A7" w:rsidRPr="00FE32E3">
              <w:rPr>
                <w:color w:val="000000"/>
                <w:spacing w:val="3"/>
                <w:shd w:val="solid" w:color="000000" w:fill="000000"/>
                <w:fitText w:val="326" w:id="-694446068"/>
                <w14:textFill>
                  <w14:solidFill>
                    <w14:srgbClr w14:val="000000">
                      <w14:alpha w14:val="100000"/>
                    </w14:srgbClr>
                  </w14:solidFill>
                </w14:textFill>
              </w:rPr>
              <w:t>|</w:t>
            </w:r>
            <w:r w:rsidR="00E3391B">
              <w:rPr>
                <w:vertAlign w:val="superscript"/>
              </w:rPr>
              <w:t>1</w:t>
            </w:r>
            <w:r w:rsidR="00C403B6">
              <w:t>/</w:t>
            </w:r>
            <w:r w:rsidRPr="0081338E">
              <w:t>QALY. It was not possible to fully explore the uncertainty in incident relapse each cycle.</w:t>
            </w:r>
          </w:p>
        </w:tc>
      </w:tr>
    </w:tbl>
    <w:p w14:paraId="49D0495A" w14:textId="77777777" w:rsidR="00805FF8" w:rsidRPr="0081338E" w:rsidRDefault="00805FF8" w:rsidP="00805FF8">
      <w:pPr>
        <w:pStyle w:val="FooterTableFigure"/>
      </w:pPr>
      <w:r w:rsidRPr="0081338E">
        <w:t>Source: compiled during the evaluation.</w:t>
      </w:r>
    </w:p>
    <w:p w14:paraId="11080E1C" w14:textId="7C9634A5" w:rsidR="006B78F4" w:rsidRDefault="007D583D" w:rsidP="00805FF8">
      <w:pPr>
        <w:pStyle w:val="FooterTableFigure"/>
        <w:rPr>
          <w:i/>
          <w:iCs/>
        </w:rPr>
      </w:pPr>
      <w:r w:rsidRPr="007D583D">
        <w:t>EF=event free, EFS=event free survival, EQ-5D-5L=EuroQoL-5 dimensions-5 levels, HR=hazard ratio, HUI=health utilities index, ICER=incremental cost-effectiveness ratio, KM=Kaplan-Meier, LT-long-term, MSAC=Medical Services Advisory Committee, PSM=propensity score matched, QALY=quality adjusted life year, SOC=standard of care, TTD=time to treatment discontinuation.</w:t>
      </w:r>
      <w:r>
        <w:rPr>
          <w:i/>
          <w:iCs/>
        </w:rPr>
        <w:t xml:space="preserve"> </w:t>
      </w:r>
    </w:p>
    <w:p w14:paraId="00DCD45C" w14:textId="77777777" w:rsidR="000A6F18" w:rsidRPr="000A6F18" w:rsidRDefault="000A6F18" w:rsidP="000A6F18">
      <w:pPr>
        <w:pStyle w:val="FooterTableFigure"/>
        <w:rPr>
          <w:i/>
          <w:iCs/>
        </w:rPr>
      </w:pPr>
      <w:r w:rsidRPr="000A6F18">
        <w:rPr>
          <w:i/>
          <w:iCs/>
        </w:rPr>
        <w:t xml:space="preserve">The redacted values correspond to the following ranges: </w:t>
      </w:r>
    </w:p>
    <w:p w14:paraId="3CD69169" w14:textId="344490E1" w:rsidR="000A6F18" w:rsidRDefault="000A6F18" w:rsidP="000A6F18">
      <w:pPr>
        <w:pStyle w:val="FooterTableFigure"/>
        <w:rPr>
          <w:i/>
          <w:iCs/>
        </w:rPr>
      </w:pPr>
      <w:r w:rsidRPr="000A6F18">
        <w:rPr>
          <w:i/>
          <w:iCs/>
          <w:vertAlign w:val="superscript"/>
        </w:rPr>
        <w:t>1</w:t>
      </w:r>
      <w:r w:rsidR="00BF4AA9" w:rsidRPr="00BF4AA9">
        <w:rPr>
          <w:i/>
          <w:iCs/>
        </w:rPr>
        <w:t>$155,000 to &lt; $255,000</w:t>
      </w:r>
    </w:p>
    <w:p w14:paraId="03060C4A" w14:textId="67AB5F96" w:rsidR="00BF4AA9" w:rsidRDefault="00BF4AA9" w:rsidP="000A6F18">
      <w:pPr>
        <w:pStyle w:val="FooterTableFigure"/>
        <w:rPr>
          <w:i/>
          <w:iCs/>
        </w:rPr>
      </w:pPr>
      <w:r>
        <w:rPr>
          <w:i/>
          <w:iCs/>
          <w:vertAlign w:val="superscript"/>
        </w:rPr>
        <w:t>2</w:t>
      </w:r>
      <w:r w:rsidR="00F50C98" w:rsidRPr="00F50C98">
        <w:rPr>
          <w:i/>
          <w:iCs/>
        </w:rPr>
        <w:t>$75,000 to &lt; $95,000</w:t>
      </w:r>
    </w:p>
    <w:p w14:paraId="4AF6C437" w14:textId="7D73B270" w:rsidR="00DF4298" w:rsidRDefault="00DF4298" w:rsidP="000A6F18">
      <w:pPr>
        <w:pStyle w:val="FooterTableFigure"/>
        <w:rPr>
          <w:i/>
          <w:iCs/>
        </w:rPr>
      </w:pPr>
      <w:r>
        <w:rPr>
          <w:i/>
          <w:iCs/>
          <w:vertAlign w:val="superscript"/>
        </w:rPr>
        <w:t>3</w:t>
      </w:r>
      <w:r w:rsidRPr="00DF4298">
        <w:rPr>
          <w:i/>
          <w:iCs/>
        </w:rPr>
        <w:t>$55,000 to &lt; $75,000</w:t>
      </w:r>
    </w:p>
    <w:p w14:paraId="1F4FF8EC" w14:textId="22F64DFB" w:rsidR="002C4087" w:rsidRDefault="002C4087" w:rsidP="000A6F18">
      <w:pPr>
        <w:pStyle w:val="FooterTableFigure"/>
        <w:rPr>
          <w:i/>
          <w:iCs/>
        </w:rPr>
      </w:pPr>
      <w:r>
        <w:rPr>
          <w:i/>
          <w:iCs/>
          <w:vertAlign w:val="superscript"/>
        </w:rPr>
        <w:t>4</w:t>
      </w:r>
      <w:r w:rsidRPr="002C4087">
        <w:rPr>
          <w:i/>
          <w:iCs/>
        </w:rPr>
        <w:t>$655,000 to &lt; $755,000</w:t>
      </w:r>
    </w:p>
    <w:p w14:paraId="5CDEE9AE" w14:textId="40842F6E" w:rsidR="00525E27" w:rsidRDefault="00525E27" w:rsidP="000A6F18">
      <w:pPr>
        <w:pStyle w:val="FooterTableFigure"/>
        <w:rPr>
          <w:i/>
          <w:iCs/>
        </w:rPr>
      </w:pPr>
      <w:r>
        <w:rPr>
          <w:i/>
          <w:iCs/>
          <w:vertAlign w:val="superscript"/>
        </w:rPr>
        <w:t>5</w:t>
      </w:r>
      <w:r w:rsidRPr="00525E27">
        <w:rPr>
          <w:i/>
          <w:iCs/>
        </w:rPr>
        <w:t>$355,000 to &lt; $455,000</w:t>
      </w:r>
    </w:p>
    <w:p w14:paraId="443E4341" w14:textId="5832C937" w:rsidR="007D4D25" w:rsidRDefault="007D4D25" w:rsidP="000A6F18">
      <w:pPr>
        <w:pStyle w:val="FooterTableFigure"/>
        <w:rPr>
          <w:i/>
          <w:iCs/>
        </w:rPr>
      </w:pPr>
      <w:r>
        <w:rPr>
          <w:i/>
          <w:iCs/>
          <w:vertAlign w:val="superscript"/>
        </w:rPr>
        <w:t>6</w:t>
      </w:r>
      <w:r w:rsidRPr="007D4D25">
        <w:rPr>
          <w:i/>
          <w:iCs/>
        </w:rPr>
        <w:t>$135,000 to &lt; $155,000</w:t>
      </w:r>
    </w:p>
    <w:p w14:paraId="4F0F8F58" w14:textId="394BB1EC" w:rsidR="00FE25A3" w:rsidRDefault="00FE25A3" w:rsidP="000A6F18">
      <w:pPr>
        <w:pStyle w:val="FooterTableFigure"/>
        <w:rPr>
          <w:i/>
          <w:iCs/>
        </w:rPr>
      </w:pPr>
      <w:r>
        <w:rPr>
          <w:i/>
          <w:iCs/>
          <w:vertAlign w:val="superscript"/>
        </w:rPr>
        <w:t>7</w:t>
      </w:r>
      <w:r w:rsidRPr="00FE25A3">
        <w:rPr>
          <w:i/>
          <w:iCs/>
        </w:rPr>
        <w:t>$95,000 to &lt; $115,000</w:t>
      </w:r>
    </w:p>
    <w:p w14:paraId="77D2FA86" w14:textId="5409E679" w:rsidR="00052EA7" w:rsidRDefault="00052EA7" w:rsidP="000A6F18">
      <w:pPr>
        <w:pStyle w:val="FooterTableFigure"/>
        <w:rPr>
          <w:i/>
          <w:iCs/>
        </w:rPr>
      </w:pPr>
      <w:r>
        <w:rPr>
          <w:i/>
          <w:iCs/>
          <w:vertAlign w:val="superscript"/>
        </w:rPr>
        <w:t>8</w:t>
      </w:r>
      <w:r w:rsidRPr="00052EA7">
        <w:rPr>
          <w:i/>
          <w:iCs/>
        </w:rPr>
        <w:t>$115,000 to &lt; $135,000</w:t>
      </w:r>
    </w:p>
    <w:p w14:paraId="5594E922" w14:textId="4EDDC5F0" w:rsidR="00F039F9" w:rsidRPr="00F039F9" w:rsidRDefault="00F039F9" w:rsidP="000A6F18">
      <w:pPr>
        <w:pStyle w:val="FooterTableFigure"/>
        <w:rPr>
          <w:i/>
          <w:iCs/>
        </w:rPr>
      </w:pPr>
      <w:r>
        <w:rPr>
          <w:i/>
          <w:iCs/>
          <w:vertAlign w:val="superscript"/>
        </w:rPr>
        <w:t>9</w:t>
      </w:r>
      <w:r w:rsidRPr="00F039F9">
        <w:rPr>
          <w:i/>
          <w:iCs/>
        </w:rPr>
        <w:t>$455,000 to &lt; $555,000</w:t>
      </w:r>
    </w:p>
    <w:p w14:paraId="094E8A48" w14:textId="5F69D6FF" w:rsidR="00F31372" w:rsidRPr="00457C3F" w:rsidRDefault="00F31372" w:rsidP="00805FF8">
      <w:pPr>
        <w:pStyle w:val="3-BodyText"/>
        <w:rPr>
          <w:iCs/>
        </w:rPr>
      </w:pPr>
      <w:bookmarkStart w:id="63" w:name="_Ref190711878"/>
      <w:r w:rsidRPr="00457C3F">
        <w:rPr>
          <w:iCs/>
        </w:rPr>
        <w:t xml:space="preserve">The ESC </w:t>
      </w:r>
      <w:r w:rsidR="00AC03E4" w:rsidRPr="00457C3F">
        <w:rPr>
          <w:iCs/>
        </w:rPr>
        <w:t>agreed with the evaluation</w:t>
      </w:r>
      <w:r w:rsidRPr="00457C3F">
        <w:rPr>
          <w:iCs/>
        </w:rPr>
        <w:t xml:space="preserve"> that </w:t>
      </w:r>
      <w:r w:rsidR="003A6B58" w:rsidRPr="00457C3F">
        <w:rPr>
          <w:iCs/>
        </w:rPr>
        <w:t>issues in the economics were largely driven by uncertainty in the available eflornithine clinical data</w:t>
      </w:r>
      <w:r w:rsidR="00DE3ADC">
        <w:rPr>
          <w:iCs/>
        </w:rPr>
        <w:t>, particularly in Stratum 2</w:t>
      </w:r>
      <w:r w:rsidR="00226078">
        <w:rPr>
          <w:iCs/>
        </w:rPr>
        <w:t>,</w:t>
      </w:r>
      <w:r w:rsidR="003A6B58" w:rsidRPr="00457C3F">
        <w:rPr>
          <w:iCs/>
        </w:rPr>
        <w:t xml:space="preserve"> and reliance on </w:t>
      </w:r>
      <w:r w:rsidR="0035190C" w:rsidRPr="00457C3F">
        <w:rPr>
          <w:iCs/>
        </w:rPr>
        <w:t xml:space="preserve">PSM analysis with small patient numbers. </w:t>
      </w:r>
      <w:r w:rsidR="006A7DD2" w:rsidRPr="00457C3F">
        <w:rPr>
          <w:iCs/>
        </w:rPr>
        <w:t xml:space="preserve">The ESC particularly </w:t>
      </w:r>
      <w:r w:rsidR="00DC6897" w:rsidRPr="00457C3F">
        <w:rPr>
          <w:iCs/>
        </w:rPr>
        <w:t xml:space="preserve">noted </w:t>
      </w:r>
      <w:r w:rsidR="00793ED9" w:rsidRPr="00457C3F">
        <w:rPr>
          <w:iCs/>
        </w:rPr>
        <w:t>the key</w:t>
      </w:r>
      <w:r w:rsidR="00F914C7" w:rsidRPr="00457C3F">
        <w:rPr>
          <w:iCs/>
        </w:rPr>
        <w:t xml:space="preserve"> model</w:t>
      </w:r>
      <w:r w:rsidR="00793ED9" w:rsidRPr="00457C3F">
        <w:rPr>
          <w:iCs/>
        </w:rPr>
        <w:t xml:space="preserve"> drivers of </w:t>
      </w:r>
      <w:r w:rsidR="00327196" w:rsidRPr="00457C3F">
        <w:rPr>
          <w:iCs/>
        </w:rPr>
        <w:t>length of benefit</w:t>
      </w:r>
      <w:r w:rsidR="00467CDF" w:rsidRPr="00457C3F">
        <w:rPr>
          <w:iCs/>
        </w:rPr>
        <w:t xml:space="preserve">, </w:t>
      </w:r>
      <w:r w:rsidR="00327196" w:rsidRPr="00457C3F">
        <w:rPr>
          <w:iCs/>
        </w:rPr>
        <w:t>assumption of cure point</w:t>
      </w:r>
      <w:r w:rsidR="00D62066" w:rsidRPr="00457C3F">
        <w:rPr>
          <w:iCs/>
        </w:rPr>
        <w:t xml:space="preserve">, utility in EF and LT-remission health states, </w:t>
      </w:r>
      <w:r w:rsidR="00F914C7" w:rsidRPr="00457C3F">
        <w:rPr>
          <w:iCs/>
        </w:rPr>
        <w:t>cost of eflornithine</w:t>
      </w:r>
      <w:r w:rsidR="0070536F" w:rsidRPr="00457C3F">
        <w:rPr>
          <w:iCs/>
        </w:rPr>
        <w:t xml:space="preserve"> with respect to time on treatment</w:t>
      </w:r>
      <w:r w:rsidR="00467CDF" w:rsidRPr="00457C3F">
        <w:rPr>
          <w:iCs/>
        </w:rPr>
        <w:t>,</w:t>
      </w:r>
      <w:r w:rsidR="00F914C7" w:rsidRPr="00457C3F">
        <w:rPr>
          <w:iCs/>
        </w:rPr>
        <w:t xml:space="preserve"> and cost of relapse.</w:t>
      </w:r>
      <w:bookmarkEnd w:id="63"/>
    </w:p>
    <w:p w14:paraId="569ACC2C" w14:textId="6D5CF9F8" w:rsidR="00805FF8" w:rsidRPr="0081338E" w:rsidRDefault="00805FF8" w:rsidP="00805FF8">
      <w:pPr>
        <w:pStyle w:val="3-BodyText"/>
        <w:rPr>
          <w:iCs/>
        </w:rPr>
      </w:pPr>
      <w:r w:rsidRPr="00E16AD8">
        <w:fldChar w:fldCharType="begin" w:fldLock="1"/>
      </w:r>
      <w:r w:rsidRPr="00E16AD8">
        <w:instrText xml:space="preserve"> REF _Ref104805181 \h </w:instrText>
      </w:r>
      <w:r>
        <w:instrText xml:space="preserve"> \* MERGEFORMAT </w:instrText>
      </w:r>
      <w:r w:rsidRPr="00E16AD8">
        <w:fldChar w:fldCharType="separate"/>
      </w:r>
      <w:r w:rsidR="00AF2AB7">
        <w:t>Table 9</w:t>
      </w:r>
      <w:r w:rsidRPr="00E16AD8">
        <w:fldChar w:fldCharType="end"/>
      </w:r>
      <w:r w:rsidRPr="00E16AD8">
        <w:t xml:space="preserve"> </w:t>
      </w:r>
      <w:r>
        <w:t xml:space="preserve">presents the results of the economic evaluation. </w:t>
      </w:r>
      <w:r w:rsidRPr="00FC34A4">
        <w:rPr>
          <w:iCs/>
        </w:rPr>
        <w:t>The submitted base case ICER for Stratum 1 was $</w:t>
      </w:r>
      <w:r w:rsidR="0041537B" w:rsidRPr="0041537B">
        <w:rPr>
          <w:iCs/>
        </w:rPr>
        <w:t>155,000 to &lt; $255,000</w:t>
      </w:r>
      <w:r w:rsidRPr="00FC34A4">
        <w:rPr>
          <w:iCs/>
        </w:rPr>
        <w:t xml:space="preserve"> per QALY gained and for Stratum 2 was $</w:t>
      </w:r>
      <w:r w:rsidR="00A343EF" w:rsidRPr="00A343EF">
        <w:rPr>
          <w:iCs/>
        </w:rPr>
        <w:t>95,000</w:t>
      </w:r>
      <w:r w:rsidR="0083256D">
        <w:rPr>
          <w:iCs/>
        </w:rPr>
        <w:t> </w:t>
      </w:r>
      <w:r w:rsidR="00A343EF" w:rsidRPr="00A343EF">
        <w:rPr>
          <w:iCs/>
        </w:rPr>
        <w:t xml:space="preserve">to &lt; $115,000 </w:t>
      </w:r>
      <w:r w:rsidRPr="00FC34A4">
        <w:rPr>
          <w:iCs/>
        </w:rPr>
        <w:t>per QALY gained.</w:t>
      </w:r>
      <w:r>
        <w:rPr>
          <w:i/>
        </w:rPr>
        <w:t xml:space="preserve"> </w:t>
      </w:r>
      <w:r w:rsidRPr="0081338E">
        <w:rPr>
          <w:iCs/>
        </w:rPr>
        <w:t>Once time on eflornithine was corrected, the ICERs were $</w:t>
      </w:r>
      <w:r w:rsidR="007D6C71" w:rsidRPr="007D6C71">
        <w:rPr>
          <w:iCs/>
        </w:rPr>
        <w:t>155,000 to &lt; $255,000</w:t>
      </w:r>
      <w:r w:rsidRPr="0081338E">
        <w:rPr>
          <w:iCs/>
        </w:rPr>
        <w:t xml:space="preserve"> and $</w:t>
      </w:r>
      <w:r w:rsidR="000751FC" w:rsidRPr="000751FC">
        <w:rPr>
          <w:iCs/>
        </w:rPr>
        <w:t>75,000 to &lt; $95,000</w:t>
      </w:r>
      <w:r w:rsidRPr="0081338E">
        <w:rPr>
          <w:iCs/>
        </w:rPr>
        <w:t xml:space="preserve"> per QALY gained in the Stratum 1 and Stratum 2 models</w:t>
      </w:r>
      <w:r w:rsidR="00CD35A1" w:rsidRPr="0081338E">
        <w:rPr>
          <w:iCs/>
        </w:rPr>
        <w:t>,</w:t>
      </w:r>
      <w:r w:rsidRPr="0081338E">
        <w:rPr>
          <w:iCs/>
        </w:rPr>
        <w:t xml:space="preserve"> respectively. Throughout the results and sensitivity </w:t>
      </w:r>
      <w:r w:rsidR="00553D9B" w:rsidRPr="0081338E">
        <w:rPr>
          <w:iCs/>
        </w:rPr>
        <w:t>analys</w:t>
      </w:r>
      <w:r w:rsidR="00553D9B">
        <w:rPr>
          <w:iCs/>
        </w:rPr>
        <w:t>e</w:t>
      </w:r>
      <w:r w:rsidR="00553D9B" w:rsidRPr="0081338E">
        <w:rPr>
          <w:iCs/>
        </w:rPr>
        <w:t>s</w:t>
      </w:r>
      <w:r w:rsidR="00F67F27" w:rsidRPr="0081338E">
        <w:rPr>
          <w:iCs/>
        </w:rPr>
        <w:t>,</w:t>
      </w:r>
      <w:r w:rsidRPr="0081338E">
        <w:rPr>
          <w:iCs/>
        </w:rPr>
        <w:t xml:space="preserve"> the corrected base case is utilised.</w:t>
      </w:r>
    </w:p>
    <w:p w14:paraId="0B97A2F5" w14:textId="73AEBCFA" w:rsidR="00805FF8" w:rsidRPr="00BB732D" w:rsidRDefault="00805FF8" w:rsidP="00805FF8">
      <w:pPr>
        <w:pStyle w:val="Caption"/>
      </w:pPr>
      <w:bookmarkStart w:id="64" w:name="_Ref104805181"/>
      <w:r>
        <w:t xml:space="preserve">Table </w:t>
      </w:r>
      <w:r w:rsidR="00AF2AB7">
        <w:fldChar w:fldCharType="begin" w:fldLock="1"/>
      </w:r>
      <w:r w:rsidR="00AF2AB7">
        <w:instrText xml:space="preserve"> SEQ Table \* ARABIC </w:instrText>
      </w:r>
      <w:r w:rsidR="00AF2AB7">
        <w:fldChar w:fldCharType="separate"/>
      </w:r>
      <w:r w:rsidR="00AF2AB7">
        <w:rPr>
          <w:noProof/>
        </w:rPr>
        <w:t>9</w:t>
      </w:r>
      <w:r w:rsidR="00AF2AB7">
        <w:rPr>
          <w:noProof/>
        </w:rPr>
        <w:fldChar w:fldCharType="end"/>
      </w:r>
      <w:bookmarkEnd w:id="64"/>
      <w:r w:rsidRPr="00BB732D">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Results of the economic evaluation"/>
      </w:tblPr>
      <w:tblGrid>
        <w:gridCol w:w="1839"/>
        <w:gridCol w:w="1416"/>
        <w:gridCol w:w="1134"/>
        <w:gridCol w:w="1275"/>
        <w:gridCol w:w="1353"/>
        <w:gridCol w:w="1006"/>
        <w:gridCol w:w="994"/>
      </w:tblGrid>
      <w:tr w:rsidR="00805FF8" w:rsidRPr="0081338E" w14:paraId="4A2C3B04" w14:textId="77777777" w:rsidTr="00D137A3">
        <w:trPr>
          <w:tblHeader/>
        </w:trPr>
        <w:tc>
          <w:tcPr>
            <w:tcW w:w="1020" w:type="pct"/>
            <w:vAlign w:val="center"/>
          </w:tcPr>
          <w:p w14:paraId="535344DA" w14:textId="77777777" w:rsidR="00805FF8" w:rsidRPr="0081338E" w:rsidRDefault="00805FF8" w:rsidP="00D137A3">
            <w:pPr>
              <w:pStyle w:val="In-tableHeading"/>
            </w:pPr>
          </w:p>
        </w:tc>
        <w:tc>
          <w:tcPr>
            <w:tcW w:w="2121" w:type="pct"/>
            <w:gridSpan w:val="3"/>
            <w:vAlign w:val="center"/>
          </w:tcPr>
          <w:p w14:paraId="3C8553B6" w14:textId="77777777" w:rsidR="00805FF8" w:rsidRPr="0081338E" w:rsidRDefault="00805FF8" w:rsidP="00D137A3">
            <w:pPr>
              <w:pStyle w:val="In-tableHeading"/>
              <w:jc w:val="center"/>
            </w:pPr>
            <w:r w:rsidRPr="0081338E">
              <w:t>Stratum 1</w:t>
            </w:r>
          </w:p>
        </w:tc>
        <w:tc>
          <w:tcPr>
            <w:tcW w:w="1859" w:type="pct"/>
            <w:gridSpan w:val="3"/>
          </w:tcPr>
          <w:p w14:paraId="61E931E6" w14:textId="77777777" w:rsidR="00805FF8" w:rsidRPr="0081338E" w:rsidRDefault="00805FF8" w:rsidP="00D137A3">
            <w:pPr>
              <w:pStyle w:val="In-tableHeading"/>
              <w:jc w:val="center"/>
            </w:pPr>
            <w:r w:rsidRPr="0081338E">
              <w:t>Stratum 2</w:t>
            </w:r>
          </w:p>
        </w:tc>
      </w:tr>
      <w:tr w:rsidR="00805FF8" w:rsidRPr="0081338E" w14:paraId="777750EA" w14:textId="77777777" w:rsidTr="00D137A3">
        <w:trPr>
          <w:tblHeader/>
        </w:trPr>
        <w:tc>
          <w:tcPr>
            <w:tcW w:w="1020" w:type="pct"/>
            <w:vAlign w:val="center"/>
          </w:tcPr>
          <w:p w14:paraId="1DE0E8F7" w14:textId="77777777" w:rsidR="00805FF8" w:rsidRPr="0081338E" w:rsidRDefault="00805FF8" w:rsidP="00D137A3">
            <w:pPr>
              <w:pStyle w:val="In-tableHeading"/>
            </w:pPr>
            <w:r w:rsidRPr="0081338E">
              <w:t>Component</w:t>
            </w:r>
          </w:p>
        </w:tc>
        <w:tc>
          <w:tcPr>
            <w:tcW w:w="785" w:type="pct"/>
            <w:vAlign w:val="center"/>
          </w:tcPr>
          <w:p w14:paraId="5855FD68" w14:textId="77777777" w:rsidR="00805FF8" w:rsidRPr="0081338E" w:rsidRDefault="00805FF8" w:rsidP="00D137A3">
            <w:pPr>
              <w:pStyle w:val="In-tableHeading"/>
              <w:jc w:val="center"/>
            </w:pPr>
            <w:r w:rsidRPr="0081338E">
              <w:t>Eflornithine</w:t>
            </w:r>
          </w:p>
        </w:tc>
        <w:tc>
          <w:tcPr>
            <w:tcW w:w="629" w:type="pct"/>
            <w:vAlign w:val="center"/>
          </w:tcPr>
          <w:p w14:paraId="75E76907" w14:textId="20B73BD4" w:rsidR="00805FF8" w:rsidRPr="0081338E" w:rsidRDefault="00805FF8" w:rsidP="00D137A3">
            <w:pPr>
              <w:pStyle w:val="In-tableHeading"/>
              <w:jc w:val="center"/>
            </w:pPr>
            <w:r w:rsidRPr="0081338E">
              <w:t>SOC</w:t>
            </w:r>
          </w:p>
        </w:tc>
        <w:tc>
          <w:tcPr>
            <w:tcW w:w="707" w:type="pct"/>
            <w:vAlign w:val="center"/>
          </w:tcPr>
          <w:p w14:paraId="49B5211C" w14:textId="77777777" w:rsidR="00805FF8" w:rsidRPr="0081338E" w:rsidRDefault="00805FF8" w:rsidP="00D137A3">
            <w:pPr>
              <w:pStyle w:val="In-tableHeading"/>
              <w:jc w:val="center"/>
            </w:pPr>
            <w:r w:rsidRPr="0081338E">
              <w:t>Increment</w:t>
            </w:r>
          </w:p>
        </w:tc>
        <w:tc>
          <w:tcPr>
            <w:tcW w:w="750" w:type="pct"/>
            <w:vAlign w:val="center"/>
          </w:tcPr>
          <w:p w14:paraId="44C41AD8" w14:textId="77777777" w:rsidR="00805FF8" w:rsidRPr="0081338E" w:rsidRDefault="00805FF8" w:rsidP="00D137A3">
            <w:pPr>
              <w:pStyle w:val="In-tableHeading"/>
              <w:jc w:val="center"/>
            </w:pPr>
            <w:r w:rsidRPr="0081338E">
              <w:t>Eflornithine</w:t>
            </w:r>
          </w:p>
        </w:tc>
        <w:tc>
          <w:tcPr>
            <w:tcW w:w="558" w:type="pct"/>
            <w:vAlign w:val="center"/>
          </w:tcPr>
          <w:p w14:paraId="3246AAFC" w14:textId="307EE59F" w:rsidR="00805FF8" w:rsidRPr="0081338E" w:rsidRDefault="00805FF8" w:rsidP="00D137A3">
            <w:pPr>
              <w:pStyle w:val="In-tableHeading"/>
              <w:jc w:val="center"/>
            </w:pPr>
            <w:r w:rsidRPr="0081338E">
              <w:t>SOC</w:t>
            </w:r>
          </w:p>
        </w:tc>
        <w:tc>
          <w:tcPr>
            <w:tcW w:w="551" w:type="pct"/>
            <w:vAlign w:val="center"/>
          </w:tcPr>
          <w:p w14:paraId="5C1A4935" w14:textId="77777777" w:rsidR="00805FF8" w:rsidRPr="0081338E" w:rsidRDefault="00805FF8" w:rsidP="00D137A3">
            <w:pPr>
              <w:pStyle w:val="In-tableHeading"/>
              <w:jc w:val="center"/>
            </w:pPr>
            <w:r w:rsidRPr="0081338E">
              <w:t>Increment</w:t>
            </w:r>
          </w:p>
        </w:tc>
      </w:tr>
      <w:tr w:rsidR="00805FF8" w:rsidRPr="0081338E" w14:paraId="03130374" w14:textId="77777777" w:rsidTr="00D137A3">
        <w:tc>
          <w:tcPr>
            <w:tcW w:w="1020" w:type="pct"/>
            <w:vAlign w:val="center"/>
          </w:tcPr>
          <w:p w14:paraId="376818F8" w14:textId="77777777" w:rsidR="00805FF8" w:rsidRPr="0081338E" w:rsidRDefault="00805FF8" w:rsidP="00D137A3">
            <w:pPr>
              <w:pStyle w:val="TableText0"/>
              <w:rPr>
                <w:rFonts w:ascii="Times" w:hAnsi="Times"/>
              </w:rPr>
            </w:pPr>
            <w:r w:rsidRPr="0081338E">
              <w:t>Costs (submission)</w:t>
            </w:r>
          </w:p>
        </w:tc>
        <w:tc>
          <w:tcPr>
            <w:tcW w:w="785" w:type="pct"/>
          </w:tcPr>
          <w:p w14:paraId="2F92B497" w14:textId="4C6E5691" w:rsidR="00805FF8" w:rsidRPr="0081338E" w:rsidRDefault="00805FF8" w:rsidP="00D137A3">
            <w:pPr>
              <w:pStyle w:val="TableText0"/>
              <w:jc w:val="center"/>
              <w:rPr>
                <w:rFonts w:ascii="Times" w:hAnsi="Times"/>
              </w:rPr>
            </w:pPr>
            <w:r w:rsidRPr="0081338E">
              <w:t>$</w:t>
            </w:r>
            <w:r w:rsidR="008C30A7" w:rsidRPr="008C30A7">
              <w:rPr>
                <w:color w:val="000000"/>
                <w:shd w:val="solid" w:color="000000" w:fill="000000"/>
                <w14:textFill>
                  <w14:solidFill>
                    <w14:srgbClr w14:val="000000">
                      <w14:alpha w14:val="100000"/>
                    </w14:srgbClr>
                  </w14:solidFill>
                </w14:textFill>
              </w:rPr>
              <w:t>|</w:t>
            </w:r>
          </w:p>
        </w:tc>
        <w:tc>
          <w:tcPr>
            <w:tcW w:w="629" w:type="pct"/>
          </w:tcPr>
          <w:p w14:paraId="2A26DE2C" w14:textId="77777777" w:rsidR="00805FF8" w:rsidRPr="00B85E0F" w:rsidRDefault="00805FF8" w:rsidP="00D137A3">
            <w:pPr>
              <w:pStyle w:val="TableText0"/>
              <w:jc w:val="center"/>
              <w:rPr>
                <w:rFonts w:ascii="Times" w:hAnsi="Times"/>
              </w:rPr>
            </w:pPr>
            <w:r w:rsidRPr="00B85E0F">
              <w:t>$31,169</w:t>
            </w:r>
          </w:p>
        </w:tc>
        <w:tc>
          <w:tcPr>
            <w:tcW w:w="707" w:type="pct"/>
          </w:tcPr>
          <w:p w14:paraId="3026053E" w14:textId="7E4CB804" w:rsidR="00805FF8" w:rsidRPr="0081338E" w:rsidRDefault="00805FF8" w:rsidP="00D137A3">
            <w:pPr>
              <w:pStyle w:val="TableText0"/>
              <w:jc w:val="center"/>
              <w:rPr>
                <w:rFonts w:ascii="Times" w:hAnsi="Times"/>
              </w:rPr>
            </w:pPr>
            <w:r w:rsidRPr="0081338E">
              <w:t>$</w:t>
            </w:r>
            <w:r w:rsidR="008C30A7" w:rsidRPr="008C30A7">
              <w:rPr>
                <w:color w:val="000000"/>
                <w:shd w:val="solid" w:color="000000" w:fill="000000"/>
                <w14:textFill>
                  <w14:solidFill>
                    <w14:srgbClr w14:val="000000">
                      <w14:alpha w14:val="100000"/>
                    </w14:srgbClr>
                  </w14:solidFill>
                </w14:textFill>
              </w:rPr>
              <w:t>|</w:t>
            </w:r>
          </w:p>
        </w:tc>
        <w:tc>
          <w:tcPr>
            <w:tcW w:w="750" w:type="pct"/>
          </w:tcPr>
          <w:p w14:paraId="3DA3EB66" w14:textId="6EDABC72" w:rsidR="00805FF8" w:rsidRPr="0081338E" w:rsidRDefault="00805FF8" w:rsidP="00D137A3">
            <w:pPr>
              <w:pStyle w:val="TableText0"/>
              <w:jc w:val="center"/>
            </w:pPr>
            <w:r w:rsidRPr="0081338E">
              <w:t>$</w:t>
            </w:r>
            <w:r w:rsidR="008C30A7" w:rsidRPr="008C30A7">
              <w:rPr>
                <w:color w:val="000000"/>
                <w:shd w:val="solid" w:color="000000" w:fill="000000"/>
                <w14:textFill>
                  <w14:solidFill>
                    <w14:srgbClr w14:val="000000">
                      <w14:alpha w14:val="100000"/>
                    </w14:srgbClr>
                  </w14:solidFill>
                </w14:textFill>
              </w:rPr>
              <w:t>|</w:t>
            </w:r>
          </w:p>
        </w:tc>
        <w:tc>
          <w:tcPr>
            <w:tcW w:w="558" w:type="pct"/>
          </w:tcPr>
          <w:p w14:paraId="548A73A8" w14:textId="77777777" w:rsidR="00805FF8" w:rsidRPr="00B85E0F" w:rsidRDefault="00805FF8" w:rsidP="00D137A3">
            <w:pPr>
              <w:pStyle w:val="TableText0"/>
              <w:jc w:val="center"/>
            </w:pPr>
            <w:r w:rsidRPr="00B85E0F">
              <w:t>$80,518</w:t>
            </w:r>
          </w:p>
        </w:tc>
        <w:tc>
          <w:tcPr>
            <w:tcW w:w="551" w:type="pct"/>
          </w:tcPr>
          <w:p w14:paraId="5E83D86F" w14:textId="77CB6F83" w:rsidR="00805FF8" w:rsidRPr="0081338E" w:rsidRDefault="00805FF8" w:rsidP="00D137A3">
            <w:pPr>
              <w:pStyle w:val="TableText0"/>
              <w:jc w:val="center"/>
            </w:pPr>
            <w:r w:rsidRPr="0081338E">
              <w:t>$</w:t>
            </w:r>
            <w:r w:rsidR="008C30A7" w:rsidRPr="008C30A7">
              <w:rPr>
                <w:rFonts w:hint="eastAsia"/>
                <w:color w:val="000000"/>
                <w:w w:val="31"/>
                <w:shd w:val="solid" w:color="000000" w:fill="000000"/>
                <w:fitText w:val="138" w:id="-694446067"/>
                <w14:textFill>
                  <w14:solidFill>
                    <w14:srgbClr w14:val="000000">
                      <w14:alpha w14:val="100000"/>
                    </w14:srgbClr>
                  </w14:solidFill>
                </w14:textFill>
              </w:rPr>
              <w:t xml:space="preserve">　</w:t>
            </w:r>
            <w:r w:rsidR="008C30A7" w:rsidRPr="008C30A7">
              <w:rPr>
                <w:color w:val="000000"/>
                <w:w w:val="31"/>
                <w:shd w:val="solid" w:color="000000" w:fill="000000"/>
                <w:fitText w:val="138" w:id="-694446067"/>
                <w14:textFill>
                  <w14:solidFill>
                    <w14:srgbClr w14:val="000000">
                      <w14:alpha w14:val="100000"/>
                    </w14:srgbClr>
                  </w14:solidFill>
                </w14:textFill>
              </w:rPr>
              <w:t>|</w:t>
            </w:r>
            <w:r w:rsidR="008C30A7" w:rsidRPr="008C30A7">
              <w:rPr>
                <w:rFonts w:hint="eastAsia"/>
                <w:color w:val="000000"/>
                <w:w w:val="31"/>
                <w:shd w:val="solid" w:color="000000" w:fill="000000"/>
                <w:fitText w:val="138" w:id="-694446067"/>
                <w14:textFill>
                  <w14:solidFill>
                    <w14:srgbClr w14:val="000000">
                      <w14:alpha w14:val="100000"/>
                    </w14:srgbClr>
                  </w14:solidFill>
                </w14:textFill>
              </w:rPr>
              <w:t xml:space="preserve">　</w:t>
            </w:r>
          </w:p>
        </w:tc>
      </w:tr>
      <w:tr w:rsidR="00805FF8" w:rsidRPr="0081338E" w14:paraId="48047078" w14:textId="77777777" w:rsidTr="00D137A3">
        <w:tc>
          <w:tcPr>
            <w:tcW w:w="1020" w:type="pct"/>
            <w:vAlign w:val="center"/>
          </w:tcPr>
          <w:p w14:paraId="0B78268D" w14:textId="77777777" w:rsidR="00805FF8" w:rsidRPr="0081338E" w:rsidRDefault="00805FF8" w:rsidP="00D137A3">
            <w:pPr>
              <w:pStyle w:val="TableText0"/>
            </w:pPr>
            <w:r w:rsidRPr="0081338E">
              <w:t>Costs (corrected)</w:t>
            </w:r>
          </w:p>
        </w:tc>
        <w:tc>
          <w:tcPr>
            <w:tcW w:w="785" w:type="pct"/>
          </w:tcPr>
          <w:p w14:paraId="1B6BA58D" w14:textId="5CCB7A1A" w:rsidR="00805FF8" w:rsidRPr="0081338E" w:rsidRDefault="00805FF8" w:rsidP="00D137A3">
            <w:pPr>
              <w:pStyle w:val="TableText0"/>
              <w:jc w:val="center"/>
            </w:pPr>
            <w:r w:rsidRPr="0081338E">
              <w:t>$</w:t>
            </w:r>
            <w:r w:rsidR="008C30A7" w:rsidRPr="008C30A7">
              <w:rPr>
                <w:color w:val="000000"/>
                <w:shd w:val="solid" w:color="000000" w:fill="000000"/>
                <w14:textFill>
                  <w14:solidFill>
                    <w14:srgbClr w14:val="000000">
                      <w14:alpha w14:val="100000"/>
                    </w14:srgbClr>
                  </w14:solidFill>
                </w14:textFill>
              </w:rPr>
              <w:t>|</w:t>
            </w:r>
          </w:p>
        </w:tc>
        <w:tc>
          <w:tcPr>
            <w:tcW w:w="629" w:type="pct"/>
          </w:tcPr>
          <w:p w14:paraId="0BBAD0C8" w14:textId="77777777" w:rsidR="00805FF8" w:rsidRPr="00B85E0F" w:rsidRDefault="00805FF8" w:rsidP="00D137A3">
            <w:pPr>
              <w:pStyle w:val="TableText0"/>
              <w:jc w:val="center"/>
            </w:pPr>
            <w:r w:rsidRPr="00B85E0F">
              <w:t>$31,169</w:t>
            </w:r>
          </w:p>
        </w:tc>
        <w:tc>
          <w:tcPr>
            <w:tcW w:w="707" w:type="pct"/>
          </w:tcPr>
          <w:p w14:paraId="18E84696" w14:textId="7522E2F7" w:rsidR="00805FF8" w:rsidRPr="0016664F" w:rsidRDefault="00805FF8" w:rsidP="00D137A3">
            <w:pPr>
              <w:pStyle w:val="TableText0"/>
              <w:jc w:val="center"/>
            </w:pPr>
            <w:r w:rsidRPr="0016664F">
              <w:t>$</w:t>
            </w:r>
            <w:r w:rsidR="008C30A7" w:rsidRPr="008C30A7">
              <w:rPr>
                <w:color w:val="000000"/>
                <w:shd w:val="solid" w:color="000000" w:fill="000000"/>
                <w14:textFill>
                  <w14:solidFill>
                    <w14:srgbClr w14:val="000000">
                      <w14:alpha w14:val="100000"/>
                    </w14:srgbClr>
                  </w14:solidFill>
                </w14:textFill>
              </w:rPr>
              <w:t>|</w:t>
            </w:r>
          </w:p>
        </w:tc>
        <w:tc>
          <w:tcPr>
            <w:tcW w:w="750" w:type="pct"/>
          </w:tcPr>
          <w:p w14:paraId="21E8B3FC" w14:textId="4DCACA06" w:rsidR="00805FF8" w:rsidRPr="0016664F" w:rsidRDefault="00805FF8" w:rsidP="00D137A3">
            <w:pPr>
              <w:pStyle w:val="TableText0"/>
              <w:jc w:val="center"/>
            </w:pPr>
            <w:r w:rsidRPr="0016664F">
              <w:t>$</w:t>
            </w:r>
            <w:r w:rsidR="008C30A7" w:rsidRPr="008C30A7">
              <w:rPr>
                <w:color w:val="000000"/>
                <w:shd w:val="solid" w:color="000000" w:fill="000000"/>
                <w14:textFill>
                  <w14:solidFill>
                    <w14:srgbClr w14:val="000000">
                      <w14:alpha w14:val="100000"/>
                    </w14:srgbClr>
                  </w14:solidFill>
                </w14:textFill>
              </w:rPr>
              <w:t>|</w:t>
            </w:r>
          </w:p>
        </w:tc>
        <w:tc>
          <w:tcPr>
            <w:tcW w:w="558" w:type="pct"/>
          </w:tcPr>
          <w:p w14:paraId="774D9150" w14:textId="77777777" w:rsidR="00805FF8" w:rsidRPr="00B85E0F" w:rsidRDefault="00805FF8" w:rsidP="00D137A3">
            <w:pPr>
              <w:pStyle w:val="TableText0"/>
              <w:jc w:val="center"/>
            </w:pPr>
            <w:r w:rsidRPr="00B85E0F">
              <w:t>$80,518</w:t>
            </w:r>
          </w:p>
        </w:tc>
        <w:tc>
          <w:tcPr>
            <w:tcW w:w="551" w:type="pct"/>
          </w:tcPr>
          <w:p w14:paraId="75CCAC8C" w14:textId="17A5E7D2" w:rsidR="00805FF8" w:rsidRPr="0016664F" w:rsidRDefault="00805FF8" w:rsidP="00D137A3">
            <w:pPr>
              <w:pStyle w:val="TableText0"/>
              <w:jc w:val="center"/>
            </w:pPr>
            <w:r w:rsidRPr="0016664F">
              <w:t>$</w:t>
            </w:r>
            <w:r w:rsidR="008C30A7" w:rsidRPr="008C30A7">
              <w:rPr>
                <w:rFonts w:hint="eastAsia"/>
                <w:color w:val="000000"/>
                <w:w w:val="31"/>
                <w:shd w:val="solid" w:color="000000" w:fill="000000"/>
                <w:fitText w:val="138" w:id="-694446066"/>
                <w14:textFill>
                  <w14:solidFill>
                    <w14:srgbClr w14:val="000000">
                      <w14:alpha w14:val="100000"/>
                    </w14:srgbClr>
                  </w14:solidFill>
                </w14:textFill>
              </w:rPr>
              <w:t xml:space="preserve">　</w:t>
            </w:r>
            <w:r w:rsidR="008C30A7" w:rsidRPr="008C30A7">
              <w:rPr>
                <w:color w:val="000000"/>
                <w:w w:val="31"/>
                <w:shd w:val="solid" w:color="000000" w:fill="000000"/>
                <w:fitText w:val="138" w:id="-694446066"/>
                <w14:textFill>
                  <w14:solidFill>
                    <w14:srgbClr w14:val="000000">
                      <w14:alpha w14:val="100000"/>
                    </w14:srgbClr>
                  </w14:solidFill>
                </w14:textFill>
              </w:rPr>
              <w:t>|</w:t>
            </w:r>
            <w:r w:rsidR="008C30A7" w:rsidRPr="008C30A7">
              <w:rPr>
                <w:rFonts w:hint="eastAsia"/>
                <w:color w:val="000000"/>
                <w:w w:val="31"/>
                <w:shd w:val="solid" w:color="000000" w:fill="000000"/>
                <w:fitText w:val="138" w:id="-694446066"/>
                <w14:textFill>
                  <w14:solidFill>
                    <w14:srgbClr w14:val="000000">
                      <w14:alpha w14:val="100000"/>
                    </w14:srgbClr>
                  </w14:solidFill>
                </w14:textFill>
              </w:rPr>
              <w:t xml:space="preserve">　</w:t>
            </w:r>
          </w:p>
        </w:tc>
      </w:tr>
      <w:tr w:rsidR="00805FF8" w:rsidRPr="0081338E" w14:paraId="4DCC5A17" w14:textId="77777777" w:rsidTr="00D137A3">
        <w:tc>
          <w:tcPr>
            <w:tcW w:w="1020" w:type="pct"/>
            <w:vAlign w:val="center"/>
          </w:tcPr>
          <w:p w14:paraId="6D5B7DF0" w14:textId="77777777" w:rsidR="00805FF8" w:rsidRPr="0081338E" w:rsidRDefault="00805FF8" w:rsidP="00D137A3">
            <w:pPr>
              <w:pStyle w:val="TableText0"/>
              <w:rPr>
                <w:rFonts w:ascii="Times" w:hAnsi="Times"/>
              </w:rPr>
            </w:pPr>
            <w:r w:rsidRPr="0081338E">
              <w:t>LYs</w:t>
            </w:r>
          </w:p>
        </w:tc>
        <w:tc>
          <w:tcPr>
            <w:tcW w:w="785" w:type="pct"/>
          </w:tcPr>
          <w:p w14:paraId="69FB51ED" w14:textId="77777777" w:rsidR="00805FF8" w:rsidRPr="0081338E" w:rsidRDefault="00805FF8" w:rsidP="00D137A3">
            <w:pPr>
              <w:pStyle w:val="TableText0"/>
              <w:jc w:val="center"/>
              <w:rPr>
                <w:rFonts w:ascii="Times" w:hAnsi="Times"/>
              </w:rPr>
            </w:pPr>
            <w:r w:rsidRPr="0081338E">
              <w:t>16.92</w:t>
            </w:r>
          </w:p>
        </w:tc>
        <w:tc>
          <w:tcPr>
            <w:tcW w:w="629" w:type="pct"/>
          </w:tcPr>
          <w:p w14:paraId="6982E71C" w14:textId="77777777" w:rsidR="00805FF8" w:rsidRPr="0081338E" w:rsidRDefault="00805FF8" w:rsidP="00D137A3">
            <w:pPr>
              <w:pStyle w:val="TableText0"/>
              <w:jc w:val="center"/>
              <w:rPr>
                <w:rFonts w:ascii="Times" w:hAnsi="Times"/>
              </w:rPr>
            </w:pPr>
            <w:r w:rsidRPr="0081338E">
              <w:t>14.25</w:t>
            </w:r>
          </w:p>
        </w:tc>
        <w:tc>
          <w:tcPr>
            <w:tcW w:w="707" w:type="pct"/>
          </w:tcPr>
          <w:p w14:paraId="5DE8FA3B" w14:textId="77777777" w:rsidR="00805FF8" w:rsidRPr="0016664F" w:rsidRDefault="00805FF8" w:rsidP="00D137A3">
            <w:pPr>
              <w:pStyle w:val="TableText0"/>
              <w:jc w:val="center"/>
            </w:pPr>
            <w:r w:rsidRPr="0016664F">
              <w:t>2.67</w:t>
            </w:r>
          </w:p>
        </w:tc>
        <w:tc>
          <w:tcPr>
            <w:tcW w:w="750" w:type="pct"/>
          </w:tcPr>
          <w:p w14:paraId="4DD49A33" w14:textId="77777777" w:rsidR="00805FF8" w:rsidRPr="0016664F" w:rsidRDefault="00805FF8" w:rsidP="00D137A3">
            <w:pPr>
              <w:pStyle w:val="TableText0"/>
              <w:jc w:val="center"/>
            </w:pPr>
            <w:r w:rsidRPr="0016664F">
              <w:t>9.50</w:t>
            </w:r>
          </w:p>
        </w:tc>
        <w:tc>
          <w:tcPr>
            <w:tcW w:w="558" w:type="pct"/>
          </w:tcPr>
          <w:p w14:paraId="702C7E86" w14:textId="77777777" w:rsidR="00805FF8" w:rsidRPr="0016664F" w:rsidRDefault="00805FF8" w:rsidP="00D137A3">
            <w:pPr>
              <w:pStyle w:val="TableText0"/>
              <w:jc w:val="center"/>
            </w:pPr>
            <w:r w:rsidRPr="0016664F">
              <w:t>3.97</w:t>
            </w:r>
          </w:p>
        </w:tc>
        <w:tc>
          <w:tcPr>
            <w:tcW w:w="551" w:type="pct"/>
          </w:tcPr>
          <w:p w14:paraId="75FEDF60" w14:textId="77777777" w:rsidR="00805FF8" w:rsidRPr="0016664F" w:rsidRDefault="00805FF8" w:rsidP="00D137A3">
            <w:pPr>
              <w:pStyle w:val="TableText0"/>
              <w:jc w:val="center"/>
            </w:pPr>
            <w:r w:rsidRPr="0016664F">
              <w:t>5.52</w:t>
            </w:r>
          </w:p>
        </w:tc>
      </w:tr>
      <w:tr w:rsidR="00805FF8" w:rsidRPr="0081338E" w14:paraId="43DF75BC" w14:textId="77777777" w:rsidTr="00D137A3">
        <w:tc>
          <w:tcPr>
            <w:tcW w:w="1020" w:type="pct"/>
            <w:vAlign w:val="center"/>
          </w:tcPr>
          <w:p w14:paraId="33A8F3B5" w14:textId="77777777" w:rsidR="00805FF8" w:rsidRPr="0081338E" w:rsidRDefault="00805FF8" w:rsidP="00D137A3">
            <w:pPr>
              <w:pStyle w:val="TableText0"/>
            </w:pPr>
            <w:r w:rsidRPr="0081338E">
              <w:t>QALYs</w:t>
            </w:r>
          </w:p>
        </w:tc>
        <w:tc>
          <w:tcPr>
            <w:tcW w:w="785" w:type="pct"/>
          </w:tcPr>
          <w:p w14:paraId="739A27F0" w14:textId="77777777" w:rsidR="00805FF8" w:rsidRPr="0081338E" w:rsidRDefault="00805FF8" w:rsidP="00D137A3">
            <w:pPr>
              <w:pStyle w:val="TableText0"/>
              <w:jc w:val="center"/>
            </w:pPr>
            <w:r w:rsidRPr="0081338E">
              <w:t>14.56</w:t>
            </w:r>
          </w:p>
        </w:tc>
        <w:tc>
          <w:tcPr>
            <w:tcW w:w="629" w:type="pct"/>
          </w:tcPr>
          <w:p w14:paraId="7BFB236F" w14:textId="77777777" w:rsidR="00805FF8" w:rsidRPr="0081338E" w:rsidRDefault="00805FF8" w:rsidP="00D137A3">
            <w:pPr>
              <w:pStyle w:val="TableText0"/>
              <w:jc w:val="center"/>
            </w:pPr>
            <w:r w:rsidRPr="0081338E">
              <w:t>12.31</w:t>
            </w:r>
          </w:p>
        </w:tc>
        <w:tc>
          <w:tcPr>
            <w:tcW w:w="707" w:type="pct"/>
          </w:tcPr>
          <w:p w14:paraId="6C8B6643" w14:textId="77777777" w:rsidR="00805FF8" w:rsidRPr="0016664F" w:rsidRDefault="00805FF8" w:rsidP="00D137A3">
            <w:pPr>
              <w:pStyle w:val="TableText0"/>
              <w:jc w:val="center"/>
            </w:pPr>
            <w:r w:rsidRPr="0016664F">
              <w:t>2.25</w:t>
            </w:r>
          </w:p>
        </w:tc>
        <w:tc>
          <w:tcPr>
            <w:tcW w:w="750" w:type="pct"/>
          </w:tcPr>
          <w:p w14:paraId="3ADF0BCE" w14:textId="77777777" w:rsidR="00805FF8" w:rsidRPr="0016664F" w:rsidRDefault="00805FF8" w:rsidP="00D137A3">
            <w:pPr>
              <w:pStyle w:val="TableText0"/>
              <w:jc w:val="center"/>
            </w:pPr>
            <w:r w:rsidRPr="0016664F">
              <w:t>7.90</w:t>
            </w:r>
          </w:p>
        </w:tc>
        <w:tc>
          <w:tcPr>
            <w:tcW w:w="558" w:type="pct"/>
          </w:tcPr>
          <w:p w14:paraId="19D4B43B" w14:textId="77777777" w:rsidR="00805FF8" w:rsidRPr="0016664F" w:rsidRDefault="00805FF8" w:rsidP="00D137A3">
            <w:pPr>
              <w:pStyle w:val="TableText0"/>
              <w:jc w:val="center"/>
            </w:pPr>
            <w:r w:rsidRPr="0016664F">
              <w:t>3.24</w:t>
            </w:r>
          </w:p>
        </w:tc>
        <w:tc>
          <w:tcPr>
            <w:tcW w:w="551" w:type="pct"/>
          </w:tcPr>
          <w:p w14:paraId="1012FF79" w14:textId="77777777" w:rsidR="00805FF8" w:rsidRPr="0016664F" w:rsidRDefault="00805FF8" w:rsidP="00D137A3">
            <w:pPr>
              <w:pStyle w:val="TableText0"/>
              <w:jc w:val="center"/>
            </w:pPr>
            <w:r w:rsidRPr="0016664F">
              <w:t>4.66</w:t>
            </w:r>
          </w:p>
        </w:tc>
      </w:tr>
      <w:tr w:rsidR="00805FF8" w:rsidRPr="0081338E" w14:paraId="188C45BB" w14:textId="77777777" w:rsidTr="00D137A3">
        <w:tc>
          <w:tcPr>
            <w:tcW w:w="2434" w:type="pct"/>
            <w:gridSpan w:val="3"/>
            <w:vAlign w:val="center"/>
          </w:tcPr>
          <w:p w14:paraId="6EB490A6" w14:textId="77777777" w:rsidR="00805FF8" w:rsidRPr="0081338E" w:rsidRDefault="00805FF8" w:rsidP="00D137A3">
            <w:pPr>
              <w:pStyle w:val="TableText0"/>
              <w:jc w:val="right"/>
              <w:rPr>
                <w:rFonts w:ascii="Times" w:hAnsi="Times"/>
                <w:bCs w:val="0"/>
              </w:rPr>
            </w:pPr>
            <w:r w:rsidRPr="0081338E">
              <w:rPr>
                <w:bCs w:val="0"/>
              </w:rPr>
              <w:t>Incremental cost/extra LY gained (submission)</w:t>
            </w:r>
          </w:p>
        </w:tc>
        <w:tc>
          <w:tcPr>
            <w:tcW w:w="707" w:type="pct"/>
            <w:vAlign w:val="center"/>
          </w:tcPr>
          <w:p w14:paraId="201E2AF7" w14:textId="0FE4A0C7" w:rsidR="00805FF8" w:rsidRPr="004C2993" w:rsidRDefault="00805FF8" w:rsidP="00D137A3">
            <w:pPr>
              <w:pStyle w:val="TableText0"/>
              <w:jc w:val="center"/>
              <w:rPr>
                <w:rFonts w:ascii="Times" w:hAnsi="Times"/>
                <w:bCs w:val="0"/>
                <w:vertAlign w:val="superscript"/>
              </w:rPr>
            </w:pPr>
            <w:r w:rsidRPr="0016664F">
              <w:rPr>
                <w:bCs w:val="0"/>
              </w:rPr>
              <w:t>$</w:t>
            </w:r>
            <w:r w:rsidR="008C30A7" w:rsidRPr="002409D6">
              <w:rPr>
                <w:rFonts w:hint="eastAsia"/>
                <w:bCs w:val="0"/>
                <w:color w:val="000000"/>
                <w:w w:val="15"/>
                <w:shd w:val="solid" w:color="000000" w:fill="000000"/>
                <w:fitText w:val="12" w:id="-694446065"/>
                <w14:textFill>
                  <w14:solidFill>
                    <w14:srgbClr w14:val="000000">
                      <w14:alpha w14:val="100000"/>
                    </w14:srgbClr>
                  </w14:solidFill>
                </w14:textFill>
              </w:rPr>
              <w:t xml:space="preserve">　</w:t>
            </w:r>
            <w:r w:rsidR="008C30A7" w:rsidRPr="002409D6">
              <w:rPr>
                <w:bCs w:val="0"/>
                <w:color w:val="000000"/>
                <w:w w:val="15"/>
                <w:shd w:val="solid" w:color="000000" w:fill="000000"/>
                <w:fitText w:val="12" w:id="-694446065"/>
                <w14:textFill>
                  <w14:solidFill>
                    <w14:srgbClr w14:val="000000">
                      <w14:alpha w14:val="100000"/>
                    </w14:srgbClr>
                  </w14:solidFill>
                </w14:textFill>
              </w:rPr>
              <w:t>|</w:t>
            </w:r>
            <w:r w:rsidR="008C30A7" w:rsidRPr="002409D6">
              <w:rPr>
                <w:rFonts w:hint="eastAsia"/>
                <w:bCs w:val="0"/>
                <w:color w:val="000000"/>
                <w:spacing w:val="-53"/>
                <w:w w:val="15"/>
                <w:shd w:val="solid" w:color="000000" w:fill="000000"/>
                <w:fitText w:val="12" w:id="-694446065"/>
                <w14:textFill>
                  <w14:solidFill>
                    <w14:srgbClr w14:val="000000">
                      <w14:alpha w14:val="100000"/>
                    </w14:srgbClr>
                  </w14:solidFill>
                </w14:textFill>
              </w:rPr>
              <w:t xml:space="preserve">　</w:t>
            </w:r>
            <w:r w:rsidR="004C2993">
              <w:rPr>
                <w:bCs w:val="0"/>
                <w:vertAlign w:val="superscript"/>
              </w:rPr>
              <w:t>4</w:t>
            </w:r>
          </w:p>
        </w:tc>
        <w:tc>
          <w:tcPr>
            <w:tcW w:w="750" w:type="pct"/>
          </w:tcPr>
          <w:p w14:paraId="4063068B" w14:textId="77777777" w:rsidR="00805FF8" w:rsidRPr="0016664F" w:rsidRDefault="00805FF8" w:rsidP="00D137A3">
            <w:pPr>
              <w:pStyle w:val="TableText0"/>
              <w:jc w:val="center"/>
              <w:rPr>
                <w:bCs w:val="0"/>
              </w:rPr>
            </w:pPr>
          </w:p>
        </w:tc>
        <w:tc>
          <w:tcPr>
            <w:tcW w:w="558" w:type="pct"/>
          </w:tcPr>
          <w:p w14:paraId="31FEE0E8" w14:textId="77777777" w:rsidR="00805FF8" w:rsidRPr="0016664F" w:rsidRDefault="00805FF8" w:rsidP="00D137A3">
            <w:pPr>
              <w:pStyle w:val="TableText0"/>
              <w:jc w:val="center"/>
              <w:rPr>
                <w:bCs w:val="0"/>
              </w:rPr>
            </w:pPr>
          </w:p>
        </w:tc>
        <w:tc>
          <w:tcPr>
            <w:tcW w:w="551" w:type="pct"/>
          </w:tcPr>
          <w:p w14:paraId="1A06F907" w14:textId="77D6B712" w:rsidR="00805FF8" w:rsidRPr="0034296D" w:rsidRDefault="00805FF8" w:rsidP="00D137A3">
            <w:pPr>
              <w:pStyle w:val="TableText0"/>
              <w:jc w:val="center"/>
              <w:rPr>
                <w:bCs w:val="0"/>
                <w:vertAlign w:val="superscript"/>
              </w:rPr>
            </w:pPr>
            <w:r w:rsidRPr="0016664F">
              <w:rPr>
                <w:bCs w:val="0"/>
              </w:rPr>
              <w:t>$</w:t>
            </w:r>
            <w:r w:rsidR="008C30A7" w:rsidRPr="008C30A7">
              <w:rPr>
                <w:rFonts w:hint="eastAsia"/>
                <w:bCs w:val="0"/>
                <w:color w:val="000000"/>
                <w:w w:val="33"/>
                <w:shd w:val="solid" w:color="000000" w:fill="000000"/>
                <w:fitText w:val="150" w:id="-694446064"/>
                <w14:textFill>
                  <w14:solidFill>
                    <w14:srgbClr w14:val="000000">
                      <w14:alpha w14:val="100000"/>
                    </w14:srgbClr>
                  </w14:solidFill>
                </w14:textFill>
              </w:rPr>
              <w:t xml:space="preserve">　</w:t>
            </w:r>
            <w:r w:rsidR="008C30A7" w:rsidRPr="008C30A7">
              <w:rPr>
                <w:bCs w:val="0"/>
                <w:color w:val="000000"/>
                <w:w w:val="33"/>
                <w:shd w:val="solid" w:color="000000" w:fill="000000"/>
                <w:fitText w:val="150" w:id="-694446064"/>
                <w14:textFill>
                  <w14:solidFill>
                    <w14:srgbClr w14:val="000000">
                      <w14:alpha w14:val="100000"/>
                    </w14:srgbClr>
                  </w14:solidFill>
                </w14:textFill>
              </w:rPr>
              <w:t>|</w:t>
            </w:r>
            <w:r w:rsidR="008C30A7" w:rsidRPr="008C30A7">
              <w:rPr>
                <w:rFonts w:hint="eastAsia"/>
                <w:bCs w:val="0"/>
                <w:color w:val="000000"/>
                <w:w w:val="33"/>
                <w:shd w:val="solid" w:color="000000" w:fill="000000"/>
                <w:fitText w:val="150" w:id="-694446064"/>
                <w14:textFill>
                  <w14:solidFill>
                    <w14:srgbClr w14:val="000000">
                      <w14:alpha w14:val="100000"/>
                    </w14:srgbClr>
                  </w14:solidFill>
                </w14:textFill>
              </w:rPr>
              <w:t xml:space="preserve">　</w:t>
            </w:r>
            <w:r w:rsidR="0034296D">
              <w:rPr>
                <w:bCs w:val="0"/>
                <w:vertAlign w:val="superscript"/>
              </w:rPr>
              <w:t>3</w:t>
            </w:r>
          </w:p>
        </w:tc>
      </w:tr>
      <w:tr w:rsidR="00805FF8" w:rsidRPr="0081338E" w14:paraId="3B44A841" w14:textId="77777777" w:rsidTr="00D137A3">
        <w:tc>
          <w:tcPr>
            <w:tcW w:w="2434" w:type="pct"/>
            <w:gridSpan w:val="3"/>
            <w:vAlign w:val="center"/>
          </w:tcPr>
          <w:p w14:paraId="585BD5A6" w14:textId="77777777" w:rsidR="00805FF8" w:rsidRPr="0081338E" w:rsidRDefault="00805FF8" w:rsidP="00D137A3">
            <w:pPr>
              <w:pStyle w:val="TableText0"/>
              <w:jc w:val="right"/>
              <w:rPr>
                <w:bCs w:val="0"/>
              </w:rPr>
            </w:pPr>
            <w:r w:rsidRPr="0081338E">
              <w:rPr>
                <w:bCs w:val="0"/>
              </w:rPr>
              <w:t>Incremental cost/extra LY gained (corrected)</w:t>
            </w:r>
          </w:p>
        </w:tc>
        <w:tc>
          <w:tcPr>
            <w:tcW w:w="707" w:type="pct"/>
            <w:vAlign w:val="center"/>
          </w:tcPr>
          <w:p w14:paraId="56201C6B" w14:textId="53D47609" w:rsidR="00805FF8" w:rsidRPr="0016664F" w:rsidRDefault="00805FF8" w:rsidP="00D137A3">
            <w:pPr>
              <w:pStyle w:val="TableText0"/>
              <w:jc w:val="center"/>
              <w:rPr>
                <w:bCs w:val="0"/>
              </w:rPr>
            </w:pPr>
            <w:r w:rsidRPr="0016664F">
              <w:rPr>
                <w:bCs w:val="0"/>
              </w:rPr>
              <w:t>$</w:t>
            </w:r>
            <w:r w:rsidR="008C30A7" w:rsidRPr="002409D6">
              <w:rPr>
                <w:rFonts w:hint="eastAsia"/>
                <w:bCs w:val="0"/>
                <w:color w:val="000000"/>
                <w:w w:val="15"/>
                <w:shd w:val="solid" w:color="000000" w:fill="000000"/>
                <w:fitText w:val="12" w:id="-694446080"/>
                <w14:textFill>
                  <w14:solidFill>
                    <w14:srgbClr w14:val="000000">
                      <w14:alpha w14:val="100000"/>
                    </w14:srgbClr>
                  </w14:solidFill>
                </w14:textFill>
              </w:rPr>
              <w:t xml:space="preserve">　</w:t>
            </w:r>
            <w:r w:rsidR="008C30A7" w:rsidRPr="002409D6">
              <w:rPr>
                <w:bCs w:val="0"/>
                <w:color w:val="000000"/>
                <w:w w:val="15"/>
                <w:shd w:val="solid" w:color="000000" w:fill="000000"/>
                <w:fitText w:val="12" w:id="-694446080"/>
                <w14:textFill>
                  <w14:solidFill>
                    <w14:srgbClr w14:val="000000">
                      <w14:alpha w14:val="100000"/>
                    </w14:srgbClr>
                  </w14:solidFill>
                </w14:textFill>
              </w:rPr>
              <w:t>|</w:t>
            </w:r>
            <w:r w:rsidR="008C30A7" w:rsidRPr="002409D6">
              <w:rPr>
                <w:rFonts w:hint="eastAsia"/>
                <w:bCs w:val="0"/>
                <w:color w:val="000000"/>
                <w:spacing w:val="-53"/>
                <w:w w:val="15"/>
                <w:shd w:val="solid" w:color="000000" w:fill="000000"/>
                <w:fitText w:val="12" w:id="-694446080"/>
                <w14:textFill>
                  <w14:solidFill>
                    <w14:srgbClr w14:val="000000">
                      <w14:alpha w14:val="100000"/>
                    </w14:srgbClr>
                  </w14:solidFill>
                </w14:textFill>
              </w:rPr>
              <w:t xml:space="preserve">　</w:t>
            </w:r>
            <w:r w:rsidR="0034296D">
              <w:rPr>
                <w:bCs w:val="0"/>
                <w:vertAlign w:val="superscript"/>
              </w:rPr>
              <w:t>4</w:t>
            </w:r>
          </w:p>
        </w:tc>
        <w:tc>
          <w:tcPr>
            <w:tcW w:w="750" w:type="pct"/>
          </w:tcPr>
          <w:p w14:paraId="28EF09EB" w14:textId="77777777" w:rsidR="00805FF8" w:rsidRPr="0016664F" w:rsidRDefault="00805FF8" w:rsidP="00D137A3">
            <w:pPr>
              <w:pStyle w:val="TableText0"/>
              <w:jc w:val="center"/>
              <w:rPr>
                <w:bCs w:val="0"/>
              </w:rPr>
            </w:pPr>
          </w:p>
        </w:tc>
        <w:tc>
          <w:tcPr>
            <w:tcW w:w="558" w:type="pct"/>
          </w:tcPr>
          <w:p w14:paraId="755C3610" w14:textId="77777777" w:rsidR="00805FF8" w:rsidRPr="0016664F" w:rsidRDefault="00805FF8" w:rsidP="00D137A3">
            <w:pPr>
              <w:pStyle w:val="TableText0"/>
              <w:jc w:val="center"/>
              <w:rPr>
                <w:bCs w:val="0"/>
              </w:rPr>
            </w:pPr>
          </w:p>
        </w:tc>
        <w:tc>
          <w:tcPr>
            <w:tcW w:w="551" w:type="pct"/>
          </w:tcPr>
          <w:p w14:paraId="6D92FEC4" w14:textId="03EF2A8F" w:rsidR="00805FF8" w:rsidRPr="0034296D" w:rsidRDefault="00805FF8" w:rsidP="00D137A3">
            <w:pPr>
              <w:pStyle w:val="TableText0"/>
              <w:jc w:val="center"/>
              <w:rPr>
                <w:bCs w:val="0"/>
                <w:vertAlign w:val="superscript"/>
              </w:rPr>
            </w:pPr>
            <w:r w:rsidRPr="0016664F">
              <w:rPr>
                <w:bCs w:val="0"/>
              </w:rPr>
              <w:t>$</w:t>
            </w:r>
            <w:r w:rsidR="008C30A7" w:rsidRPr="008C30A7">
              <w:rPr>
                <w:rFonts w:hint="eastAsia"/>
                <w:bCs w:val="0"/>
                <w:color w:val="000000"/>
                <w:w w:val="33"/>
                <w:shd w:val="solid" w:color="000000" w:fill="000000"/>
                <w:fitText w:val="150" w:id="-694446079"/>
                <w14:textFill>
                  <w14:solidFill>
                    <w14:srgbClr w14:val="000000">
                      <w14:alpha w14:val="100000"/>
                    </w14:srgbClr>
                  </w14:solidFill>
                </w14:textFill>
              </w:rPr>
              <w:t xml:space="preserve">　</w:t>
            </w:r>
            <w:r w:rsidR="008C30A7" w:rsidRPr="008C30A7">
              <w:rPr>
                <w:bCs w:val="0"/>
                <w:color w:val="000000"/>
                <w:w w:val="33"/>
                <w:shd w:val="solid" w:color="000000" w:fill="000000"/>
                <w:fitText w:val="150" w:id="-694446079"/>
                <w14:textFill>
                  <w14:solidFill>
                    <w14:srgbClr w14:val="000000">
                      <w14:alpha w14:val="100000"/>
                    </w14:srgbClr>
                  </w14:solidFill>
                </w14:textFill>
              </w:rPr>
              <w:t>|</w:t>
            </w:r>
            <w:r w:rsidR="008C30A7" w:rsidRPr="008C30A7">
              <w:rPr>
                <w:rFonts w:hint="eastAsia"/>
                <w:bCs w:val="0"/>
                <w:color w:val="000000"/>
                <w:w w:val="33"/>
                <w:shd w:val="solid" w:color="000000" w:fill="000000"/>
                <w:fitText w:val="150" w:id="-694446079"/>
                <w14:textFill>
                  <w14:solidFill>
                    <w14:srgbClr w14:val="000000">
                      <w14:alpha w14:val="100000"/>
                    </w14:srgbClr>
                  </w14:solidFill>
                </w14:textFill>
              </w:rPr>
              <w:t xml:space="preserve">　</w:t>
            </w:r>
            <w:r w:rsidR="0034296D">
              <w:rPr>
                <w:bCs w:val="0"/>
                <w:vertAlign w:val="superscript"/>
              </w:rPr>
              <w:t>3</w:t>
            </w:r>
          </w:p>
        </w:tc>
      </w:tr>
      <w:tr w:rsidR="00805FF8" w:rsidRPr="0081338E" w14:paraId="186E782E" w14:textId="77777777" w:rsidTr="00D137A3">
        <w:tc>
          <w:tcPr>
            <w:tcW w:w="2434" w:type="pct"/>
            <w:gridSpan w:val="3"/>
            <w:vAlign w:val="center"/>
          </w:tcPr>
          <w:p w14:paraId="53F7939D" w14:textId="77777777" w:rsidR="00805FF8" w:rsidRPr="0081338E" w:rsidRDefault="00805FF8" w:rsidP="00D137A3">
            <w:pPr>
              <w:pStyle w:val="TableText0"/>
              <w:jc w:val="right"/>
              <w:rPr>
                <w:b/>
              </w:rPr>
            </w:pPr>
            <w:r w:rsidRPr="0081338E">
              <w:rPr>
                <w:b/>
              </w:rPr>
              <w:t>Incremental cost/extra QALY gained (submission)</w:t>
            </w:r>
          </w:p>
        </w:tc>
        <w:tc>
          <w:tcPr>
            <w:tcW w:w="707" w:type="pct"/>
            <w:vAlign w:val="center"/>
          </w:tcPr>
          <w:p w14:paraId="5BE6CB3F" w14:textId="6C16E9B5" w:rsidR="00805FF8" w:rsidRPr="00FF5237" w:rsidRDefault="00805FF8" w:rsidP="00D137A3">
            <w:pPr>
              <w:pStyle w:val="TableText0"/>
              <w:jc w:val="center"/>
              <w:rPr>
                <w:b/>
                <w:vertAlign w:val="superscript"/>
              </w:rPr>
            </w:pPr>
            <w:r w:rsidRPr="0016664F">
              <w:rPr>
                <w:b/>
              </w:rPr>
              <w:t>$</w:t>
            </w:r>
            <w:r w:rsidR="008C30A7" w:rsidRPr="008C30A7">
              <w:rPr>
                <w:rFonts w:hint="eastAsia"/>
                <w:b/>
                <w:color w:val="000000"/>
                <w:w w:val="15"/>
                <w:shd w:val="solid" w:color="000000" w:fill="000000"/>
                <w:fitText w:val="63" w:id="-694446078"/>
                <w14:textFill>
                  <w14:solidFill>
                    <w14:srgbClr w14:val="000000">
                      <w14:alpha w14:val="100000"/>
                    </w14:srgbClr>
                  </w14:solidFill>
                </w14:textFill>
              </w:rPr>
              <w:t xml:space="preserve">　</w:t>
            </w:r>
            <w:r w:rsidR="008C30A7" w:rsidRPr="008C30A7">
              <w:rPr>
                <w:b/>
                <w:color w:val="000000"/>
                <w:w w:val="15"/>
                <w:shd w:val="solid" w:color="000000" w:fill="000000"/>
                <w:fitText w:val="63" w:id="-694446078"/>
                <w14:textFill>
                  <w14:solidFill>
                    <w14:srgbClr w14:val="000000">
                      <w14:alpha w14:val="100000"/>
                    </w14:srgbClr>
                  </w14:solidFill>
                </w14:textFill>
              </w:rPr>
              <w:t>|</w:t>
            </w:r>
            <w:r w:rsidR="008C30A7" w:rsidRPr="008C30A7">
              <w:rPr>
                <w:rFonts w:hint="eastAsia"/>
                <w:b/>
                <w:color w:val="000000"/>
                <w:spacing w:val="-3"/>
                <w:w w:val="15"/>
                <w:shd w:val="solid" w:color="000000" w:fill="000000"/>
                <w:fitText w:val="63" w:id="-694446078"/>
                <w14:textFill>
                  <w14:solidFill>
                    <w14:srgbClr w14:val="000000">
                      <w14:alpha w14:val="100000"/>
                    </w14:srgbClr>
                  </w14:solidFill>
                </w14:textFill>
              </w:rPr>
              <w:t xml:space="preserve">　</w:t>
            </w:r>
            <w:r w:rsidR="00FF5237">
              <w:rPr>
                <w:b/>
                <w:vertAlign w:val="superscript"/>
              </w:rPr>
              <w:t>1</w:t>
            </w:r>
          </w:p>
        </w:tc>
        <w:tc>
          <w:tcPr>
            <w:tcW w:w="750" w:type="pct"/>
          </w:tcPr>
          <w:p w14:paraId="4010083A" w14:textId="77777777" w:rsidR="00805FF8" w:rsidRPr="0016664F" w:rsidRDefault="00805FF8" w:rsidP="00D137A3">
            <w:pPr>
              <w:pStyle w:val="TableText0"/>
              <w:jc w:val="center"/>
              <w:rPr>
                <w:b/>
              </w:rPr>
            </w:pPr>
          </w:p>
        </w:tc>
        <w:tc>
          <w:tcPr>
            <w:tcW w:w="558" w:type="pct"/>
          </w:tcPr>
          <w:p w14:paraId="421878D4" w14:textId="77777777" w:rsidR="00805FF8" w:rsidRPr="0016664F" w:rsidRDefault="00805FF8" w:rsidP="00D137A3">
            <w:pPr>
              <w:pStyle w:val="TableText0"/>
              <w:jc w:val="center"/>
              <w:rPr>
                <w:b/>
              </w:rPr>
            </w:pPr>
          </w:p>
        </w:tc>
        <w:tc>
          <w:tcPr>
            <w:tcW w:w="551" w:type="pct"/>
          </w:tcPr>
          <w:p w14:paraId="3FE03C1A" w14:textId="2AA491FB" w:rsidR="00805FF8" w:rsidRPr="00247052" w:rsidRDefault="00805FF8" w:rsidP="00D137A3">
            <w:pPr>
              <w:pStyle w:val="TableText0"/>
              <w:jc w:val="center"/>
              <w:rPr>
                <w:b/>
                <w:vertAlign w:val="superscript"/>
              </w:rPr>
            </w:pPr>
            <w:r w:rsidRPr="0016664F">
              <w:rPr>
                <w:b/>
              </w:rPr>
              <w:t>$</w:t>
            </w:r>
            <w:r w:rsidR="008C30A7" w:rsidRPr="00FE32E3">
              <w:rPr>
                <w:b/>
                <w:color w:val="000000"/>
                <w:spacing w:val="108"/>
                <w:shd w:val="solid" w:color="000000" w:fill="000000"/>
                <w:fitText w:val="200" w:id="-694446077"/>
                <w14:textFill>
                  <w14:solidFill>
                    <w14:srgbClr w14:val="000000">
                      <w14:alpha w14:val="100000"/>
                    </w14:srgbClr>
                  </w14:solidFill>
                </w14:textFill>
              </w:rPr>
              <w:t>|</w:t>
            </w:r>
            <w:r w:rsidR="008C30A7" w:rsidRPr="00FE32E3">
              <w:rPr>
                <w:b/>
                <w:color w:val="000000"/>
                <w:spacing w:val="1"/>
                <w:shd w:val="solid" w:color="000000" w:fill="000000"/>
                <w:fitText w:val="200" w:id="-694446077"/>
                <w14:textFill>
                  <w14:solidFill>
                    <w14:srgbClr w14:val="000000">
                      <w14:alpha w14:val="100000"/>
                    </w14:srgbClr>
                  </w14:solidFill>
                </w14:textFill>
              </w:rPr>
              <w:t>|</w:t>
            </w:r>
            <w:r w:rsidR="00247052">
              <w:rPr>
                <w:b/>
                <w:vertAlign w:val="superscript"/>
              </w:rPr>
              <w:t>2</w:t>
            </w:r>
          </w:p>
        </w:tc>
      </w:tr>
      <w:tr w:rsidR="00805FF8" w:rsidRPr="0081338E" w14:paraId="4F0B8AFD" w14:textId="77777777" w:rsidTr="00D137A3">
        <w:tc>
          <w:tcPr>
            <w:tcW w:w="2434" w:type="pct"/>
            <w:gridSpan w:val="3"/>
            <w:vAlign w:val="center"/>
          </w:tcPr>
          <w:p w14:paraId="6105422B" w14:textId="77777777" w:rsidR="00805FF8" w:rsidRPr="0081338E" w:rsidRDefault="00805FF8" w:rsidP="00D137A3">
            <w:pPr>
              <w:pStyle w:val="TableText0"/>
              <w:jc w:val="right"/>
              <w:rPr>
                <w:b/>
              </w:rPr>
            </w:pPr>
            <w:r w:rsidRPr="0081338E">
              <w:rPr>
                <w:b/>
              </w:rPr>
              <w:t>Incremental cost/extra QALY gained (corrected)</w:t>
            </w:r>
          </w:p>
        </w:tc>
        <w:tc>
          <w:tcPr>
            <w:tcW w:w="707" w:type="pct"/>
            <w:vAlign w:val="center"/>
          </w:tcPr>
          <w:p w14:paraId="21C85413" w14:textId="1ED77D9D" w:rsidR="00805FF8" w:rsidRPr="00FF5237" w:rsidRDefault="00805FF8" w:rsidP="00D137A3">
            <w:pPr>
              <w:pStyle w:val="TableText0"/>
              <w:jc w:val="center"/>
              <w:rPr>
                <w:b/>
                <w:vertAlign w:val="superscript"/>
              </w:rPr>
            </w:pPr>
            <w:r w:rsidRPr="0016664F">
              <w:rPr>
                <w:b/>
              </w:rPr>
              <w:t>$</w:t>
            </w:r>
            <w:r w:rsidR="008C30A7" w:rsidRPr="008C30A7">
              <w:rPr>
                <w:rFonts w:hint="eastAsia"/>
                <w:b/>
                <w:color w:val="000000"/>
                <w:w w:val="15"/>
                <w:shd w:val="solid" w:color="000000" w:fill="000000"/>
                <w:fitText w:val="63" w:id="-694446076"/>
                <w14:textFill>
                  <w14:solidFill>
                    <w14:srgbClr w14:val="000000">
                      <w14:alpha w14:val="100000"/>
                    </w14:srgbClr>
                  </w14:solidFill>
                </w14:textFill>
              </w:rPr>
              <w:t xml:space="preserve">　</w:t>
            </w:r>
            <w:r w:rsidR="008C30A7" w:rsidRPr="008C30A7">
              <w:rPr>
                <w:b/>
                <w:color w:val="000000"/>
                <w:w w:val="15"/>
                <w:shd w:val="solid" w:color="000000" w:fill="000000"/>
                <w:fitText w:val="63" w:id="-694446076"/>
                <w14:textFill>
                  <w14:solidFill>
                    <w14:srgbClr w14:val="000000">
                      <w14:alpha w14:val="100000"/>
                    </w14:srgbClr>
                  </w14:solidFill>
                </w14:textFill>
              </w:rPr>
              <w:t>|</w:t>
            </w:r>
            <w:r w:rsidR="008C30A7" w:rsidRPr="008C30A7">
              <w:rPr>
                <w:rFonts w:hint="eastAsia"/>
                <w:b/>
                <w:color w:val="000000"/>
                <w:spacing w:val="-3"/>
                <w:w w:val="15"/>
                <w:shd w:val="solid" w:color="000000" w:fill="000000"/>
                <w:fitText w:val="63" w:id="-694446076"/>
                <w14:textFill>
                  <w14:solidFill>
                    <w14:srgbClr w14:val="000000">
                      <w14:alpha w14:val="100000"/>
                    </w14:srgbClr>
                  </w14:solidFill>
                </w14:textFill>
              </w:rPr>
              <w:t xml:space="preserve">　</w:t>
            </w:r>
            <w:r w:rsidR="00FF5237">
              <w:rPr>
                <w:b/>
                <w:vertAlign w:val="superscript"/>
              </w:rPr>
              <w:t>1</w:t>
            </w:r>
          </w:p>
        </w:tc>
        <w:tc>
          <w:tcPr>
            <w:tcW w:w="750" w:type="pct"/>
          </w:tcPr>
          <w:p w14:paraId="1D4E1853" w14:textId="77777777" w:rsidR="00805FF8" w:rsidRPr="0016664F" w:rsidRDefault="00805FF8" w:rsidP="00D137A3">
            <w:pPr>
              <w:pStyle w:val="TableText0"/>
              <w:jc w:val="center"/>
              <w:rPr>
                <w:b/>
              </w:rPr>
            </w:pPr>
          </w:p>
        </w:tc>
        <w:tc>
          <w:tcPr>
            <w:tcW w:w="558" w:type="pct"/>
          </w:tcPr>
          <w:p w14:paraId="5807DD33" w14:textId="77777777" w:rsidR="00805FF8" w:rsidRPr="0016664F" w:rsidRDefault="00805FF8" w:rsidP="00D137A3">
            <w:pPr>
              <w:pStyle w:val="TableText0"/>
              <w:jc w:val="center"/>
              <w:rPr>
                <w:b/>
              </w:rPr>
            </w:pPr>
          </w:p>
        </w:tc>
        <w:tc>
          <w:tcPr>
            <w:tcW w:w="551" w:type="pct"/>
          </w:tcPr>
          <w:p w14:paraId="40BDDE72" w14:textId="3DB014CB" w:rsidR="00805FF8" w:rsidRPr="00247052" w:rsidRDefault="00805FF8" w:rsidP="00D137A3">
            <w:pPr>
              <w:pStyle w:val="TableText0"/>
              <w:jc w:val="center"/>
              <w:rPr>
                <w:b/>
              </w:rPr>
            </w:pPr>
            <w:r w:rsidRPr="0016664F">
              <w:rPr>
                <w:b/>
              </w:rPr>
              <w:t>$</w:t>
            </w:r>
            <w:r w:rsidR="008C30A7" w:rsidRPr="00FE32E3">
              <w:rPr>
                <w:b/>
                <w:color w:val="000000"/>
                <w:spacing w:val="108"/>
                <w:shd w:val="solid" w:color="000000" w:fill="000000"/>
                <w:fitText w:val="200" w:id="-694446075"/>
                <w14:textFill>
                  <w14:solidFill>
                    <w14:srgbClr w14:val="000000">
                      <w14:alpha w14:val="100000"/>
                    </w14:srgbClr>
                  </w14:solidFill>
                </w14:textFill>
              </w:rPr>
              <w:t>|</w:t>
            </w:r>
            <w:r w:rsidR="008C30A7" w:rsidRPr="00FE32E3">
              <w:rPr>
                <w:b/>
                <w:color w:val="000000"/>
                <w:spacing w:val="1"/>
                <w:shd w:val="solid" w:color="000000" w:fill="000000"/>
                <w:fitText w:val="200" w:id="-694446075"/>
                <w14:textFill>
                  <w14:solidFill>
                    <w14:srgbClr w14:val="000000">
                      <w14:alpha w14:val="100000"/>
                    </w14:srgbClr>
                  </w14:solidFill>
                </w14:textFill>
              </w:rPr>
              <w:t>|</w:t>
            </w:r>
            <w:r w:rsidR="00247052">
              <w:rPr>
                <w:b/>
                <w:vertAlign w:val="superscript"/>
              </w:rPr>
              <w:t>3</w:t>
            </w:r>
          </w:p>
        </w:tc>
      </w:tr>
    </w:tbl>
    <w:p w14:paraId="08DFE202" w14:textId="77777777" w:rsidR="00805FF8" w:rsidRDefault="00805FF8" w:rsidP="00805FF8">
      <w:pPr>
        <w:pStyle w:val="TableFigureFooter"/>
      </w:pPr>
      <w:r w:rsidRPr="003C55FC">
        <w:t>Source: Tables 3-30, 3-31, 3-47, 3-48 of the submission and compiled during the evaluation</w:t>
      </w:r>
    </w:p>
    <w:p w14:paraId="0FEE0EE4" w14:textId="0F3BC1AF" w:rsidR="00805FF8" w:rsidRDefault="00805FF8" w:rsidP="00805FF8">
      <w:pPr>
        <w:pStyle w:val="TableFigureFooter"/>
      </w:pPr>
      <w:r>
        <w:t>SOC=standard of care, LY=life year, QALY=quality adjusted life year</w:t>
      </w:r>
    </w:p>
    <w:p w14:paraId="253507B9" w14:textId="6D73E4A1" w:rsidR="00C160EB" w:rsidRPr="00BD2CB0" w:rsidRDefault="00C160EB" w:rsidP="00805FF8">
      <w:pPr>
        <w:pStyle w:val="TableFigureFooter"/>
        <w:rPr>
          <w:i/>
          <w:iCs/>
          <w:szCs w:val="18"/>
        </w:rPr>
      </w:pPr>
      <w:r w:rsidRPr="00BD2CB0">
        <w:rPr>
          <w:i/>
          <w:iCs/>
          <w:szCs w:val="18"/>
        </w:rPr>
        <w:lastRenderedPageBreak/>
        <w:t>The redacted values correspond to the following ranges:</w:t>
      </w:r>
    </w:p>
    <w:p w14:paraId="032126FD" w14:textId="3D08ABEF" w:rsidR="00C160EB" w:rsidRPr="00BD2CB0" w:rsidRDefault="00C160EB" w:rsidP="00805FF8">
      <w:pPr>
        <w:pStyle w:val="TableFigureFooter"/>
        <w:rPr>
          <w:i/>
          <w:iCs/>
          <w:szCs w:val="18"/>
        </w:rPr>
      </w:pPr>
      <w:r w:rsidRPr="00BD2CB0">
        <w:rPr>
          <w:i/>
          <w:iCs/>
          <w:szCs w:val="18"/>
          <w:vertAlign w:val="superscript"/>
        </w:rPr>
        <w:t>1</w:t>
      </w:r>
      <w:r w:rsidR="000A0AA0" w:rsidRPr="00BD2CB0">
        <w:rPr>
          <w:i/>
          <w:iCs/>
          <w:szCs w:val="18"/>
        </w:rPr>
        <w:t>$155,000 to &lt; $255,000</w:t>
      </w:r>
    </w:p>
    <w:p w14:paraId="53D052B0" w14:textId="5E08C993" w:rsidR="00247052" w:rsidRPr="00BD2CB0" w:rsidRDefault="00247052" w:rsidP="00805FF8">
      <w:pPr>
        <w:pStyle w:val="TableFigureFooter"/>
        <w:rPr>
          <w:i/>
          <w:iCs/>
          <w:szCs w:val="18"/>
        </w:rPr>
      </w:pPr>
      <w:r w:rsidRPr="00BD2CB0">
        <w:rPr>
          <w:i/>
          <w:iCs/>
          <w:szCs w:val="18"/>
          <w:vertAlign w:val="superscript"/>
        </w:rPr>
        <w:t>2</w:t>
      </w:r>
      <w:r w:rsidRPr="00BD2CB0">
        <w:rPr>
          <w:i/>
          <w:iCs/>
          <w:szCs w:val="18"/>
        </w:rPr>
        <w:t>$95,000 to &lt; $115,000</w:t>
      </w:r>
    </w:p>
    <w:p w14:paraId="46FF531B" w14:textId="2B5720A8" w:rsidR="00247052" w:rsidRDefault="00247052" w:rsidP="00805FF8">
      <w:pPr>
        <w:pStyle w:val="TableFigureFooter"/>
        <w:rPr>
          <w:i/>
          <w:iCs/>
          <w:szCs w:val="18"/>
        </w:rPr>
      </w:pPr>
      <w:r w:rsidRPr="00BD2CB0">
        <w:rPr>
          <w:i/>
          <w:iCs/>
          <w:szCs w:val="18"/>
          <w:vertAlign w:val="superscript"/>
        </w:rPr>
        <w:t>3</w:t>
      </w:r>
      <w:r w:rsidR="00760DA7" w:rsidRPr="00BD2CB0">
        <w:rPr>
          <w:i/>
          <w:iCs/>
          <w:szCs w:val="18"/>
        </w:rPr>
        <w:t>$75,000 to &lt; $95,000</w:t>
      </w:r>
    </w:p>
    <w:p w14:paraId="163DC99D" w14:textId="37E19C9B" w:rsidR="00F80F2C" w:rsidRPr="00BD2CB0" w:rsidRDefault="004C2993" w:rsidP="00805FF8">
      <w:pPr>
        <w:pStyle w:val="TableFigureFooter"/>
        <w:rPr>
          <w:i/>
          <w:iCs/>
          <w:szCs w:val="18"/>
        </w:rPr>
      </w:pPr>
      <w:r w:rsidRPr="004C2993">
        <w:rPr>
          <w:i/>
          <w:iCs/>
          <w:szCs w:val="18"/>
          <w:vertAlign w:val="superscript"/>
        </w:rPr>
        <w:t>4</w:t>
      </w:r>
      <w:r>
        <w:rPr>
          <w:i/>
          <w:iCs/>
          <w:szCs w:val="18"/>
        </w:rPr>
        <w:t xml:space="preserve"> $115,000 to &lt; $135,000</w:t>
      </w:r>
    </w:p>
    <w:p w14:paraId="26630E37" w14:textId="3064010D" w:rsidR="00805FF8" w:rsidRPr="0034296D" w:rsidRDefault="00805FF8" w:rsidP="00805FF8">
      <w:pPr>
        <w:pStyle w:val="3-BodyText"/>
      </w:pPr>
      <w:r w:rsidRPr="0034296D">
        <w:t>The model estimated an increase in cured patients of 14.2% in Stratum 1 (83.4% event free at Year 7 in the eflornithine arm compared to 69.2% in the SOC arm) and 28.5% in Stratum 2 (39.3% event free at Year 7 in the eflornithine arm compared to 10.8% in the SOC arm). Overall, this resulted in the submission assuming that for every event free life year gained (up to Year 7) in the eflornithine arm versus SOC, patients in Stratum 1 would gain 12.7 additional life years over their lifetime, and patients in Stratum 2 would gain 11.3 additional life years over their lifetime.</w:t>
      </w:r>
    </w:p>
    <w:p w14:paraId="41251000" w14:textId="704C8C48" w:rsidR="00805FF8" w:rsidRDefault="00805FF8" w:rsidP="00805FF8">
      <w:pPr>
        <w:pStyle w:val="3-BodyText"/>
      </w:pPr>
      <w:r w:rsidRPr="7F2A1B4F">
        <w:t>The cost of eflornithine was the largest contributor to incremental undiscounted cost ($</w:t>
      </w:r>
      <w:r w:rsidR="008C30A7" w:rsidRPr="002409D6">
        <w:rPr>
          <w:color w:val="000000"/>
          <w:w w:val="15"/>
          <w:shd w:val="solid" w:color="000000" w:fill="000000"/>
          <w:fitText w:val="-20" w:id="-694446074"/>
          <w14:textFill>
            <w14:solidFill>
              <w14:srgbClr w14:val="000000">
                <w14:alpha w14:val="100000"/>
              </w14:srgbClr>
            </w14:solidFill>
          </w14:textFill>
        </w:rPr>
        <w:t>|</w:t>
      </w:r>
      <w:r w:rsidR="00F6759F" w:rsidRPr="002409D6">
        <w:rPr>
          <w:color w:val="000000"/>
          <w:w w:val="15"/>
          <w:shd w:val="solid" w:color="000000" w:fill="000000"/>
          <w:fitText w:val="-20" w:id="-694446074"/>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4"/>
          <w14:textFill>
            <w14:solidFill>
              <w14:srgbClr w14:val="000000">
                <w14:alpha w14:val="100000"/>
              </w14:srgbClr>
            </w14:solidFill>
          </w14:textFill>
        </w:rPr>
        <w:t>|</w:t>
      </w:r>
      <w:r w:rsidRPr="7F2A1B4F">
        <w:t xml:space="preserve">, </w:t>
      </w:r>
      <w:r w:rsidR="008C30A7" w:rsidRPr="002409D6">
        <w:rPr>
          <w:color w:val="000000"/>
          <w:w w:val="15"/>
          <w:shd w:val="solid" w:color="000000" w:fill="000000"/>
          <w:fitText w:val="-20" w:id="-694446073"/>
          <w14:textFill>
            <w14:solidFill>
              <w14:srgbClr w14:val="000000">
                <w14:alpha w14:val="100000"/>
              </w14:srgbClr>
            </w14:solidFill>
          </w14:textFill>
        </w:rPr>
        <w:t>|</w:t>
      </w:r>
      <w:r w:rsidR="00F6759F" w:rsidRPr="002409D6">
        <w:rPr>
          <w:color w:val="000000"/>
          <w:w w:val="15"/>
          <w:shd w:val="solid" w:color="000000" w:fill="000000"/>
          <w:fitText w:val="-20" w:id="-694446073"/>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3"/>
          <w14:textFill>
            <w14:solidFill>
              <w14:srgbClr w14:val="000000">
                <w14:alpha w14:val="100000"/>
              </w14:srgbClr>
            </w14:solidFill>
          </w14:textFill>
        </w:rPr>
        <w:t>|</w:t>
      </w:r>
      <w:r w:rsidRPr="7F2A1B4F">
        <w:t>% of the incremental cost in the Stratum1 model</w:t>
      </w:r>
      <w:r w:rsidR="000B1D1E" w:rsidRPr="7F2A1B4F">
        <w:t>,</w:t>
      </w:r>
      <w:r w:rsidRPr="7F2A1B4F">
        <w:t xml:space="preserve"> </w:t>
      </w:r>
      <w:r w:rsidR="008C30A7" w:rsidRPr="002409D6">
        <w:rPr>
          <w:color w:val="000000"/>
          <w:w w:val="15"/>
          <w:shd w:val="solid" w:color="000000" w:fill="000000"/>
          <w:fitText w:val="-20" w:id="-694446072"/>
          <w14:textFill>
            <w14:solidFill>
              <w14:srgbClr w14:val="000000">
                <w14:alpha w14:val="100000"/>
              </w14:srgbClr>
            </w14:solidFill>
          </w14:textFill>
        </w:rPr>
        <w:t>|</w:t>
      </w:r>
      <w:r w:rsidR="00F6759F" w:rsidRPr="002409D6">
        <w:rPr>
          <w:color w:val="000000"/>
          <w:w w:val="15"/>
          <w:shd w:val="solid" w:color="000000" w:fill="000000"/>
          <w:fitText w:val="-20" w:id="-694446072"/>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2"/>
          <w14:textFill>
            <w14:solidFill>
              <w14:srgbClr w14:val="000000">
                <w14:alpha w14:val="100000"/>
              </w14:srgbClr>
            </w14:solidFill>
          </w14:textFill>
        </w:rPr>
        <w:t>|</w:t>
      </w:r>
      <w:r w:rsidRPr="7F2A1B4F">
        <w:t>% of the incremental cost in the Stratum 2 model). The cost of subsequent therapy was the largest cost offset in the Stratum 1 model (-$</w:t>
      </w:r>
      <w:r w:rsidR="008C30A7" w:rsidRPr="002409D6">
        <w:rPr>
          <w:color w:val="000000"/>
          <w:w w:val="15"/>
          <w:shd w:val="solid" w:color="000000" w:fill="000000"/>
          <w:fitText w:val="-20" w:id="-694446071"/>
          <w14:textFill>
            <w14:solidFill>
              <w14:srgbClr w14:val="000000">
                <w14:alpha w14:val="100000"/>
              </w14:srgbClr>
            </w14:solidFill>
          </w14:textFill>
        </w:rPr>
        <w:t>|</w:t>
      </w:r>
      <w:r w:rsidR="00F6759F" w:rsidRPr="002409D6">
        <w:rPr>
          <w:color w:val="000000"/>
          <w:w w:val="15"/>
          <w:shd w:val="solid" w:color="000000" w:fill="000000"/>
          <w:fitText w:val="-20" w:id="-694446071"/>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1"/>
          <w14:textFill>
            <w14:solidFill>
              <w14:srgbClr w14:val="000000">
                <w14:alpha w14:val="100000"/>
              </w14:srgbClr>
            </w14:solidFill>
          </w14:textFill>
        </w:rPr>
        <w:t>|</w:t>
      </w:r>
      <w:r w:rsidRPr="7F2A1B4F">
        <w:t>, -</w:t>
      </w:r>
      <w:r w:rsidR="008C30A7" w:rsidRPr="002409D6">
        <w:rPr>
          <w:color w:val="000000"/>
          <w:w w:val="15"/>
          <w:shd w:val="solid" w:color="000000" w:fill="000000"/>
          <w:fitText w:val="-20" w:id="-694446070"/>
          <w14:textFill>
            <w14:solidFill>
              <w14:srgbClr w14:val="000000">
                <w14:alpha w14:val="100000"/>
              </w14:srgbClr>
            </w14:solidFill>
          </w14:textFill>
        </w:rPr>
        <w:t>|</w:t>
      </w:r>
      <w:r w:rsidR="00F6759F" w:rsidRPr="002409D6">
        <w:rPr>
          <w:color w:val="000000"/>
          <w:w w:val="15"/>
          <w:shd w:val="solid" w:color="000000" w:fill="000000"/>
          <w:fitText w:val="-20" w:id="-694446070"/>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70"/>
          <w14:textFill>
            <w14:solidFill>
              <w14:srgbClr w14:val="000000">
                <w14:alpha w14:val="100000"/>
              </w14:srgbClr>
            </w14:solidFill>
          </w14:textFill>
        </w:rPr>
        <w:t>|</w:t>
      </w:r>
      <w:r w:rsidRPr="7F2A1B4F">
        <w:t>% of the incremental cost) and the second largest contributor to incremental undiscounted cost in the Stratum 2 population ($</w:t>
      </w:r>
      <w:r w:rsidR="008C30A7" w:rsidRPr="002409D6">
        <w:rPr>
          <w:color w:val="000000"/>
          <w:w w:val="15"/>
          <w:shd w:val="solid" w:color="000000" w:fill="000000"/>
          <w:fitText w:val="-20" w:id="-694446069"/>
          <w14:textFill>
            <w14:solidFill>
              <w14:srgbClr w14:val="000000">
                <w14:alpha w14:val="100000"/>
              </w14:srgbClr>
            </w14:solidFill>
          </w14:textFill>
        </w:rPr>
        <w:t>|</w:t>
      </w:r>
      <w:r w:rsidR="00F6759F" w:rsidRPr="002409D6">
        <w:rPr>
          <w:color w:val="000000"/>
          <w:w w:val="15"/>
          <w:shd w:val="solid" w:color="000000" w:fill="000000"/>
          <w:fitText w:val="-20" w:id="-694446069"/>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69"/>
          <w14:textFill>
            <w14:solidFill>
              <w14:srgbClr w14:val="000000">
                <w14:alpha w14:val="100000"/>
              </w14:srgbClr>
            </w14:solidFill>
          </w14:textFill>
        </w:rPr>
        <w:t>|</w:t>
      </w:r>
      <w:r w:rsidRPr="7F2A1B4F">
        <w:t xml:space="preserve">, </w:t>
      </w:r>
      <w:r w:rsidR="008C30A7" w:rsidRPr="002409D6">
        <w:rPr>
          <w:color w:val="000000"/>
          <w:w w:val="15"/>
          <w:shd w:val="solid" w:color="000000" w:fill="000000"/>
          <w:fitText w:val="-20" w:id="-694446068"/>
          <w14:textFill>
            <w14:solidFill>
              <w14:srgbClr w14:val="000000">
                <w14:alpha w14:val="100000"/>
              </w14:srgbClr>
            </w14:solidFill>
          </w14:textFill>
        </w:rPr>
        <w:t>|</w:t>
      </w:r>
      <w:r w:rsidR="00F6759F" w:rsidRPr="002409D6">
        <w:rPr>
          <w:color w:val="000000"/>
          <w:w w:val="15"/>
          <w:shd w:val="solid" w:color="000000" w:fill="000000"/>
          <w:fitText w:val="-20" w:id="-694446068"/>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6068"/>
          <w14:textFill>
            <w14:solidFill>
              <w14:srgbClr w14:val="000000">
                <w14:alpha w14:val="100000"/>
              </w14:srgbClr>
            </w14:solidFill>
          </w14:textFill>
        </w:rPr>
        <w:t>|</w:t>
      </w:r>
      <w:r w:rsidRPr="7F2A1B4F">
        <w:t>% incremental cost). More patients were predicted to experience relapse in the eflornithine arm of the Stratum 2 model than the SOC arm as a result of improved survival.</w:t>
      </w:r>
    </w:p>
    <w:p w14:paraId="45E3966F" w14:textId="45751184" w:rsidR="00805FF8" w:rsidRPr="0081338E" w:rsidRDefault="00805FF8" w:rsidP="00805FF8">
      <w:pPr>
        <w:pStyle w:val="3-BodyText"/>
        <w:rPr>
          <w:iCs/>
        </w:rPr>
      </w:pPr>
      <w:r w:rsidRPr="0081338E">
        <w:rPr>
          <w:iCs/>
        </w:rPr>
        <w:t xml:space="preserve">The results of key sensitivity analyses are summarised in </w:t>
      </w:r>
      <w:r w:rsidRPr="0081338E">
        <w:rPr>
          <w:iCs/>
        </w:rPr>
        <w:fldChar w:fldCharType="begin" w:fldLock="1"/>
      </w:r>
      <w:r w:rsidRPr="0081338E">
        <w:rPr>
          <w:iCs/>
        </w:rPr>
        <w:instrText xml:space="preserve"> REF _Ref104804865 \h  \* MERGEFORMAT </w:instrText>
      </w:r>
      <w:r w:rsidRPr="0081338E">
        <w:rPr>
          <w:iCs/>
        </w:rPr>
      </w:r>
      <w:r w:rsidRPr="0081338E">
        <w:rPr>
          <w:iCs/>
        </w:rPr>
        <w:fldChar w:fldCharType="separate"/>
      </w:r>
      <w:r w:rsidR="00AF2AB7" w:rsidRPr="00AF2AB7">
        <w:rPr>
          <w:iCs/>
        </w:rPr>
        <w:t xml:space="preserve">Table </w:t>
      </w:r>
      <w:r w:rsidR="00AF2AB7" w:rsidRPr="00AF2AB7">
        <w:rPr>
          <w:iCs/>
          <w:noProof/>
        </w:rPr>
        <w:t>10</w:t>
      </w:r>
      <w:r w:rsidRPr="0081338E">
        <w:rPr>
          <w:iCs/>
        </w:rPr>
        <w:fldChar w:fldCharType="end"/>
      </w:r>
      <w:r w:rsidRPr="0081338E">
        <w:rPr>
          <w:iCs/>
        </w:rPr>
        <w:t>. The ICERs were sensitive to inputs that affected EFS and OS benefit (including length of benefit and timing of cure point), utility in EF/LT-remission states, cost of eflornithine and cost of relapse. The sensitivity analyses could not address all the uncertainty arising from the PSM, the downstream assumptions, and the overall uncertainty in modelling based on small numbers of patients (particularly Stratum 2).</w:t>
      </w:r>
    </w:p>
    <w:p w14:paraId="470EF046" w14:textId="3BC9E043" w:rsidR="00805FF8" w:rsidRDefault="00805FF8" w:rsidP="00B5383E">
      <w:pPr>
        <w:pStyle w:val="Caption"/>
        <w:rPr>
          <w:rStyle w:val="CommentReference"/>
          <w:b/>
          <w:szCs w:val="24"/>
        </w:rPr>
      </w:pPr>
      <w:bookmarkStart w:id="65" w:name="_Ref104804865"/>
      <w:r>
        <w:t xml:space="preserve">Table </w:t>
      </w:r>
      <w:r w:rsidR="00AF2AB7">
        <w:fldChar w:fldCharType="begin" w:fldLock="1"/>
      </w:r>
      <w:r w:rsidR="00AF2AB7">
        <w:instrText xml:space="preserve"> SEQ Table \* ARABIC </w:instrText>
      </w:r>
      <w:r w:rsidR="00AF2AB7">
        <w:fldChar w:fldCharType="separate"/>
      </w:r>
      <w:r w:rsidR="00AF2AB7">
        <w:rPr>
          <w:noProof/>
        </w:rPr>
        <w:t>10</w:t>
      </w:r>
      <w:r w:rsidR="00AF2AB7">
        <w:rPr>
          <w:noProof/>
        </w:rPr>
        <w:fldChar w:fldCharType="end"/>
      </w:r>
      <w:bookmarkEnd w:id="65"/>
      <w:r>
        <w:t>:</w:t>
      </w:r>
      <w:r w:rsidRPr="00BB732D">
        <w:rPr>
          <w:rStyle w:val="CommentReference"/>
          <w:b/>
          <w:szCs w:val="24"/>
        </w:rPr>
        <w:t xml:space="preserve"> Sensitivity analyses</w:t>
      </w:r>
    </w:p>
    <w:tbl>
      <w:tblPr>
        <w:tblStyle w:val="PBAClayout"/>
        <w:tblW w:w="0" w:type="auto"/>
        <w:tblLook w:val="04A0" w:firstRow="1" w:lastRow="0" w:firstColumn="1" w:lastColumn="0" w:noHBand="0" w:noVBand="1"/>
        <w:tblCaption w:val="Table 10: Sensitivity analyses"/>
      </w:tblPr>
      <w:tblGrid>
        <w:gridCol w:w="2744"/>
        <w:gridCol w:w="691"/>
        <w:gridCol w:w="811"/>
        <w:gridCol w:w="637"/>
        <w:gridCol w:w="990"/>
        <w:gridCol w:w="691"/>
        <w:gridCol w:w="811"/>
        <w:gridCol w:w="652"/>
        <w:gridCol w:w="990"/>
      </w:tblGrid>
      <w:tr w:rsidR="00F13F26" w:rsidRPr="0081338E" w14:paraId="3FBE4863" w14:textId="77777777" w:rsidTr="00D10956">
        <w:trPr>
          <w:tblHeader/>
        </w:trPr>
        <w:tc>
          <w:tcPr>
            <w:tcW w:w="0" w:type="auto"/>
            <w:vMerge w:val="restart"/>
          </w:tcPr>
          <w:p w14:paraId="06F8B30B" w14:textId="77777777" w:rsidR="00CC7C90" w:rsidRPr="0081338E" w:rsidRDefault="00CC7C90" w:rsidP="00B5383E">
            <w:pPr>
              <w:pStyle w:val="In-tableHeading"/>
              <w:keepLines/>
            </w:pPr>
            <w:r w:rsidRPr="0081338E">
              <w:t>Analyses</w:t>
            </w:r>
          </w:p>
        </w:tc>
        <w:tc>
          <w:tcPr>
            <w:tcW w:w="0" w:type="auto"/>
            <w:gridSpan w:val="4"/>
          </w:tcPr>
          <w:p w14:paraId="0DF97142" w14:textId="77777777" w:rsidR="00CC7C90" w:rsidRPr="0081338E" w:rsidRDefault="00CC7C90" w:rsidP="00B5383E">
            <w:pPr>
              <w:pStyle w:val="In-tableHeading"/>
              <w:keepLines/>
              <w:jc w:val="center"/>
            </w:pPr>
            <w:r w:rsidRPr="0081338E">
              <w:t xml:space="preserve">Stratum 1 </w:t>
            </w:r>
          </w:p>
        </w:tc>
        <w:tc>
          <w:tcPr>
            <w:tcW w:w="0" w:type="auto"/>
            <w:gridSpan w:val="4"/>
          </w:tcPr>
          <w:p w14:paraId="357AB6A9" w14:textId="77777777" w:rsidR="00CC7C90" w:rsidRPr="0081338E" w:rsidRDefault="00CC7C90" w:rsidP="00B5383E">
            <w:pPr>
              <w:pStyle w:val="In-tableHeading"/>
              <w:keepLines/>
              <w:jc w:val="center"/>
            </w:pPr>
            <w:r w:rsidRPr="0081338E">
              <w:t xml:space="preserve">Stratum 2 </w:t>
            </w:r>
          </w:p>
        </w:tc>
      </w:tr>
      <w:tr w:rsidR="008C30A7" w:rsidRPr="0081338E" w14:paraId="7AFD53A1" w14:textId="77777777" w:rsidTr="00D10956">
        <w:trPr>
          <w:tblHeader/>
        </w:trPr>
        <w:tc>
          <w:tcPr>
            <w:tcW w:w="0" w:type="auto"/>
            <w:vMerge/>
          </w:tcPr>
          <w:p w14:paraId="01EBD363" w14:textId="77777777" w:rsidR="00CC7C90" w:rsidRPr="0081338E" w:rsidRDefault="00CC7C90" w:rsidP="00B5383E">
            <w:pPr>
              <w:pStyle w:val="In-tableHeading"/>
              <w:keepLines/>
            </w:pPr>
          </w:p>
        </w:tc>
        <w:tc>
          <w:tcPr>
            <w:tcW w:w="0" w:type="auto"/>
          </w:tcPr>
          <w:p w14:paraId="4F193323" w14:textId="77777777" w:rsidR="00CC7C90" w:rsidRPr="0081338E" w:rsidRDefault="00CC7C90" w:rsidP="00B5383E">
            <w:pPr>
              <w:pStyle w:val="In-tableHeading"/>
              <w:keepLines/>
              <w:jc w:val="center"/>
            </w:pPr>
            <w:r w:rsidRPr="0081338E">
              <w:t>Incr. cost</w:t>
            </w:r>
          </w:p>
        </w:tc>
        <w:tc>
          <w:tcPr>
            <w:tcW w:w="0" w:type="auto"/>
          </w:tcPr>
          <w:p w14:paraId="14CBAC12" w14:textId="77777777" w:rsidR="00CC7C90" w:rsidRPr="0081338E" w:rsidRDefault="00CC7C90" w:rsidP="00B5383E">
            <w:pPr>
              <w:pStyle w:val="In-tableHeading"/>
              <w:keepLines/>
              <w:jc w:val="center"/>
            </w:pPr>
            <w:r w:rsidRPr="0081338E">
              <w:t>Incr. QALY</w:t>
            </w:r>
          </w:p>
        </w:tc>
        <w:tc>
          <w:tcPr>
            <w:tcW w:w="0" w:type="auto"/>
          </w:tcPr>
          <w:p w14:paraId="6494FDA9" w14:textId="77777777" w:rsidR="00CC7C90" w:rsidRPr="0081338E" w:rsidRDefault="00CC7C90" w:rsidP="00B5383E">
            <w:pPr>
              <w:pStyle w:val="In-tableHeading"/>
              <w:keepLines/>
              <w:jc w:val="center"/>
            </w:pPr>
            <w:r w:rsidRPr="0081338E">
              <w:t>ICER</w:t>
            </w:r>
          </w:p>
        </w:tc>
        <w:tc>
          <w:tcPr>
            <w:tcW w:w="0" w:type="auto"/>
          </w:tcPr>
          <w:p w14:paraId="42D43567" w14:textId="77777777" w:rsidR="00CC7C90" w:rsidRPr="0081338E" w:rsidRDefault="00CC7C90" w:rsidP="00B5383E">
            <w:pPr>
              <w:pStyle w:val="In-tableHeading"/>
              <w:keepLines/>
              <w:jc w:val="center"/>
            </w:pPr>
            <w:r w:rsidRPr="0081338E">
              <w:t>% change</w:t>
            </w:r>
          </w:p>
        </w:tc>
        <w:tc>
          <w:tcPr>
            <w:tcW w:w="0" w:type="auto"/>
          </w:tcPr>
          <w:p w14:paraId="621197AB" w14:textId="77777777" w:rsidR="00CC7C90" w:rsidRPr="0081338E" w:rsidRDefault="00CC7C90" w:rsidP="00B5383E">
            <w:pPr>
              <w:pStyle w:val="In-tableHeading"/>
              <w:keepLines/>
              <w:jc w:val="center"/>
            </w:pPr>
            <w:r w:rsidRPr="0081338E">
              <w:t>Incr. cost</w:t>
            </w:r>
          </w:p>
        </w:tc>
        <w:tc>
          <w:tcPr>
            <w:tcW w:w="0" w:type="auto"/>
          </w:tcPr>
          <w:p w14:paraId="57F4607F" w14:textId="77777777" w:rsidR="00CC7C90" w:rsidRPr="0081338E" w:rsidRDefault="00CC7C90" w:rsidP="00B5383E">
            <w:pPr>
              <w:pStyle w:val="In-tableHeading"/>
              <w:keepLines/>
              <w:jc w:val="center"/>
            </w:pPr>
            <w:r w:rsidRPr="0081338E">
              <w:t>Incr. QALY</w:t>
            </w:r>
          </w:p>
        </w:tc>
        <w:tc>
          <w:tcPr>
            <w:tcW w:w="0" w:type="auto"/>
          </w:tcPr>
          <w:p w14:paraId="5526DF1F" w14:textId="77777777" w:rsidR="00CC7C90" w:rsidRPr="0081338E" w:rsidRDefault="00CC7C90" w:rsidP="00B5383E">
            <w:pPr>
              <w:pStyle w:val="In-tableHeading"/>
              <w:keepLines/>
              <w:jc w:val="center"/>
            </w:pPr>
            <w:r w:rsidRPr="0081338E">
              <w:t>ICER</w:t>
            </w:r>
          </w:p>
        </w:tc>
        <w:tc>
          <w:tcPr>
            <w:tcW w:w="0" w:type="auto"/>
          </w:tcPr>
          <w:p w14:paraId="4F4A932F" w14:textId="77777777" w:rsidR="00CC7C90" w:rsidRPr="0081338E" w:rsidRDefault="00CC7C90" w:rsidP="00B5383E">
            <w:pPr>
              <w:pStyle w:val="In-tableHeading"/>
              <w:keepLines/>
              <w:jc w:val="center"/>
            </w:pPr>
            <w:r w:rsidRPr="0081338E">
              <w:t>% change</w:t>
            </w:r>
          </w:p>
        </w:tc>
      </w:tr>
      <w:tr w:rsidR="008C30A7" w:rsidRPr="0081338E" w14:paraId="20230F40" w14:textId="77777777" w:rsidTr="00D10956">
        <w:trPr>
          <w:tblHeader/>
        </w:trPr>
        <w:tc>
          <w:tcPr>
            <w:tcW w:w="0" w:type="auto"/>
            <w:tcBorders>
              <w:bottom w:val="single" w:sz="4" w:space="0" w:color="auto"/>
            </w:tcBorders>
          </w:tcPr>
          <w:p w14:paraId="637E345B" w14:textId="77777777" w:rsidR="00CC7C90" w:rsidRPr="0081338E" w:rsidRDefault="00CC7C90" w:rsidP="00B5383E">
            <w:pPr>
              <w:pStyle w:val="TableText0"/>
              <w:keepLines/>
              <w:rPr>
                <w:b/>
              </w:rPr>
            </w:pPr>
            <w:r w:rsidRPr="0081338E">
              <w:rPr>
                <w:b/>
              </w:rPr>
              <w:t>Corrected base case</w:t>
            </w:r>
          </w:p>
        </w:tc>
        <w:tc>
          <w:tcPr>
            <w:tcW w:w="0" w:type="auto"/>
            <w:tcBorders>
              <w:bottom w:val="single" w:sz="4" w:space="0" w:color="auto"/>
            </w:tcBorders>
            <w:vAlign w:val="top"/>
          </w:tcPr>
          <w:p w14:paraId="7BAB8469" w14:textId="2FE060A1" w:rsidR="00CC7C90" w:rsidRPr="0081338E" w:rsidRDefault="00CC7C90" w:rsidP="00B5383E">
            <w:pPr>
              <w:pStyle w:val="TableText0"/>
              <w:keepLines/>
              <w:jc w:val="center"/>
              <w:rPr>
                <w:b/>
                <w:bCs w:val="0"/>
              </w:rPr>
            </w:pPr>
            <w:r w:rsidRPr="0081338E">
              <w:rPr>
                <w:b/>
                <w:bCs w:val="0"/>
              </w:rPr>
              <w:t>$</w:t>
            </w:r>
            <w:r w:rsidR="008C30A7" w:rsidRPr="00FE32E3">
              <w:rPr>
                <w:b/>
                <w:color w:val="000000"/>
                <w:spacing w:val="183"/>
                <w:shd w:val="solid" w:color="000000" w:fill="000000"/>
                <w:fitText w:val="275" w:id="-694446067"/>
                <w14:textFill>
                  <w14:solidFill>
                    <w14:srgbClr w14:val="000000">
                      <w14:alpha w14:val="100000"/>
                    </w14:srgbClr>
                  </w14:solidFill>
                </w14:textFill>
              </w:rPr>
              <w:t>|</w:t>
            </w:r>
            <w:r w:rsidR="008C30A7" w:rsidRPr="00FE32E3">
              <w:rPr>
                <w:b/>
                <w:bCs w:val="0"/>
                <w:color w:val="000000"/>
                <w:spacing w:val="1"/>
                <w:shd w:val="solid" w:color="000000" w:fill="000000"/>
                <w:fitText w:val="275" w:id="-694446067"/>
                <w14:textFill>
                  <w14:solidFill>
                    <w14:srgbClr w14:val="000000">
                      <w14:alpha w14:val="100000"/>
                    </w14:srgbClr>
                  </w14:solidFill>
                </w14:textFill>
              </w:rPr>
              <w:t>|</w:t>
            </w:r>
          </w:p>
        </w:tc>
        <w:tc>
          <w:tcPr>
            <w:tcW w:w="0" w:type="auto"/>
            <w:tcBorders>
              <w:bottom w:val="single" w:sz="4" w:space="0" w:color="auto"/>
            </w:tcBorders>
            <w:vAlign w:val="top"/>
          </w:tcPr>
          <w:p w14:paraId="7E03ABEC" w14:textId="77777777" w:rsidR="00CC7C90" w:rsidRPr="0081338E" w:rsidRDefault="00CC7C90" w:rsidP="00B5383E">
            <w:pPr>
              <w:pStyle w:val="TableText0"/>
              <w:keepLines/>
              <w:jc w:val="center"/>
              <w:rPr>
                <w:b/>
                <w:bCs w:val="0"/>
              </w:rPr>
            </w:pPr>
            <w:r w:rsidRPr="0081338E">
              <w:rPr>
                <w:b/>
                <w:bCs w:val="0"/>
              </w:rPr>
              <w:t>2.25</w:t>
            </w:r>
          </w:p>
        </w:tc>
        <w:tc>
          <w:tcPr>
            <w:tcW w:w="0" w:type="auto"/>
            <w:tcBorders>
              <w:bottom w:val="single" w:sz="4" w:space="0" w:color="auto"/>
            </w:tcBorders>
            <w:vAlign w:val="top"/>
          </w:tcPr>
          <w:p w14:paraId="6DE77FA2" w14:textId="668C166A" w:rsidR="00CC7C90" w:rsidRPr="001C4F2C" w:rsidRDefault="00CC7C90" w:rsidP="00B5383E">
            <w:pPr>
              <w:pStyle w:val="TableText0"/>
              <w:keepLines/>
              <w:jc w:val="center"/>
              <w:rPr>
                <w:b/>
                <w:bCs w:val="0"/>
                <w:vertAlign w:val="superscript"/>
              </w:rPr>
            </w:pPr>
            <w:r w:rsidRPr="0081338E">
              <w:rPr>
                <w:b/>
                <w:bCs w:val="0"/>
              </w:rPr>
              <w:t>$</w:t>
            </w:r>
            <w:r w:rsidR="008C30A7" w:rsidRPr="00FE32E3">
              <w:rPr>
                <w:b/>
                <w:color w:val="000000"/>
                <w:spacing w:val="208"/>
                <w:shd w:val="solid" w:color="000000" w:fill="000000"/>
                <w:fitText w:val="300" w:id="-694446066"/>
                <w14:textFill>
                  <w14:solidFill>
                    <w14:srgbClr w14:val="000000">
                      <w14:alpha w14:val="100000"/>
                    </w14:srgbClr>
                  </w14:solidFill>
                </w14:textFill>
              </w:rPr>
              <w:t>|</w:t>
            </w:r>
            <w:r w:rsidR="008C30A7" w:rsidRPr="00FE32E3">
              <w:rPr>
                <w:b/>
                <w:bCs w:val="0"/>
                <w:color w:val="000000"/>
                <w:spacing w:val="1"/>
                <w:shd w:val="solid" w:color="000000" w:fill="000000"/>
                <w:fitText w:val="300" w:id="-694446066"/>
                <w14:textFill>
                  <w14:solidFill>
                    <w14:srgbClr w14:val="000000">
                      <w14:alpha w14:val="100000"/>
                    </w14:srgbClr>
                  </w14:solidFill>
                </w14:textFill>
              </w:rPr>
              <w:t>|</w:t>
            </w:r>
            <w:r w:rsidR="001C4F2C">
              <w:rPr>
                <w:b/>
                <w:bCs w:val="0"/>
                <w:vertAlign w:val="superscript"/>
              </w:rPr>
              <w:t>1</w:t>
            </w:r>
          </w:p>
        </w:tc>
        <w:tc>
          <w:tcPr>
            <w:tcW w:w="0" w:type="auto"/>
            <w:tcBorders>
              <w:bottom w:val="single" w:sz="4" w:space="0" w:color="auto"/>
            </w:tcBorders>
          </w:tcPr>
          <w:p w14:paraId="65185047" w14:textId="77777777" w:rsidR="00CC7C90" w:rsidRPr="0081338E" w:rsidRDefault="00CC7C90" w:rsidP="00B5383E">
            <w:pPr>
              <w:pStyle w:val="TableText0"/>
              <w:keepLines/>
              <w:jc w:val="center"/>
              <w:rPr>
                <w:b/>
              </w:rPr>
            </w:pPr>
            <w:r w:rsidRPr="0081338E">
              <w:rPr>
                <w:b/>
              </w:rPr>
              <w:t>-</w:t>
            </w:r>
          </w:p>
        </w:tc>
        <w:tc>
          <w:tcPr>
            <w:tcW w:w="0" w:type="auto"/>
            <w:tcBorders>
              <w:bottom w:val="single" w:sz="4" w:space="0" w:color="auto"/>
            </w:tcBorders>
            <w:vAlign w:val="top"/>
          </w:tcPr>
          <w:p w14:paraId="70CC9951" w14:textId="3BBDBD4A" w:rsidR="00CC7C90" w:rsidRPr="0081338E" w:rsidRDefault="00CC7C90" w:rsidP="00B5383E">
            <w:pPr>
              <w:pStyle w:val="TableText0"/>
              <w:keepLines/>
              <w:jc w:val="center"/>
              <w:rPr>
                <w:b/>
                <w:bCs w:val="0"/>
              </w:rPr>
            </w:pPr>
            <w:r w:rsidRPr="0081338E">
              <w:rPr>
                <w:b/>
                <w:bCs w:val="0"/>
              </w:rPr>
              <w:t>$</w:t>
            </w:r>
            <w:r w:rsidR="008C30A7" w:rsidRPr="00FE32E3">
              <w:rPr>
                <w:b/>
                <w:color w:val="000000"/>
                <w:spacing w:val="183"/>
                <w:shd w:val="solid" w:color="000000" w:fill="000000"/>
                <w:fitText w:val="275" w:id="-694446065"/>
                <w14:textFill>
                  <w14:solidFill>
                    <w14:srgbClr w14:val="000000">
                      <w14:alpha w14:val="100000"/>
                    </w14:srgbClr>
                  </w14:solidFill>
                </w14:textFill>
              </w:rPr>
              <w:t>|</w:t>
            </w:r>
            <w:r w:rsidR="008C30A7" w:rsidRPr="00FE32E3">
              <w:rPr>
                <w:b/>
                <w:bCs w:val="0"/>
                <w:color w:val="000000"/>
                <w:spacing w:val="1"/>
                <w:shd w:val="solid" w:color="000000" w:fill="000000"/>
                <w:fitText w:val="275" w:id="-694446065"/>
                <w14:textFill>
                  <w14:solidFill>
                    <w14:srgbClr w14:val="000000">
                      <w14:alpha w14:val="100000"/>
                    </w14:srgbClr>
                  </w14:solidFill>
                </w14:textFill>
              </w:rPr>
              <w:t>|</w:t>
            </w:r>
          </w:p>
        </w:tc>
        <w:tc>
          <w:tcPr>
            <w:tcW w:w="0" w:type="auto"/>
            <w:tcBorders>
              <w:bottom w:val="single" w:sz="4" w:space="0" w:color="auto"/>
            </w:tcBorders>
            <w:vAlign w:val="top"/>
          </w:tcPr>
          <w:p w14:paraId="7422BD59" w14:textId="77777777" w:rsidR="00CC7C90" w:rsidRPr="0081338E" w:rsidRDefault="00CC7C90" w:rsidP="00B5383E">
            <w:pPr>
              <w:pStyle w:val="TableText0"/>
              <w:keepLines/>
              <w:jc w:val="center"/>
              <w:rPr>
                <w:b/>
                <w:bCs w:val="0"/>
              </w:rPr>
            </w:pPr>
            <w:r w:rsidRPr="0081338E">
              <w:rPr>
                <w:b/>
                <w:bCs w:val="0"/>
              </w:rPr>
              <w:t>4.66</w:t>
            </w:r>
          </w:p>
        </w:tc>
        <w:tc>
          <w:tcPr>
            <w:tcW w:w="0" w:type="auto"/>
            <w:tcBorders>
              <w:bottom w:val="single" w:sz="4" w:space="0" w:color="auto"/>
            </w:tcBorders>
            <w:vAlign w:val="top"/>
          </w:tcPr>
          <w:p w14:paraId="73C6E229" w14:textId="4C51CEDF" w:rsidR="00CC7C90" w:rsidRPr="00FD4535" w:rsidRDefault="00CC7C90" w:rsidP="00B5383E">
            <w:pPr>
              <w:pStyle w:val="TableText0"/>
              <w:keepLines/>
              <w:jc w:val="center"/>
              <w:rPr>
                <w:b/>
                <w:bCs w:val="0"/>
                <w:vertAlign w:val="superscript"/>
              </w:rPr>
            </w:pPr>
            <w:r w:rsidRPr="0081338E">
              <w:rPr>
                <w:b/>
                <w:bCs w:val="0"/>
              </w:rPr>
              <w:t>$</w:t>
            </w:r>
            <w:r w:rsidR="008C30A7" w:rsidRPr="00FE32E3">
              <w:rPr>
                <w:b/>
                <w:color w:val="000000"/>
                <w:spacing w:val="208"/>
                <w:shd w:val="solid" w:color="000000" w:fill="000000"/>
                <w:fitText w:val="300" w:id="-694446064"/>
                <w14:textFill>
                  <w14:solidFill>
                    <w14:srgbClr w14:val="000000">
                      <w14:alpha w14:val="100000"/>
                    </w14:srgbClr>
                  </w14:solidFill>
                </w14:textFill>
              </w:rPr>
              <w:t>|</w:t>
            </w:r>
            <w:r w:rsidR="008C30A7" w:rsidRPr="00FE32E3">
              <w:rPr>
                <w:b/>
                <w:bCs w:val="0"/>
                <w:color w:val="000000"/>
                <w:spacing w:val="1"/>
                <w:shd w:val="solid" w:color="000000" w:fill="000000"/>
                <w:fitText w:val="300" w:id="-694446064"/>
                <w14:textFill>
                  <w14:solidFill>
                    <w14:srgbClr w14:val="000000">
                      <w14:alpha w14:val="100000"/>
                    </w14:srgbClr>
                  </w14:solidFill>
                </w14:textFill>
              </w:rPr>
              <w:t>|</w:t>
            </w:r>
            <w:r w:rsidR="00FD4535">
              <w:rPr>
                <w:b/>
                <w:bCs w:val="0"/>
                <w:vertAlign w:val="superscript"/>
              </w:rPr>
              <w:t>2</w:t>
            </w:r>
          </w:p>
        </w:tc>
        <w:tc>
          <w:tcPr>
            <w:tcW w:w="0" w:type="auto"/>
            <w:tcBorders>
              <w:bottom w:val="single" w:sz="4" w:space="0" w:color="auto"/>
            </w:tcBorders>
          </w:tcPr>
          <w:p w14:paraId="2FDF2F37" w14:textId="77777777" w:rsidR="00CC7C90" w:rsidRPr="0081338E" w:rsidRDefault="00CC7C90" w:rsidP="00B5383E">
            <w:pPr>
              <w:pStyle w:val="TableText0"/>
              <w:keepLines/>
              <w:jc w:val="center"/>
              <w:rPr>
                <w:b/>
              </w:rPr>
            </w:pPr>
            <w:r w:rsidRPr="0081338E">
              <w:rPr>
                <w:b/>
              </w:rPr>
              <w:t>-</w:t>
            </w:r>
          </w:p>
        </w:tc>
      </w:tr>
      <w:tr w:rsidR="00CC7C90" w:rsidRPr="0081338E" w14:paraId="0F83FDFF" w14:textId="77777777" w:rsidTr="00D10956">
        <w:tc>
          <w:tcPr>
            <w:tcW w:w="0" w:type="auto"/>
            <w:gridSpan w:val="9"/>
            <w:tcBorders>
              <w:bottom w:val="nil"/>
            </w:tcBorders>
          </w:tcPr>
          <w:p w14:paraId="7C0CBB8D" w14:textId="77777777" w:rsidR="00CC7C90" w:rsidRPr="0081338E" w:rsidRDefault="00CC7C90" w:rsidP="00B5383E">
            <w:pPr>
              <w:pStyle w:val="TableText0"/>
              <w:keepLines/>
            </w:pPr>
            <w:r w:rsidRPr="0081338E">
              <w:t>Discount rate (base case 5% costs and outcomes)</w:t>
            </w:r>
          </w:p>
        </w:tc>
      </w:tr>
      <w:tr w:rsidR="008C30A7" w:rsidRPr="0081338E" w14:paraId="7327802B" w14:textId="77777777" w:rsidTr="00D10956">
        <w:tc>
          <w:tcPr>
            <w:tcW w:w="0" w:type="auto"/>
            <w:tcBorders>
              <w:top w:val="nil"/>
              <w:bottom w:val="nil"/>
            </w:tcBorders>
          </w:tcPr>
          <w:p w14:paraId="55B3D728" w14:textId="77777777" w:rsidR="00CC7C90" w:rsidRPr="0081338E" w:rsidRDefault="00CC7C90" w:rsidP="00B5383E">
            <w:pPr>
              <w:pStyle w:val="TableText0"/>
              <w:keepLines/>
              <w:numPr>
                <w:ilvl w:val="0"/>
                <w:numId w:val="6"/>
              </w:numPr>
              <w:ind w:left="109" w:hanging="142"/>
            </w:pPr>
            <w:r w:rsidRPr="0081338E">
              <w:t xml:space="preserve">0% </w:t>
            </w:r>
          </w:p>
        </w:tc>
        <w:tc>
          <w:tcPr>
            <w:tcW w:w="0" w:type="auto"/>
            <w:tcBorders>
              <w:top w:val="nil"/>
              <w:bottom w:val="nil"/>
            </w:tcBorders>
            <w:vAlign w:val="top"/>
          </w:tcPr>
          <w:p w14:paraId="6F520A39" w14:textId="3840366A"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6080"/>
                <w14:textFill>
                  <w14:solidFill>
                    <w14:srgbClr w14:val="000000">
                      <w14:alpha w14:val="100000"/>
                    </w14:srgbClr>
                  </w14:solidFill>
                </w14:textFill>
              </w:rPr>
              <w:t>||</w:t>
            </w:r>
            <w:r w:rsidR="008C30A7" w:rsidRPr="00FE32E3">
              <w:rPr>
                <w:color w:val="000000"/>
                <w:spacing w:val="1"/>
                <w:shd w:val="solid" w:color="000000" w:fill="000000"/>
                <w:fitText w:val="238" w:id="-694446080"/>
                <w14:textFill>
                  <w14:solidFill>
                    <w14:srgbClr w14:val="000000">
                      <w14:alpha w14:val="100000"/>
                    </w14:srgbClr>
                  </w14:solidFill>
                </w14:textFill>
              </w:rPr>
              <w:t>|</w:t>
            </w:r>
          </w:p>
        </w:tc>
        <w:tc>
          <w:tcPr>
            <w:tcW w:w="0" w:type="auto"/>
            <w:tcBorders>
              <w:top w:val="nil"/>
              <w:bottom w:val="nil"/>
            </w:tcBorders>
            <w:vAlign w:val="top"/>
          </w:tcPr>
          <w:p w14:paraId="395F0DBD" w14:textId="77777777" w:rsidR="00CC7C90" w:rsidRPr="0081338E" w:rsidRDefault="00CC7C90" w:rsidP="00B5383E">
            <w:pPr>
              <w:pStyle w:val="TableText0"/>
              <w:keepLines/>
              <w:jc w:val="center"/>
            </w:pPr>
            <w:r w:rsidRPr="0081338E">
              <w:t>7.58</w:t>
            </w:r>
          </w:p>
        </w:tc>
        <w:tc>
          <w:tcPr>
            <w:tcW w:w="0" w:type="auto"/>
            <w:tcBorders>
              <w:top w:val="nil"/>
              <w:bottom w:val="nil"/>
            </w:tcBorders>
            <w:vAlign w:val="top"/>
          </w:tcPr>
          <w:p w14:paraId="0E9EEE32" w14:textId="63CF189E" w:rsidR="00CC7C90" w:rsidRPr="00A82243"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6079"/>
                <w14:textFill>
                  <w14:solidFill>
                    <w14:srgbClr w14:val="000000">
                      <w14:alpha w14:val="100000"/>
                    </w14:srgbClr>
                  </w14:solidFill>
                </w14:textFill>
              </w:rPr>
              <w:t>||</w:t>
            </w:r>
            <w:r w:rsidR="008C30A7" w:rsidRPr="00FE32E3">
              <w:rPr>
                <w:color w:val="000000"/>
                <w:spacing w:val="1"/>
                <w:shd w:val="solid" w:color="000000" w:fill="000000"/>
                <w:fitText w:val="238" w:id="-694446079"/>
                <w14:textFill>
                  <w14:solidFill>
                    <w14:srgbClr w14:val="000000">
                      <w14:alpha w14:val="100000"/>
                    </w14:srgbClr>
                  </w14:solidFill>
                </w14:textFill>
              </w:rPr>
              <w:t>|</w:t>
            </w:r>
            <w:r w:rsidR="00A82243">
              <w:rPr>
                <w:vertAlign w:val="superscript"/>
              </w:rPr>
              <w:t>3</w:t>
            </w:r>
          </w:p>
        </w:tc>
        <w:tc>
          <w:tcPr>
            <w:tcW w:w="0" w:type="auto"/>
            <w:tcBorders>
              <w:top w:val="nil"/>
              <w:bottom w:val="nil"/>
            </w:tcBorders>
            <w:vAlign w:val="top"/>
          </w:tcPr>
          <w:p w14:paraId="0224A22D" w14:textId="4EF9E926"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3" w:id="-694446078"/>
                <w14:textFill>
                  <w14:solidFill>
                    <w14:srgbClr w14:val="000000">
                      <w14:alpha w14:val="100000"/>
                    </w14:srgbClr>
                  </w14:solidFill>
                </w14:textFill>
              </w:rPr>
              <w:t>||</w:t>
            </w:r>
            <w:r w:rsidR="008C30A7" w:rsidRPr="00FE32E3">
              <w:rPr>
                <w:color w:val="000000"/>
                <w:spacing w:val="2"/>
                <w:shd w:val="solid" w:color="000000" w:fill="000000"/>
                <w:fitText w:val="213" w:id="-694446078"/>
                <w14:textFill>
                  <w14:solidFill>
                    <w14:srgbClr w14:val="000000">
                      <w14:alpha w14:val="100000"/>
                    </w14:srgbClr>
                  </w14:solidFill>
                </w14:textFill>
              </w:rPr>
              <w:t>|</w:t>
            </w:r>
            <w:r w:rsidRPr="0081338E">
              <w:t>%</w:t>
            </w:r>
          </w:p>
        </w:tc>
        <w:tc>
          <w:tcPr>
            <w:tcW w:w="0" w:type="auto"/>
            <w:tcBorders>
              <w:top w:val="nil"/>
              <w:bottom w:val="nil"/>
            </w:tcBorders>
            <w:vAlign w:val="top"/>
          </w:tcPr>
          <w:p w14:paraId="526E39B1" w14:textId="6F6C0355"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6077"/>
                <w14:textFill>
                  <w14:solidFill>
                    <w14:srgbClr w14:val="000000">
                      <w14:alpha w14:val="100000"/>
                    </w14:srgbClr>
                  </w14:solidFill>
                </w14:textFill>
              </w:rPr>
              <w:t>||</w:t>
            </w:r>
            <w:r w:rsidR="008C30A7" w:rsidRPr="00FE32E3">
              <w:rPr>
                <w:color w:val="000000"/>
                <w:spacing w:val="1"/>
                <w:shd w:val="solid" w:color="000000" w:fill="000000"/>
                <w:fitText w:val="238" w:id="-694446077"/>
                <w14:textFill>
                  <w14:solidFill>
                    <w14:srgbClr w14:val="000000">
                      <w14:alpha w14:val="100000"/>
                    </w14:srgbClr>
                  </w14:solidFill>
                </w14:textFill>
              </w:rPr>
              <w:t>|</w:t>
            </w:r>
          </w:p>
        </w:tc>
        <w:tc>
          <w:tcPr>
            <w:tcW w:w="0" w:type="auto"/>
            <w:tcBorders>
              <w:top w:val="nil"/>
              <w:bottom w:val="nil"/>
            </w:tcBorders>
            <w:vAlign w:val="top"/>
          </w:tcPr>
          <w:p w14:paraId="69A80E9F" w14:textId="77777777" w:rsidR="00CC7C90" w:rsidRPr="0081338E" w:rsidRDefault="00CC7C90" w:rsidP="00B5383E">
            <w:pPr>
              <w:pStyle w:val="TableText0"/>
              <w:keepLines/>
              <w:jc w:val="center"/>
            </w:pPr>
            <w:r w:rsidRPr="0081338E">
              <w:t>14.65</w:t>
            </w:r>
          </w:p>
        </w:tc>
        <w:tc>
          <w:tcPr>
            <w:tcW w:w="0" w:type="auto"/>
            <w:tcBorders>
              <w:top w:val="nil"/>
              <w:bottom w:val="nil"/>
            </w:tcBorders>
            <w:vAlign w:val="top"/>
          </w:tcPr>
          <w:p w14:paraId="6F45DA00" w14:textId="0ABC7698" w:rsidR="00CC7C90" w:rsidRPr="007B2A05"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6076"/>
                <w14:textFill>
                  <w14:solidFill>
                    <w14:srgbClr w14:val="000000">
                      <w14:alpha w14:val="100000"/>
                    </w14:srgbClr>
                  </w14:solidFill>
                </w14:textFill>
              </w:rPr>
              <w:t>||</w:t>
            </w:r>
            <w:r w:rsidR="008C30A7" w:rsidRPr="00FE32E3">
              <w:rPr>
                <w:color w:val="000000"/>
                <w:spacing w:val="1"/>
                <w:shd w:val="solid" w:color="000000" w:fill="000000"/>
                <w:fitText w:val="238" w:id="-694446076"/>
                <w14:textFill>
                  <w14:solidFill>
                    <w14:srgbClr w14:val="000000">
                      <w14:alpha w14:val="100000"/>
                    </w14:srgbClr>
                  </w14:solidFill>
                </w14:textFill>
              </w:rPr>
              <w:t>|</w:t>
            </w:r>
            <w:r w:rsidR="007B2A05">
              <w:rPr>
                <w:vertAlign w:val="superscript"/>
              </w:rPr>
              <w:t>4</w:t>
            </w:r>
          </w:p>
        </w:tc>
        <w:tc>
          <w:tcPr>
            <w:tcW w:w="0" w:type="auto"/>
            <w:tcBorders>
              <w:top w:val="nil"/>
              <w:bottom w:val="nil"/>
            </w:tcBorders>
            <w:vAlign w:val="top"/>
          </w:tcPr>
          <w:p w14:paraId="65C935F2" w14:textId="69013F90"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6075"/>
                <w14:textFill>
                  <w14:solidFill>
                    <w14:srgbClr w14:val="000000">
                      <w14:alpha w14:val="100000"/>
                    </w14:srgbClr>
                  </w14:solidFill>
                </w14:textFill>
              </w:rPr>
              <w:t>||</w:t>
            </w:r>
            <w:r w:rsidR="008C30A7" w:rsidRPr="00FE32E3">
              <w:rPr>
                <w:color w:val="000000"/>
                <w:spacing w:val="1"/>
                <w:shd w:val="solid" w:color="000000" w:fill="000000"/>
                <w:fitText w:val="212" w:id="-694446075"/>
                <w14:textFill>
                  <w14:solidFill>
                    <w14:srgbClr w14:val="000000">
                      <w14:alpha w14:val="100000"/>
                    </w14:srgbClr>
                  </w14:solidFill>
                </w14:textFill>
              </w:rPr>
              <w:t>|</w:t>
            </w:r>
            <w:r w:rsidRPr="0081338E">
              <w:t>%</w:t>
            </w:r>
          </w:p>
        </w:tc>
      </w:tr>
      <w:tr w:rsidR="008C30A7" w:rsidRPr="0081338E" w14:paraId="7F13C766" w14:textId="77777777" w:rsidTr="00D10956">
        <w:tc>
          <w:tcPr>
            <w:tcW w:w="0" w:type="auto"/>
            <w:tcBorders>
              <w:top w:val="nil"/>
              <w:bottom w:val="single" w:sz="4" w:space="0" w:color="auto"/>
            </w:tcBorders>
          </w:tcPr>
          <w:p w14:paraId="4D6CEA1B" w14:textId="77777777" w:rsidR="00CC7C90" w:rsidRPr="0081338E" w:rsidRDefault="00CC7C90" w:rsidP="00B5383E">
            <w:pPr>
              <w:pStyle w:val="TableText0"/>
              <w:keepLines/>
              <w:numPr>
                <w:ilvl w:val="0"/>
                <w:numId w:val="6"/>
              </w:numPr>
              <w:ind w:left="109" w:hanging="142"/>
            </w:pPr>
            <w:r w:rsidRPr="0081338E">
              <w:t xml:space="preserve">3.5% </w:t>
            </w:r>
          </w:p>
        </w:tc>
        <w:tc>
          <w:tcPr>
            <w:tcW w:w="0" w:type="auto"/>
            <w:tcBorders>
              <w:top w:val="nil"/>
              <w:bottom w:val="single" w:sz="4" w:space="0" w:color="auto"/>
            </w:tcBorders>
            <w:vAlign w:val="top"/>
          </w:tcPr>
          <w:p w14:paraId="665DEAA5" w14:textId="6CA3D3D2"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4"/>
                <w14:textFill>
                  <w14:solidFill>
                    <w14:srgbClr w14:val="000000">
                      <w14:alpha w14:val="100000"/>
                    </w14:srgbClr>
                  </w14:solidFill>
                </w14:textFill>
              </w:rPr>
              <w:t>||</w:t>
            </w:r>
            <w:r w:rsidR="008C30A7" w:rsidRPr="00FE32E3">
              <w:rPr>
                <w:color w:val="000000"/>
                <w:spacing w:val="1"/>
                <w:shd w:val="solid" w:color="000000" w:fill="000000"/>
                <w:fitText w:val="238" w:id="-694445824"/>
                <w14:textFill>
                  <w14:solidFill>
                    <w14:srgbClr w14:val="000000">
                      <w14:alpha w14:val="100000"/>
                    </w14:srgbClr>
                  </w14:solidFill>
                </w14:textFill>
              </w:rPr>
              <w:t>|</w:t>
            </w:r>
          </w:p>
        </w:tc>
        <w:tc>
          <w:tcPr>
            <w:tcW w:w="0" w:type="auto"/>
            <w:tcBorders>
              <w:top w:val="nil"/>
              <w:bottom w:val="single" w:sz="4" w:space="0" w:color="auto"/>
            </w:tcBorders>
            <w:vAlign w:val="top"/>
          </w:tcPr>
          <w:p w14:paraId="3BFF97CE" w14:textId="77777777" w:rsidR="00CC7C90" w:rsidRPr="0081338E" w:rsidRDefault="00CC7C90" w:rsidP="00B5383E">
            <w:pPr>
              <w:pStyle w:val="TableText0"/>
              <w:keepLines/>
              <w:jc w:val="center"/>
            </w:pPr>
            <w:r w:rsidRPr="0081338E">
              <w:t>3.01</w:t>
            </w:r>
          </w:p>
        </w:tc>
        <w:tc>
          <w:tcPr>
            <w:tcW w:w="0" w:type="auto"/>
            <w:tcBorders>
              <w:top w:val="nil"/>
              <w:bottom w:val="single" w:sz="4" w:space="0" w:color="auto"/>
            </w:tcBorders>
            <w:vAlign w:val="top"/>
          </w:tcPr>
          <w:p w14:paraId="576F87D6" w14:textId="1E86905F" w:rsidR="00CC7C90" w:rsidRPr="00A238E0" w:rsidRDefault="00CC7C90" w:rsidP="00B5383E">
            <w:pPr>
              <w:pStyle w:val="TableText0"/>
              <w:keepLines/>
              <w:jc w:val="center"/>
            </w:pPr>
            <w:r w:rsidRPr="0081338E">
              <w:t>$</w:t>
            </w:r>
            <w:r w:rsidR="008C30A7" w:rsidRPr="00FE32E3">
              <w:rPr>
                <w:color w:val="000000"/>
                <w:spacing w:val="55"/>
                <w:shd w:val="solid" w:color="000000" w:fill="000000"/>
                <w:fitText w:val="238" w:id="-694445823"/>
                <w14:textFill>
                  <w14:solidFill>
                    <w14:srgbClr w14:val="000000">
                      <w14:alpha w14:val="100000"/>
                    </w14:srgbClr>
                  </w14:solidFill>
                </w14:textFill>
              </w:rPr>
              <w:t>||</w:t>
            </w:r>
            <w:r w:rsidR="008C30A7" w:rsidRPr="00FE32E3">
              <w:rPr>
                <w:color w:val="000000"/>
                <w:spacing w:val="1"/>
                <w:shd w:val="solid" w:color="000000" w:fill="000000"/>
                <w:fitText w:val="238" w:id="-694445823"/>
                <w14:textFill>
                  <w14:solidFill>
                    <w14:srgbClr w14:val="000000">
                      <w14:alpha w14:val="100000"/>
                    </w14:srgbClr>
                  </w14:solidFill>
                </w14:textFill>
              </w:rPr>
              <w:t>|</w:t>
            </w:r>
            <w:r w:rsidR="00A238E0">
              <w:rPr>
                <w:vertAlign w:val="superscript"/>
              </w:rPr>
              <w:t>5</w:t>
            </w:r>
          </w:p>
        </w:tc>
        <w:tc>
          <w:tcPr>
            <w:tcW w:w="0" w:type="auto"/>
            <w:tcBorders>
              <w:top w:val="nil"/>
              <w:bottom w:val="single" w:sz="4" w:space="0" w:color="auto"/>
            </w:tcBorders>
            <w:vAlign w:val="top"/>
          </w:tcPr>
          <w:p w14:paraId="6CBAF9F3" w14:textId="7B6200B6"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3" w:id="-694445822"/>
                <w14:textFill>
                  <w14:solidFill>
                    <w14:srgbClr w14:val="000000">
                      <w14:alpha w14:val="100000"/>
                    </w14:srgbClr>
                  </w14:solidFill>
                </w14:textFill>
              </w:rPr>
              <w:t>||</w:t>
            </w:r>
            <w:r w:rsidR="008C30A7" w:rsidRPr="00FE32E3">
              <w:rPr>
                <w:color w:val="000000"/>
                <w:spacing w:val="2"/>
                <w:shd w:val="solid" w:color="000000" w:fill="000000"/>
                <w:fitText w:val="213" w:id="-694445822"/>
                <w14:textFill>
                  <w14:solidFill>
                    <w14:srgbClr w14:val="000000">
                      <w14:alpha w14:val="100000"/>
                    </w14:srgbClr>
                  </w14:solidFill>
                </w14:textFill>
              </w:rPr>
              <w:t>|</w:t>
            </w:r>
            <w:r w:rsidRPr="0081338E">
              <w:t>%</w:t>
            </w:r>
          </w:p>
        </w:tc>
        <w:tc>
          <w:tcPr>
            <w:tcW w:w="0" w:type="auto"/>
            <w:tcBorders>
              <w:top w:val="nil"/>
              <w:bottom w:val="single" w:sz="4" w:space="0" w:color="auto"/>
            </w:tcBorders>
            <w:vAlign w:val="top"/>
          </w:tcPr>
          <w:p w14:paraId="5C13DDFB" w14:textId="3D96742A"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1"/>
                <w14:textFill>
                  <w14:solidFill>
                    <w14:srgbClr w14:val="000000">
                      <w14:alpha w14:val="100000"/>
                    </w14:srgbClr>
                  </w14:solidFill>
                </w14:textFill>
              </w:rPr>
              <w:t>||</w:t>
            </w:r>
            <w:r w:rsidR="008C30A7" w:rsidRPr="00FE32E3">
              <w:rPr>
                <w:color w:val="000000"/>
                <w:spacing w:val="1"/>
                <w:shd w:val="solid" w:color="000000" w:fill="000000"/>
                <w:fitText w:val="238" w:id="-694445821"/>
                <w14:textFill>
                  <w14:solidFill>
                    <w14:srgbClr w14:val="000000">
                      <w14:alpha w14:val="100000"/>
                    </w14:srgbClr>
                  </w14:solidFill>
                </w14:textFill>
              </w:rPr>
              <w:t>|</w:t>
            </w:r>
          </w:p>
        </w:tc>
        <w:tc>
          <w:tcPr>
            <w:tcW w:w="0" w:type="auto"/>
            <w:tcBorders>
              <w:top w:val="nil"/>
              <w:bottom w:val="single" w:sz="4" w:space="0" w:color="auto"/>
            </w:tcBorders>
            <w:vAlign w:val="top"/>
          </w:tcPr>
          <w:p w14:paraId="0137C605" w14:textId="77777777" w:rsidR="00CC7C90" w:rsidRPr="0081338E" w:rsidRDefault="00CC7C90" w:rsidP="00B5383E">
            <w:pPr>
              <w:pStyle w:val="TableText0"/>
              <w:keepLines/>
              <w:jc w:val="center"/>
            </w:pPr>
            <w:r w:rsidRPr="0081338E">
              <w:t>6.09</w:t>
            </w:r>
          </w:p>
        </w:tc>
        <w:tc>
          <w:tcPr>
            <w:tcW w:w="0" w:type="auto"/>
            <w:tcBorders>
              <w:top w:val="nil"/>
              <w:bottom w:val="single" w:sz="4" w:space="0" w:color="auto"/>
            </w:tcBorders>
            <w:vAlign w:val="top"/>
          </w:tcPr>
          <w:p w14:paraId="53B46D81" w14:textId="4FC923B9" w:rsidR="00CC7C90" w:rsidRPr="00B51C58" w:rsidRDefault="00CC7C90" w:rsidP="00B5383E">
            <w:pPr>
              <w:pStyle w:val="TableText0"/>
              <w:keepLines/>
              <w:jc w:val="center"/>
            </w:pPr>
            <w:r w:rsidRPr="0081338E">
              <w:t>$</w:t>
            </w:r>
            <w:r w:rsidR="008C30A7" w:rsidRPr="00FE32E3">
              <w:rPr>
                <w:color w:val="000000"/>
                <w:spacing w:val="55"/>
                <w:shd w:val="solid" w:color="000000" w:fill="000000"/>
                <w:fitText w:val="238" w:id="-694445820"/>
                <w14:textFill>
                  <w14:solidFill>
                    <w14:srgbClr w14:val="000000">
                      <w14:alpha w14:val="100000"/>
                    </w14:srgbClr>
                  </w14:solidFill>
                </w14:textFill>
              </w:rPr>
              <w:t>||</w:t>
            </w:r>
            <w:r w:rsidR="008C30A7" w:rsidRPr="00FE32E3">
              <w:rPr>
                <w:color w:val="000000"/>
                <w:spacing w:val="1"/>
                <w:shd w:val="solid" w:color="000000" w:fill="000000"/>
                <w:fitText w:val="238" w:id="-694445820"/>
                <w14:textFill>
                  <w14:solidFill>
                    <w14:srgbClr w14:val="000000">
                      <w14:alpha w14:val="100000"/>
                    </w14:srgbClr>
                  </w14:solidFill>
                </w14:textFill>
              </w:rPr>
              <w:t>|</w:t>
            </w:r>
            <w:r w:rsidR="00B51C58">
              <w:rPr>
                <w:vertAlign w:val="superscript"/>
              </w:rPr>
              <w:t>6</w:t>
            </w:r>
          </w:p>
        </w:tc>
        <w:tc>
          <w:tcPr>
            <w:tcW w:w="0" w:type="auto"/>
            <w:tcBorders>
              <w:top w:val="nil"/>
              <w:bottom w:val="single" w:sz="4" w:space="0" w:color="auto"/>
            </w:tcBorders>
            <w:vAlign w:val="top"/>
          </w:tcPr>
          <w:p w14:paraId="4BD9D6D7" w14:textId="182481D3"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819"/>
                <w14:textFill>
                  <w14:solidFill>
                    <w14:srgbClr w14:val="000000">
                      <w14:alpha w14:val="100000"/>
                    </w14:srgbClr>
                  </w14:solidFill>
                </w14:textFill>
              </w:rPr>
              <w:t>||</w:t>
            </w:r>
            <w:r w:rsidR="008C30A7" w:rsidRPr="00FE32E3">
              <w:rPr>
                <w:color w:val="000000"/>
                <w:spacing w:val="1"/>
                <w:shd w:val="solid" w:color="000000" w:fill="000000"/>
                <w:fitText w:val="212" w:id="-694445819"/>
                <w14:textFill>
                  <w14:solidFill>
                    <w14:srgbClr w14:val="000000">
                      <w14:alpha w14:val="100000"/>
                    </w14:srgbClr>
                  </w14:solidFill>
                </w14:textFill>
              </w:rPr>
              <w:t>|</w:t>
            </w:r>
            <w:r w:rsidRPr="0081338E">
              <w:t>%</w:t>
            </w:r>
          </w:p>
        </w:tc>
      </w:tr>
      <w:tr w:rsidR="00CC7C90" w:rsidRPr="0081338E" w14:paraId="011B545A" w14:textId="77777777" w:rsidTr="00D10956">
        <w:tc>
          <w:tcPr>
            <w:tcW w:w="0" w:type="auto"/>
            <w:gridSpan w:val="9"/>
            <w:tcBorders>
              <w:bottom w:val="nil"/>
            </w:tcBorders>
          </w:tcPr>
          <w:p w14:paraId="34D59754" w14:textId="77777777" w:rsidR="00CC7C90" w:rsidRPr="0081338E" w:rsidRDefault="00CC7C90" w:rsidP="00B5383E">
            <w:pPr>
              <w:pStyle w:val="TableText0"/>
              <w:keepLines/>
            </w:pPr>
            <w:r w:rsidRPr="0081338E">
              <w:t>Time horizon (base case 100 years)</w:t>
            </w:r>
          </w:p>
        </w:tc>
      </w:tr>
      <w:tr w:rsidR="008C30A7" w:rsidRPr="0081338E" w14:paraId="14777A40" w14:textId="77777777" w:rsidTr="00D10956">
        <w:tc>
          <w:tcPr>
            <w:tcW w:w="0" w:type="auto"/>
            <w:tcBorders>
              <w:top w:val="nil"/>
              <w:bottom w:val="nil"/>
            </w:tcBorders>
          </w:tcPr>
          <w:p w14:paraId="20F46EF6" w14:textId="77777777" w:rsidR="00CC7C90" w:rsidRPr="0081338E" w:rsidRDefault="00CC7C90" w:rsidP="00B5383E">
            <w:pPr>
              <w:pStyle w:val="TableText0"/>
              <w:keepLines/>
              <w:numPr>
                <w:ilvl w:val="0"/>
                <w:numId w:val="6"/>
              </w:numPr>
              <w:ind w:left="109" w:hanging="142"/>
            </w:pPr>
            <w:r w:rsidRPr="0081338E">
              <w:t>25 years</w:t>
            </w:r>
          </w:p>
        </w:tc>
        <w:tc>
          <w:tcPr>
            <w:tcW w:w="0" w:type="auto"/>
            <w:tcBorders>
              <w:top w:val="nil"/>
              <w:bottom w:val="nil"/>
            </w:tcBorders>
            <w:vAlign w:val="top"/>
          </w:tcPr>
          <w:p w14:paraId="5C519DEB" w14:textId="0C0C9DE5"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8"/>
                <w14:textFill>
                  <w14:solidFill>
                    <w14:srgbClr w14:val="000000">
                      <w14:alpha w14:val="100000"/>
                    </w14:srgbClr>
                  </w14:solidFill>
                </w14:textFill>
              </w:rPr>
              <w:t>||</w:t>
            </w:r>
            <w:r w:rsidR="008C30A7" w:rsidRPr="00FE32E3">
              <w:rPr>
                <w:color w:val="000000"/>
                <w:spacing w:val="1"/>
                <w:shd w:val="solid" w:color="000000" w:fill="000000"/>
                <w:fitText w:val="238" w:id="-694445818"/>
                <w14:textFill>
                  <w14:solidFill>
                    <w14:srgbClr w14:val="000000">
                      <w14:alpha w14:val="100000"/>
                    </w14:srgbClr>
                  </w14:solidFill>
                </w14:textFill>
              </w:rPr>
              <w:t>|</w:t>
            </w:r>
          </w:p>
        </w:tc>
        <w:tc>
          <w:tcPr>
            <w:tcW w:w="0" w:type="auto"/>
            <w:tcBorders>
              <w:top w:val="nil"/>
              <w:bottom w:val="nil"/>
            </w:tcBorders>
            <w:vAlign w:val="top"/>
          </w:tcPr>
          <w:p w14:paraId="4224364F" w14:textId="77777777" w:rsidR="00CC7C90" w:rsidRPr="0081338E" w:rsidRDefault="00CC7C90" w:rsidP="00B5383E">
            <w:pPr>
              <w:pStyle w:val="TableText0"/>
              <w:keepLines/>
              <w:jc w:val="center"/>
            </w:pPr>
            <w:r w:rsidRPr="0081338E">
              <w:t>1.65</w:t>
            </w:r>
          </w:p>
        </w:tc>
        <w:tc>
          <w:tcPr>
            <w:tcW w:w="0" w:type="auto"/>
            <w:tcBorders>
              <w:top w:val="nil"/>
              <w:bottom w:val="nil"/>
            </w:tcBorders>
            <w:vAlign w:val="top"/>
          </w:tcPr>
          <w:p w14:paraId="02444ACC" w14:textId="7134BC49" w:rsidR="00CC7C90" w:rsidRPr="00F13F2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7"/>
                <w14:textFill>
                  <w14:solidFill>
                    <w14:srgbClr w14:val="000000">
                      <w14:alpha w14:val="100000"/>
                    </w14:srgbClr>
                  </w14:solidFill>
                </w14:textFill>
              </w:rPr>
              <w:t>||</w:t>
            </w:r>
            <w:r w:rsidR="008C30A7" w:rsidRPr="00FE32E3">
              <w:rPr>
                <w:color w:val="000000"/>
                <w:spacing w:val="1"/>
                <w:shd w:val="solid" w:color="000000" w:fill="000000"/>
                <w:fitText w:val="238" w:id="-694445817"/>
                <w14:textFill>
                  <w14:solidFill>
                    <w14:srgbClr w14:val="000000">
                      <w14:alpha w14:val="100000"/>
                    </w14:srgbClr>
                  </w14:solidFill>
                </w14:textFill>
              </w:rPr>
              <w:t>|</w:t>
            </w:r>
            <w:r w:rsidR="00F13F26">
              <w:rPr>
                <w:vertAlign w:val="superscript"/>
              </w:rPr>
              <w:t>1</w:t>
            </w:r>
          </w:p>
        </w:tc>
        <w:tc>
          <w:tcPr>
            <w:tcW w:w="0" w:type="auto"/>
            <w:tcBorders>
              <w:top w:val="nil"/>
              <w:bottom w:val="nil"/>
            </w:tcBorders>
            <w:vAlign w:val="top"/>
          </w:tcPr>
          <w:p w14:paraId="10F61C46" w14:textId="5D98C8B8" w:rsidR="00CC7C90" w:rsidRPr="0081338E" w:rsidRDefault="008C30A7" w:rsidP="00B5383E">
            <w:pPr>
              <w:pStyle w:val="TableText0"/>
              <w:keepLines/>
              <w:jc w:val="center"/>
            </w:pPr>
            <w:r w:rsidRPr="00FE32E3">
              <w:rPr>
                <w:color w:val="000000"/>
                <w:spacing w:val="90"/>
                <w:shd w:val="solid" w:color="000000" w:fill="000000"/>
                <w:fitText w:val="176" w:id="-694445816"/>
                <w14:textFill>
                  <w14:solidFill>
                    <w14:srgbClr w14:val="000000">
                      <w14:alpha w14:val="100000"/>
                    </w14:srgbClr>
                  </w14:solidFill>
                </w14:textFill>
              </w:rPr>
              <w:t>|</w:t>
            </w:r>
            <w:r w:rsidRPr="00FE32E3">
              <w:rPr>
                <w:color w:val="000000"/>
                <w:spacing w:val="1"/>
                <w:shd w:val="solid" w:color="000000" w:fill="000000"/>
                <w:fitText w:val="176" w:id="-694445816"/>
                <w14:textFill>
                  <w14:solidFill>
                    <w14:srgbClr w14:val="000000">
                      <w14:alpha w14:val="100000"/>
                    </w14:srgbClr>
                  </w14:solidFill>
                </w14:textFill>
              </w:rPr>
              <w:t>|</w:t>
            </w:r>
            <w:r w:rsidR="00CC7C90" w:rsidRPr="0081338E">
              <w:t>%</w:t>
            </w:r>
          </w:p>
        </w:tc>
        <w:tc>
          <w:tcPr>
            <w:tcW w:w="0" w:type="auto"/>
            <w:tcBorders>
              <w:top w:val="nil"/>
              <w:bottom w:val="nil"/>
            </w:tcBorders>
            <w:vAlign w:val="top"/>
          </w:tcPr>
          <w:p w14:paraId="4CA76AB2" w14:textId="4CFE773C"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5"/>
                <w14:textFill>
                  <w14:solidFill>
                    <w14:srgbClr w14:val="000000">
                      <w14:alpha w14:val="100000"/>
                    </w14:srgbClr>
                  </w14:solidFill>
                </w14:textFill>
              </w:rPr>
              <w:t>||</w:t>
            </w:r>
            <w:r w:rsidR="008C30A7" w:rsidRPr="00FE32E3">
              <w:rPr>
                <w:color w:val="000000"/>
                <w:spacing w:val="1"/>
                <w:shd w:val="solid" w:color="000000" w:fill="000000"/>
                <w:fitText w:val="238" w:id="-694445815"/>
                <w14:textFill>
                  <w14:solidFill>
                    <w14:srgbClr w14:val="000000">
                      <w14:alpha w14:val="100000"/>
                    </w14:srgbClr>
                  </w14:solidFill>
                </w14:textFill>
              </w:rPr>
              <w:t>|</w:t>
            </w:r>
          </w:p>
        </w:tc>
        <w:tc>
          <w:tcPr>
            <w:tcW w:w="0" w:type="auto"/>
            <w:tcBorders>
              <w:top w:val="nil"/>
              <w:bottom w:val="nil"/>
            </w:tcBorders>
            <w:vAlign w:val="top"/>
          </w:tcPr>
          <w:p w14:paraId="4DB50129" w14:textId="77777777" w:rsidR="00CC7C90" w:rsidRPr="0081338E" w:rsidRDefault="00CC7C90" w:rsidP="00B5383E">
            <w:pPr>
              <w:pStyle w:val="TableText0"/>
              <w:keepLines/>
              <w:jc w:val="center"/>
            </w:pPr>
            <w:r w:rsidRPr="0081338E">
              <w:t>3.55</w:t>
            </w:r>
          </w:p>
        </w:tc>
        <w:tc>
          <w:tcPr>
            <w:tcW w:w="0" w:type="auto"/>
            <w:tcBorders>
              <w:top w:val="nil"/>
              <w:bottom w:val="nil"/>
            </w:tcBorders>
            <w:vAlign w:val="top"/>
          </w:tcPr>
          <w:p w14:paraId="33FA5B36" w14:textId="179C4F76" w:rsidR="00CC7C90" w:rsidRPr="00FB5D8D"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4"/>
                <w14:textFill>
                  <w14:solidFill>
                    <w14:srgbClr w14:val="000000">
                      <w14:alpha w14:val="100000"/>
                    </w14:srgbClr>
                  </w14:solidFill>
                </w14:textFill>
              </w:rPr>
              <w:t>||</w:t>
            </w:r>
            <w:r w:rsidR="008C30A7" w:rsidRPr="00FE32E3">
              <w:rPr>
                <w:color w:val="000000"/>
                <w:spacing w:val="1"/>
                <w:shd w:val="solid" w:color="000000" w:fill="000000"/>
                <w:fitText w:val="238" w:id="-694445814"/>
                <w14:textFill>
                  <w14:solidFill>
                    <w14:srgbClr w14:val="000000">
                      <w14:alpha w14:val="100000"/>
                    </w14:srgbClr>
                  </w14:solidFill>
                </w14:textFill>
              </w:rPr>
              <w:t>|</w:t>
            </w:r>
            <w:r w:rsidR="00FB5D8D">
              <w:rPr>
                <w:vertAlign w:val="superscript"/>
              </w:rPr>
              <w:t>5</w:t>
            </w:r>
          </w:p>
        </w:tc>
        <w:tc>
          <w:tcPr>
            <w:tcW w:w="0" w:type="auto"/>
            <w:tcBorders>
              <w:top w:val="nil"/>
              <w:bottom w:val="nil"/>
            </w:tcBorders>
            <w:vAlign w:val="top"/>
          </w:tcPr>
          <w:p w14:paraId="2689EDE0" w14:textId="018AC2F5" w:rsidR="00CC7C90" w:rsidRPr="0081338E" w:rsidRDefault="008C30A7" w:rsidP="00B5383E">
            <w:pPr>
              <w:pStyle w:val="TableText0"/>
              <w:keepLines/>
              <w:jc w:val="center"/>
            </w:pPr>
            <w:r w:rsidRPr="00FE32E3">
              <w:rPr>
                <w:color w:val="000000"/>
                <w:spacing w:val="89"/>
                <w:shd w:val="solid" w:color="000000" w:fill="000000"/>
                <w:fitText w:val="175" w:id="-694445813"/>
                <w14:textFill>
                  <w14:solidFill>
                    <w14:srgbClr w14:val="000000">
                      <w14:alpha w14:val="100000"/>
                    </w14:srgbClr>
                  </w14:solidFill>
                </w14:textFill>
              </w:rPr>
              <w:t>|</w:t>
            </w:r>
            <w:r w:rsidRPr="00FE32E3">
              <w:rPr>
                <w:color w:val="000000"/>
                <w:spacing w:val="1"/>
                <w:shd w:val="solid" w:color="000000" w:fill="000000"/>
                <w:fitText w:val="175" w:id="-694445813"/>
                <w14:textFill>
                  <w14:solidFill>
                    <w14:srgbClr w14:val="000000">
                      <w14:alpha w14:val="100000"/>
                    </w14:srgbClr>
                  </w14:solidFill>
                </w14:textFill>
              </w:rPr>
              <w:t>|</w:t>
            </w:r>
            <w:r w:rsidR="00CC7C90" w:rsidRPr="0081338E">
              <w:t>%</w:t>
            </w:r>
          </w:p>
        </w:tc>
      </w:tr>
      <w:tr w:rsidR="008C30A7" w:rsidRPr="0081338E" w14:paraId="38F00264" w14:textId="77777777" w:rsidTr="00D10956">
        <w:tc>
          <w:tcPr>
            <w:tcW w:w="0" w:type="auto"/>
            <w:tcBorders>
              <w:top w:val="nil"/>
              <w:bottom w:val="single" w:sz="4" w:space="0" w:color="auto"/>
            </w:tcBorders>
          </w:tcPr>
          <w:p w14:paraId="4699B4DA" w14:textId="77777777" w:rsidR="00CC7C90" w:rsidRPr="0081338E" w:rsidRDefault="00CC7C90" w:rsidP="00B5383E">
            <w:pPr>
              <w:pStyle w:val="TableText0"/>
              <w:keepLines/>
              <w:numPr>
                <w:ilvl w:val="0"/>
                <w:numId w:val="6"/>
              </w:numPr>
              <w:ind w:left="109" w:hanging="142"/>
            </w:pPr>
            <w:r w:rsidRPr="0081338E">
              <w:t>50 years</w:t>
            </w:r>
          </w:p>
        </w:tc>
        <w:tc>
          <w:tcPr>
            <w:tcW w:w="0" w:type="auto"/>
            <w:tcBorders>
              <w:top w:val="nil"/>
              <w:bottom w:val="single" w:sz="4" w:space="0" w:color="auto"/>
            </w:tcBorders>
            <w:vAlign w:val="top"/>
          </w:tcPr>
          <w:p w14:paraId="11BBF39A" w14:textId="6ADF5DCF"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2"/>
                <w14:textFill>
                  <w14:solidFill>
                    <w14:srgbClr w14:val="000000">
                      <w14:alpha w14:val="100000"/>
                    </w14:srgbClr>
                  </w14:solidFill>
                </w14:textFill>
              </w:rPr>
              <w:t>||</w:t>
            </w:r>
            <w:r w:rsidR="008C30A7" w:rsidRPr="00FE32E3">
              <w:rPr>
                <w:color w:val="000000"/>
                <w:spacing w:val="1"/>
                <w:shd w:val="solid" w:color="000000" w:fill="000000"/>
                <w:fitText w:val="238" w:id="-694445812"/>
                <w14:textFill>
                  <w14:solidFill>
                    <w14:srgbClr w14:val="000000">
                      <w14:alpha w14:val="100000"/>
                    </w14:srgbClr>
                  </w14:solidFill>
                </w14:textFill>
              </w:rPr>
              <w:t>|</w:t>
            </w:r>
          </w:p>
        </w:tc>
        <w:tc>
          <w:tcPr>
            <w:tcW w:w="0" w:type="auto"/>
            <w:tcBorders>
              <w:top w:val="nil"/>
              <w:bottom w:val="single" w:sz="4" w:space="0" w:color="auto"/>
            </w:tcBorders>
            <w:vAlign w:val="top"/>
          </w:tcPr>
          <w:p w14:paraId="727D1DB4" w14:textId="77777777" w:rsidR="00CC7C90" w:rsidRPr="0081338E" w:rsidRDefault="00CC7C90" w:rsidP="00B5383E">
            <w:pPr>
              <w:pStyle w:val="TableText0"/>
              <w:keepLines/>
              <w:jc w:val="center"/>
            </w:pPr>
            <w:r w:rsidRPr="0081338E">
              <w:t>2.16</w:t>
            </w:r>
          </w:p>
        </w:tc>
        <w:tc>
          <w:tcPr>
            <w:tcW w:w="0" w:type="auto"/>
            <w:tcBorders>
              <w:top w:val="nil"/>
              <w:bottom w:val="single" w:sz="4" w:space="0" w:color="auto"/>
            </w:tcBorders>
            <w:vAlign w:val="top"/>
          </w:tcPr>
          <w:p w14:paraId="44E97C86" w14:textId="3BF611B5" w:rsidR="00CC7C90" w:rsidRPr="00E27E7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1"/>
                <w14:textFill>
                  <w14:solidFill>
                    <w14:srgbClr w14:val="000000">
                      <w14:alpha w14:val="100000"/>
                    </w14:srgbClr>
                  </w14:solidFill>
                </w14:textFill>
              </w:rPr>
              <w:t>||</w:t>
            </w:r>
            <w:r w:rsidR="008C30A7" w:rsidRPr="00FE32E3">
              <w:rPr>
                <w:color w:val="000000"/>
                <w:spacing w:val="1"/>
                <w:shd w:val="solid" w:color="000000" w:fill="000000"/>
                <w:fitText w:val="238" w:id="-694445811"/>
                <w14:textFill>
                  <w14:solidFill>
                    <w14:srgbClr w14:val="000000">
                      <w14:alpha w14:val="100000"/>
                    </w14:srgbClr>
                  </w14:solidFill>
                </w14:textFill>
              </w:rPr>
              <w:t>|</w:t>
            </w:r>
            <w:r w:rsidR="00E27E76">
              <w:rPr>
                <w:vertAlign w:val="superscript"/>
              </w:rPr>
              <w:t>1</w:t>
            </w:r>
          </w:p>
        </w:tc>
        <w:tc>
          <w:tcPr>
            <w:tcW w:w="0" w:type="auto"/>
            <w:tcBorders>
              <w:top w:val="nil"/>
              <w:bottom w:val="single" w:sz="4" w:space="0" w:color="auto"/>
            </w:tcBorders>
            <w:vAlign w:val="top"/>
          </w:tcPr>
          <w:p w14:paraId="4C5AFD84" w14:textId="1CC8D08B" w:rsidR="00CC7C90" w:rsidRPr="0081338E" w:rsidRDefault="008C30A7" w:rsidP="00B5383E">
            <w:pPr>
              <w:pStyle w:val="TableText0"/>
              <w:keepLines/>
              <w:jc w:val="center"/>
            </w:pPr>
            <w:r w:rsidRPr="00FE32E3">
              <w:rPr>
                <w:color w:val="000000"/>
                <w:spacing w:val="90"/>
                <w:shd w:val="solid" w:color="000000" w:fill="000000"/>
                <w:fitText w:val="176" w:id="-694445810"/>
                <w14:textFill>
                  <w14:solidFill>
                    <w14:srgbClr w14:val="000000">
                      <w14:alpha w14:val="100000"/>
                    </w14:srgbClr>
                  </w14:solidFill>
                </w14:textFill>
              </w:rPr>
              <w:t>|</w:t>
            </w:r>
            <w:r w:rsidRPr="00FE32E3">
              <w:rPr>
                <w:color w:val="000000"/>
                <w:spacing w:val="1"/>
                <w:shd w:val="solid" w:color="000000" w:fill="000000"/>
                <w:fitText w:val="176" w:id="-694445810"/>
                <w14:textFill>
                  <w14:solidFill>
                    <w14:srgbClr w14:val="000000">
                      <w14:alpha w14:val="100000"/>
                    </w14:srgbClr>
                  </w14:solidFill>
                </w14:textFill>
              </w:rPr>
              <w:t>|</w:t>
            </w:r>
            <w:r w:rsidR="00CC7C90" w:rsidRPr="0081338E">
              <w:t>%</w:t>
            </w:r>
          </w:p>
        </w:tc>
        <w:tc>
          <w:tcPr>
            <w:tcW w:w="0" w:type="auto"/>
            <w:tcBorders>
              <w:top w:val="nil"/>
              <w:bottom w:val="single" w:sz="4" w:space="0" w:color="auto"/>
            </w:tcBorders>
            <w:vAlign w:val="top"/>
          </w:tcPr>
          <w:p w14:paraId="59BC8CD0" w14:textId="34BE494E"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09"/>
                <w14:textFill>
                  <w14:solidFill>
                    <w14:srgbClr w14:val="000000">
                      <w14:alpha w14:val="100000"/>
                    </w14:srgbClr>
                  </w14:solidFill>
                </w14:textFill>
              </w:rPr>
              <w:t>||</w:t>
            </w:r>
            <w:r w:rsidR="008C30A7" w:rsidRPr="00FE32E3">
              <w:rPr>
                <w:color w:val="000000"/>
                <w:spacing w:val="1"/>
                <w:shd w:val="solid" w:color="000000" w:fill="000000"/>
                <w:fitText w:val="238" w:id="-694445809"/>
                <w14:textFill>
                  <w14:solidFill>
                    <w14:srgbClr w14:val="000000">
                      <w14:alpha w14:val="100000"/>
                    </w14:srgbClr>
                  </w14:solidFill>
                </w14:textFill>
              </w:rPr>
              <w:t>|</w:t>
            </w:r>
          </w:p>
        </w:tc>
        <w:tc>
          <w:tcPr>
            <w:tcW w:w="0" w:type="auto"/>
            <w:tcBorders>
              <w:top w:val="nil"/>
              <w:bottom w:val="single" w:sz="4" w:space="0" w:color="auto"/>
            </w:tcBorders>
            <w:vAlign w:val="top"/>
          </w:tcPr>
          <w:p w14:paraId="3172FBED" w14:textId="77777777" w:rsidR="00CC7C90" w:rsidRPr="0081338E" w:rsidRDefault="00CC7C90" w:rsidP="00B5383E">
            <w:pPr>
              <w:pStyle w:val="TableText0"/>
              <w:keepLines/>
              <w:jc w:val="center"/>
            </w:pPr>
            <w:r w:rsidRPr="0081338E">
              <w:t>4.49</w:t>
            </w:r>
          </w:p>
        </w:tc>
        <w:tc>
          <w:tcPr>
            <w:tcW w:w="0" w:type="auto"/>
            <w:tcBorders>
              <w:top w:val="nil"/>
              <w:bottom w:val="single" w:sz="4" w:space="0" w:color="auto"/>
            </w:tcBorders>
            <w:vAlign w:val="top"/>
          </w:tcPr>
          <w:p w14:paraId="2337904F" w14:textId="502F8572" w:rsidR="00CC7C90" w:rsidRPr="007E69E5" w:rsidRDefault="00CC7C90" w:rsidP="00B5383E">
            <w:pPr>
              <w:pStyle w:val="TableText0"/>
              <w:keepLines/>
              <w:jc w:val="center"/>
            </w:pPr>
            <w:r w:rsidRPr="0081338E">
              <w:t>$</w:t>
            </w:r>
            <w:r w:rsidR="008C30A7" w:rsidRPr="00FE32E3">
              <w:rPr>
                <w:color w:val="000000"/>
                <w:spacing w:val="55"/>
                <w:shd w:val="solid" w:color="000000" w:fill="000000"/>
                <w:fitText w:val="238" w:id="-694445808"/>
                <w14:textFill>
                  <w14:solidFill>
                    <w14:srgbClr w14:val="000000">
                      <w14:alpha w14:val="100000"/>
                    </w14:srgbClr>
                  </w14:solidFill>
                </w14:textFill>
              </w:rPr>
              <w:t>||</w:t>
            </w:r>
            <w:r w:rsidR="008C30A7" w:rsidRPr="00FE32E3">
              <w:rPr>
                <w:color w:val="000000"/>
                <w:spacing w:val="1"/>
                <w:shd w:val="solid" w:color="000000" w:fill="000000"/>
                <w:fitText w:val="238" w:id="-694445808"/>
                <w14:textFill>
                  <w14:solidFill>
                    <w14:srgbClr w14:val="000000">
                      <w14:alpha w14:val="100000"/>
                    </w14:srgbClr>
                  </w14:solidFill>
                </w14:textFill>
              </w:rPr>
              <w:t>|</w:t>
            </w:r>
            <w:r w:rsidR="007E69E5">
              <w:rPr>
                <w:vertAlign w:val="superscript"/>
              </w:rPr>
              <w:t>7</w:t>
            </w:r>
          </w:p>
        </w:tc>
        <w:tc>
          <w:tcPr>
            <w:tcW w:w="0" w:type="auto"/>
            <w:tcBorders>
              <w:top w:val="nil"/>
              <w:bottom w:val="single" w:sz="4" w:space="0" w:color="auto"/>
            </w:tcBorders>
            <w:vAlign w:val="top"/>
          </w:tcPr>
          <w:p w14:paraId="25A7FF0B" w14:textId="6D8AE1F6" w:rsidR="00CC7C90" w:rsidRPr="0081338E" w:rsidRDefault="008C30A7" w:rsidP="00B5383E">
            <w:pPr>
              <w:pStyle w:val="TableText0"/>
              <w:keepLines/>
              <w:jc w:val="center"/>
            </w:pPr>
            <w:r w:rsidRPr="00FE32E3">
              <w:rPr>
                <w:color w:val="000000"/>
                <w:spacing w:val="89"/>
                <w:shd w:val="solid" w:color="000000" w:fill="000000"/>
                <w:fitText w:val="175" w:id="-694445824"/>
                <w14:textFill>
                  <w14:solidFill>
                    <w14:srgbClr w14:val="000000">
                      <w14:alpha w14:val="100000"/>
                    </w14:srgbClr>
                  </w14:solidFill>
                </w14:textFill>
              </w:rPr>
              <w:t>|</w:t>
            </w:r>
            <w:r w:rsidRPr="00FE32E3">
              <w:rPr>
                <w:color w:val="000000"/>
                <w:spacing w:val="1"/>
                <w:shd w:val="solid" w:color="000000" w:fill="000000"/>
                <w:fitText w:val="175" w:id="-694445824"/>
                <w14:textFill>
                  <w14:solidFill>
                    <w14:srgbClr w14:val="000000">
                      <w14:alpha w14:val="100000"/>
                    </w14:srgbClr>
                  </w14:solidFill>
                </w14:textFill>
              </w:rPr>
              <w:t>|</w:t>
            </w:r>
            <w:r w:rsidR="00CC7C90" w:rsidRPr="0081338E">
              <w:t>%</w:t>
            </w:r>
          </w:p>
        </w:tc>
      </w:tr>
      <w:tr w:rsidR="00CC7C90" w:rsidRPr="0081338E" w14:paraId="7AA8CA3D" w14:textId="77777777" w:rsidTr="00D10956">
        <w:tc>
          <w:tcPr>
            <w:tcW w:w="0" w:type="auto"/>
            <w:gridSpan w:val="9"/>
            <w:tcBorders>
              <w:bottom w:val="nil"/>
            </w:tcBorders>
          </w:tcPr>
          <w:p w14:paraId="6A989569" w14:textId="77777777" w:rsidR="00CC7C90" w:rsidRPr="0081338E" w:rsidRDefault="00CC7C90" w:rsidP="00B5383E">
            <w:pPr>
              <w:pStyle w:val="TableText0"/>
              <w:keepLines/>
            </w:pPr>
            <w:r w:rsidRPr="0081338E">
              <w:t xml:space="preserve">EFS and OS extrapolation </w:t>
            </w:r>
          </w:p>
        </w:tc>
      </w:tr>
      <w:tr w:rsidR="00CC7C90" w:rsidRPr="0081338E" w14:paraId="15656DB9" w14:textId="77777777" w:rsidTr="00D10956">
        <w:tc>
          <w:tcPr>
            <w:tcW w:w="0" w:type="auto"/>
            <w:gridSpan w:val="9"/>
            <w:tcBorders>
              <w:top w:val="nil"/>
              <w:bottom w:val="nil"/>
            </w:tcBorders>
          </w:tcPr>
          <w:p w14:paraId="3099BFF2" w14:textId="77777777" w:rsidR="00CC7C90" w:rsidRPr="0081338E" w:rsidRDefault="00CC7C90" w:rsidP="00B5383E">
            <w:pPr>
              <w:pStyle w:val="TableText0"/>
              <w:keepLines/>
            </w:pPr>
            <w:r w:rsidRPr="0081338E">
              <w:t>Stratum 1 EFS and OS extrapolation scenarios (base case: EFS Gompertz, OS gen. gamma from Time 0)</w:t>
            </w:r>
          </w:p>
        </w:tc>
      </w:tr>
      <w:tr w:rsidR="008C30A7" w:rsidRPr="0081338E" w14:paraId="2AEA7AC3" w14:textId="77777777" w:rsidTr="00D10956">
        <w:tc>
          <w:tcPr>
            <w:tcW w:w="0" w:type="auto"/>
            <w:tcBorders>
              <w:top w:val="nil"/>
              <w:bottom w:val="nil"/>
            </w:tcBorders>
            <w:vAlign w:val="top"/>
          </w:tcPr>
          <w:p w14:paraId="224FFE28" w14:textId="77777777" w:rsidR="00CC7C90" w:rsidRPr="0081338E" w:rsidRDefault="00CC7C90" w:rsidP="00B5383E">
            <w:pPr>
              <w:pStyle w:val="TableText0"/>
              <w:keepLines/>
              <w:numPr>
                <w:ilvl w:val="0"/>
                <w:numId w:val="6"/>
              </w:numPr>
              <w:ind w:left="109" w:hanging="142"/>
            </w:pPr>
            <w:r w:rsidRPr="0081338E">
              <w:t>EFS log-normal</w:t>
            </w:r>
          </w:p>
        </w:tc>
        <w:tc>
          <w:tcPr>
            <w:tcW w:w="0" w:type="auto"/>
            <w:tcBorders>
              <w:top w:val="nil"/>
              <w:bottom w:val="nil"/>
            </w:tcBorders>
          </w:tcPr>
          <w:p w14:paraId="71D612E7" w14:textId="5CD306FC"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3"/>
                <w14:textFill>
                  <w14:solidFill>
                    <w14:srgbClr w14:val="000000">
                      <w14:alpha w14:val="100000"/>
                    </w14:srgbClr>
                  </w14:solidFill>
                </w14:textFill>
              </w:rPr>
              <w:t>||</w:t>
            </w:r>
            <w:r w:rsidR="008C30A7" w:rsidRPr="00FE32E3">
              <w:rPr>
                <w:color w:val="000000"/>
                <w:spacing w:val="1"/>
                <w:shd w:val="solid" w:color="000000" w:fill="000000"/>
                <w:fitText w:val="238" w:id="-694445823"/>
                <w14:textFill>
                  <w14:solidFill>
                    <w14:srgbClr w14:val="000000">
                      <w14:alpha w14:val="100000"/>
                    </w14:srgbClr>
                  </w14:solidFill>
                </w14:textFill>
              </w:rPr>
              <w:t>|</w:t>
            </w:r>
          </w:p>
        </w:tc>
        <w:tc>
          <w:tcPr>
            <w:tcW w:w="0" w:type="auto"/>
            <w:tcBorders>
              <w:top w:val="nil"/>
              <w:bottom w:val="nil"/>
            </w:tcBorders>
          </w:tcPr>
          <w:p w14:paraId="3CA027F9" w14:textId="77777777" w:rsidR="00CC7C90" w:rsidRPr="0081338E" w:rsidRDefault="00CC7C90" w:rsidP="00B5383E">
            <w:pPr>
              <w:pStyle w:val="TableText0"/>
              <w:keepLines/>
              <w:jc w:val="center"/>
            </w:pPr>
            <w:r w:rsidRPr="0081338E">
              <w:t>2.50</w:t>
            </w:r>
          </w:p>
        </w:tc>
        <w:tc>
          <w:tcPr>
            <w:tcW w:w="0" w:type="auto"/>
            <w:tcBorders>
              <w:top w:val="nil"/>
              <w:bottom w:val="nil"/>
            </w:tcBorders>
          </w:tcPr>
          <w:p w14:paraId="672A3F44" w14:textId="5944D329" w:rsidR="00CC7C90" w:rsidRPr="00BC5B7A"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22"/>
                <w14:textFill>
                  <w14:solidFill>
                    <w14:srgbClr w14:val="000000">
                      <w14:alpha w14:val="100000"/>
                    </w14:srgbClr>
                  </w14:solidFill>
                </w14:textFill>
              </w:rPr>
              <w:t>||</w:t>
            </w:r>
            <w:r w:rsidR="008C30A7" w:rsidRPr="00FE32E3">
              <w:rPr>
                <w:color w:val="000000"/>
                <w:spacing w:val="1"/>
                <w:shd w:val="solid" w:color="000000" w:fill="000000"/>
                <w:fitText w:val="238" w:id="-694445822"/>
                <w14:textFill>
                  <w14:solidFill>
                    <w14:srgbClr w14:val="000000">
                      <w14:alpha w14:val="100000"/>
                    </w14:srgbClr>
                  </w14:solidFill>
                </w14:textFill>
              </w:rPr>
              <w:t>|</w:t>
            </w:r>
            <w:r w:rsidR="00BC5B7A">
              <w:rPr>
                <w:vertAlign w:val="superscript"/>
              </w:rPr>
              <w:t>8</w:t>
            </w:r>
          </w:p>
        </w:tc>
        <w:tc>
          <w:tcPr>
            <w:tcW w:w="0" w:type="auto"/>
            <w:tcBorders>
              <w:top w:val="nil"/>
              <w:bottom w:val="nil"/>
            </w:tcBorders>
          </w:tcPr>
          <w:p w14:paraId="5AC9FC4D" w14:textId="0B4487FE"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3" w:id="-694445821"/>
                <w14:textFill>
                  <w14:solidFill>
                    <w14:srgbClr w14:val="000000">
                      <w14:alpha w14:val="100000"/>
                    </w14:srgbClr>
                  </w14:solidFill>
                </w14:textFill>
              </w:rPr>
              <w:t>||</w:t>
            </w:r>
            <w:r w:rsidR="008C30A7" w:rsidRPr="00FE32E3">
              <w:rPr>
                <w:color w:val="000000"/>
                <w:spacing w:val="2"/>
                <w:shd w:val="solid" w:color="000000" w:fill="000000"/>
                <w:fitText w:val="213" w:id="-694445821"/>
                <w14:textFill>
                  <w14:solidFill>
                    <w14:srgbClr w14:val="000000">
                      <w14:alpha w14:val="100000"/>
                    </w14:srgbClr>
                  </w14:solidFill>
                </w14:textFill>
              </w:rPr>
              <w:t>|</w:t>
            </w:r>
            <w:r w:rsidRPr="0081338E">
              <w:t>%</w:t>
            </w:r>
          </w:p>
        </w:tc>
        <w:tc>
          <w:tcPr>
            <w:tcW w:w="0" w:type="auto"/>
            <w:tcBorders>
              <w:top w:val="nil"/>
              <w:bottom w:val="nil"/>
            </w:tcBorders>
          </w:tcPr>
          <w:p w14:paraId="11E105B2"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00A42A7A"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34FE2F43"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1667E5E0" w14:textId="77777777" w:rsidR="00CC7C90" w:rsidRPr="0081338E" w:rsidRDefault="00CC7C90" w:rsidP="00B5383E">
            <w:pPr>
              <w:pStyle w:val="TableText0"/>
              <w:keepLines/>
              <w:jc w:val="center"/>
            </w:pPr>
            <w:r w:rsidRPr="0081338E">
              <w:t>-</w:t>
            </w:r>
          </w:p>
        </w:tc>
      </w:tr>
      <w:tr w:rsidR="008C30A7" w:rsidRPr="0081338E" w14:paraId="331D433A" w14:textId="77777777" w:rsidTr="00D10956">
        <w:trPr>
          <w:trHeight w:val="64"/>
        </w:trPr>
        <w:tc>
          <w:tcPr>
            <w:tcW w:w="0" w:type="auto"/>
            <w:tcBorders>
              <w:top w:val="nil"/>
              <w:bottom w:val="nil"/>
            </w:tcBorders>
            <w:vAlign w:val="top"/>
          </w:tcPr>
          <w:p w14:paraId="0836980B" w14:textId="77777777" w:rsidR="00CC7C90" w:rsidRPr="0081338E" w:rsidRDefault="00CC7C90" w:rsidP="00B5383E">
            <w:pPr>
              <w:pStyle w:val="TableText0"/>
              <w:keepLines/>
              <w:numPr>
                <w:ilvl w:val="0"/>
                <w:numId w:val="6"/>
              </w:numPr>
              <w:ind w:left="109" w:hanging="142"/>
            </w:pPr>
            <w:r w:rsidRPr="0081338E">
              <w:t xml:space="preserve">BICR assessment </w:t>
            </w:r>
          </w:p>
        </w:tc>
        <w:tc>
          <w:tcPr>
            <w:tcW w:w="0" w:type="auto"/>
            <w:tcBorders>
              <w:top w:val="nil"/>
              <w:bottom w:val="nil"/>
            </w:tcBorders>
          </w:tcPr>
          <w:p w14:paraId="31738DE0" w14:textId="5393A282"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0"/>
                <w14:textFill>
                  <w14:solidFill>
                    <w14:srgbClr w14:val="000000">
                      <w14:alpha w14:val="100000"/>
                    </w14:srgbClr>
                  </w14:solidFill>
                </w14:textFill>
              </w:rPr>
              <w:t>||</w:t>
            </w:r>
            <w:r w:rsidR="008C30A7" w:rsidRPr="00FE32E3">
              <w:rPr>
                <w:color w:val="000000"/>
                <w:spacing w:val="1"/>
                <w:shd w:val="solid" w:color="000000" w:fill="000000"/>
                <w:fitText w:val="238" w:id="-694445820"/>
                <w14:textFill>
                  <w14:solidFill>
                    <w14:srgbClr w14:val="000000">
                      <w14:alpha w14:val="100000"/>
                    </w14:srgbClr>
                  </w14:solidFill>
                </w14:textFill>
              </w:rPr>
              <w:t>|</w:t>
            </w:r>
          </w:p>
        </w:tc>
        <w:tc>
          <w:tcPr>
            <w:tcW w:w="0" w:type="auto"/>
            <w:tcBorders>
              <w:top w:val="nil"/>
              <w:bottom w:val="nil"/>
            </w:tcBorders>
          </w:tcPr>
          <w:p w14:paraId="3916A6D6" w14:textId="77777777" w:rsidR="00CC7C90" w:rsidRPr="0081338E" w:rsidRDefault="00CC7C90" w:rsidP="00B5383E">
            <w:pPr>
              <w:pStyle w:val="TableText0"/>
              <w:keepLines/>
              <w:jc w:val="center"/>
            </w:pPr>
            <w:r w:rsidRPr="0081338E">
              <w:t>1.83</w:t>
            </w:r>
          </w:p>
        </w:tc>
        <w:tc>
          <w:tcPr>
            <w:tcW w:w="0" w:type="auto"/>
            <w:tcBorders>
              <w:top w:val="nil"/>
              <w:bottom w:val="nil"/>
            </w:tcBorders>
          </w:tcPr>
          <w:p w14:paraId="350B3F20" w14:textId="1B0F94B8" w:rsidR="00CC7C90" w:rsidRPr="00E27E7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9"/>
                <w14:textFill>
                  <w14:solidFill>
                    <w14:srgbClr w14:val="000000">
                      <w14:alpha w14:val="100000"/>
                    </w14:srgbClr>
                  </w14:solidFill>
                </w14:textFill>
              </w:rPr>
              <w:t>||</w:t>
            </w:r>
            <w:r w:rsidR="008C30A7" w:rsidRPr="00FE32E3">
              <w:rPr>
                <w:color w:val="000000"/>
                <w:spacing w:val="1"/>
                <w:shd w:val="solid" w:color="000000" w:fill="000000"/>
                <w:fitText w:val="238" w:id="-694445819"/>
                <w14:textFill>
                  <w14:solidFill>
                    <w14:srgbClr w14:val="000000">
                      <w14:alpha w14:val="100000"/>
                    </w14:srgbClr>
                  </w14:solidFill>
                </w14:textFill>
              </w:rPr>
              <w:t>|</w:t>
            </w:r>
            <w:r w:rsidR="00E27E76">
              <w:rPr>
                <w:vertAlign w:val="superscript"/>
              </w:rPr>
              <w:t>1</w:t>
            </w:r>
          </w:p>
        </w:tc>
        <w:tc>
          <w:tcPr>
            <w:tcW w:w="0" w:type="auto"/>
            <w:tcBorders>
              <w:top w:val="nil"/>
              <w:bottom w:val="nil"/>
            </w:tcBorders>
          </w:tcPr>
          <w:p w14:paraId="0B81913C" w14:textId="122C23A1" w:rsidR="00CC7C90" w:rsidRPr="0081338E" w:rsidRDefault="008C30A7" w:rsidP="00B5383E">
            <w:pPr>
              <w:pStyle w:val="TableText0"/>
              <w:keepLines/>
              <w:jc w:val="center"/>
            </w:pPr>
            <w:r w:rsidRPr="00FE32E3">
              <w:rPr>
                <w:color w:val="000000"/>
                <w:spacing w:val="90"/>
                <w:shd w:val="solid" w:color="000000" w:fill="000000"/>
                <w:fitText w:val="176" w:id="-694445818"/>
                <w14:textFill>
                  <w14:solidFill>
                    <w14:srgbClr w14:val="000000">
                      <w14:alpha w14:val="100000"/>
                    </w14:srgbClr>
                  </w14:solidFill>
                </w14:textFill>
              </w:rPr>
              <w:t>|</w:t>
            </w:r>
            <w:r w:rsidRPr="00FE32E3">
              <w:rPr>
                <w:color w:val="000000"/>
                <w:spacing w:val="1"/>
                <w:shd w:val="solid" w:color="000000" w:fill="000000"/>
                <w:fitText w:val="176" w:id="-694445818"/>
                <w14:textFill>
                  <w14:solidFill>
                    <w14:srgbClr w14:val="000000">
                      <w14:alpha w14:val="100000"/>
                    </w14:srgbClr>
                  </w14:solidFill>
                </w14:textFill>
              </w:rPr>
              <w:t>|</w:t>
            </w:r>
            <w:r w:rsidR="00CC7C90" w:rsidRPr="0081338E">
              <w:t>%</w:t>
            </w:r>
          </w:p>
        </w:tc>
        <w:tc>
          <w:tcPr>
            <w:tcW w:w="0" w:type="auto"/>
            <w:tcBorders>
              <w:top w:val="nil"/>
              <w:bottom w:val="nil"/>
            </w:tcBorders>
          </w:tcPr>
          <w:p w14:paraId="04AD5FC6"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0A3FF285"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524785A6"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1CDF0706" w14:textId="77777777" w:rsidR="00CC7C90" w:rsidRPr="0081338E" w:rsidRDefault="00CC7C90" w:rsidP="00B5383E">
            <w:pPr>
              <w:pStyle w:val="TableText0"/>
              <w:keepLines/>
              <w:jc w:val="center"/>
            </w:pPr>
            <w:r w:rsidRPr="0081338E">
              <w:t>-</w:t>
            </w:r>
          </w:p>
        </w:tc>
      </w:tr>
      <w:tr w:rsidR="00CC7C90" w:rsidRPr="0081338E" w14:paraId="285CA381" w14:textId="77777777" w:rsidTr="00D10956">
        <w:tc>
          <w:tcPr>
            <w:tcW w:w="0" w:type="auto"/>
            <w:gridSpan w:val="9"/>
            <w:tcBorders>
              <w:top w:val="nil"/>
              <w:bottom w:val="nil"/>
            </w:tcBorders>
          </w:tcPr>
          <w:p w14:paraId="266FC170" w14:textId="77777777" w:rsidR="00CC7C90" w:rsidRPr="00452BE5" w:rsidRDefault="00CC7C90" w:rsidP="00B5383E">
            <w:pPr>
              <w:pStyle w:val="TableText0"/>
              <w:keepLines/>
            </w:pPr>
            <w:r w:rsidRPr="00452BE5">
              <w:t>Stratum 1 PSM HR approach (base independent extrapolation, eflornithine extrapolations EFS Gompertz, OS generalised gamma). Stratum 2 approach as base case (Stratum 2 versus Stratum 1 HRs applied to Stratum 1 modelled arms)</w:t>
            </w:r>
          </w:p>
        </w:tc>
      </w:tr>
      <w:tr w:rsidR="008C30A7" w:rsidRPr="0081338E" w14:paraId="426DA2FA" w14:textId="77777777" w:rsidTr="00D10956">
        <w:trPr>
          <w:trHeight w:val="266"/>
        </w:trPr>
        <w:tc>
          <w:tcPr>
            <w:tcW w:w="0" w:type="auto"/>
            <w:tcBorders>
              <w:top w:val="nil"/>
              <w:bottom w:val="nil"/>
            </w:tcBorders>
          </w:tcPr>
          <w:p w14:paraId="06E8CC68" w14:textId="77777777" w:rsidR="00AE79DB" w:rsidRPr="00452BE5" w:rsidRDefault="00AE79DB">
            <w:pPr>
              <w:pStyle w:val="TableText0"/>
              <w:keepNext w:val="0"/>
              <w:numPr>
                <w:ilvl w:val="0"/>
                <w:numId w:val="6"/>
              </w:numPr>
              <w:ind w:left="109" w:hanging="142"/>
            </w:pPr>
            <w:r w:rsidRPr="00452BE5">
              <w:t>EFS HR 0.49 (point est.)</w:t>
            </w:r>
          </w:p>
        </w:tc>
        <w:tc>
          <w:tcPr>
            <w:tcW w:w="0" w:type="auto"/>
            <w:tcBorders>
              <w:top w:val="nil"/>
              <w:bottom w:val="nil"/>
            </w:tcBorders>
            <w:vAlign w:val="top"/>
          </w:tcPr>
          <w:p w14:paraId="2BF671EC" w14:textId="75E976C7"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17"/>
                <w14:textFill>
                  <w14:solidFill>
                    <w14:srgbClr w14:val="000000">
                      <w14:alpha w14:val="100000"/>
                    </w14:srgbClr>
                  </w14:solidFill>
                </w14:textFill>
              </w:rPr>
              <w:t>||</w:t>
            </w:r>
            <w:r w:rsidR="008C30A7" w:rsidRPr="00FE32E3">
              <w:rPr>
                <w:color w:val="000000"/>
                <w:spacing w:val="1"/>
                <w:shd w:val="solid" w:color="000000" w:fill="000000"/>
                <w:fitText w:val="238" w:id="-694445817"/>
                <w14:textFill>
                  <w14:solidFill>
                    <w14:srgbClr w14:val="000000">
                      <w14:alpha w14:val="100000"/>
                    </w14:srgbClr>
                  </w14:solidFill>
                </w14:textFill>
              </w:rPr>
              <w:t>|</w:t>
            </w:r>
          </w:p>
        </w:tc>
        <w:tc>
          <w:tcPr>
            <w:tcW w:w="0" w:type="auto"/>
            <w:tcBorders>
              <w:top w:val="nil"/>
              <w:bottom w:val="nil"/>
            </w:tcBorders>
            <w:vAlign w:val="top"/>
          </w:tcPr>
          <w:p w14:paraId="287D30CB" w14:textId="77777777" w:rsidR="00AE79DB" w:rsidRPr="00452BE5" w:rsidRDefault="00AE79DB">
            <w:pPr>
              <w:pStyle w:val="TableText0"/>
              <w:keepNext w:val="0"/>
              <w:jc w:val="center"/>
            </w:pPr>
            <w:r w:rsidRPr="00452BE5">
              <w:t>2.29</w:t>
            </w:r>
          </w:p>
        </w:tc>
        <w:tc>
          <w:tcPr>
            <w:tcW w:w="0" w:type="auto"/>
            <w:tcBorders>
              <w:top w:val="nil"/>
              <w:bottom w:val="nil"/>
            </w:tcBorders>
            <w:vAlign w:val="top"/>
          </w:tcPr>
          <w:p w14:paraId="65C5AF37" w14:textId="1A2F9C81" w:rsidR="00AE79DB" w:rsidRPr="00BC5B7A" w:rsidRDefault="00AE79DB">
            <w:pPr>
              <w:pStyle w:val="TableText0"/>
              <w:keepNext w:val="0"/>
              <w:jc w:val="center"/>
              <w:rPr>
                <w:vertAlign w:val="superscript"/>
              </w:rPr>
            </w:pPr>
            <w:r w:rsidRPr="00452BE5">
              <w:t>$</w:t>
            </w:r>
            <w:r w:rsidR="008C30A7" w:rsidRPr="00FE32E3">
              <w:rPr>
                <w:color w:val="000000"/>
                <w:spacing w:val="55"/>
                <w:shd w:val="solid" w:color="000000" w:fill="000000"/>
                <w:fitText w:val="238" w:id="-694445816"/>
                <w14:textFill>
                  <w14:solidFill>
                    <w14:srgbClr w14:val="000000">
                      <w14:alpha w14:val="100000"/>
                    </w14:srgbClr>
                  </w14:solidFill>
                </w14:textFill>
              </w:rPr>
              <w:t>||</w:t>
            </w:r>
            <w:r w:rsidR="008C30A7" w:rsidRPr="00FE32E3">
              <w:rPr>
                <w:color w:val="000000"/>
                <w:spacing w:val="1"/>
                <w:shd w:val="solid" w:color="000000" w:fill="000000"/>
                <w:fitText w:val="238" w:id="-694445816"/>
                <w14:textFill>
                  <w14:solidFill>
                    <w14:srgbClr w14:val="000000">
                      <w14:alpha w14:val="100000"/>
                    </w14:srgbClr>
                  </w14:solidFill>
                </w14:textFill>
              </w:rPr>
              <w:t>|</w:t>
            </w:r>
            <w:r w:rsidR="00BC5B7A">
              <w:rPr>
                <w:vertAlign w:val="superscript"/>
              </w:rPr>
              <w:t>8</w:t>
            </w:r>
          </w:p>
        </w:tc>
        <w:tc>
          <w:tcPr>
            <w:tcW w:w="0" w:type="auto"/>
            <w:tcBorders>
              <w:top w:val="nil"/>
              <w:bottom w:val="nil"/>
            </w:tcBorders>
            <w:vAlign w:val="top"/>
          </w:tcPr>
          <w:p w14:paraId="6BDFB828" w14:textId="42B8C60B" w:rsidR="00AE79DB" w:rsidRPr="00452BE5" w:rsidRDefault="00AE79DB">
            <w:pPr>
              <w:pStyle w:val="TableText0"/>
              <w:keepNext w:val="0"/>
              <w:jc w:val="center"/>
            </w:pPr>
            <w:r w:rsidRPr="00452BE5">
              <w:t>-</w:t>
            </w:r>
            <w:r w:rsidR="008C30A7" w:rsidRPr="00FE32E3">
              <w:rPr>
                <w:color w:val="000000"/>
                <w:spacing w:val="42"/>
                <w:shd w:val="solid" w:color="000000" w:fill="000000"/>
                <w:fitText w:val="213" w:id="-694445815"/>
                <w14:textFill>
                  <w14:solidFill>
                    <w14:srgbClr w14:val="000000">
                      <w14:alpha w14:val="100000"/>
                    </w14:srgbClr>
                  </w14:solidFill>
                </w14:textFill>
              </w:rPr>
              <w:t>||</w:t>
            </w:r>
            <w:r w:rsidR="008C30A7" w:rsidRPr="00FE32E3">
              <w:rPr>
                <w:color w:val="000000"/>
                <w:spacing w:val="2"/>
                <w:shd w:val="solid" w:color="000000" w:fill="000000"/>
                <w:fitText w:val="213" w:id="-694445815"/>
                <w14:textFill>
                  <w14:solidFill>
                    <w14:srgbClr w14:val="000000">
                      <w14:alpha w14:val="100000"/>
                    </w14:srgbClr>
                  </w14:solidFill>
                </w14:textFill>
              </w:rPr>
              <w:t>|</w:t>
            </w:r>
            <w:r w:rsidRPr="00452BE5">
              <w:t>%</w:t>
            </w:r>
          </w:p>
        </w:tc>
        <w:tc>
          <w:tcPr>
            <w:tcW w:w="0" w:type="auto"/>
            <w:tcBorders>
              <w:top w:val="nil"/>
              <w:bottom w:val="nil"/>
            </w:tcBorders>
            <w:vAlign w:val="top"/>
          </w:tcPr>
          <w:p w14:paraId="00A8B4F2" w14:textId="787E4F51"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14"/>
                <w14:textFill>
                  <w14:solidFill>
                    <w14:srgbClr w14:val="000000">
                      <w14:alpha w14:val="100000"/>
                    </w14:srgbClr>
                  </w14:solidFill>
                </w14:textFill>
              </w:rPr>
              <w:t>||</w:t>
            </w:r>
            <w:r w:rsidR="008C30A7" w:rsidRPr="00FE32E3">
              <w:rPr>
                <w:color w:val="000000"/>
                <w:spacing w:val="1"/>
                <w:shd w:val="solid" w:color="000000" w:fill="000000"/>
                <w:fitText w:val="238" w:id="-694445814"/>
                <w14:textFill>
                  <w14:solidFill>
                    <w14:srgbClr w14:val="000000">
                      <w14:alpha w14:val="100000"/>
                    </w14:srgbClr>
                  </w14:solidFill>
                </w14:textFill>
              </w:rPr>
              <w:t>|</w:t>
            </w:r>
          </w:p>
        </w:tc>
        <w:tc>
          <w:tcPr>
            <w:tcW w:w="0" w:type="auto"/>
            <w:tcBorders>
              <w:top w:val="nil"/>
              <w:bottom w:val="nil"/>
            </w:tcBorders>
            <w:vAlign w:val="top"/>
          </w:tcPr>
          <w:p w14:paraId="6332564B" w14:textId="77777777" w:rsidR="00AE79DB" w:rsidRPr="00452BE5" w:rsidRDefault="00AE79DB">
            <w:pPr>
              <w:pStyle w:val="TableText0"/>
              <w:keepNext w:val="0"/>
              <w:jc w:val="center"/>
            </w:pPr>
            <w:r w:rsidRPr="00452BE5">
              <w:t>4.70</w:t>
            </w:r>
          </w:p>
        </w:tc>
        <w:tc>
          <w:tcPr>
            <w:tcW w:w="0" w:type="auto"/>
            <w:tcBorders>
              <w:top w:val="nil"/>
              <w:bottom w:val="nil"/>
            </w:tcBorders>
            <w:vAlign w:val="top"/>
          </w:tcPr>
          <w:p w14:paraId="1D2565CC" w14:textId="39F3095A" w:rsidR="00AE79DB" w:rsidRPr="00FD4535" w:rsidRDefault="00AE79DB">
            <w:pPr>
              <w:pStyle w:val="TableText0"/>
              <w:keepNext w:val="0"/>
              <w:jc w:val="center"/>
              <w:rPr>
                <w:vertAlign w:val="superscript"/>
              </w:rPr>
            </w:pPr>
            <w:r w:rsidRPr="00452BE5">
              <w:t>$</w:t>
            </w:r>
            <w:r w:rsidR="008C30A7" w:rsidRPr="00FE32E3">
              <w:rPr>
                <w:color w:val="000000"/>
                <w:spacing w:val="55"/>
                <w:shd w:val="solid" w:color="000000" w:fill="000000"/>
                <w:fitText w:val="238" w:id="-694445813"/>
                <w14:textFill>
                  <w14:solidFill>
                    <w14:srgbClr w14:val="000000">
                      <w14:alpha w14:val="100000"/>
                    </w14:srgbClr>
                  </w14:solidFill>
                </w14:textFill>
              </w:rPr>
              <w:t>||</w:t>
            </w:r>
            <w:r w:rsidR="008C30A7" w:rsidRPr="00FE32E3">
              <w:rPr>
                <w:color w:val="000000"/>
                <w:spacing w:val="1"/>
                <w:shd w:val="solid" w:color="000000" w:fill="000000"/>
                <w:fitText w:val="238" w:id="-694445813"/>
                <w14:textFill>
                  <w14:solidFill>
                    <w14:srgbClr w14:val="000000">
                      <w14:alpha w14:val="100000"/>
                    </w14:srgbClr>
                  </w14:solidFill>
                </w14:textFill>
              </w:rPr>
              <w:t>|</w:t>
            </w:r>
            <w:r w:rsidR="00FD4535">
              <w:rPr>
                <w:vertAlign w:val="superscript"/>
              </w:rPr>
              <w:t>2</w:t>
            </w:r>
          </w:p>
        </w:tc>
        <w:tc>
          <w:tcPr>
            <w:tcW w:w="0" w:type="auto"/>
            <w:tcBorders>
              <w:top w:val="nil"/>
              <w:bottom w:val="nil"/>
            </w:tcBorders>
            <w:vAlign w:val="top"/>
          </w:tcPr>
          <w:p w14:paraId="3EBF0D4A" w14:textId="65D550A7" w:rsidR="00AE79DB" w:rsidRPr="00452BE5" w:rsidRDefault="00AE79DB">
            <w:pPr>
              <w:pStyle w:val="TableText0"/>
              <w:keepNext w:val="0"/>
              <w:jc w:val="center"/>
            </w:pPr>
            <w:r w:rsidRPr="00452BE5">
              <w:t>-</w:t>
            </w:r>
            <w:r w:rsidR="008C30A7" w:rsidRPr="00FE32E3">
              <w:rPr>
                <w:color w:val="000000"/>
                <w:spacing w:val="42"/>
                <w:shd w:val="solid" w:color="000000" w:fill="000000"/>
                <w:fitText w:val="212" w:id="-694445812"/>
                <w14:textFill>
                  <w14:solidFill>
                    <w14:srgbClr w14:val="000000">
                      <w14:alpha w14:val="100000"/>
                    </w14:srgbClr>
                  </w14:solidFill>
                </w14:textFill>
              </w:rPr>
              <w:t>||</w:t>
            </w:r>
            <w:r w:rsidR="008C30A7" w:rsidRPr="00FE32E3">
              <w:rPr>
                <w:color w:val="000000"/>
                <w:spacing w:val="1"/>
                <w:shd w:val="solid" w:color="000000" w:fill="000000"/>
                <w:fitText w:val="212" w:id="-694445812"/>
                <w14:textFill>
                  <w14:solidFill>
                    <w14:srgbClr w14:val="000000">
                      <w14:alpha w14:val="100000"/>
                    </w14:srgbClr>
                  </w14:solidFill>
                </w14:textFill>
              </w:rPr>
              <w:t>|</w:t>
            </w:r>
            <w:r w:rsidRPr="00452BE5">
              <w:t>%</w:t>
            </w:r>
          </w:p>
        </w:tc>
      </w:tr>
      <w:tr w:rsidR="008C30A7" w:rsidRPr="0081338E" w14:paraId="057A67BD" w14:textId="77777777" w:rsidTr="00D10956">
        <w:trPr>
          <w:trHeight w:val="266"/>
        </w:trPr>
        <w:tc>
          <w:tcPr>
            <w:tcW w:w="0" w:type="auto"/>
            <w:tcBorders>
              <w:top w:val="nil"/>
              <w:bottom w:val="nil"/>
            </w:tcBorders>
          </w:tcPr>
          <w:p w14:paraId="03123B86" w14:textId="77777777" w:rsidR="00AE79DB" w:rsidRPr="00452BE5" w:rsidRDefault="00AE79DB">
            <w:pPr>
              <w:pStyle w:val="TableText0"/>
              <w:keepNext w:val="0"/>
              <w:numPr>
                <w:ilvl w:val="0"/>
                <w:numId w:val="6"/>
              </w:numPr>
              <w:ind w:left="109" w:hanging="142"/>
            </w:pPr>
            <w:r w:rsidRPr="00452BE5">
              <w:t>EFS HR 0.28 (lower CI)</w:t>
            </w:r>
          </w:p>
        </w:tc>
        <w:tc>
          <w:tcPr>
            <w:tcW w:w="0" w:type="auto"/>
            <w:tcBorders>
              <w:top w:val="nil"/>
              <w:bottom w:val="nil"/>
            </w:tcBorders>
            <w:vAlign w:val="top"/>
          </w:tcPr>
          <w:p w14:paraId="6D8229F7" w14:textId="2E9C74FB"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11"/>
                <w14:textFill>
                  <w14:solidFill>
                    <w14:srgbClr w14:val="000000">
                      <w14:alpha w14:val="100000"/>
                    </w14:srgbClr>
                  </w14:solidFill>
                </w14:textFill>
              </w:rPr>
              <w:t>||</w:t>
            </w:r>
            <w:r w:rsidR="008C30A7" w:rsidRPr="00FE32E3">
              <w:rPr>
                <w:color w:val="000000"/>
                <w:spacing w:val="1"/>
                <w:shd w:val="solid" w:color="000000" w:fill="000000"/>
                <w:fitText w:val="238" w:id="-694445811"/>
                <w14:textFill>
                  <w14:solidFill>
                    <w14:srgbClr w14:val="000000">
                      <w14:alpha w14:val="100000"/>
                    </w14:srgbClr>
                  </w14:solidFill>
                </w14:textFill>
              </w:rPr>
              <w:t>|</w:t>
            </w:r>
          </w:p>
        </w:tc>
        <w:tc>
          <w:tcPr>
            <w:tcW w:w="0" w:type="auto"/>
            <w:tcBorders>
              <w:top w:val="nil"/>
              <w:bottom w:val="nil"/>
            </w:tcBorders>
            <w:vAlign w:val="top"/>
          </w:tcPr>
          <w:p w14:paraId="3590E1F8" w14:textId="77777777" w:rsidR="00AE79DB" w:rsidRPr="00452BE5" w:rsidRDefault="00AE79DB">
            <w:pPr>
              <w:pStyle w:val="TableText0"/>
              <w:keepNext w:val="0"/>
              <w:jc w:val="center"/>
            </w:pPr>
            <w:r w:rsidRPr="00452BE5">
              <w:t>3.84</w:t>
            </w:r>
          </w:p>
        </w:tc>
        <w:tc>
          <w:tcPr>
            <w:tcW w:w="0" w:type="auto"/>
            <w:tcBorders>
              <w:top w:val="nil"/>
              <w:bottom w:val="nil"/>
            </w:tcBorders>
            <w:vAlign w:val="top"/>
          </w:tcPr>
          <w:p w14:paraId="1239AD9B" w14:textId="33864883" w:rsidR="00AE79DB" w:rsidRPr="00FD4535" w:rsidRDefault="00AE79DB">
            <w:pPr>
              <w:pStyle w:val="TableText0"/>
              <w:keepNext w:val="0"/>
              <w:jc w:val="center"/>
              <w:rPr>
                <w:vertAlign w:val="superscript"/>
              </w:rPr>
            </w:pPr>
            <w:r w:rsidRPr="00452BE5">
              <w:t>$</w:t>
            </w:r>
            <w:r w:rsidR="008C30A7" w:rsidRPr="00FE32E3">
              <w:rPr>
                <w:color w:val="000000"/>
                <w:spacing w:val="55"/>
                <w:shd w:val="solid" w:color="000000" w:fill="000000"/>
                <w:fitText w:val="238" w:id="-694445810"/>
                <w14:textFill>
                  <w14:solidFill>
                    <w14:srgbClr w14:val="000000">
                      <w14:alpha w14:val="100000"/>
                    </w14:srgbClr>
                  </w14:solidFill>
                </w14:textFill>
              </w:rPr>
              <w:t>||</w:t>
            </w:r>
            <w:r w:rsidR="008C30A7" w:rsidRPr="00FE32E3">
              <w:rPr>
                <w:color w:val="000000"/>
                <w:spacing w:val="1"/>
                <w:shd w:val="solid" w:color="000000" w:fill="000000"/>
                <w:fitText w:val="238" w:id="-694445810"/>
                <w14:textFill>
                  <w14:solidFill>
                    <w14:srgbClr w14:val="000000">
                      <w14:alpha w14:val="100000"/>
                    </w14:srgbClr>
                  </w14:solidFill>
                </w14:textFill>
              </w:rPr>
              <w:t>|</w:t>
            </w:r>
            <w:r w:rsidR="00FD4535">
              <w:rPr>
                <w:vertAlign w:val="superscript"/>
              </w:rPr>
              <w:t>2</w:t>
            </w:r>
          </w:p>
        </w:tc>
        <w:tc>
          <w:tcPr>
            <w:tcW w:w="0" w:type="auto"/>
            <w:tcBorders>
              <w:top w:val="nil"/>
              <w:bottom w:val="nil"/>
            </w:tcBorders>
            <w:vAlign w:val="top"/>
          </w:tcPr>
          <w:p w14:paraId="49C5C3DD" w14:textId="0AA32DA8" w:rsidR="00AE79DB" w:rsidRPr="00452BE5" w:rsidRDefault="00AE79DB">
            <w:pPr>
              <w:pStyle w:val="TableText0"/>
              <w:keepNext w:val="0"/>
              <w:jc w:val="center"/>
            </w:pPr>
            <w:r w:rsidRPr="00452BE5">
              <w:t>-</w:t>
            </w:r>
            <w:r w:rsidR="008C30A7" w:rsidRPr="00FE32E3">
              <w:rPr>
                <w:color w:val="000000"/>
                <w:spacing w:val="42"/>
                <w:shd w:val="solid" w:color="000000" w:fill="000000"/>
                <w:fitText w:val="213" w:id="-694445809"/>
                <w14:textFill>
                  <w14:solidFill>
                    <w14:srgbClr w14:val="000000">
                      <w14:alpha w14:val="100000"/>
                    </w14:srgbClr>
                  </w14:solidFill>
                </w14:textFill>
              </w:rPr>
              <w:t>||</w:t>
            </w:r>
            <w:r w:rsidR="008C30A7" w:rsidRPr="00FE32E3">
              <w:rPr>
                <w:color w:val="000000"/>
                <w:spacing w:val="2"/>
                <w:shd w:val="solid" w:color="000000" w:fill="000000"/>
                <w:fitText w:val="213" w:id="-694445809"/>
                <w14:textFill>
                  <w14:solidFill>
                    <w14:srgbClr w14:val="000000">
                      <w14:alpha w14:val="100000"/>
                    </w14:srgbClr>
                  </w14:solidFill>
                </w14:textFill>
              </w:rPr>
              <w:t>|</w:t>
            </w:r>
            <w:r w:rsidRPr="00452BE5">
              <w:t>%</w:t>
            </w:r>
          </w:p>
        </w:tc>
        <w:tc>
          <w:tcPr>
            <w:tcW w:w="0" w:type="auto"/>
            <w:tcBorders>
              <w:top w:val="nil"/>
              <w:bottom w:val="nil"/>
            </w:tcBorders>
            <w:vAlign w:val="top"/>
          </w:tcPr>
          <w:p w14:paraId="42F7C3BC" w14:textId="52F22645"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08"/>
                <w14:textFill>
                  <w14:solidFill>
                    <w14:srgbClr w14:val="000000">
                      <w14:alpha w14:val="100000"/>
                    </w14:srgbClr>
                  </w14:solidFill>
                </w14:textFill>
              </w:rPr>
              <w:t>||</w:t>
            </w:r>
            <w:r w:rsidR="008C30A7" w:rsidRPr="00FE32E3">
              <w:rPr>
                <w:color w:val="000000"/>
                <w:spacing w:val="1"/>
                <w:shd w:val="solid" w:color="000000" w:fill="000000"/>
                <w:fitText w:val="238" w:id="-694445808"/>
                <w14:textFill>
                  <w14:solidFill>
                    <w14:srgbClr w14:val="000000">
                      <w14:alpha w14:val="100000"/>
                    </w14:srgbClr>
                  </w14:solidFill>
                </w14:textFill>
              </w:rPr>
              <w:t>|</w:t>
            </w:r>
          </w:p>
        </w:tc>
        <w:tc>
          <w:tcPr>
            <w:tcW w:w="0" w:type="auto"/>
            <w:tcBorders>
              <w:top w:val="nil"/>
              <w:bottom w:val="nil"/>
            </w:tcBorders>
            <w:vAlign w:val="top"/>
          </w:tcPr>
          <w:p w14:paraId="361CE3F5" w14:textId="77777777" w:rsidR="00AE79DB" w:rsidRPr="00452BE5" w:rsidRDefault="00AE79DB">
            <w:pPr>
              <w:pStyle w:val="TableText0"/>
              <w:keepNext w:val="0"/>
              <w:jc w:val="center"/>
            </w:pPr>
            <w:r w:rsidRPr="00452BE5">
              <w:t>5.73</w:t>
            </w:r>
          </w:p>
        </w:tc>
        <w:tc>
          <w:tcPr>
            <w:tcW w:w="0" w:type="auto"/>
            <w:tcBorders>
              <w:top w:val="nil"/>
              <w:bottom w:val="nil"/>
            </w:tcBorders>
            <w:vAlign w:val="top"/>
          </w:tcPr>
          <w:p w14:paraId="0D61ED9F" w14:textId="29A2F4EA" w:rsidR="00AE79DB" w:rsidRPr="00B51C58" w:rsidRDefault="00AE79DB">
            <w:pPr>
              <w:pStyle w:val="TableText0"/>
              <w:keepNext w:val="0"/>
              <w:jc w:val="center"/>
            </w:pPr>
            <w:r w:rsidRPr="00452BE5">
              <w:t>$</w:t>
            </w:r>
            <w:r w:rsidR="008C30A7" w:rsidRPr="00FE32E3">
              <w:rPr>
                <w:color w:val="000000"/>
                <w:spacing w:val="55"/>
                <w:shd w:val="solid" w:color="000000" w:fill="000000"/>
                <w:fitText w:val="238" w:id="-694445824"/>
                <w14:textFill>
                  <w14:solidFill>
                    <w14:srgbClr w14:val="000000">
                      <w14:alpha w14:val="100000"/>
                    </w14:srgbClr>
                  </w14:solidFill>
                </w14:textFill>
              </w:rPr>
              <w:t>||</w:t>
            </w:r>
            <w:r w:rsidR="008C30A7" w:rsidRPr="00FE32E3">
              <w:rPr>
                <w:color w:val="000000"/>
                <w:spacing w:val="1"/>
                <w:shd w:val="solid" w:color="000000" w:fill="000000"/>
                <w:fitText w:val="238" w:id="-694445824"/>
                <w14:textFill>
                  <w14:solidFill>
                    <w14:srgbClr w14:val="000000">
                      <w14:alpha w14:val="100000"/>
                    </w14:srgbClr>
                  </w14:solidFill>
                </w14:textFill>
              </w:rPr>
              <w:t>|</w:t>
            </w:r>
            <w:r w:rsidR="00B51C58">
              <w:rPr>
                <w:vertAlign w:val="superscript"/>
              </w:rPr>
              <w:t>6</w:t>
            </w:r>
          </w:p>
        </w:tc>
        <w:tc>
          <w:tcPr>
            <w:tcW w:w="0" w:type="auto"/>
            <w:tcBorders>
              <w:top w:val="nil"/>
              <w:bottom w:val="nil"/>
            </w:tcBorders>
            <w:vAlign w:val="top"/>
          </w:tcPr>
          <w:p w14:paraId="00E5A869" w14:textId="51ED53B9" w:rsidR="00AE79DB" w:rsidRPr="00452BE5" w:rsidRDefault="00AE79DB">
            <w:pPr>
              <w:pStyle w:val="TableText0"/>
              <w:keepNext w:val="0"/>
              <w:jc w:val="center"/>
            </w:pPr>
            <w:r w:rsidRPr="00452BE5">
              <w:t>-</w:t>
            </w:r>
            <w:r w:rsidR="008C30A7" w:rsidRPr="00FE32E3">
              <w:rPr>
                <w:color w:val="000000"/>
                <w:spacing w:val="42"/>
                <w:shd w:val="solid" w:color="000000" w:fill="000000"/>
                <w:fitText w:val="212" w:id="-694445823"/>
                <w14:textFill>
                  <w14:solidFill>
                    <w14:srgbClr w14:val="000000">
                      <w14:alpha w14:val="100000"/>
                    </w14:srgbClr>
                  </w14:solidFill>
                </w14:textFill>
              </w:rPr>
              <w:t>||</w:t>
            </w:r>
            <w:r w:rsidR="008C30A7" w:rsidRPr="00FE32E3">
              <w:rPr>
                <w:color w:val="000000"/>
                <w:spacing w:val="1"/>
                <w:shd w:val="solid" w:color="000000" w:fill="000000"/>
                <w:fitText w:val="212" w:id="-694445823"/>
                <w14:textFill>
                  <w14:solidFill>
                    <w14:srgbClr w14:val="000000">
                      <w14:alpha w14:val="100000"/>
                    </w14:srgbClr>
                  </w14:solidFill>
                </w14:textFill>
              </w:rPr>
              <w:t>|</w:t>
            </w:r>
            <w:r w:rsidRPr="00452BE5">
              <w:t>%</w:t>
            </w:r>
          </w:p>
        </w:tc>
      </w:tr>
      <w:tr w:rsidR="008C30A7" w:rsidRPr="0081338E" w14:paraId="449C2130" w14:textId="77777777" w:rsidTr="00D10956">
        <w:trPr>
          <w:trHeight w:val="266"/>
        </w:trPr>
        <w:tc>
          <w:tcPr>
            <w:tcW w:w="0" w:type="auto"/>
            <w:tcBorders>
              <w:top w:val="nil"/>
              <w:bottom w:val="nil"/>
            </w:tcBorders>
          </w:tcPr>
          <w:p w14:paraId="43EA7BDA" w14:textId="77777777" w:rsidR="00AE79DB" w:rsidRPr="00452BE5" w:rsidRDefault="00AE79DB">
            <w:pPr>
              <w:pStyle w:val="TableText0"/>
              <w:keepNext w:val="0"/>
              <w:numPr>
                <w:ilvl w:val="0"/>
                <w:numId w:val="6"/>
              </w:numPr>
              <w:ind w:left="109" w:hanging="142"/>
            </w:pPr>
            <w:r w:rsidRPr="00452BE5">
              <w:t>EFS HR 0.86 (upper CI)</w:t>
            </w:r>
          </w:p>
        </w:tc>
        <w:tc>
          <w:tcPr>
            <w:tcW w:w="0" w:type="auto"/>
            <w:tcBorders>
              <w:top w:val="nil"/>
              <w:bottom w:val="nil"/>
            </w:tcBorders>
            <w:vAlign w:val="top"/>
          </w:tcPr>
          <w:p w14:paraId="159E3665" w14:textId="46C81892"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22"/>
                <w14:textFill>
                  <w14:solidFill>
                    <w14:srgbClr w14:val="000000">
                      <w14:alpha w14:val="100000"/>
                    </w14:srgbClr>
                  </w14:solidFill>
                </w14:textFill>
              </w:rPr>
              <w:t>||</w:t>
            </w:r>
            <w:r w:rsidR="008C30A7" w:rsidRPr="00FE32E3">
              <w:rPr>
                <w:color w:val="000000"/>
                <w:spacing w:val="1"/>
                <w:shd w:val="solid" w:color="000000" w:fill="000000"/>
                <w:fitText w:val="238" w:id="-694445822"/>
                <w14:textFill>
                  <w14:solidFill>
                    <w14:srgbClr w14:val="000000">
                      <w14:alpha w14:val="100000"/>
                    </w14:srgbClr>
                  </w14:solidFill>
                </w14:textFill>
              </w:rPr>
              <w:t>|</w:t>
            </w:r>
          </w:p>
        </w:tc>
        <w:tc>
          <w:tcPr>
            <w:tcW w:w="0" w:type="auto"/>
            <w:tcBorders>
              <w:top w:val="nil"/>
              <w:bottom w:val="nil"/>
            </w:tcBorders>
            <w:vAlign w:val="top"/>
          </w:tcPr>
          <w:p w14:paraId="71996CE5" w14:textId="77777777" w:rsidR="00AE79DB" w:rsidRPr="00452BE5" w:rsidRDefault="00AE79DB">
            <w:pPr>
              <w:pStyle w:val="TableText0"/>
              <w:keepNext w:val="0"/>
              <w:jc w:val="center"/>
            </w:pPr>
            <w:r w:rsidRPr="00452BE5">
              <w:t>1.41</w:t>
            </w:r>
          </w:p>
        </w:tc>
        <w:tc>
          <w:tcPr>
            <w:tcW w:w="0" w:type="auto"/>
            <w:tcBorders>
              <w:top w:val="nil"/>
              <w:bottom w:val="nil"/>
            </w:tcBorders>
            <w:vAlign w:val="top"/>
          </w:tcPr>
          <w:p w14:paraId="25F393D7" w14:textId="3A92E360" w:rsidR="00AE79DB" w:rsidRPr="008F423C" w:rsidRDefault="00AE79DB">
            <w:pPr>
              <w:pStyle w:val="TableText0"/>
              <w:keepNext w:val="0"/>
              <w:jc w:val="center"/>
            </w:pPr>
            <w:r w:rsidRPr="00452BE5">
              <w:t>$</w:t>
            </w:r>
            <w:r w:rsidR="008C30A7" w:rsidRPr="00FE32E3">
              <w:rPr>
                <w:color w:val="000000"/>
                <w:spacing w:val="55"/>
                <w:shd w:val="solid" w:color="000000" w:fill="000000"/>
                <w:fitText w:val="238" w:id="-694445821"/>
                <w14:textFill>
                  <w14:solidFill>
                    <w14:srgbClr w14:val="000000">
                      <w14:alpha w14:val="100000"/>
                    </w14:srgbClr>
                  </w14:solidFill>
                </w14:textFill>
              </w:rPr>
              <w:t>||</w:t>
            </w:r>
            <w:r w:rsidR="008C30A7" w:rsidRPr="00FE32E3">
              <w:rPr>
                <w:color w:val="000000"/>
                <w:spacing w:val="1"/>
                <w:shd w:val="solid" w:color="000000" w:fill="000000"/>
                <w:fitText w:val="238" w:id="-694445821"/>
                <w14:textFill>
                  <w14:solidFill>
                    <w14:srgbClr w14:val="000000">
                      <w14:alpha w14:val="100000"/>
                    </w14:srgbClr>
                  </w14:solidFill>
                </w14:textFill>
              </w:rPr>
              <w:t>|</w:t>
            </w:r>
            <w:r w:rsidR="008F423C">
              <w:rPr>
                <w:vertAlign w:val="superscript"/>
              </w:rPr>
              <w:t>9</w:t>
            </w:r>
          </w:p>
        </w:tc>
        <w:tc>
          <w:tcPr>
            <w:tcW w:w="0" w:type="auto"/>
            <w:tcBorders>
              <w:top w:val="nil"/>
              <w:bottom w:val="nil"/>
            </w:tcBorders>
            <w:vAlign w:val="top"/>
          </w:tcPr>
          <w:p w14:paraId="0C7B6252" w14:textId="19672286" w:rsidR="00AE79DB" w:rsidRPr="00452BE5" w:rsidRDefault="008C30A7">
            <w:pPr>
              <w:pStyle w:val="TableText0"/>
              <w:keepNext w:val="0"/>
              <w:jc w:val="center"/>
            </w:pPr>
            <w:r w:rsidRPr="00FE32E3">
              <w:rPr>
                <w:color w:val="000000"/>
                <w:spacing w:val="90"/>
                <w:shd w:val="solid" w:color="000000" w:fill="000000"/>
                <w:fitText w:val="176" w:id="-694445820"/>
                <w14:textFill>
                  <w14:solidFill>
                    <w14:srgbClr w14:val="000000">
                      <w14:alpha w14:val="100000"/>
                    </w14:srgbClr>
                  </w14:solidFill>
                </w14:textFill>
              </w:rPr>
              <w:t>|</w:t>
            </w:r>
            <w:r w:rsidRPr="00FE32E3">
              <w:rPr>
                <w:color w:val="000000"/>
                <w:spacing w:val="1"/>
                <w:shd w:val="solid" w:color="000000" w:fill="000000"/>
                <w:fitText w:val="176" w:id="-694445820"/>
                <w14:textFill>
                  <w14:solidFill>
                    <w14:srgbClr w14:val="000000">
                      <w14:alpha w14:val="100000"/>
                    </w14:srgbClr>
                  </w14:solidFill>
                </w14:textFill>
              </w:rPr>
              <w:t>|</w:t>
            </w:r>
            <w:r w:rsidR="00AE79DB" w:rsidRPr="00452BE5">
              <w:t>%</w:t>
            </w:r>
          </w:p>
        </w:tc>
        <w:tc>
          <w:tcPr>
            <w:tcW w:w="0" w:type="auto"/>
            <w:tcBorders>
              <w:top w:val="nil"/>
              <w:bottom w:val="nil"/>
            </w:tcBorders>
            <w:vAlign w:val="top"/>
          </w:tcPr>
          <w:p w14:paraId="747794A4" w14:textId="08AF7963"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19"/>
                <w14:textFill>
                  <w14:solidFill>
                    <w14:srgbClr w14:val="000000">
                      <w14:alpha w14:val="100000"/>
                    </w14:srgbClr>
                  </w14:solidFill>
                </w14:textFill>
              </w:rPr>
              <w:t>||</w:t>
            </w:r>
            <w:r w:rsidR="008C30A7" w:rsidRPr="00FE32E3">
              <w:rPr>
                <w:color w:val="000000"/>
                <w:spacing w:val="1"/>
                <w:shd w:val="solid" w:color="000000" w:fill="000000"/>
                <w:fitText w:val="238" w:id="-694445819"/>
                <w14:textFill>
                  <w14:solidFill>
                    <w14:srgbClr w14:val="000000">
                      <w14:alpha w14:val="100000"/>
                    </w14:srgbClr>
                  </w14:solidFill>
                </w14:textFill>
              </w:rPr>
              <w:t>|</w:t>
            </w:r>
          </w:p>
        </w:tc>
        <w:tc>
          <w:tcPr>
            <w:tcW w:w="0" w:type="auto"/>
            <w:tcBorders>
              <w:top w:val="nil"/>
              <w:bottom w:val="nil"/>
            </w:tcBorders>
            <w:vAlign w:val="top"/>
          </w:tcPr>
          <w:p w14:paraId="2A8E41E7" w14:textId="77777777" w:rsidR="00AE79DB" w:rsidRPr="00452BE5" w:rsidRDefault="00AE79DB">
            <w:pPr>
              <w:pStyle w:val="TableText0"/>
              <w:keepNext w:val="0"/>
              <w:jc w:val="center"/>
            </w:pPr>
            <w:r w:rsidRPr="00452BE5">
              <w:t>4.49</w:t>
            </w:r>
          </w:p>
        </w:tc>
        <w:tc>
          <w:tcPr>
            <w:tcW w:w="0" w:type="auto"/>
            <w:tcBorders>
              <w:top w:val="nil"/>
              <w:bottom w:val="nil"/>
            </w:tcBorders>
            <w:vAlign w:val="top"/>
          </w:tcPr>
          <w:p w14:paraId="2E830B2B" w14:textId="797945AD" w:rsidR="00AE79DB" w:rsidRPr="00363E6E" w:rsidRDefault="00AE79DB">
            <w:pPr>
              <w:pStyle w:val="TableText0"/>
              <w:keepNext w:val="0"/>
              <w:jc w:val="center"/>
              <w:rPr>
                <w:vertAlign w:val="superscript"/>
              </w:rPr>
            </w:pPr>
            <w:r w:rsidRPr="00452BE5">
              <w:t>$</w:t>
            </w:r>
            <w:r w:rsidR="008C30A7" w:rsidRPr="00FE32E3">
              <w:rPr>
                <w:color w:val="000000"/>
                <w:spacing w:val="55"/>
                <w:shd w:val="solid" w:color="000000" w:fill="000000"/>
                <w:fitText w:val="238" w:id="-694445818"/>
                <w14:textFill>
                  <w14:solidFill>
                    <w14:srgbClr w14:val="000000">
                      <w14:alpha w14:val="100000"/>
                    </w14:srgbClr>
                  </w14:solidFill>
                </w14:textFill>
              </w:rPr>
              <w:t>||</w:t>
            </w:r>
            <w:r w:rsidR="008C30A7" w:rsidRPr="00FE32E3">
              <w:rPr>
                <w:color w:val="000000"/>
                <w:spacing w:val="1"/>
                <w:shd w:val="solid" w:color="000000" w:fill="000000"/>
                <w:fitText w:val="238" w:id="-694445818"/>
                <w14:textFill>
                  <w14:solidFill>
                    <w14:srgbClr w14:val="000000">
                      <w14:alpha w14:val="100000"/>
                    </w14:srgbClr>
                  </w14:solidFill>
                </w14:textFill>
              </w:rPr>
              <w:t>|</w:t>
            </w:r>
            <w:r w:rsidR="00363E6E">
              <w:rPr>
                <w:vertAlign w:val="superscript"/>
              </w:rPr>
              <w:t>7</w:t>
            </w:r>
          </w:p>
        </w:tc>
        <w:tc>
          <w:tcPr>
            <w:tcW w:w="0" w:type="auto"/>
            <w:tcBorders>
              <w:top w:val="nil"/>
              <w:bottom w:val="nil"/>
            </w:tcBorders>
            <w:vAlign w:val="top"/>
          </w:tcPr>
          <w:p w14:paraId="745038B3" w14:textId="169F6725" w:rsidR="00AE79DB" w:rsidRPr="00452BE5" w:rsidRDefault="008C30A7">
            <w:pPr>
              <w:pStyle w:val="TableText0"/>
              <w:keepNext w:val="0"/>
              <w:jc w:val="center"/>
            </w:pPr>
            <w:r w:rsidRPr="00FE32E3">
              <w:rPr>
                <w:color w:val="000000"/>
                <w:spacing w:val="89"/>
                <w:shd w:val="solid" w:color="000000" w:fill="000000"/>
                <w:fitText w:val="175" w:id="-694445817"/>
                <w14:textFill>
                  <w14:solidFill>
                    <w14:srgbClr w14:val="000000">
                      <w14:alpha w14:val="100000"/>
                    </w14:srgbClr>
                  </w14:solidFill>
                </w14:textFill>
              </w:rPr>
              <w:t>|</w:t>
            </w:r>
            <w:r w:rsidRPr="00FE32E3">
              <w:rPr>
                <w:color w:val="000000"/>
                <w:spacing w:val="1"/>
                <w:shd w:val="solid" w:color="000000" w:fill="000000"/>
                <w:fitText w:val="175" w:id="-694445817"/>
                <w14:textFill>
                  <w14:solidFill>
                    <w14:srgbClr w14:val="000000">
                      <w14:alpha w14:val="100000"/>
                    </w14:srgbClr>
                  </w14:solidFill>
                </w14:textFill>
              </w:rPr>
              <w:t>|</w:t>
            </w:r>
            <w:r w:rsidR="00AE79DB" w:rsidRPr="00452BE5">
              <w:t>%</w:t>
            </w:r>
          </w:p>
        </w:tc>
      </w:tr>
      <w:tr w:rsidR="008C30A7" w:rsidRPr="0081338E" w14:paraId="34C2FC6E" w14:textId="77777777" w:rsidTr="00D10956">
        <w:trPr>
          <w:trHeight w:val="266"/>
        </w:trPr>
        <w:tc>
          <w:tcPr>
            <w:tcW w:w="0" w:type="auto"/>
            <w:tcBorders>
              <w:top w:val="nil"/>
              <w:bottom w:val="nil"/>
            </w:tcBorders>
          </w:tcPr>
          <w:p w14:paraId="34B21983" w14:textId="77777777" w:rsidR="00AE79DB" w:rsidRPr="00452BE5" w:rsidRDefault="00AE79DB">
            <w:pPr>
              <w:pStyle w:val="TableText0"/>
              <w:keepNext w:val="0"/>
              <w:numPr>
                <w:ilvl w:val="0"/>
                <w:numId w:val="6"/>
              </w:numPr>
              <w:ind w:left="109" w:hanging="142"/>
            </w:pPr>
            <w:r w:rsidRPr="00452BE5">
              <w:t>OS HR 0.33 (point est.)</w:t>
            </w:r>
          </w:p>
        </w:tc>
        <w:tc>
          <w:tcPr>
            <w:tcW w:w="0" w:type="auto"/>
            <w:tcBorders>
              <w:top w:val="nil"/>
              <w:bottom w:val="nil"/>
            </w:tcBorders>
            <w:vAlign w:val="top"/>
          </w:tcPr>
          <w:p w14:paraId="2F897FB9" w14:textId="14E7ED7D"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16"/>
                <w14:textFill>
                  <w14:solidFill>
                    <w14:srgbClr w14:val="000000">
                      <w14:alpha w14:val="100000"/>
                    </w14:srgbClr>
                  </w14:solidFill>
                </w14:textFill>
              </w:rPr>
              <w:t>||</w:t>
            </w:r>
            <w:r w:rsidR="008C30A7" w:rsidRPr="00FE32E3">
              <w:rPr>
                <w:color w:val="000000"/>
                <w:spacing w:val="1"/>
                <w:shd w:val="solid" w:color="000000" w:fill="000000"/>
                <w:fitText w:val="238" w:id="-694445816"/>
                <w14:textFill>
                  <w14:solidFill>
                    <w14:srgbClr w14:val="000000">
                      <w14:alpha w14:val="100000"/>
                    </w14:srgbClr>
                  </w14:solidFill>
                </w14:textFill>
              </w:rPr>
              <w:t>|</w:t>
            </w:r>
          </w:p>
        </w:tc>
        <w:tc>
          <w:tcPr>
            <w:tcW w:w="0" w:type="auto"/>
            <w:tcBorders>
              <w:top w:val="nil"/>
              <w:bottom w:val="nil"/>
            </w:tcBorders>
            <w:vAlign w:val="top"/>
          </w:tcPr>
          <w:p w14:paraId="48F59A79" w14:textId="77777777" w:rsidR="00AE79DB" w:rsidRPr="00452BE5" w:rsidRDefault="00AE79DB">
            <w:pPr>
              <w:pStyle w:val="TableText0"/>
              <w:keepNext w:val="0"/>
              <w:jc w:val="center"/>
            </w:pPr>
            <w:r w:rsidRPr="00452BE5">
              <w:t>2.24</w:t>
            </w:r>
          </w:p>
        </w:tc>
        <w:tc>
          <w:tcPr>
            <w:tcW w:w="0" w:type="auto"/>
            <w:tcBorders>
              <w:top w:val="nil"/>
              <w:bottom w:val="nil"/>
            </w:tcBorders>
            <w:vAlign w:val="top"/>
          </w:tcPr>
          <w:p w14:paraId="1133EBA0" w14:textId="5E55E755" w:rsidR="00AE79DB" w:rsidRPr="00E27E76" w:rsidRDefault="00AE79DB">
            <w:pPr>
              <w:pStyle w:val="TableText0"/>
              <w:keepNext w:val="0"/>
              <w:jc w:val="center"/>
              <w:rPr>
                <w:vertAlign w:val="superscript"/>
              </w:rPr>
            </w:pPr>
            <w:r w:rsidRPr="00452BE5">
              <w:t>$</w:t>
            </w:r>
            <w:r w:rsidR="008C30A7" w:rsidRPr="00FE32E3">
              <w:rPr>
                <w:color w:val="000000"/>
                <w:spacing w:val="55"/>
                <w:shd w:val="solid" w:color="000000" w:fill="000000"/>
                <w:fitText w:val="238" w:id="-694445815"/>
                <w14:textFill>
                  <w14:solidFill>
                    <w14:srgbClr w14:val="000000">
                      <w14:alpha w14:val="100000"/>
                    </w14:srgbClr>
                  </w14:solidFill>
                </w14:textFill>
              </w:rPr>
              <w:t>||</w:t>
            </w:r>
            <w:r w:rsidR="008C30A7" w:rsidRPr="00FE32E3">
              <w:rPr>
                <w:color w:val="000000"/>
                <w:spacing w:val="1"/>
                <w:shd w:val="solid" w:color="000000" w:fill="000000"/>
                <w:fitText w:val="238" w:id="-694445815"/>
                <w14:textFill>
                  <w14:solidFill>
                    <w14:srgbClr w14:val="000000">
                      <w14:alpha w14:val="100000"/>
                    </w14:srgbClr>
                  </w14:solidFill>
                </w14:textFill>
              </w:rPr>
              <w:t>|</w:t>
            </w:r>
            <w:r w:rsidR="00E27E76">
              <w:rPr>
                <w:vertAlign w:val="superscript"/>
              </w:rPr>
              <w:t>1</w:t>
            </w:r>
          </w:p>
        </w:tc>
        <w:tc>
          <w:tcPr>
            <w:tcW w:w="0" w:type="auto"/>
            <w:tcBorders>
              <w:top w:val="nil"/>
              <w:bottom w:val="nil"/>
            </w:tcBorders>
            <w:vAlign w:val="top"/>
          </w:tcPr>
          <w:p w14:paraId="0FE32089" w14:textId="2CC8FD61" w:rsidR="00AE79DB" w:rsidRPr="00452BE5" w:rsidRDefault="008C30A7">
            <w:pPr>
              <w:pStyle w:val="TableText0"/>
              <w:keepNext w:val="0"/>
              <w:jc w:val="center"/>
            </w:pPr>
            <w:r w:rsidRPr="00FE32E3">
              <w:rPr>
                <w:color w:val="000000"/>
                <w:spacing w:val="90"/>
                <w:shd w:val="solid" w:color="000000" w:fill="000000"/>
                <w:fitText w:val="176" w:id="-694445814"/>
                <w14:textFill>
                  <w14:solidFill>
                    <w14:srgbClr w14:val="000000">
                      <w14:alpha w14:val="100000"/>
                    </w14:srgbClr>
                  </w14:solidFill>
                </w14:textFill>
              </w:rPr>
              <w:t>|</w:t>
            </w:r>
            <w:r w:rsidRPr="00FE32E3">
              <w:rPr>
                <w:color w:val="000000"/>
                <w:spacing w:val="1"/>
                <w:shd w:val="solid" w:color="000000" w:fill="000000"/>
                <w:fitText w:val="176" w:id="-694445814"/>
                <w14:textFill>
                  <w14:solidFill>
                    <w14:srgbClr w14:val="000000">
                      <w14:alpha w14:val="100000"/>
                    </w14:srgbClr>
                  </w14:solidFill>
                </w14:textFill>
              </w:rPr>
              <w:t>|</w:t>
            </w:r>
            <w:r w:rsidR="00AE79DB" w:rsidRPr="00452BE5">
              <w:t>%</w:t>
            </w:r>
          </w:p>
        </w:tc>
        <w:tc>
          <w:tcPr>
            <w:tcW w:w="0" w:type="auto"/>
            <w:tcBorders>
              <w:top w:val="nil"/>
              <w:bottom w:val="nil"/>
            </w:tcBorders>
            <w:vAlign w:val="top"/>
          </w:tcPr>
          <w:p w14:paraId="1763DF38" w14:textId="0B758DB6" w:rsidR="00AE79DB" w:rsidRPr="00452BE5" w:rsidRDefault="00AE79DB">
            <w:pPr>
              <w:pStyle w:val="TableText0"/>
              <w:keepNext w:val="0"/>
              <w:jc w:val="center"/>
            </w:pPr>
            <w:r w:rsidRPr="00452BE5">
              <w:t>$</w:t>
            </w:r>
            <w:r w:rsidR="008C30A7" w:rsidRPr="00FE32E3">
              <w:rPr>
                <w:color w:val="000000"/>
                <w:spacing w:val="55"/>
                <w:shd w:val="solid" w:color="000000" w:fill="000000"/>
                <w:fitText w:val="238" w:id="-694445813"/>
                <w14:textFill>
                  <w14:solidFill>
                    <w14:srgbClr w14:val="000000">
                      <w14:alpha w14:val="100000"/>
                    </w14:srgbClr>
                  </w14:solidFill>
                </w14:textFill>
              </w:rPr>
              <w:t>||</w:t>
            </w:r>
            <w:r w:rsidR="008C30A7" w:rsidRPr="00FE32E3">
              <w:rPr>
                <w:color w:val="000000"/>
                <w:spacing w:val="1"/>
                <w:shd w:val="solid" w:color="000000" w:fill="000000"/>
                <w:fitText w:val="238" w:id="-694445813"/>
                <w14:textFill>
                  <w14:solidFill>
                    <w14:srgbClr w14:val="000000">
                      <w14:alpha w14:val="100000"/>
                    </w14:srgbClr>
                  </w14:solidFill>
                </w14:textFill>
              </w:rPr>
              <w:t>|</w:t>
            </w:r>
          </w:p>
        </w:tc>
        <w:tc>
          <w:tcPr>
            <w:tcW w:w="0" w:type="auto"/>
            <w:tcBorders>
              <w:top w:val="nil"/>
              <w:bottom w:val="nil"/>
            </w:tcBorders>
            <w:vAlign w:val="top"/>
          </w:tcPr>
          <w:p w14:paraId="6D772AB4" w14:textId="77777777" w:rsidR="00AE79DB" w:rsidRPr="00452BE5" w:rsidRDefault="00AE79DB">
            <w:pPr>
              <w:pStyle w:val="TableText0"/>
              <w:keepNext w:val="0"/>
              <w:jc w:val="center"/>
            </w:pPr>
            <w:r w:rsidRPr="00452BE5">
              <w:t>4.61</w:t>
            </w:r>
          </w:p>
        </w:tc>
        <w:tc>
          <w:tcPr>
            <w:tcW w:w="0" w:type="auto"/>
            <w:tcBorders>
              <w:top w:val="nil"/>
              <w:bottom w:val="nil"/>
            </w:tcBorders>
            <w:vAlign w:val="top"/>
          </w:tcPr>
          <w:p w14:paraId="0FAE208C" w14:textId="6D97EB9B" w:rsidR="00AE79DB" w:rsidRPr="00FD4535" w:rsidRDefault="00AE79DB">
            <w:pPr>
              <w:pStyle w:val="TableText0"/>
              <w:keepNext w:val="0"/>
              <w:jc w:val="center"/>
              <w:rPr>
                <w:vertAlign w:val="superscript"/>
              </w:rPr>
            </w:pPr>
            <w:r w:rsidRPr="00452BE5">
              <w:t>$</w:t>
            </w:r>
            <w:r w:rsidR="008C30A7" w:rsidRPr="00FE32E3">
              <w:rPr>
                <w:color w:val="000000"/>
                <w:spacing w:val="55"/>
                <w:shd w:val="solid" w:color="000000" w:fill="000000"/>
                <w:fitText w:val="238" w:id="-694445812"/>
                <w14:textFill>
                  <w14:solidFill>
                    <w14:srgbClr w14:val="000000">
                      <w14:alpha w14:val="100000"/>
                    </w14:srgbClr>
                  </w14:solidFill>
                </w14:textFill>
              </w:rPr>
              <w:t>||</w:t>
            </w:r>
            <w:r w:rsidR="008C30A7" w:rsidRPr="00FE32E3">
              <w:rPr>
                <w:color w:val="000000"/>
                <w:spacing w:val="1"/>
                <w:shd w:val="solid" w:color="000000" w:fill="000000"/>
                <w:fitText w:val="238" w:id="-694445812"/>
                <w14:textFill>
                  <w14:solidFill>
                    <w14:srgbClr w14:val="000000">
                      <w14:alpha w14:val="100000"/>
                    </w14:srgbClr>
                  </w14:solidFill>
                </w14:textFill>
              </w:rPr>
              <w:t>|</w:t>
            </w:r>
            <w:r w:rsidR="00FD4535">
              <w:rPr>
                <w:vertAlign w:val="superscript"/>
              </w:rPr>
              <w:t>2</w:t>
            </w:r>
          </w:p>
        </w:tc>
        <w:tc>
          <w:tcPr>
            <w:tcW w:w="0" w:type="auto"/>
            <w:tcBorders>
              <w:top w:val="nil"/>
              <w:bottom w:val="nil"/>
            </w:tcBorders>
            <w:vAlign w:val="top"/>
          </w:tcPr>
          <w:p w14:paraId="262356BB" w14:textId="2BFE0CDA" w:rsidR="00AE79DB" w:rsidRPr="00452BE5" w:rsidRDefault="00AE79DB">
            <w:pPr>
              <w:pStyle w:val="TableText0"/>
              <w:keepNext w:val="0"/>
              <w:jc w:val="center"/>
            </w:pPr>
            <w:r w:rsidRPr="00452BE5">
              <w:t>-</w:t>
            </w:r>
            <w:r w:rsidR="008C30A7" w:rsidRPr="00FE32E3">
              <w:rPr>
                <w:color w:val="000000"/>
                <w:spacing w:val="42"/>
                <w:shd w:val="solid" w:color="000000" w:fill="000000"/>
                <w:fitText w:val="212" w:id="-694445811"/>
                <w14:textFill>
                  <w14:solidFill>
                    <w14:srgbClr w14:val="000000">
                      <w14:alpha w14:val="100000"/>
                    </w14:srgbClr>
                  </w14:solidFill>
                </w14:textFill>
              </w:rPr>
              <w:t>||</w:t>
            </w:r>
            <w:r w:rsidR="008C30A7" w:rsidRPr="00FE32E3">
              <w:rPr>
                <w:color w:val="000000"/>
                <w:spacing w:val="1"/>
                <w:shd w:val="solid" w:color="000000" w:fill="000000"/>
                <w:fitText w:val="212" w:id="-694445811"/>
                <w14:textFill>
                  <w14:solidFill>
                    <w14:srgbClr w14:val="000000">
                      <w14:alpha w14:val="100000"/>
                    </w14:srgbClr>
                  </w14:solidFill>
                </w14:textFill>
              </w:rPr>
              <w:t>|</w:t>
            </w:r>
            <w:r w:rsidRPr="00452BE5">
              <w:t>%</w:t>
            </w:r>
          </w:p>
        </w:tc>
      </w:tr>
      <w:tr w:rsidR="008C30A7" w:rsidRPr="0081338E" w14:paraId="493BD251" w14:textId="77777777" w:rsidTr="00D10956">
        <w:trPr>
          <w:trHeight w:val="266"/>
        </w:trPr>
        <w:tc>
          <w:tcPr>
            <w:tcW w:w="0" w:type="auto"/>
            <w:tcBorders>
              <w:top w:val="nil"/>
              <w:bottom w:val="nil"/>
            </w:tcBorders>
          </w:tcPr>
          <w:p w14:paraId="375AE027" w14:textId="77777777" w:rsidR="00AE79DB" w:rsidRPr="0081338E" w:rsidRDefault="00AE79DB">
            <w:pPr>
              <w:pStyle w:val="TableText0"/>
              <w:keepNext w:val="0"/>
              <w:numPr>
                <w:ilvl w:val="0"/>
                <w:numId w:val="6"/>
              </w:numPr>
              <w:ind w:left="109" w:hanging="142"/>
            </w:pPr>
            <w:r w:rsidRPr="0081338E">
              <w:t>OS HR 0.16</w:t>
            </w:r>
            <w:r>
              <w:t xml:space="preserve"> (lower CI)</w:t>
            </w:r>
          </w:p>
        </w:tc>
        <w:tc>
          <w:tcPr>
            <w:tcW w:w="0" w:type="auto"/>
            <w:tcBorders>
              <w:top w:val="nil"/>
              <w:bottom w:val="nil"/>
            </w:tcBorders>
            <w:vAlign w:val="top"/>
          </w:tcPr>
          <w:p w14:paraId="345609FE" w14:textId="2D508F43" w:rsidR="00AE79DB" w:rsidRPr="0081338E" w:rsidRDefault="00AE79DB">
            <w:pPr>
              <w:pStyle w:val="TableText0"/>
              <w:keepNext w:val="0"/>
              <w:jc w:val="center"/>
            </w:pPr>
            <w:r w:rsidRPr="0081338E">
              <w:t>$</w:t>
            </w:r>
            <w:r w:rsidR="008C30A7" w:rsidRPr="00FE32E3">
              <w:rPr>
                <w:color w:val="000000"/>
                <w:spacing w:val="55"/>
                <w:shd w:val="solid" w:color="000000" w:fill="000000"/>
                <w:fitText w:val="238" w:id="-694445810"/>
                <w14:textFill>
                  <w14:solidFill>
                    <w14:srgbClr w14:val="000000">
                      <w14:alpha w14:val="100000"/>
                    </w14:srgbClr>
                  </w14:solidFill>
                </w14:textFill>
              </w:rPr>
              <w:t>||</w:t>
            </w:r>
            <w:r w:rsidR="008C30A7" w:rsidRPr="00FE32E3">
              <w:rPr>
                <w:color w:val="000000"/>
                <w:spacing w:val="1"/>
                <w:shd w:val="solid" w:color="000000" w:fill="000000"/>
                <w:fitText w:val="238" w:id="-694445810"/>
                <w14:textFill>
                  <w14:solidFill>
                    <w14:srgbClr w14:val="000000">
                      <w14:alpha w14:val="100000"/>
                    </w14:srgbClr>
                  </w14:solidFill>
                </w14:textFill>
              </w:rPr>
              <w:t>|</w:t>
            </w:r>
          </w:p>
        </w:tc>
        <w:tc>
          <w:tcPr>
            <w:tcW w:w="0" w:type="auto"/>
            <w:tcBorders>
              <w:top w:val="nil"/>
              <w:bottom w:val="nil"/>
            </w:tcBorders>
            <w:vAlign w:val="top"/>
          </w:tcPr>
          <w:p w14:paraId="63CA163C" w14:textId="77777777" w:rsidR="00AE79DB" w:rsidRPr="0081338E" w:rsidRDefault="00AE79DB">
            <w:pPr>
              <w:pStyle w:val="TableText0"/>
              <w:keepNext w:val="0"/>
              <w:jc w:val="center"/>
            </w:pPr>
            <w:r w:rsidRPr="0081338E">
              <w:t>4.17</w:t>
            </w:r>
          </w:p>
        </w:tc>
        <w:tc>
          <w:tcPr>
            <w:tcW w:w="0" w:type="auto"/>
            <w:tcBorders>
              <w:top w:val="nil"/>
              <w:bottom w:val="nil"/>
            </w:tcBorders>
            <w:vAlign w:val="top"/>
          </w:tcPr>
          <w:p w14:paraId="5AC3E824" w14:textId="7A8F733F" w:rsidR="00AE79DB" w:rsidRPr="00FD4535" w:rsidRDefault="00AE79DB">
            <w:pPr>
              <w:pStyle w:val="TableText0"/>
              <w:keepNext w:val="0"/>
              <w:jc w:val="center"/>
              <w:rPr>
                <w:vertAlign w:val="superscript"/>
              </w:rPr>
            </w:pPr>
            <w:r w:rsidRPr="0081338E">
              <w:t>$</w:t>
            </w:r>
            <w:r w:rsidR="008C30A7" w:rsidRPr="00FE32E3">
              <w:rPr>
                <w:color w:val="000000"/>
                <w:spacing w:val="55"/>
                <w:shd w:val="solid" w:color="000000" w:fill="000000"/>
                <w:fitText w:val="238" w:id="-694445809"/>
                <w14:textFill>
                  <w14:solidFill>
                    <w14:srgbClr w14:val="000000">
                      <w14:alpha w14:val="100000"/>
                    </w14:srgbClr>
                  </w14:solidFill>
                </w14:textFill>
              </w:rPr>
              <w:t>||</w:t>
            </w:r>
            <w:r w:rsidR="008C30A7" w:rsidRPr="00FE32E3">
              <w:rPr>
                <w:color w:val="000000"/>
                <w:spacing w:val="1"/>
                <w:shd w:val="solid" w:color="000000" w:fill="000000"/>
                <w:fitText w:val="238" w:id="-694445809"/>
                <w14:textFill>
                  <w14:solidFill>
                    <w14:srgbClr w14:val="000000">
                      <w14:alpha w14:val="100000"/>
                    </w14:srgbClr>
                  </w14:solidFill>
                </w14:textFill>
              </w:rPr>
              <w:t>|</w:t>
            </w:r>
            <w:r w:rsidR="00FD4535">
              <w:rPr>
                <w:vertAlign w:val="superscript"/>
              </w:rPr>
              <w:t>2</w:t>
            </w:r>
          </w:p>
        </w:tc>
        <w:tc>
          <w:tcPr>
            <w:tcW w:w="0" w:type="auto"/>
            <w:tcBorders>
              <w:top w:val="nil"/>
              <w:bottom w:val="nil"/>
            </w:tcBorders>
            <w:vAlign w:val="top"/>
          </w:tcPr>
          <w:p w14:paraId="28AD9FF2" w14:textId="227EBFD6" w:rsidR="00AE79DB" w:rsidRPr="0081338E" w:rsidRDefault="00AE79DB">
            <w:pPr>
              <w:pStyle w:val="TableText0"/>
              <w:keepNext w:val="0"/>
              <w:jc w:val="center"/>
            </w:pPr>
            <w:r w:rsidRPr="0081338E">
              <w:t>-</w:t>
            </w:r>
            <w:r w:rsidR="008C30A7" w:rsidRPr="00FE32E3">
              <w:rPr>
                <w:color w:val="000000"/>
                <w:spacing w:val="42"/>
                <w:shd w:val="solid" w:color="000000" w:fill="000000"/>
                <w:fitText w:val="213" w:id="-694445808"/>
                <w14:textFill>
                  <w14:solidFill>
                    <w14:srgbClr w14:val="000000">
                      <w14:alpha w14:val="100000"/>
                    </w14:srgbClr>
                  </w14:solidFill>
                </w14:textFill>
              </w:rPr>
              <w:t>||</w:t>
            </w:r>
            <w:r w:rsidR="008C30A7" w:rsidRPr="00FE32E3">
              <w:rPr>
                <w:color w:val="000000"/>
                <w:spacing w:val="2"/>
                <w:shd w:val="solid" w:color="000000" w:fill="000000"/>
                <w:fitText w:val="213" w:id="-694445808"/>
                <w14:textFill>
                  <w14:solidFill>
                    <w14:srgbClr w14:val="000000">
                      <w14:alpha w14:val="100000"/>
                    </w14:srgbClr>
                  </w14:solidFill>
                </w14:textFill>
              </w:rPr>
              <w:t>|</w:t>
            </w:r>
            <w:r w:rsidRPr="0081338E">
              <w:t>%</w:t>
            </w:r>
          </w:p>
        </w:tc>
        <w:tc>
          <w:tcPr>
            <w:tcW w:w="0" w:type="auto"/>
            <w:tcBorders>
              <w:top w:val="nil"/>
              <w:bottom w:val="nil"/>
            </w:tcBorders>
            <w:vAlign w:val="top"/>
          </w:tcPr>
          <w:p w14:paraId="27DDCBDA" w14:textId="4A9CFCA5" w:rsidR="00AE79DB" w:rsidRPr="0081338E" w:rsidRDefault="00AE79DB">
            <w:pPr>
              <w:pStyle w:val="TableText0"/>
              <w:keepNext w:val="0"/>
              <w:jc w:val="center"/>
            </w:pPr>
            <w:r w:rsidRPr="0081338E">
              <w:t>$</w:t>
            </w:r>
            <w:r w:rsidR="008C30A7" w:rsidRPr="00FE32E3">
              <w:rPr>
                <w:color w:val="000000"/>
                <w:spacing w:val="55"/>
                <w:shd w:val="solid" w:color="000000" w:fill="000000"/>
                <w:fitText w:val="238" w:id="-694445824"/>
                <w14:textFill>
                  <w14:solidFill>
                    <w14:srgbClr w14:val="000000">
                      <w14:alpha w14:val="100000"/>
                    </w14:srgbClr>
                  </w14:solidFill>
                </w14:textFill>
              </w:rPr>
              <w:t>||</w:t>
            </w:r>
            <w:r w:rsidR="008C30A7" w:rsidRPr="00FE32E3">
              <w:rPr>
                <w:color w:val="000000"/>
                <w:spacing w:val="1"/>
                <w:shd w:val="solid" w:color="000000" w:fill="000000"/>
                <w:fitText w:val="238" w:id="-694445824"/>
                <w14:textFill>
                  <w14:solidFill>
                    <w14:srgbClr w14:val="000000">
                      <w14:alpha w14:val="100000"/>
                    </w14:srgbClr>
                  </w14:solidFill>
                </w14:textFill>
              </w:rPr>
              <w:t>|</w:t>
            </w:r>
          </w:p>
        </w:tc>
        <w:tc>
          <w:tcPr>
            <w:tcW w:w="0" w:type="auto"/>
            <w:tcBorders>
              <w:top w:val="nil"/>
              <w:bottom w:val="nil"/>
            </w:tcBorders>
            <w:vAlign w:val="top"/>
          </w:tcPr>
          <w:p w14:paraId="02E221DF" w14:textId="77777777" w:rsidR="00AE79DB" w:rsidRPr="0081338E" w:rsidRDefault="00AE79DB">
            <w:pPr>
              <w:pStyle w:val="TableText0"/>
              <w:keepNext w:val="0"/>
              <w:jc w:val="center"/>
            </w:pPr>
            <w:r w:rsidRPr="0081338E">
              <w:t>6.37</w:t>
            </w:r>
          </w:p>
        </w:tc>
        <w:tc>
          <w:tcPr>
            <w:tcW w:w="0" w:type="auto"/>
            <w:tcBorders>
              <w:top w:val="nil"/>
              <w:bottom w:val="nil"/>
            </w:tcBorders>
            <w:vAlign w:val="top"/>
          </w:tcPr>
          <w:p w14:paraId="383A19EA" w14:textId="585B1D95" w:rsidR="00AE79DB" w:rsidRPr="00B51C58" w:rsidRDefault="00AE79DB">
            <w:pPr>
              <w:pStyle w:val="TableText0"/>
              <w:keepNext w:val="0"/>
              <w:jc w:val="center"/>
            </w:pPr>
            <w:r w:rsidRPr="0081338E">
              <w:t>$</w:t>
            </w:r>
            <w:r w:rsidR="008C30A7" w:rsidRPr="00FE32E3">
              <w:rPr>
                <w:color w:val="000000"/>
                <w:spacing w:val="55"/>
                <w:shd w:val="solid" w:color="000000" w:fill="000000"/>
                <w:fitText w:val="238" w:id="-694445823"/>
                <w14:textFill>
                  <w14:solidFill>
                    <w14:srgbClr w14:val="000000">
                      <w14:alpha w14:val="100000"/>
                    </w14:srgbClr>
                  </w14:solidFill>
                </w14:textFill>
              </w:rPr>
              <w:t>||</w:t>
            </w:r>
            <w:r w:rsidR="008C30A7" w:rsidRPr="00FE32E3">
              <w:rPr>
                <w:color w:val="000000"/>
                <w:spacing w:val="1"/>
                <w:shd w:val="solid" w:color="000000" w:fill="000000"/>
                <w:fitText w:val="238" w:id="-694445823"/>
                <w14:textFill>
                  <w14:solidFill>
                    <w14:srgbClr w14:val="000000">
                      <w14:alpha w14:val="100000"/>
                    </w14:srgbClr>
                  </w14:solidFill>
                </w14:textFill>
              </w:rPr>
              <w:t>|</w:t>
            </w:r>
            <w:r w:rsidR="00B51C58">
              <w:rPr>
                <w:vertAlign w:val="superscript"/>
              </w:rPr>
              <w:t>6</w:t>
            </w:r>
          </w:p>
        </w:tc>
        <w:tc>
          <w:tcPr>
            <w:tcW w:w="0" w:type="auto"/>
            <w:tcBorders>
              <w:top w:val="nil"/>
              <w:bottom w:val="nil"/>
            </w:tcBorders>
            <w:vAlign w:val="top"/>
          </w:tcPr>
          <w:p w14:paraId="2800FECD" w14:textId="64D93919" w:rsidR="00AE79DB" w:rsidRPr="0081338E" w:rsidRDefault="00AE79DB">
            <w:pPr>
              <w:pStyle w:val="TableText0"/>
              <w:keepNext w:val="0"/>
              <w:jc w:val="center"/>
            </w:pPr>
            <w:r w:rsidRPr="0081338E">
              <w:t>-</w:t>
            </w:r>
            <w:r w:rsidR="008C30A7" w:rsidRPr="00FE32E3">
              <w:rPr>
                <w:color w:val="000000"/>
                <w:spacing w:val="42"/>
                <w:shd w:val="solid" w:color="000000" w:fill="000000"/>
                <w:fitText w:val="212" w:id="-694445822"/>
                <w14:textFill>
                  <w14:solidFill>
                    <w14:srgbClr w14:val="000000">
                      <w14:alpha w14:val="100000"/>
                    </w14:srgbClr>
                  </w14:solidFill>
                </w14:textFill>
              </w:rPr>
              <w:t>||</w:t>
            </w:r>
            <w:r w:rsidR="008C30A7" w:rsidRPr="00FE32E3">
              <w:rPr>
                <w:color w:val="000000"/>
                <w:spacing w:val="1"/>
                <w:shd w:val="solid" w:color="000000" w:fill="000000"/>
                <w:fitText w:val="212" w:id="-694445822"/>
                <w14:textFill>
                  <w14:solidFill>
                    <w14:srgbClr w14:val="000000">
                      <w14:alpha w14:val="100000"/>
                    </w14:srgbClr>
                  </w14:solidFill>
                </w14:textFill>
              </w:rPr>
              <w:t>|</w:t>
            </w:r>
            <w:r w:rsidRPr="0081338E">
              <w:t>%</w:t>
            </w:r>
          </w:p>
        </w:tc>
      </w:tr>
      <w:tr w:rsidR="008C30A7" w:rsidRPr="0081338E" w14:paraId="6006DA18" w14:textId="77777777" w:rsidTr="00D10956">
        <w:trPr>
          <w:trHeight w:val="266"/>
        </w:trPr>
        <w:tc>
          <w:tcPr>
            <w:tcW w:w="0" w:type="auto"/>
            <w:tcBorders>
              <w:top w:val="nil"/>
              <w:bottom w:val="nil"/>
            </w:tcBorders>
          </w:tcPr>
          <w:p w14:paraId="17005115" w14:textId="3A596071" w:rsidR="00AE79DB" w:rsidRPr="0081338E" w:rsidRDefault="00AE79DB">
            <w:pPr>
              <w:pStyle w:val="TableText0"/>
              <w:keepNext w:val="0"/>
              <w:numPr>
                <w:ilvl w:val="0"/>
                <w:numId w:val="6"/>
              </w:numPr>
              <w:ind w:left="109" w:hanging="142"/>
            </w:pPr>
            <w:r w:rsidRPr="0081338E">
              <w:lastRenderedPageBreak/>
              <w:t>OS HR 0.70</w:t>
            </w:r>
            <w:r>
              <w:t xml:space="preserve"> (upper CI)</w:t>
            </w:r>
          </w:p>
        </w:tc>
        <w:tc>
          <w:tcPr>
            <w:tcW w:w="0" w:type="auto"/>
            <w:tcBorders>
              <w:top w:val="nil"/>
              <w:bottom w:val="nil"/>
            </w:tcBorders>
            <w:vAlign w:val="top"/>
          </w:tcPr>
          <w:p w14:paraId="02335C70" w14:textId="1A3D62E3" w:rsidR="00AE79DB" w:rsidRPr="0081338E" w:rsidRDefault="00AE79DB">
            <w:pPr>
              <w:pStyle w:val="TableText0"/>
              <w:keepNext w:val="0"/>
              <w:jc w:val="center"/>
            </w:pPr>
            <w:r w:rsidRPr="0081338E">
              <w:t>$</w:t>
            </w:r>
            <w:r w:rsidR="008C30A7" w:rsidRPr="00FE32E3">
              <w:rPr>
                <w:color w:val="000000"/>
                <w:spacing w:val="55"/>
                <w:shd w:val="solid" w:color="000000" w:fill="000000"/>
                <w:fitText w:val="238" w:id="-694445821"/>
                <w14:textFill>
                  <w14:solidFill>
                    <w14:srgbClr w14:val="000000">
                      <w14:alpha w14:val="100000"/>
                    </w14:srgbClr>
                  </w14:solidFill>
                </w14:textFill>
              </w:rPr>
              <w:t>||</w:t>
            </w:r>
            <w:r w:rsidR="008C30A7" w:rsidRPr="00FE32E3">
              <w:rPr>
                <w:color w:val="000000"/>
                <w:spacing w:val="1"/>
                <w:shd w:val="solid" w:color="000000" w:fill="000000"/>
                <w:fitText w:val="238" w:id="-694445821"/>
                <w14:textFill>
                  <w14:solidFill>
                    <w14:srgbClr w14:val="000000">
                      <w14:alpha w14:val="100000"/>
                    </w14:srgbClr>
                  </w14:solidFill>
                </w14:textFill>
              </w:rPr>
              <w:t>|</w:t>
            </w:r>
          </w:p>
        </w:tc>
        <w:tc>
          <w:tcPr>
            <w:tcW w:w="0" w:type="auto"/>
            <w:tcBorders>
              <w:top w:val="nil"/>
              <w:bottom w:val="nil"/>
            </w:tcBorders>
            <w:vAlign w:val="top"/>
          </w:tcPr>
          <w:p w14:paraId="076DE4F2" w14:textId="77777777" w:rsidR="00AE79DB" w:rsidRPr="0081338E" w:rsidRDefault="00AE79DB">
            <w:pPr>
              <w:pStyle w:val="TableText0"/>
              <w:keepNext w:val="0"/>
              <w:jc w:val="center"/>
            </w:pPr>
            <w:r w:rsidRPr="0081338E">
              <w:t>1.26</w:t>
            </w:r>
          </w:p>
        </w:tc>
        <w:tc>
          <w:tcPr>
            <w:tcW w:w="0" w:type="auto"/>
            <w:tcBorders>
              <w:top w:val="nil"/>
              <w:bottom w:val="nil"/>
            </w:tcBorders>
            <w:vAlign w:val="top"/>
          </w:tcPr>
          <w:p w14:paraId="1DF4CA7F" w14:textId="2F9AA4A3" w:rsidR="00AE79DB" w:rsidRPr="00FC2F7E" w:rsidRDefault="00AE79DB">
            <w:pPr>
              <w:pStyle w:val="TableText0"/>
              <w:keepNext w:val="0"/>
              <w:jc w:val="center"/>
              <w:rPr>
                <w:vertAlign w:val="superscript"/>
              </w:rPr>
            </w:pPr>
            <w:r w:rsidRPr="0081338E">
              <w:t>$</w:t>
            </w:r>
            <w:r w:rsidR="008C30A7" w:rsidRPr="00FE32E3">
              <w:rPr>
                <w:color w:val="000000"/>
                <w:spacing w:val="55"/>
                <w:shd w:val="solid" w:color="000000" w:fill="000000"/>
                <w:fitText w:val="238" w:id="-694445820"/>
                <w14:textFill>
                  <w14:solidFill>
                    <w14:srgbClr w14:val="000000">
                      <w14:alpha w14:val="100000"/>
                    </w14:srgbClr>
                  </w14:solidFill>
                </w14:textFill>
              </w:rPr>
              <w:t>||</w:t>
            </w:r>
            <w:r w:rsidR="008C30A7" w:rsidRPr="00FE32E3">
              <w:rPr>
                <w:color w:val="000000"/>
                <w:spacing w:val="1"/>
                <w:shd w:val="solid" w:color="000000" w:fill="000000"/>
                <w:fitText w:val="238" w:id="-694445820"/>
                <w14:textFill>
                  <w14:solidFill>
                    <w14:srgbClr w14:val="000000">
                      <w14:alpha w14:val="100000"/>
                    </w14:srgbClr>
                  </w14:solidFill>
                </w14:textFill>
              </w:rPr>
              <w:t>|</w:t>
            </w:r>
            <w:r w:rsidR="00E338FD">
              <w:rPr>
                <w:vertAlign w:val="superscript"/>
              </w:rPr>
              <w:t>9</w:t>
            </w:r>
          </w:p>
        </w:tc>
        <w:tc>
          <w:tcPr>
            <w:tcW w:w="0" w:type="auto"/>
            <w:tcBorders>
              <w:top w:val="nil"/>
              <w:bottom w:val="nil"/>
            </w:tcBorders>
            <w:vAlign w:val="top"/>
          </w:tcPr>
          <w:p w14:paraId="5309258B" w14:textId="71E4CBC1" w:rsidR="00AE79DB" w:rsidRPr="0081338E" w:rsidRDefault="008C30A7">
            <w:pPr>
              <w:pStyle w:val="TableText0"/>
              <w:keepNext w:val="0"/>
              <w:jc w:val="center"/>
            </w:pPr>
            <w:r w:rsidRPr="00FE32E3">
              <w:rPr>
                <w:color w:val="000000"/>
                <w:spacing w:val="90"/>
                <w:shd w:val="solid" w:color="000000" w:fill="000000"/>
                <w:fitText w:val="176" w:id="-694445819"/>
                <w14:textFill>
                  <w14:solidFill>
                    <w14:srgbClr w14:val="000000">
                      <w14:alpha w14:val="100000"/>
                    </w14:srgbClr>
                  </w14:solidFill>
                </w14:textFill>
              </w:rPr>
              <w:t>|</w:t>
            </w:r>
            <w:r w:rsidRPr="00FE32E3">
              <w:rPr>
                <w:color w:val="000000"/>
                <w:spacing w:val="1"/>
                <w:shd w:val="solid" w:color="000000" w:fill="000000"/>
                <w:fitText w:val="176" w:id="-694445819"/>
                <w14:textFill>
                  <w14:solidFill>
                    <w14:srgbClr w14:val="000000">
                      <w14:alpha w14:val="100000"/>
                    </w14:srgbClr>
                  </w14:solidFill>
                </w14:textFill>
              </w:rPr>
              <w:t>|</w:t>
            </w:r>
            <w:r w:rsidR="00AE79DB" w:rsidRPr="0081338E">
              <w:t>%</w:t>
            </w:r>
          </w:p>
        </w:tc>
        <w:tc>
          <w:tcPr>
            <w:tcW w:w="0" w:type="auto"/>
            <w:tcBorders>
              <w:top w:val="nil"/>
              <w:bottom w:val="nil"/>
            </w:tcBorders>
            <w:vAlign w:val="top"/>
          </w:tcPr>
          <w:p w14:paraId="20F23807" w14:textId="50409A7B" w:rsidR="00AE79DB" w:rsidRPr="0081338E" w:rsidRDefault="00AE79DB">
            <w:pPr>
              <w:pStyle w:val="TableText0"/>
              <w:keepNext w:val="0"/>
              <w:jc w:val="center"/>
            </w:pPr>
            <w:r w:rsidRPr="0081338E">
              <w:t>$</w:t>
            </w:r>
            <w:r w:rsidR="008C30A7" w:rsidRPr="00FE32E3">
              <w:rPr>
                <w:color w:val="000000"/>
                <w:spacing w:val="55"/>
                <w:shd w:val="solid" w:color="000000" w:fill="000000"/>
                <w:fitText w:val="238" w:id="-694445818"/>
                <w14:textFill>
                  <w14:solidFill>
                    <w14:srgbClr w14:val="000000">
                      <w14:alpha w14:val="100000"/>
                    </w14:srgbClr>
                  </w14:solidFill>
                </w14:textFill>
              </w:rPr>
              <w:t>||</w:t>
            </w:r>
            <w:r w:rsidR="008C30A7" w:rsidRPr="00FE32E3">
              <w:rPr>
                <w:color w:val="000000"/>
                <w:spacing w:val="1"/>
                <w:shd w:val="solid" w:color="000000" w:fill="000000"/>
                <w:fitText w:val="238" w:id="-694445818"/>
                <w14:textFill>
                  <w14:solidFill>
                    <w14:srgbClr w14:val="000000">
                      <w14:alpha w14:val="100000"/>
                    </w14:srgbClr>
                  </w14:solidFill>
                </w14:textFill>
              </w:rPr>
              <w:t>|</w:t>
            </w:r>
          </w:p>
        </w:tc>
        <w:tc>
          <w:tcPr>
            <w:tcW w:w="0" w:type="auto"/>
            <w:tcBorders>
              <w:top w:val="nil"/>
              <w:bottom w:val="nil"/>
            </w:tcBorders>
            <w:vAlign w:val="top"/>
          </w:tcPr>
          <w:p w14:paraId="075C1D58" w14:textId="77777777" w:rsidR="00AE79DB" w:rsidRPr="0081338E" w:rsidRDefault="00AE79DB">
            <w:pPr>
              <w:pStyle w:val="TableText0"/>
              <w:keepNext w:val="0"/>
              <w:jc w:val="center"/>
            </w:pPr>
            <w:r w:rsidRPr="0081338E">
              <w:t>3.20</w:t>
            </w:r>
          </w:p>
        </w:tc>
        <w:tc>
          <w:tcPr>
            <w:tcW w:w="0" w:type="auto"/>
            <w:tcBorders>
              <w:top w:val="nil"/>
              <w:bottom w:val="nil"/>
            </w:tcBorders>
            <w:vAlign w:val="top"/>
          </w:tcPr>
          <w:p w14:paraId="73DE604E" w14:textId="1159DBA5" w:rsidR="00AE79DB" w:rsidRPr="00EB591B" w:rsidRDefault="00AE79DB">
            <w:pPr>
              <w:pStyle w:val="TableText0"/>
              <w:keepNext w:val="0"/>
              <w:jc w:val="center"/>
              <w:rPr>
                <w:vertAlign w:val="superscript"/>
              </w:rPr>
            </w:pPr>
            <w:r w:rsidRPr="0081338E">
              <w:t>$</w:t>
            </w:r>
            <w:r w:rsidR="008C30A7" w:rsidRPr="00FE32E3">
              <w:rPr>
                <w:color w:val="000000"/>
                <w:spacing w:val="55"/>
                <w:shd w:val="solid" w:color="000000" w:fill="000000"/>
                <w:fitText w:val="238" w:id="-694445817"/>
                <w14:textFill>
                  <w14:solidFill>
                    <w14:srgbClr w14:val="000000">
                      <w14:alpha w14:val="100000"/>
                    </w14:srgbClr>
                  </w14:solidFill>
                </w14:textFill>
              </w:rPr>
              <w:t>||</w:t>
            </w:r>
            <w:r w:rsidR="008C30A7" w:rsidRPr="00FE32E3">
              <w:rPr>
                <w:color w:val="000000"/>
                <w:spacing w:val="1"/>
                <w:shd w:val="solid" w:color="000000" w:fill="000000"/>
                <w:fitText w:val="238" w:id="-694445817"/>
                <w14:textFill>
                  <w14:solidFill>
                    <w14:srgbClr w14:val="000000">
                      <w14:alpha w14:val="100000"/>
                    </w14:srgbClr>
                  </w14:solidFill>
                </w14:textFill>
              </w:rPr>
              <w:t>|</w:t>
            </w:r>
            <w:r w:rsidR="00EB591B">
              <w:rPr>
                <w:vertAlign w:val="superscript"/>
              </w:rPr>
              <w:t>5</w:t>
            </w:r>
          </w:p>
        </w:tc>
        <w:tc>
          <w:tcPr>
            <w:tcW w:w="0" w:type="auto"/>
            <w:tcBorders>
              <w:top w:val="nil"/>
              <w:bottom w:val="nil"/>
            </w:tcBorders>
            <w:vAlign w:val="top"/>
          </w:tcPr>
          <w:p w14:paraId="3521780A" w14:textId="164209CC" w:rsidR="00AE79DB" w:rsidRPr="0081338E" w:rsidRDefault="008C30A7">
            <w:pPr>
              <w:pStyle w:val="TableText0"/>
              <w:keepNext w:val="0"/>
              <w:jc w:val="center"/>
            </w:pPr>
            <w:r w:rsidRPr="00FE32E3">
              <w:rPr>
                <w:color w:val="000000"/>
                <w:spacing w:val="89"/>
                <w:shd w:val="solid" w:color="000000" w:fill="000000"/>
                <w:fitText w:val="175" w:id="-694445816"/>
                <w14:textFill>
                  <w14:solidFill>
                    <w14:srgbClr w14:val="000000">
                      <w14:alpha w14:val="100000"/>
                    </w14:srgbClr>
                  </w14:solidFill>
                </w14:textFill>
              </w:rPr>
              <w:t>|</w:t>
            </w:r>
            <w:r w:rsidRPr="00FE32E3">
              <w:rPr>
                <w:color w:val="000000"/>
                <w:spacing w:val="1"/>
                <w:shd w:val="solid" w:color="000000" w:fill="000000"/>
                <w:fitText w:val="175" w:id="-694445816"/>
                <w14:textFill>
                  <w14:solidFill>
                    <w14:srgbClr w14:val="000000">
                      <w14:alpha w14:val="100000"/>
                    </w14:srgbClr>
                  </w14:solidFill>
                </w14:textFill>
              </w:rPr>
              <w:t>|</w:t>
            </w:r>
            <w:r w:rsidR="00AE79DB" w:rsidRPr="0081338E">
              <w:t>%</w:t>
            </w:r>
          </w:p>
        </w:tc>
      </w:tr>
      <w:tr w:rsidR="00CC7C90" w:rsidRPr="0081338E" w14:paraId="6826A4E9" w14:textId="77777777" w:rsidTr="00D10956">
        <w:tc>
          <w:tcPr>
            <w:tcW w:w="0" w:type="auto"/>
            <w:gridSpan w:val="9"/>
            <w:tcBorders>
              <w:top w:val="nil"/>
              <w:bottom w:val="nil"/>
            </w:tcBorders>
          </w:tcPr>
          <w:p w14:paraId="73824890" w14:textId="11CA3DA5" w:rsidR="00CC7C90" w:rsidRPr="0081338E" w:rsidRDefault="00CC7C90" w:rsidP="00B5383E">
            <w:pPr>
              <w:pStyle w:val="TableText0"/>
              <w:keepLines/>
            </w:pPr>
            <w:r w:rsidRPr="0081338E">
              <w:t>Stratum 2 EFS HR vs Stratum 1 (base</w:t>
            </w:r>
            <w:r w:rsidR="009353A4">
              <w:t xml:space="preserve"> case</w:t>
            </w:r>
            <w:r w:rsidRPr="0081338E">
              <w:t xml:space="preserve"> 5.13)</w:t>
            </w:r>
          </w:p>
        </w:tc>
      </w:tr>
      <w:tr w:rsidR="008C30A7" w:rsidRPr="0081338E" w14:paraId="55EFCDEF" w14:textId="77777777" w:rsidTr="00D10956">
        <w:tc>
          <w:tcPr>
            <w:tcW w:w="0" w:type="auto"/>
            <w:tcBorders>
              <w:top w:val="nil"/>
              <w:bottom w:val="nil"/>
            </w:tcBorders>
            <w:vAlign w:val="top"/>
          </w:tcPr>
          <w:p w14:paraId="2D916E5D" w14:textId="77777777" w:rsidR="00CC7C90" w:rsidRPr="0081338E" w:rsidRDefault="00CC7C90" w:rsidP="00B5383E">
            <w:pPr>
              <w:pStyle w:val="TableText0"/>
              <w:keepLines/>
              <w:numPr>
                <w:ilvl w:val="0"/>
                <w:numId w:val="6"/>
              </w:numPr>
              <w:ind w:left="109" w:hanging="142"/>
            </w:pPr>
            <w:r w:rsidRPr="0081338E">
              <w:t>2.56</w:t>
            </w:r>
          </w:p>
        </w:tc>
        <w:tc>
          <w:tcPr>
            <w:tcW w:w="0" w:type="auto"/>
            <w:tcBorders>
              <w:top w:val="nil"/>
              <w:bottom w:val="nil"/>
            </w:tcBorders>
          </w:tcPr>
          <w:p w14:paraId="3F43B8F5"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241B5A4F"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4864513B"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4B8D17AE" w14:textId="77777777" w:rsidR="00CC7C90" w:rsidRPr="0081338E" w:rsidRDefault="00CC7C90" w:rsidP="00B5383E">
            <w:pPr>
              <w:pStyle w:val="TableText0"/>
              <w:keepLines/>
              <w:jc w:val="center"/>
            </w:pPr>
            <w:r w:rsidRPr="0081338E">
              <w:t>-</w:t>
            </w:r>
          </w:p>
        </w:tc>
        <w:tc>
          <w:tcPr>
            <w:tcW w:w="0" w:type="auto"/>
            <w:tcBorders>
              <w:top w:val="nil"/>
              <w:bottom w:val="nil"/>
            </w:tcBorders>
            <w:vAlign w:val="top"/>
          </w:tcPr>
          <w:p w14:paraId="7ED2407B" w14:textId="0B33AD0B"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5"/>
                <w14:textFill>
                  <w14:solidFill>
                    <w14:srgbClr w14:val="000000">
                      <w14:alpha w14:val="100000"/>
                    </w14:srgbClr>
                  </w14:solidFill>
                </w14:textFill>
              </w:rPr>
              <w:t>||</w:t>
            </w:r>
            <w:r w:rsidR="008C30A7" w:rsidRPr="00FE32E3">
              <w:rPr>
                <w:color w:val="000000"/>
                <w:spacing w:val="1"/>
                <w:shd w:val="solid" w:color="000000" w:fill="000000"/>
                <w:fitText w:val="238" w:id="-694445815"/>
                <w14:textFill>
                  <w14:solidFill>
                    <w14:srgbClr w14:val="000000">
                      <w14:alpha w14:val="100000"/>
                    </w14:srgbClr>
                  </w14:solidFill>
                </w14:textFill>
              </w:rPr>
              <w:t>|</w:t>
            </w:r>
          </w:p>
        </w:tc>
        <w:tc>
          <w:tcPr>
            <w:tcW w:w="0" w:type="auto"/>
            <w:tcBorders>
              <w:top w:val="nil"/>
              <w:bottom w:val="nil"/>
            </w:tcBorders>
            <w:vAlign w:val="top"/>
          </w:tcPr>
          <w:p w14:paraId="63009974" w14:textId="77777777" w:rsidR="00CC7C90" w:rsidRPr="0081338E" w:rsidRDefault="00CC7C90" w:rsidP="00B5383E">
            <w:pPr>
              <w:pStyle w:val="TableText0"/>
              <w:keepLines/>
              <w:jc w:val="center"/>
            </w:pPr>
            <w:r w:rsidRPr="0081338E">
              <w:t>5.69</w:t>
            </w:r>
          </w:p>
        </w:tc>
        <w:tc>
          <w:tcPr>
            <w:tcW w:w="0" w:type="auto"/>
            <w:tcBorders>
              <w:top w:val="nil"/>
              <w:bottom w:val="nil"/>
            </w:tcBorders>
            <w:vAlign w:val="top"/>
          </w:tcPr>
          <w:p w14:paraId="290BF133" w14:textId="7BDFFFBF" w:rsidR="00CC7C90" w:rsidRPr="00B51C58" w:rsidRDefault="00CC7C90" w:rsidP="00B5383E">
            <w:pPr>
              <w:pStyle w:val="TableText0"/>
              <w:keepLines/>
              <w:jc w:val="center"/>
            </w:pPr>
            <w:r w:rsidRPr="0081338E">
              <w:t>$</w:t>
            </w:r>
            <w:r w:rsidR="008C30A7" w:rsidRPr="00FE32E3">
              <w:rPr>
                <w:color w:val="000000"/>
                <w:spacing w:val="55"/>
                <w:shd w:val="solid" w:color="000000" w:fill="000000"/>
                <w:fitText w:val="238" w:id="-694445814"/>
                <w14:textFill>
                  <w14:solidFill>
                    <w14:srgbClr w14:val="000000">
                      <w14:alpha w14:val="100000"/>
                    </w14:srgbClr>
                  </w14:solidFill>
                </w14:textFill>
              </w:rPr>
              <w:t>||</w:t>
            </w:r>
            <w:r w:rsidR="008C30A7" w:rsidRPr="00FE32E3">
              <w:rPr>
                <w:color w:val="000000"/>
                <w:spacing w:val="1"/>
                <w:shd w:val="solid" w:color="000000" w:fill="000000"/>
                <w:fitText w:val="238" w:id="-694445814"/>
                <w14:textFill>
                  <w14:solidFill>
                    <w14:srgbClr w14:val="000000">
                      <w14:alpha w14:val="100000"/>
                    </w14:srgbClr>
                  </w14:solidFill>
                </w14:textFill>
              </w:rPr>
              <w:t>|</w:t>
            </w:r>
            <w:r w:rsidR="00B51C58">
              <w:rPr>
                <w:vertAlign w:val="superscript"/>
              </w:rPr>
              <w:t>6</w:t>
            </w:r>
          </w:p>
        </w:tc>
        <w:tc>
          <w:tcPr>
            <w:tcW w:w="0" w:type="auto"/>
            <w:tcBorders>
              <w:top w:val="nil"/>
              <w:bottom w:val="nil"/>
            </w:tcBorders>
            <w:vAlign w:val="top"/>
          </w:tcPr>
          <w:p w14:paraId="4A31073F" w14:textId="4FF12E0F"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813"/>
                <w14:textFill>
                  <w14:solidFill>
                    <w14:srgbClr w14:val="000000">
                      <w14:alpha w14:val="100000"/>
                    </w14:srgbClr>
                  </w14:solidFill>
                </w14:textFill>
              </w:rPr>
              <w:t>||</w:t>
            </w:r>
            <w:r w:rsidR="008C30A7" w:rsidRPr="00FE32E3">
              <w:rPr>
                <w:color w:val="000000"/>
                <w:spacing w:val="1"/>
                <w:shd w:val="solid" w:color="000000" w:fill="000000"/>
                <w:fitText w:val="212" w:id="-694445813"/>
                <w14:textFill>
                  <w14:solidFill>
                    <w14:srgbClr w14:val="000000">
                      <w14:alpha w14:val="100000"/>
                    </w14:srgbClr>
                  </w14:solidFill>
                </w14:textFill>
              </w:rPr>
              <w:t>|</w:t>
            </w:r>
            <w:r w:rsidRPr="0081338E">
              <w:t>%</w:t>
            </w:r>
          </w:p>
        </w:tc>
      </w:tr>
      <w:tr w:rsidR="008C30A7" w:rsidRPr="0081338E" w14:paraId="7E850668" w14:textId="77777777" w:rsidTr="00D10956">
        <w:tc>
          <w:tcPr>
            <w:tcW w:w="0" w:type="auto"/>
            <w:tcBorders>
              <w:top w:val="nil"/>
              <w:bottom w:val="nil"/>
            </w:tcBorders>
            <w:vAlign w:val="top"/>
          </w:tcPr>
          <w:p w14:paraId="6BBC1FB1" w14:textId="77777777" w:rsidR="00CC7C90" w:rsidRPr="0081338E" w:rsidRDefault="00CC7C90" w:rsidP="00B5383E">
            <w:pPr>
              <w:pStyle w:val="TableText0"/>
              <w:keepLines/>
              <w:numPr>
                <w:ilvl w:val="0"/>
                <w:numId w:val="6"/>
              </w:numPr>
              <w:ind w:left="109" w:hanging="142"/>
            </w:pPr>
            <w:r w:rsidRPr="0081338E">
              <w:t>10.28</w:t>
            </w:r>
          </w:p>
        </w:tc>
        <w:tc>
          <w:tcPr>
            <w:tcW w:w="0" w:type="auto"/>
            <w:tcBorders>
              <w:top w:val="nil"/>
              <w:bottom w:val="nil"/>
            </w:tcBorders>
          </w:tcPr>
          <w:p w14:paraId="2B18A949"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6C232338"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1B0B030C"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1080A5D3" w14:textId="77777777" w:rsidR="00CC7C90" w:rsidRPr="0081338E" w:rsidRDefault="00CC7C90" w:rsidP="00B5383E">
            <w:pPr>
              <w:pStyle w:val="TableText0"/>
              <w:keepLines/>
              <w:jc w:val="center"/>
            </w:pPr>
            <w:r w:rsidRPr="0081338E">
              <w:t>-</w:t>
            </w:r>
          </w:p>
        </w:tc>
        <w:tc>
          <w:tcPr>
            <w:tcW w:w="0" w:type="auto"/>
            <w:tcBorders>
              <w:top w:val="nil"/>
              <w:bottom w:val="nil"/>
            </w:tcBorders>
            <w:vAlign w:val="top"/>
          </w:tcPr>
          <w:p w14:paraId="3266478D" w14:textId="1D920D38"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2"/>
                <w14:textFill>
                  <w14:solidFill>
                    <w14:srgbClr w14:val="000000">
                      <w14:alpha w14:val="100000"/>
                    </w14:srgbClr>
                  </w14:solidFill>
                </w14:textFill>
              </w:rPr>
              <w:t>||</w:t>
            </w:r>
            <w:r w:rsidR="008C30A7" w:rsidRPr="00FE32E3">
              <w:rPr>
                <w:color w:val="000000"/>
                <w:spacing w:val="1"/>
                <w:shd w:val="solid" w:color="000000" w:fill="000000"/>
                <w:fitText w:val="238" w:id="-694445812"/>
                <w14:textFill>
                  <w14:solidFill>
                    <w14:srgbClr w14:val="000000">
                      <w14:alpha w14:val="100000"/>
                    </w14:srgbClr>
                  </w14:solidFill>
                </w14:textFill>
              </w:rPr>
              <w:t>|</w:t>
            </w:r>
          </w:p>
        </w:tc>
        <w:tc>
          <w:tcPr>
            <w:tcW w:w="0" w:type="auto"/>
            <w:tcBorders>
              <w:top w:val="nil"/>
              <w:bottom w:val="nil"/>
            </w:tcBorders>
            <w:vAlign w:val="top"/>
          </w:tcPr>
          <w:p w14:paraId="18D3B308" w14:textId="77777777" w:rsidR="00CC7C90" w:rsidRPr="0081338E" w:rsidRDefault="00CC7C90" w:rsidP="00B5383E">
            <w:pPr>
              <w:pStyle w:val="TableText0"/>
              <w:keepLines/>
              <w:jc w:val="center"/>
            </w:pPr>
            <w:r w:rsidRPr="0081338E">
              <w:t>3.51</w:t>
            </w:r>
          </w:p>
        </w:tc>
        <w:tc>
          <w:tcPr>
            <w:tcW w:w="0" w:type="auto"/>
            <w:tcBorders>
              <w:top w:val="nil"/>
              <w:bottom w:val="nil"/>
            </w:tcBorders>
            <w:vAlign w:val="top"/>
          </w:tcPr>
          <w:p w14:paraId="0C880656" w14:textId="48B85887" w:rsidR="00CC7C90" w:rsidRPr="003F30A1"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1"/>
                <w14:textFill>
                  <w14:solidFill>
                    <w14:srgbClr w14:val="000000">
                      <w14:alpha w14:val="100000"/>
                    </w14:srgbClr>
                  </w14:solidFill>
                </w14:textFill>
              </w:rPr>
              <w:t>||</w:t>
            </w:r>
            <w:r w:rsidR="008C30A7" w:rsidRPr="00FE32E3">
              <w:rPr>
                <w:color w:val="000000"/>
                <w:spacing w:val="1"/>
                <w:shd w:val="solid" w:color="000000" w:fill="000000"/>
                <w:fitText w:val="238" w:id="-694445811"/>
                <w14:textFill>
                  <w14:solidFill>
                    <w14:srgbClr w14:val="000000">
                      <w14:alpha w14:val="100000"/>
                    </w14:srgbClr>
                  </w14:solidFill>
                </w14:textFill>
              </w:rPr>
              <w:t>|</w:t>
            </w:r>
            <w:r w:rsidR="003F30A1">
              <w:rPr>
                <w:vertAlign w:val="superscript"/>
              </w:rPr>
              <w:t>8</w:t>
            </w:r>
          </w:p>
        </w:tc>
        <w:tc>
          <w:tcPr>
            <w:tcW w:w="0" w:type="auto"/>
            <w:tcBorders>
              <w:top w:val="nil"/>
              <w:bottom w:val="nil"/>
            </w:tcBorders>
            <w:vAlign w:val="top"/>
          </w:tcPr>
          <w:p w14:paraId="5967CF35" w14:textId="030E3D12" w:rsidR="00CC7C90" w:rsidRPr="0081338E" w:rsidRDefault="008C30A7" w:rsidP="00B5383E">
            <w:pPr>
              <w:pStyle w:val="TableText0"/>
              <w:keepLines/>
              <w:jc w:val="center"/>
            </w:pPr>
            <w:r w:rsidRPr="00FE32E3">
              <w:rPr>
                <w:color w:val="000000"/>
                <w:spacing w:val="89"/>
                <w:shd w:val="solid" w:color="000000" w:fill="000000"/>
                <w:fitText w:val="175" w:id="-694445810"/>
                <w14:textFill>
                  <w14:solidFill>
                    <w14:srgbClr w14:val="000000">
                      <w14:alpha w14:val="100000"/>
                    </w14:srgbClr>
                  </w14:solidFill>
                </w14:textFill>
              </w:rPr>
              <w:t>|</w:t>
            </w:r>
            <w:r w:rsidRPr="00FE32E3">
              <w:rPr>
                <w:color w:val="000000"/>
                <w:spacing w:val="1"/>
                <w:shd w:val="solid" w:color="000000" w:fill="000000"/>
                <w:fitText w:val="175" w:id="-694445810"/>
                <w14:textFill>
                  <w14:solidFill>
                    <w14:srgbClr w14:val="000000">
                      <w14:alpha w14:val="100000"/>
                    </w14:srgbClr>
                  </w14:solidFill>
                </w14:textFill>
              </w:rPr>
              <w:t>|</w:t>
            </w:r>
            <w:r w:rsidR="00CC7C90" w:rsidRPr="0081338E">
              <w:t>%</w:t>
            </w:r>
          </w:p>
        </w:tc>
      </w:tr>
      <w:tr w:rsidR="00CC7C90" w:rsidRPr="003D1F14" w14:paraId="3847AFA8" w14:textId="77777777" w:rsidTr="00D10956">
        <w:tc>
          <w:tcPr>
            <w:tcW w:w="0" w:type="auto"/>
            <w:gridSpan w:val="9"/>
            <w:tcBorders>
              <w:top w:val="nil"/>
              <w:bottom w:val="nil"/>
            </w:tcBorders>
          </w:tcPr>
          <w:p w14:paraId="5053C209" w14:textId="65FD62D3" w:rsidR="00CC7C90" w:rsidRPr="00251699" w:rsidRDefault="00CC7C90" w:rsidP="00B5383E">
            <w:pPr>
              <w:pStyle w:val="TableText0"/>
              <w:keepLines/>
              <w:rPr>
                <w:lang w:val="pt-PT"/>
              </w:rPr>
            </w:pPr>
            <w:r w:rsidRPr="00251699">
              <w:rPr>
                <w:lang w:val="pt-PT"/>
              </w:rPr>
              <w:t xml:space="preserve">Stratum 2 OS HR vs Stratum 1 (base </w:t>
            </w:r>
            <w:r w:rsidR="009353A4" w:rsidRPr="00251699">
              <w:rPr>
                <w:lang w:val="pt-PT"/>
              </w:rPr>
              <w:t xml:space="preserve">case </w:t>
            </w:r>
            <w:r w:rsidRPr="00251699">
              <w:rPr>
                <w:lang w:val="pt-PT"/>
              </w:rPr>
              <w:t>7.96)</w:t>
            </w:r>
          </w:p>
        </w:tc>
      </w:tr>
      <w:tr w:rsidR="008C30A7" w:rsidRPr="0081338E" w14:paraId="6E5F6B9F" w14:textId="77777777" w:rsidTr="00D10956">
        <w:tc>
          <w:tcPr>
            <w:tcW w:w="0" w:type="auto"/>
            <w:tcBorders>
              <w:top w:val="nil"/>
              <w:bottom w:val="nil"/>
            </w:tcBorders>
            <w:vAlign w:val="top"/>
          </w:tcPr>
          <w:p w14:paraId="312A9873" w14:textId="77777777" w:rsidR="00CC7C90" w:rsidRPr="0081338E" w:rsidRDefault="00CC7C90" w:rsidP="00B5383E">
            <w:pPr>
              <w:pStyle w:val="TableText0"/>
              <w:keepLines/>
              <w:numPr>
                <w:ilvl w:val="0"/>
                <w:numId w:val="6"/>
              </w:numPr>
              <w:ind w:left="109" w:hanging="142"/>
            </w:pPr>
            <w:r w:rsidRPr="0081338E">
              <w:t>3.26</w:t>
            </w:r>
          </w:p>
        </w:tc>
        <w:tc>
          <w:tcPr>
            <w:tcW w:w="0" w:type="auto"/>
            <w:tcBorders>
              <w:top w:val="nil"/>
              <w:bottom w:val="nil"/>
            </w:tcBorders>
          </w:tcPr>
          <w:p w14:paraId="4A273424"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5D08240A"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1C5B811B" w14:textId="77777777" w:rsidR="00CC7C90" w:rsidRPr="0081338E" w:rsidRDefault="00CC7C90" w:rsidP="00B5383E">
            <w:pPr>
              <w:pStyle w:val="TableText0"/>
              <w:keepLines/>
              <w:jc w:val="center"/>
            </w:pPr>
            <w:r w:rsidRPr="0081338E">
              <w:t>-</w:t>
            </w:r>
          </w:p>
        </w:tc>
        <w:tc>
          <w:tcPr>
            <w:tcW w:w="0" w:type="auto"/>
            <w:tcBorders>
              <w:top w:val="nil"/>
              <w:bottom w:val="nil"/>
            </w:tcBorders>
          </w:tcPr>
          <w:p w14:paraId="7D74AABE" w14:textId="77777777" w:rsidR="00CC7C90" w:rsidRPr="0081338E" w:rsidRDefault="00CC7C90" w:rsidP="00B5383E">
            <w:pPr>
              <w:pStyle w:val="TableText0"/>
              <w:keepLines/>
              <w:jc w:val="center"/>
            </w:pPr>
            <w:r w:rsidRPr="0081338E">
              <w:t>-</w:t>
            </w:r>
          </w:p>
        </w:tc>
        <w:tc>
          <w:tcPr>
            <w:tcW w:w="0" w:type="auto"/>
            <w:tcBorders>
              <w:top w:val="nil"/>
              <w:bottom w:val="nil"/>
            </w:tcBorders>
            <w:vAlign w:val="top"/>
          </w:tcPr>
          <w:p w14:paraId="7FC7353A" w14:textId="721B4586"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09"/>
                <w14:textFill>
                  <w14:solidFill>
                    <w14:srgbClr w14:val="000000">
                      <w14:alpha w14:val="100000"/>
                    </w14:srgbClr>
                  </w14:solidFill>
                </w14:textFill>
              </w:rPr>
              <w:t>||</w:t>
            </w:r>
            <w:r w:rsidR="008C30A7" w:rsidRPr="00FE32E3">
              <w:rPr>
                <w:color w:val="000000"/>
                <w:spacing w:val="1"/>
                <w:shd w:val="solid" w:color="000000" w:fill="000000"/>
                <w:fitText w:val="238" w:id="-694445809"/>
                <w14:textFill>
                  <w14:solidFill>
                    <w14:srgbClr w14:val="000000">
                      <w14:alpha w14:val="100000"/>
                    </w14:srgbClr>
                  </w14:solidFill>
                </w14:textFill>
              </w:rPr>
              <w:t>|</w:t>
            </w:r>
          </w:p>
        </w:tc>
        <w:tc>
          <w:tcPr>
            <w:tcW w:w="0" w:type="auto"/>
            <w:tcBorders>
              <w:top w:val="nil"/>
              <w:bottom w:val="nil"/>
            </w:tcBorders>
            <w:vAlign w:val="top"/>
          </w:tcPr>
          <w:p w14:paraId="1851FC2A" w14:textId="77777777" w:rsidR="00CC7C90" w:rsidRPr="0081338E" w:rsidRDefault="00CC7C90" w:rsidP="00B5383E">
            <w:pPr>
              <w:pStyle w:val="TableText0"/>
              <w:keepLines/>
              <w:jc w:val="center"/>
            </w:pPr>
            <w:r w:rsidRPr="0081338E">
              <w:t>4.76</w:t>
            </w:r>
          </w:p>
        </w:tc>
        <w:tc>
          <w:tcPr>
            <w:tcW w:w="0" w:type="auto"/>
            <w:tcBorders>
              <w:top w:val="nil"/>
              <w:bottom w:val="nil"/>
            </w:tcBorders>
            <w:vAlign w:val="top"/>
          </w:tcPr>
          <w:p w14:paraId="1C43A81C" w14:textId="0FEA31DF" w:rsidR="00CC7C90" w:rsidRPr="00FD4535"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08"/>
                <w14:textFill>
                  <w14:solidFill>
                    <w14:srgbClr w14:val="000000">
                      <w14:alpha w14:val="100000"/>
                    </w14:srgbClr>
                  </w14:solidFill>
                </w14:textFill>
              </w:rPr>
              <w:t>||</w:t>
            </w:r>
            <w:r w:rsidR="008C30A7" w:rsidRPr="00FE32E3">
              <w:rPr>
                <w:color w:val="000000"/>
                <w:spacing w:val="1"/>
                <w:shd w:val="solid" w:color="000000" w:fill="000000"/>
                <w:fitText w:val="238" w:id="-694445808"/>
                <w14:textFill>
                  <w14:solidFill>
                    <w14:srgbClr w14:val="000000">
                      <w14:alpha w14:val="100000"/>
                    </w14:srgbClr>
                  </w14:solidFill>
                </w14:textFill>
              </w:rPr>
              <w:t>|</w:t>
            </w:r>
            <w:r w:rsidR="00FD4535">
              <w:rPr>
                <w:vertAlign w:val="superscript"/>
              </w:rPr>
              <w:t>2</w:t>
            </w:r>
          </w:p>
        </w:tc>
        <w:tc>
          <w:tcPr>
            <w:tcW w:w="0" w:type="auto"/>
            <w:tcBorders>
              <w:top w:val="nil"/>
              <w:bottom w:val="nil"/>
            </w:tcBorders>
            <w:vAlign w:val="top"/>
          </w:tcPr>
          <w:p w14:paraId="6A94ED45" w14:textId="28EAE9B0"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824"/>
                <w14:textFill>
                  <w14:solidFill>
                    <w14:srgbClr w14:val="000000">
                      <w14:alpha w14:val="100000"/>
                    </w14:srgbClr>
                  </w14:solidFill>
                </w14:textFill>
              </w:rPr>
              <w:t>||</w:t>
            </w:r>
            <w:r w:rsidR="008C30A7" w:rsidRPr="00FE32E3">
              <w:rPr>
                <w:color w:val="000000"/>
                <w:spacing w:val="1"/>
                <w:shd w:val="solid" w:color="000000" w:fill="000000"/>
                <w:fitText w:val="212" w:id="-694445824"/>
                <w14:textFill>
                  <w14:solidFill>
                    <w14:srgbClr w14:val="000000">
                      <w14:alpha w14:val="100000"/>
                    </w14:srgbClr>
                  </w14:solidFill>
                </w14:textFill>
              </w:rPr>
              <w:t>|</w:t>
            </w:r>
            <w:r w:rsidRPr="0081338E">
              <w:t>%</w:t>
            </w:r>
          </w:p>
        </w:tc>
      </w:tr>
      <w:tr w:rsidR="008C30A7" w:rsidRPr="0081338E" w14:paraId="287501DA" w14:textId="77777777" w:rsidTr="00D10956">
        <w:tc>
          <w:tcPr>
            <w:tcW w:w="0" w:type="auto"/>
            <w:tcBorders>
              <w:top w:val="nil"/>
              <w:bottom w:val="single" w:sz="4" w:space="0" w:color="auto"/>
            </w:tcBorders>
            <w:vAlign w:val="top"/>
          </w:tcPr>
          <w:p w14:paraId="5DB0A0C1" w14:textId="77777777" w:rsidR="00CC7C90" w:rsidRPr="0081338E" w:rsidRDefault="00CC7C90" w:rsidP="00B5383E">
            <w:pPr>
              <w:pStyle w:val="TableText0"/>
              <w:keepLines/>
              <w:numPr>
                <w:ilvl w:val="0"/>
                <w:numId w:val="6"/>
              </w:numPr>
              <w:ind w:left="109" w:hanging="142"/>
            </w:pPr>
            <w:r w:rsidRPr="0081338E">
              <w:t>19.43</w:t>
            </w:r>
          </w:p>
        </w:tc>
        <w:tc>
          <w:tcPr>
            <w:tcW w:w="0" w:type="auto"/>
            <w:tcBorders>
              <w:top w:val="nil"/>
              <w:bottom w:val="single" w:sz="4" w:space="0" w:color="auto"/>
            </w:tcBorders>
          </w:tcPr>
          <w:p w14:paraId="5C13FED4" w14:textId="77777777" w:rsidR="00CC7C90" w:rsidRPr="0081338E" w:rsidRDefault="00CC7C90" w:rsidP="00B5383E">
            <w:pPr>
              <w:pStyle w:val="TableText0"/>
              <w:keepLines/>
              <w:jc w:val="center"/>
            </w:pPr>
            <w:r w:rsidRPr="0081338E">
              <w:t>-</w:t>
            </w:r>
          </w:p>
        </w:tc>
        <w:tc>
          <w:tcPr>
            <w:tcW w:w="0" w:type="auto"/>
            <w:tcBorders>
              <w:top w:val="nil"/>
              <w:bottom w:val="single" w:sz="4" w:space="0" w:color="auto"/>
            </w:tcBorders>
          </w:tcPr>
          <w:p w14:paraId="0623E861" w14:textId="77777777" w:rsidR="00CC7C90" w:rsidRPr="0081338E" w:rsidRDefault="00CC7C90" w:rsidP="00B5383E">
            <w:pPr>
              <w:pStyle w:val="TableText0"/>
              <w:keepLines/>
              <w:jc w:val="center"/>
            </w:pPr>
            <w:r w:rsidRPr="0081338E">
              <w:t>-</w:t>
            </w:r>
          </w:p>
        </w:tc>
        <w:tc>
          <w:tcPr>
            <w:tcW w:w="0" w:type="auto"/>
            <w:tcBorders>
              <w:top w:val="nil"/>
              <w:bottom w:val="single" w:sz="4" w:space="0" w:color="auto"/>
            </w:tcBorders>
          </w:tcPr>
          <w:p w14:paraId="2A969127" w14:textId="77777777" w:rsidR="00CC7C90" w:rsidRPr="0081338E" w:rsidRDefault="00CC7C90" w:rsidP="00B5383E">
            <w:pPr>
              <w:pStyle w:val="TableText0"/>
              <w:keepLines/>
              <w:jc w:val="center"/>
            </w:pPr>
            <w:r w:rsidRPr="0081338E">
              <w:t>-</w:t>
            </w:r>
          </w:p>
        </w:tc>
        <w:tc>
          <w:tcPr>
            <w:tcW w:w="0" w:type="auto"/>
            <w:tcBorders>
              <w:top w:val="nil"/>
              <w:bottom w:val="single" w:sz="4" w:space="0" w:color="auto"/>
            </w:tcBorders>
          </w:tcPr>
          <w:p w14:paraId="6D4B5CAF" w14:textId="77777777" w:rsidR="00CC7C90" w:rsidRPr="0081338E" w:rsidRDefault="00CC7C90" w:rsidP="00B5383E">
            <w:pPr>
              <w:pStyle w:val="TableText0"/>
              <w:keepLines/>
              <w:jc w:val="center"/>
            </w:pPr>
            <w:r w:rsidRPr="0081338E">
              <w:t>-</w:t>
            </w:r>
          </w:p>
        </w:tc>
        <w:tc>
          <w:tcPr>
            <w:tcW w:w="0" w:type="auto"/>
            <w:tcBorders>
              <w:top w:val="nil"/>
              <w:bottom w:val="single" w:sz="4" w:space="0" w:color="auto"/>
            </w:tcBorders>
            <w:vAlign w:val="top"/>
          </w:tcPr>
          <w:p w14:paraId="7F2F8567" w14:textId="79ED3D99"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3"/>
                <w14:textFill>
                  <w14:solidFill>
                    <w14:srgbClr w14:val="000000">
                      <w14:alpha w14:val="100000"/>
                    </w14:srgbClr>
                  </w14:solidFill>
                </w14:textFill>
              </w:rPr>
              <w:t>||</w:t>
            </w:r>
            <w:r w:rsidR="008C30A7" w:rsidRPr="00FE32E3">
              <w:rPr>
                <w:color w:val="000000"/>
                <w:spacing w:val="1"/>
                <w:shd w:val="solid" w:color="000000" w:fill="000000"/>
                <w:fitText w:val="238" w:id="-694445823"/>
                <w14:textFill>
                  <w14:solidFill>
                    <w14:srgbClr w14:val="000000">
                      <w14:alpha w14:val="100000"/>
                    </w14:srgbClr>
                  </w14:solidFill>
                </w14:textFill>
              </w:rPr>
              <w:t>|</w:t>
            </w:r>
          </w:p>
        </w:tc>
        <w:tc>
          <w:tcPr>
            <w:tcW w:w="0" w:type="auto"/>
            <w:tcBorders>
              <w:top w:val="nil"/>
              <w:bottom w:val="single" w:sz="4" w:space="0" w:color="auto"/>
            </w:tcBorders>
            <w:vAlign w:val="top"/>
          </w:tcPr>
          <w:p w14:paraId="5D1DCCE8" w14:textId="77777777" w:rsidR="00CC7C90" w:rsidRPr="0081338E" w:rsidRDefault="00CC7C90" w:rsidP="00B5383E">
            <w:pPr>
              <w:pStyle w:val="TableText0"/>
              <w:keepLines/>
              <w:jc w:val="center"/>
            </w:pPr>
            <w:r w:rsidRPr="0081338E">
              <w:t>3.17</w:t>
            </w:r>
          </w:p>
        </w:tc>
        <w:tc>
          <w:tcPr>
            <w:tcW w:w="0" w:type="auto"/>
            <w:tcBorders>
              <w:top w:val="nil"/>
              <w:bottom w:val="single" w:sz="4" w:space="0" w:color="auto"/>
            </w:tcBorders>
            <w:vAlign w:val="top"/>
          </w:tcPr>
          <w:p w14:paraId="5B4AD04C" w14:textId="776D892C" w:rsidR="00CC7C90" w:rsidRPr="003F30A1"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22"/>
                <w14:textFill>
                  <w14:solidFill>
                    <w14:srgbClr w14:val="000000">
                      <w14:alpha w14:val="100000"/>
                    </w14:srgbClr>
                  </w14:solidFill>
                </w14:textFill>
              </w:rPr>
              <w:t>||</w:t>
            </w:r>
            <w:r w:rsidR="008C30A7" w:rsidRPr="00FE32E3">
              <w:rPr>
                <w:color w:val="000000"/>
                <w:spacing w:val="1"/>
                <w:shd w:val="solid" w:color="000000" w:fill="000000"/>
                <w:fitText w:val="238" w:id="-694445822"/>
                <w14:textFill>
                  <w14:solidFill>
                    <w14:srgbClr w14:val="000000">
                      <w14:alpha w14:val="100000"/>
                    </w14:srgbClr>
                  </w14:solidFill>
                </w14:textFill>
              </w:rPr>
              <w:t>|</w:t>
            </w:r>
            <w:r w:rsidR="003F30A1">
              <w:rPr>
                <w:vertAlign w:val="superscript"/>
              </w:rPr>
              <w:t>8</w:t>
            </w:r>
          </w:p>
        </w:tc>
        <w:tc>
          <w:tcPr>
            <w:tcW w:w="0" w:type="auto"/>
            <w:tcBorders>
              <w:top w:val="nil"/>
              <w:bottom w:val="single" w:sz="4" w:space="0" w:color="auto"/>
            </w:tcBorders>
            <w:vAlign w:val="top"/>
          </w:tcPr>
          <w:p w14:paraId="6025E2A7" w14:textId="50F2FD87" w:rsidR="00CC7C90" w:rsidRPr="0081338E" w:rsidRDefault="008C30A7" w:rsidP="00B5383E">
            <w:pPr>
              <w:pStyle w:val="TableText0"/>
              <w:keepLines/>
              <w:jc w:val="center"/>
            </w:pPr>
            <w:r w:rsidRPr="00FE32E3">
              <w:rPr>
                <w:color w:val="000000"/>
                <w:spacing w:val="89"/>
                <w:shd w:val="solid" w:color="000000" w:fill="000000"/>
                <w:fitText w:val="175" w:id="-694445821"/>
                <w14:textFill>
                  <w14:solidFill>
                    <w14:srgbClr w14:val="000000">
                      <w14:alpha w14:val="100000"/>
                    </w14:srgbClr>
                  </w14:solidFill>
                </w14:textFill>
              </w:rPr>
              <w:t>|</w:t>
            </w:r>
            <w:r w:rsidRPr="00FE32E3">
              <w:rPr>
                <w:color w:val="000000"/>
                <w:spacing w:val="1"/>
                <w:shd w:val="solid" w:color="000000" w:fill="000000"/>
                <w:fitText w:val="175" w:id="-694445821"/>
                <w14:textFill>
                  <w14:solidFill>
                    <w14:srgbClr w14:val="000000">
                      <w14:alpha w14:val="100000"/>
                    </w14:srgbClr>
                  </w14:solidFill>
                </w14:textFill>
              </w:rPr>
              <w:t>|</w:t>
            </w:r>
            <w:r w:rsidR="00CC7C90" w:rsidRPr="0081338E">
              <w:t>%</w:t>
            </w:r>
          </w:p>
        </w:tc>
      </w:tr>
      <w:tr w:rsidR="008C30A7" w:rsidRPr="0081338E" w14:paraId="25796AF3" w14:textId="77777777" w:rsidTr="00D10956">
        <w:tc>
          <w:tcPr>
            <w:tcW w:w="0" w:type="auto"/>
            <w:tcBorders>
              <w:top w:val="nil"/>
              <w:bottom w:val="single" w:sz="4" w:space="0" w:color="auto"/>
            </w:tcBorders>
          </w:tcPr>
          <w:p w14:paraId="3E882F3C" w14:textId="41EE9901" w:rsidR="00CC7C90" w:rsidRPr="0081338E" w:rsidRDefault="00CC7C90" w:rsidP="00B5383E">
            <w:pPr>
              <w:pStyle w:val="TableText0"/>
              <w:keepLines/>
            </w:pPr>
            <w:r w:rsidRPr="0081338E">
              <w:t>Relapse mortality SMR 10.6 (base</w:t>
            </w:r>
            <w:r w:rsidR="009353A4">
              <w:t xml:space="preserve"> case</w:t>
            </w:r>
            <w:r w:rsidRPr="0081338E">
              <w:t xml:space="preserve"> uses trial)</w:t>
            </w:r>
          </w:p>
        </w:tc>
        <w:tc>
          <w:tcPr>
            <w:tcW w:w="0" w:type="auto"/>
            <w:tcBorders>
              <w:top w:val="nil"/>
              <w:bottom w:val="single" w:sz="4" w:space="0" w:color="auto"/>
            </w:tcBorders>
          </w:tcPr>
          <w:p w14:paraId="0988D3B6" w14:textId="7A9BC2CC"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0"/>
                <w14:textFill>
                  <w14:solidFill>
                    <w14:srgbClr w14:val="000000">
                      <w14:alpha w14:val="100000"/>
                    </w14:srgbClr>
                  </w14:solidFill>
                </w14:textFill>
              </w:rPr>
              <w:t>||</w:t>
            </w:r>
            <w:r w:rsidR="008C30A7" w:rsidRPr="00FE32E3">
              <w:rPr>
                <w:color w:val="000000"/>
                <w:spacing w:val="1"/>
                <w:shd w:val="solid" w:color="000000" w:fill="000000"/>
                <w:fitText w:val="238" w:id="-694445820"/>
                <w14:textFill>
                  <w14:solidFill>
                    <w14:srgbClr w14:val="000000">
                      <w14:alpha w14:val="100000"/>
                    </w14:srgbClr>
                  </w14:solidFill>
                </w14:textFill>
              </w:rPr>
              <w:t>|</w:t>
            </w:r>
          </w:p>
        </w:tc>
        <w:tc>
          <w:tcPr>
            <w:tcW w:w="0" w:type="auto"/>
            <w:tcBorders>
              <w:top w:val="nil"/>
              <w:bottom w:val="single" w:sz="4" w:space="0" w:color="auto"/>
            </w:tcBorders>
          </w:tcPr>
          <w:p w14:paraId="612EA875" w14:textId="77777777" w:rsidR="00CC7C90" w:rsidRPr="0081338E" w:rsidRDefault="00CC7C90" w:rsidP="00B5383E">
            <w:pPr>
              <w:pStyle w:val="TableText0"/>
              <w:keepLines/>
              <w:jc w:val="center"/>
            </w:pPr>
            <w:r w:rsidRPr="0081338E">
              <w:t>2.15</w:t>
            </w:r>
          </w:p>
        </w:tc>
        <w:tc>
          <w:tcPr>
            <w:tcW w:w="0" w:type="auto"/>
            <w:tcBorders>
              <w:top w:val="nil"/>
              <w:bottom w:val="single" w:sz="4" w:space="0" w:color="auto"/>
            </w:tcBorders>
          </w:tcPr>
          <w:p w14:paraId="56018B4F" w14:textId="4AB27849" w:rsidR="00CC7C90" w:rsidRPr="00E27E7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9"/>
                <w14:textFill>
                  <w14:solidFill>
                    <w14:srgbClr w14:val="000000">
                      <w14:alpha w14:val="100000"/>
                    </w14:srgbClr>
                  </w14:solidFill>
                </w14:textFill>
              </w:rPr>
              <w:t>||</w:t>
            </w:r>
            <w:r w:rsidR="008C30A7" w:rsidRPr="00FE32E3">
              <w:rPr>
                <w:color w:val="000000"/>
                <w:spacing w:val="1"/>
                <w:shd w:val="solid" w:color="000000" w:fill="000000"/>
                <w:fitText w:val="238" w:id="-694445819"/>
                <w14:textFill>
                  <w14:solidFill>
                    <w14:srgbClr w14:val="000000">
                      <w14:alpha w14:val="100000"/>
                    </w14:srgbClr>
                  </w14:solidFill>
                </w14:textFill>
              </w:rPr>
              <w:t>|</w:t>
            </w:r>
            <w:r w:rsidR="00E27E76">
              <w:rPr>
                <w:vertAlign w:val="superscript"/>
              </w:rPr>
              <w:t>1</w:t>
            </w:r>
          </w:p>
        </w:tc>
        <w:tc>
          <w:tcPr>
            <w:tcW w:w="0" w:type="auto"/>
            <w:tcBorders>
              <w:top w:val="nil"/>
              <w:bottom w:val="single" w:sz="4" w:space="0" w:color="auto"/>
            </w:tcBorders>
          </w:tcPr>
          <w:p w14:paraId="144A4ABD" w14:textId="7D8ED57D" w:rsidR="00CC7C90" w:rsidRPr="0081338E" w:rsidRDefault="008C30A7" w:rsidP="00B5383E">
            <w:pPr>
              <w:pStyle w:val="TableText0"/>
              <w:keepLines/>
              <w:jc w:val="center"/>
            </w:pPr>
            <w:r w:rsidRPr="00FE32E3">
              <w:rPr>
                <w:color w:val="000000"/>
                <w:spacing w:val="90"/>
                <w:shd w:val="solid" w:color="000000" w:fill="000000"/>
                <w:fitText w:val="176" w:id="-694445818"/>
                <w14:textFill>
                  <w14:solidFill>
                    <w14:srgbClr w14:val="000000">
                      <w14:alpha w14:val="100000"/>
                    </w14:srgbClr>
                  </w14:solidFill>
                </w14:textFill>
              </w:rPr>
              <w:t>|</w:t>
            </w:r>
            <w:r w:rsidRPr="00FE32E3">
              <w:rPr>
                <w:color w:val="000000"/>
                <w:spacing w:val="1"/>
                <w:shd w:val="solid" w:color="000000" w:fill="000000"/>
                <w:fitText w:val="176" w:id="-694445818"/>
                <w14:textFill>
                  <w14:solidFill>
                    <w14:srgbClr w14:val="000000">
                      <w14:alpha w14:val="100000"/>
                    </w14:srgbClr>
                  </w14:solidFill>
                </w14:textFill>
              </w:rPr>
              <w:t>|</w:t>
            </w:r>
            <w:r w:rsidR="00CC7C90" w:rsidRPr="0081338E">
              <w:t>%</w:t>
            </w:r>
          </w:p>
        </w:tc>
        <w:tc>
          <w:tcPr>
            <w:tcW w:w="0" w:type="auto"/>
            <w:tcBorders>
              <w:top w:val="nil"/>
              <w:bottom w:val="single" w:sz="4" w:space="0" w:color="auto"/>
            </w:tcBorders>
          </w:tcPr>
          <w:p w14:paraId="012203DD" w14:textId="776F683E"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7"/>
                <w14:textFill>
                  <w14:solidFill>
                    <w14:srgbClr w14:val="000000">
                      <w14:alpha w14:val="100000"/>
                    </w14:srgbClr>
                  </w14:solidFill>
                </w14:textFill>
              </w:rPr>
              <w:t>||</w:t>
            </w:r>
            <w:r w:rsidR="008C30A7" w:rsidRPr="00FE32E3">
              <w:rPr>
                <w:color w:val="000000"/>
                <w:spacing w:val="1"/>
                <w:shd w:val="solid" w:color="000000" w:fill="000000"/>
                <w:fitText w:val="238" w:id="-694445817"/>
                <w14:textFill>
                  <w14:solidFill>
                    <w14:srgbClr w14:val="000000">
                      <w14:alpha w14:val="100000"/>
                    </w14:srgbClr>
                  </w14:solidFill>
                </w14:textFill>
              </w:rPr>
              <w:t>|</w:t>
            </w:r>
          </w:p>
        </w:tc>
        <w:tc>
          <w:tcPr>
            <w:tcW w:w="0" w:type="auto"/>
            <w:tcBorders>
              <w:top w:val="nil"/>
              <w:bottom w:val="single" w:sz="4" w:space="0" w:color="auto"/>
            </w:tcBorders>
          </w:tcPr>
          <w:p w14:paraId="10FAE88A" w14:textId="77777777" w:rsidR="00CC7C90" w:rsidRPr="0081338E" w:rsidRDefault="00CC7C90" w:rsidP="00B5383E">
            <w:pPr>
              <w:pStyle w:val="TableText0"/>
              <w:keepLines/>
              <w:jc w:val="center"/>
            </w:pPr>
            <w:r w:rsidRPr="0081338E">
              <w:t>5.20</w:t>
            </w:r>
          </w:p>
        </w:tc>
        <w:tc>
          <w:tcPr>
            <w:tcW w:w="0" w:type="auto"/>
            <w:tcBorders>
              <w:top w:val="nil"/>
              <w:bottom w:val="single" w:sz="4" w:space="0" w:color="auto"/>
            </w:tcBorders>
          </w:tcPr>
          <w:p w14:paraId="04B7B2E8" w14:textId="2ADE7495" w:rsidR="00CC7C90" w:rsidRPr="00FD4535"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6"/>
                <w14:textFill>
                  <w14:solidFill>
                    <w14:srgbClr w14:val="000000">
                      <w14:alpha w14:val="100000"/>
                    </w14:srgbClr>
                  </w14:solidFill>
                </w14:textFill>
              </w:rPr>
              <w:t>||</w:t>
            </w:r>
            <w:r w:rsidR="008C30A7" w:rsidRPr="00FE32E3">
              <w:rPr>
                <w:color w:val="000000"/>
                <w:spacing w:val="1"/>
                <w:shd w:val="solid" w:color="000000" w:fill="000000"/>
                <w:fitText w:val="238" w:id="-694445816"/>
                <w14:textFill>
                  <w14:solidFill>
                    <w14:srgbClr w14:val="000000">
                      <w14:alpha w14:val="100000"/>
                    </w14:srgbClr>
                  </w14:solidFill>
                </w14:textFill>
              </w:rPr>
              <w:t>|</w:t>
            </w:r>
            <w:r w:rsidR="00FD4535">
              <w:rPr>
                <w:vertAlign w:val="superscript"/>
              </w:rPr>
              <w:t>2</w:t>
            </w:r>
          </w:p>
        </w:tc>
        <w:tc>
          <w:tcPr>
            <w:tcW w:w="0" w:type="auto"/>
            <w:tcBorders>
              <w:top w:val="nil"/>
              <w:bottom w:val="single" w:sz="4" w:space="0" w:color="auto"/>
            </w:tcBorders>
          </w:tcPr>
          <w:p w14:paraId="165712D0" w14:textId="247C638C"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815"/>
                <w14:textFill>
                  <w14:solidFill>
                    <w14:srgbClr w14:val="000000">
                      <w14:alpha w14:val="100000"/>
                    </w14:srgbClr>
                  </w14:solidFill>
                </w14:textFill>
              </w:rPr>
              <w:t>||</w:t>
            </w:r>
            <w:r w:rsidR="008C30A7" w:rsidRPr="00FE32E3">
              <w:rPr>
                <w:color w:val="000000"/>
                <w:spacing w:val="1"/>
                <w:shd w:val="solid" w:color="000000" w:fill="000000"/>
                <w:fitText w:val="212" w:id="-694445815"/>
                <w14:textFill>
                  <w14:solidFill>
                    <w14:srgbClr w14:val="000000">
                      <w14:alpha w14:val="100000"/>
                    </w14:srgbClr>
                  </w14:solidFill>
                </w14:textFill>
              </w:rPr>
              <w:t>|</w:t>
            </w:r>
            <w:r w:rsidRPr="0081338E">
              <w:t>%</w:t>
            </w:r>
          </w:p>
        </w:tc>
      </w:tr>
      <w:tr w:rsidR="00CC7C90" w:rsidRPr="0081338E" w14:paraId="712DF3EF" w14:textId="77777777" w:rsidTr="00D10956">
        <w:tc>
          <w:tcPr>
            <w:tcW w:w="0" w:type="auto"/>
            <w:gridSpan w:val="9"/>
            <w:tcBorders>
              <w:top w:val="single" w:sz="4" w:space="0" w:color="auto"/>
              <w:bottom w:val="nil"/>
            </w:tcBorders>
          </w:tcPr>
          <w:p w14:paraId="3E08C302" w14:textId="1FA9436B" w:rsidR="00CC7C90" w:rsidRPr="0081338E" w:rsidRDefault="00CC7C90" w:rsidP="00B5383E">
            <w:pPr>
              <w:pStyle w:val="TableText0"/>
              <w:keepLines/>
            </w:pPr>
            <w:r w:rsidRPr="0081338E">
              <w:t>Cure time point (base</w:t>
            </w:r>
            <w:r w:rsidR="009B12D4">
              <w:t xml:space="preserve"> case</w:t>
            </w:r>
            <w:r w:rsidRPr="0081338E">
              <w:t xml:space="preserve"> 7 years)</w:t>
            </w:r>
          </w:p>
        </w:tc>
      </w:tr>
      <w:tr w:rsidR="008C30A7" w:rsidRPr="0081338E" w14:paraId="49F0A742" w14:textId="77777777" w:rsidTr="00D10956">
        <w:tc>
          <w:tcPr>
            <w:tcW w:w="0" w:type="auto"/>
            <w:tcBorders>
              <w:top w:val="nil"/>
              <w:bottom w:val="nil"/>
            </w:tcBorders>
          </w:tcPr>
          <w:p w14:paraId="0AF41602" w14:textId="77777777" w:rsidR="00CC7C90" w:rsidRPr="0081338E" w:rsidRDefault="00CC7C90" w:rsidP="00B5383E">
            <w:pPr>
              <w:pStyle w:val="TableText0"/>
              <w:keepLines/>
              <w:numPr>
                <w:ilvl w:val="0"/>
                <w:numId w:val="6"/>
              </w:numPr>
              <w:ind w:left="109" w:hanging="142"/>
            </w:pPr>
            <w:r w:rsidRPr="0081338E">
              <w:t>10 years</w:t>
            </w:r>
          </w:p>
        </w:tc>
        <w:tc>
          <w:tcPr>
            <w:tcW w:w="0" w:type="auto"/>
            <w:tcBorders>
              <w:top w:val="nil"/>
              <w:bottom w:val="nil"/>
            </w:tcBorders>
            <w:vAlign w:val="top"/>
          </w:tcPr>
          <w:p w14:paraId="50FCF9B5" w14:textId="43E02A13"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4"/>
                <w14:textFill>
                  <w14:solidFill>
                    <w14:srgbClr w14:val="000000">
                      <w14:alpha w14:val="100000"/>
                    </w14:srgbClr>
                  </w14:solidFill>
                </w14:textFill>
              </w:rPr>
              <w:t>||</w:t>
            </w:r>
            <w:r w:rsidR="008C30A7" w:rsidRPr="00FE32E3">
              <w:rPr>
                <w:color w:val="000000"/>
                <w:spacing w:val="1"/>
                <w:shd w:val="solid" w:color="000000" w:fill="000000"/>
                <w:fitText w:val="238" w:id="-694445814"/>
                <w14:textFill>
                  <w14:solidFill>
                    <w14:srgbClr w14:val="000000">
                      <w14:alpha w14:val="100000"/>
                    </w14:srgbClr>
                  </w14:solidFill>
                </w14:textFill>
              </w:rPr>
              <w:t>|</w:t>
            </w:r>
          </w:p>
        </w:tc>
        <w:tc>
          <w:tcPr>
            <w:tcW w:w="0" w:type="auto"/>
            <w:tcBorders>
              <w:top w:val="nil"/>
              <w:bottom w:val="nil"/>
            </w:tcBorders>
            <w:vAlign w:val="top"/>
          </w:tcPr>
          <w:p w14:paraId="14046A53" w14:textId="77777777" w:rsidR="00CC7C90" w:rsidRPr="0081338E" w:rsidRDefault="00CC7C90" w:rsidP="00B5383E">
            <w:pPr>
              <w:pStyle w:val="TableText0"/>
              <w:keepLines/>
              <w:jc w:val="center"/>
            </w:pPr>
            <w:r w:rsidRPr="0081338E">
              <w:t>2.30</w:t>
            </w:r>
          </w:p>
        </w:tc>
        <w:tc>
          <w:tcPr>
            <w:tcW w:w="0" w:type="auto"/>
            <w:tcBorders>
              <w:top w:val="nil"/>
              <w:bottom w:val="nil"/>
            </w:tcBorders>
            <w:vAlign w:val="top"/>
          </w:tcPr>
          <w:p w14:paraId="086FB644" w14:textId="26743FB3" w:rsidR="00CC7C90" w:rsidRPr="003F30A1"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3"/>
                <w14:textFill>
                  <w14:solidFill>
                    <w14:srgbClr w14:val="000000">
                      <w14:alpha w14:val="100000"/>
                    </w14:srgbClr>
                  </w14:solidFill>
                </w14:textFill>
              </w:rPr>
              <w:t>||</w:t>
            </w:r>
            <w:r w:rsidR="008C30A7" w:rsidRPr="00FE32E3">
              <w:rPr>
                <w:color w:val="000000"/>
                <w:spacing w:val="1"/>
                <w:shd w:val="solid" w:color="000000" w:fill="000000"/>
                <w:fitText w:val="238" w:id="-694445813"/>
                <w14:textFill>
                  <w14:solidFill>
                    <w14:srgbClr w14:val="000000">
                      <w14:alpha w14:val="100000"/>
                    </w14:srgbClr>
                  </w14:solidFill>
                </w14:textFill>
              </w:rPr>
              <w:t>|</w:t>
            </w:r>
            <w:r w:rsidR="003F30A1">
              <w:rPr>
                <w:vertAlign w:val="superscript"/>
              </w:rPr>
              <w:t>8</w:t>
            </w:r>
          </w:p>
        </w:tc>
        <w:tc>
          <w:tcPr>
            <w:tcW w:w="0" w:type="auto"/>
            <w:tcBorders>
              <w:top w:val="nil"/>
              <w:bottom w:val="nil"/>
            </w:tcBorders>
            <w:vAlign w:val="top"/>
          </w:tcPr>
          <w:p w14:paraId="40B00673" w14:textId="54876DD2"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3" w:id="-694445812"/>
                <w14:textFill>
                  <w14:solidFill>
                    <w14:srgbClr w14:val="000000">
                      <w14:alpha w14:val="100000"/>
                    </w14:srgbClr>
                  </w14:solidFill>
                </w14:textFill>
              </w:rPr>
              <w:t>||</w:t>
            </w:r>
            <w:r w:rsidR="008C30A7" w:rsidRPr="00FE32E3">
              <w:rPr>
                <w:color w:val="000000"/>
                <w:spacing w:val="2"/>
                <w:shd w:val="solid" w:color="000000" w:fill="000000"/>
                <w:fitText w:val="213" w:id="-694445812"/>
                <w14:textFill>
                  <w14:solidFill>
                    <w14:srgbClr w14:val="000000">
                      <w14:alpha w14:val="100000"/>
                    </w14:srgbClr>
                  </w14:solidFill>
                </w14:textFill>
              </w:rPr>
              <w:t>|</w:t>
            </w:r>
            <w:r w:rsidRPr="0081338E">
              <w:t>%</w:t>
            </w:r>
          </w:p>
        </w:tc>
        <w:tc>
          <w:tcPr>
            <w:tcW w:w="0" w:type="auto"/>
            <w:tcBorders>
              <w:top w:val="nil"/>
              <w:bottom w:val="nil"/>
            </w:tcBorders>
            <w:vAlign w:val="top"/>
          </w:tcPr>
          <w:p w14:paraId="3BF44903" w14:textId="0992C78A"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1"/>
                <w14:textFill>
                  <w14:solidFill>
                    <w14:srgbClr w14:val="000000">
                      <w14:alpha w14:val="100000"/>
                    </w14:srgbClr>
                  </w14:solidFill>
                </w14:textFill>
              </w:rPr>
              <w:t>||</w:t>
            </w:r>
            <w:r w:rsidR="008C30A7" w:rsidRPr="00FE32E3">
              <w:rPr>
                <w:color w:val="000000"/>
                <w:spacing w:val="1"/>
                <w:shd w:val="solid" w:color="000000" w:fill="000000"/>
                <w:fitText w:val="238" w:id="-694445811"/>
                <w14:textFill>
                  <w14:solidFill>
                    <w14:srgbClr w14:val="000000">
                      <w14:alpha w14:val="100000"/>
                    </w14:srgbClr>
                  </w14:solidFill>
                </w14:textFill>
              </w:rPr>
              <w:t>|</w:t>
            </w:r>
          </w:p>
        </w:tc>
        <w:tc>
          <w:tcPr>
            <w:tcW w:w="0" w:type="auto"/>
            <w:tcBorders>
              <w:top w:val="nil"/>
              <w:bottom w:val="nil"/>
            </w:tcBorders>
            <w:vAlign w:val="top"/>
          </w:tcPr>
          <w:p w14:paraId="25A1CCC3" w14:textId="77777777" w:rsidR="00CC7C90" w:rsidRPr="0081338E" w:rsidRDefault="00CC7C90" w:rsidP="00B5383E">
            <w:pPr>
              <w:pStyle w:val="TableText0"/>
              <w:keepLines/>
              <w:jc w:val="center"/>
            </w:pPr>
            <w:r w:rsidRPr="0081338E">
              <w:t>5.12</w:t>
            </w:r>
          </w:p>
        </w:tc>
        <w:tc>
          <w:tcPr>
            <w:tcW w:w="0" w:type="auto"/>
            <w:tcBorders>
              <w:top w:val="nil"/>
              <w:bottom w:val="nil"/>
            </w:tcBorders>
            <w:vAlign w:val="top"/>
          </w:tcPr>
          <w:p w14:paraId="4B39120E" w14:textId="5C7B7367" w:rsidR="00CC7C90" w:rsidRPr="00FD4535"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0"/>
                <w14:textFill>
                  <w14:solidFill>
                    <w14:srgbClr w14:val="000000">
                      <w14:alpha w14:val="100000"/>
                    </w14:srgbClr>
                  </w14:solidFill>
                </w14:textFill>
              </w:rPr>
              <w:t>||</w:t>
            </w:r>
            <w:r w:rsidR="008C30A7" w:rsidRPr="00FE32E3">
              <w:rPr>
                <w:color w:val="000000"/>
                <w:spacing w:val="1"/>
                <w:shd w:val="solid" w:color="000000" w:fill="000000"/>
                <w:fitText w:val="238" w:id="-694445810"/>
                <w14:textFill>
                  <w14:solidFill>
                    <w14:srgbClr w14:val="000000">
                      <w14:alpha w14:val="100000"/>
                    </w14:srgbClr>
                  </w14:solidFill>
                </w14:textFill>
              </w:rPr>
              <w:t>|</w:t>
            </w:r>
            <w:r w:rsidR="00FD4535">
              <w:rPr>
                <w:vertAlign w:val="superscript"/>
              </w:rPr>
              <w:t>2</w:t>
            </w:r>
          </w:p>
        </w:tc>
        <w:tc>
          <w:tcPr>
            <w:tcW w:w="0" w:type="auto"/>
            <w:tcBorders>
              <w:top w:val="nil"/>
              <w:bottom w:val="nil"/>
            </w:tcBorders>
            <w:vAlign w:val="top"/>
          </w:tcPr>
          <w:p w14:paraId="67768C48" w14:textId="19982268"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809"/>
                <w14:textFill>
                  <w14:solidFill>
                    <w14:srgbClr w14:val="000000">
                      <w14:alpha w14:val="100000"/>
                    </w14:srgbClr>
                  </w14:solidFill>
                </w14:textFill>
              </w:rPr>
              <w:t>||</w:t>
            </w:r>
            <w:r w:rsidR="008C30A7" w:rsidRPr="00FE32E3">
              <w:rPr>
                <w:color w:val="000000"/>
                <w:spacing w:val="1"/>
                <w:shd w:val="solid" w:color="000000" w:fill="000000"/>
                <w:fitText w:val="212" w:id="-694445809"/>
                <w14:textFill>
                  <w14:solidFill>
                    <w14:srgbClr w14:val="000000">
                      <w14:alpha w14:val="100000"/>
                    </w14:srgbClr>
                  </w14:solidFill>
                </w14:textFill>
              </w:rPr>
              <w:t>|</w:t>
            </w:r>
            <w:r w:rsidRPr="0081338E">
              <w:t>%</w:t>
            </w:r>
          </w:p>
        </w:tc>
      </w:tr>
      <w:tr w:rsidR="008C30A7" w:rsidRPr="0081338E" w14:paraId="7F4906A4" w14:textId="77777777" w:rsidTr="00D10956">
        <w:tc>
          <w:tcPr>
            <w:tcW w:w="0" w:type="auto"/>
            <w:tcBorders>
              <w:top w:val="nil"/>
              <w:bottom w:val="nil"/>
            </w:tcBorders>
          </w:tcPr>
          <w:p w14:paraId="304D678B" w14:textId="77777777" w:rsidR="00CC7C90" w:rsidRPr="0081338E" w:rsidRDefault="00CC7C90" w:rsidP="00B5383E">
            <w:pPr>
              <w:pStyle w:val="TableText0"/>
              <w:keepLines/>
              <w:numPr>
                <w:ilvl w:val="0"/>
                <w:numId w:val="6"/>
              </w:numPr>
              <w:ind w:left="109" w:hanging="142"/>
            </w:pPr>
            <w:r w:rsidRPr="0081338E">
              <w:t>None</w:t>
            </w:r>
          </w:p>
        </w:tc>
        <w:tc>
          <w:tcPr>
            <w:tcW w:w="0" w:type="auto"/>
            <w:tcBorders>
              <w:top w:val="nil"/>
              <w:bottom w:val="nil"/>
            </w:tcBorders>
            <w:vAlign w:val="top"/>
          </w:tcPr>
          <w:p w14:paraId="248A0DCC" w14:textId="50CB19FE"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08"/>
                <w14:textFill>
                  <w14:solidFill>
                    <w14:srgbClr w14:val="000000">
                      <w14:alpha w14:val="100000"/>
                    </w14:srgbClr>
                  </w14:solidFill>
                </w14:textFill>
              </w:rPr>
              <w:t>||</w:t>
            </w:r>
            <w:r w:rsidR="008C30A7" w:rsidRPr="00FE32E3">
              <w:rPr>
                <w:color w:val="000000"/>
                <w:spacing w:val="1"/>
                <w:shd w:val="solid" w:color="000000" w:fill="000000"/>
                <w:fitText w:val="238" w:id="-694445808"/>
                <w14:textFill>
                  <w14:solidFill>
                    <w14:srgbClr w14:val="000000">
                      <w14:alpha w14:val="100000"/>
                    </w14:srgbClr>
                  </w14:solidFill>
                </w14:textFill>
              </w:rPr>
              <w:t>|</w:t>
            </w:r>
          </w:p>
        </w:tc>
        <w:tc>
          <w:tcPr>
            <w:tcW w:w="0" w:type="auto"/>
            <w:tcBorders>
              <w:top w:val="nil"/>
              <w:bottom w:val="nil"/>
            </w:tcBorders>
            <w:vAlign w:val="top"/>
          </w:tcPr>
          <w:p w14:paraId="5F401DD4" w14:textId="77777777" w:rsidR="00CC7C90" w:rsidRPr="0081338E" w:rsidRDefault="00CC7C90" w:rsidP="00B5383E">
            <w:pPr>
              <w:pStyle w:val="TableText0"/>
              <w:keepLines/>
              <w:jc w:val="center"/>
            </w:pPr>
            <w:r w:rsidRPr="0081338E">
              <w:t>3.17</w:t>
            </w:r>
          </w:p>
        </w:tc>
        <w:tc>
          <w:tcPr>
            <w:tcW w:w="0" w:type="auto"/>
            <w:tcBorders>
              <w:top w:val="nil"/>
              <w:bottom w:val="nil"/>
            </w:tcBorders>
            <w:vAlign w:val="top"/>
          </w:tcPr>
          <w:p w14:paraId="39C53C3C" w14:textId="2A061750" w:rsidR="00CC7C90" w:rsidRPr="00363E6E"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24"/>
                <w14:textFill>
                  <w14:solidFill>
                    <w14:srgbClr w14:val="000000">
                      <w14:alpha w14:val="100000"/>
                    </w14:srgbClr>
                  </w14:solidFill>
                </w14:textFill>
              </w:rPr>
              <w:t>||</w:t>
            </w:r>
            <w:r w:rsidR="008C30A7" w:rsidRPr="00FE32E3">
              <w:rPr>
                <w:color w:val="000000"/>
                <w:spacing w:val="1"/>
                <w:shd w:val="solid" w:color="000000" w:fill="000000"/>
                <w:fitText w:val="238" w:id="-694445824"/>
                <w14:textFill>
                  <w14:solidFill>
                    <w14:srgbClr w14:val="000000">
                      <w14:alpha w14:val="100000"/>
                    </w14:srgbClr>
                  </w14:solidFill>
                </w14:textFill>
              </w:rPr>
              <w:t>|</w:t>
            </w:r>
            <w:r w:rsidR="00363E6E">
              <w:rPr>
                <w:vertAlign w:val="superscript"/>
              </w:rPr>
              <w:t>7</w:t>
            </w:r>
          </w:p>
        </w:tc>
        <w:tc>
          <w:tcPr>
            <w:tcW w:w="0" w:type="auto"/>
            <w:tcBorders>
              <w:top w:val="nil"/>
              <w:bottom w:val="nil"/>
            </w:tcBorders>
            <w:vAlign w:val="top"/>
          </w:tcPr>
          <w:p w14:paraId="5EA4AB0D" w14:textId="5E7EEFE7"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3" w:id="-694445823"/>
                <w14:textFill>
                  <w14:solidFill>
                    <w14:srgbClr w14:val="000000">
                      <w14:alpha w14:val="100000"/>
                    </w14:srgbClr>
                  </w14:solidFill>
                </w14:textFill>
              </w:rPr>
              <w:t>||</w:t>
            </w:r>
            <w:r w:rsidR="008C30A7" w:rsidRPr="00FE32E3">
              <w:rPr>
                <w:color w:val="000000"/>
                <w:spacing w:val="2"/>
                <w:shd w:val="solid" w:color="000000" w:fill="000000"/>
                <w:fitText w:val="213" w:id="-694445823"/>
                <w14:textFill>
                  <w14:solidFill>
                    <w14:srgbClr w14:val="000000">
                      <w14:alpha w14:val="100000"/>
                    </w14:srgbClr>
                  </w14:solidFill>
                </w14:textFill>
              </w:rPr>
              <w:t>|</w:t>
            </w:r>
            <w:r w:rsidRPr="0081338E">
              <w:t>%</w:t>
            </w:r>
          </w:p>
        </w:tc>
        <w:tc>
          <w:tcPr>
            <w:tcW w:w="0" w:type="auto"/>
            <w:tcBorders>
              <w:top w:val="nil"/>
              <w:bottom w:val="nil"/>
            </w:tcBorders>
            <w:vAlign w:val="top"/>
          </w:tcPr>
          <w:p w14:paraId="6E430915" w14:textId="5E03CAF2"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2"/>
                <w14:textFill>
                  <w14:solidFill>
                    <w14:srgbClr w14:val="000000">
                      <w14:alpha w14:val="100000"/>
                    </w14:srgbClr>
                  </w14:solidFill>
                </w14:textFill>
              </w:rPr>
              <w:t>||</w:t>
            </w:r>
            <w:r w:rsidR="008C30A7" w:rsidRPr="00FE32E3">
              <w:rPr>
                <w:color w:val="000000"/>
                <w:spacing w:val="1"/>
                <w:shd w:val="solid" w:color="000000" w:fill="000000"/>
                <w:fitText w:val="238" w:id="-694445822"/>
                <w14:textFill>
                  <w14:solidFill>
                    <w14:srgbClr w14:val="000000">
                      <w14:alpha w14:val="100000"/>
                    </w14:srgbClr>
                  </w14:solidFill>
                </w14:textFill>
              </w:rPr>
              <w:t>|</w:t>
            </w:r>
          </w:p>
        </w:tc>
        <w:tc>
          <w:tcPr>
            <w:tcW w:w="0" w:type="auto"/>
            <w:tcBorders>
              <w:top w:val="nil"/>
              <w:bottom w:val="nil"/>
            </w:tcBorders>
            <w:vAlign w:val="top"/>
          </w:tcPr>
          <w:p w14:paraId="1CC05208" w14:textId="77777777" w:rsidR="00CC7C90" w:rsidRPr="0081338E" w:rsidRDefault="00CC7C90" w:rsidP="00B5383E">
            <w:pPr>
              <w:pStyle w:val="TableText0"/>
              <w:keepLines/>
              <w:jc w:val="center"/>
            </w:pPr>
            <w:r w:rsidRPr="0081338E">
              <w:t>4.14</w:t>
            </w:r>
          </w:p>
        </w:tc>
        <w:tc>
          <w:tcPr>
            <w:tcW w:w="0" w:type="auto"/>
            <w:tcBorders>
              <w:top w:val="nil"/>
              <w:bottom w:val="nil"/>
            </w:tcBorders>
            <w:vAlign w:val="top"/>
          </w:tcPr>
          <w:p w14:paraId="1917C9DC" w14:textId="4A44C7B6" w:rsidR="00CC7C90" w:rsidRPr="00986DB9"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21"/>
                <w14:textFill>
                  <w14:solidFill>
                    <w14:srgbClr w14:val="000000">
                      <w14:alpha w14:val="100000"/>
                    </w14:srgbClr>
                  </w14:solidFill>
                </w14:textFill>
              </w:rPr>
              <w:t>||</w:t>
            </w:r>
            <w:r w:rsidR="008C30A7" w:rsidRPr="00FE32E3">
              <w:rPr>
                <w:color w:val="000000"/>
                <w:spacing w:val="1"/>
                <w:shd w:val="solid" w:color="000000" w:fill="000000"/>
                <w:fitText w:val="238" w:id="-694445821"/>
                <w14:textFill>
                  <w14:solidFill>
                    <w14:srgbClr w14:val="000000">
                      <w14:alpha w14:val="100000"/>
                    </w14:srgbClr>
                  </w14:solidFill>
                </w14:textFill>
              </w:rPr>
              <w:t>|</w:t>
            </w:r>
            <w:r w:rsidR="00986DB9">
              <w:rPr>
                <w:vertAlign w:val="superscript"/>
              </w:rPr>
              <w:t>5</w:t>
            </w:r>
          </w:p>
        </w:tc>
        <w:tc>
          <w:tcPr>
            <w:tcW w:w="0" w:type="auto"/>
            <w:tcBorders>
              <w:top w:val="nil"/>
              <w:bottom w:val="nil"/>
            </w:tcBorders>
            <w:vAlign w:val="top"/>
          </w:tcPr>
          <w:p w14:paraId="40A7C54E" w14:textId="4960C9E6" w:rsidR="00CC7C90" w:rsidRPr="0081338E" w:rsidRDefault="008C30A7" w:rsidP="00B5383E">
            <w:pPr>
              <w:pStyle w:val="TableText0"/>
              <w:keepLines/>
              <w:jc w:val="center"/>
            </w:pPr>
            <w:r w:rsidRPr="00FE32E3">
              <w:rPr>
                <w:color w:val="000000"/>
                <w:spacing w:val="89"/>
                <w:shd w:val="solid" w:color="000000" w:fill="000000"/>
                <w:fitText w:val="175" w:id="-694445820"/>
                <w14:textFill>
                  <w14:solidFill>
                    <w14:srgbClr w14:val="000000">
                      <w14:alpha w14:val="100000"/>
                    </w14:srgbClr>
                  </w14:solidFill>
                </w14:textFill>
              </w:rPr>
              <w:t>|</w:t>
            </w:r>
            <w:r w:rsidRPr="00FE32E3">
              <w:rPr>
                <w:color w:val="000000"/>
                <w:spacing w:val="1"/>
                <w:shd w:val="solid" w:color="000000" w:fill="000000"/>
                <w:fitText w:val="175" w:id="-694445820"/>
                <w14:textFill>
                  <w14:solidFill>
                    <w14:srgbClr w14:val="000000">
                      <w14:alpha w14:val="100000"/>
                    </w14:srgbClr>
                  </w14:solidFill>
                </w14:textFill>
              </w:rPr>
              <w:t>|</w:t>
            </w:r>
            <w:r w:rsidR="00CC7C90" w:rsidRPr="0081338E">
              <w:t>%</w:t>
            </w:r>
          </w:p>
        </w:tc>
      </w:tr>
      <w:tr w:rsidR="00CC7C90" w:rsidRPr="0081338E" w14:paraId="2ECF08EA" w14:textId="77777777" w:rsidTr="00D10956">
        <w:tc>
          <w:tcPr>
            <w:tcW w:w="0" w:type="auto"/>
            <w:gridSpan w:val="9"/>
            <w:tcBorders>
              <w:top w:val="single" w:sz="4" w:space="0" w:color="auto"/>
              <w:bottom w:val="nil"/>
            </w:tcBorders>
          </w:tcPr>
          <w:p w14:paraId="298357E1" w14:textId="31B25337" w:rsidR="00CC7C90" w:rsidRPr="0081338E" w:rsidRDefault="00CC7C90" w:rsidP="00B5383E">
            <w:pPr>
              <w:pStyle w:val="TableText0"/>
              <w:keepLines/>
            </w:pPr>
            <w:r w:rsidRPr="0081338E">
              <w:t>TTD (base</w:t>
            </w:r>
            <w:r w:rsidR="009B12D4">
              <w:t xml:space="preserve"> case</w:t>
            </w:r>
            <w:r w:rsidRPr="0081338E">
              <w:t xml:space="preserve"> KM data to 2 year cap)</w:t>
            </w:r>
          </w:p>
        </w:tc>
      </w:tr>
      <w:tr w:rsidR="008C30A7" w:rsidRPr="0081338E" w14:paraId="1753909E" w14:textId="77777777" w:rsidTr="00D10956">
        <w:tc>
          <w:tcPr>
            <w:tcW w:w="0" w:type="auto"/>
            <w:tcBorders>
              <w:top w:val="nil"/>
              <w:bottom w:val="nil"/>
            </w:tcBorders>
          </w:tcPr>
          <w:p w14:paraId="5795B8FF" w14:textId="77777777" w:rsidR="00CC7C90" w:rsidRPr="0081338E" w:rsidRDefault="00CC7C90" w:rsidP="00B5383E">
            <w:pPr>
              <w:pStyle w:val="TableText0"/>
              <w:keepLines/>
              <w:numPr>
                <w:ilvl w:val="0"/>
                <w:numId w:val="6"/>
              </w:numPr>
              <w:ind w:left="109" w:hanging="142"/>
            </w:pPr>
            <w:r w:rsidRPr="0081338E">
              <w:t>Remove cap</w:t>
            </w:r>
          </w:p>
        </w:tc>
        <w:tc>
          <w:tcPr>
            <w:tcW w:w="0" w:type="auto"/>
            <w:tcBorders>
              <w:top w:val="nil"/>
              <w:bottom w:val="nil"/>
            </w:tcBorders>
          </w:tcPr>
          <w:p w14:paraId="25E6ED20" w14:textId="55ECEAEC"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9"/>
                <w14:textFill>
                  <w14:solidFill>
                    <w14:srgbClr w14:val="000000">
                      <w14:alpha w14:val="100000"/>
                    </w14:srgbClr>
                  </w14:solidFill>
                </w14:textFill>
              </w:rPr>
              <w:t>||</w:t>
            </w:r>
            <w:r w:rsidR="008C30A7" w:rsidRPr="00FE32E3">
              <w:rPr>
                <w:color w:val="000000"/>
                <w:spacing w:val="1"/>
                <w:shd w:val="solid" w:color="000000" w:fill="000000"/>
                <w:fitText w:val="238" w:id="-694445819"/>
                <w14:textFill>
                  <w14:solidFill>
                    <w14:srgbClr w14:val="000000">
                      <w14:alpha w14:val="100000"/>
                    </w14:srgbClr>
                  </w14:solidFill>
                </w14:textFill>
              </w:rPr>
              <w:t>|</w:t>
            </w:r>
          </w:p>
        </w:tc>
        <w:tc>
          <w:tcPr>
            <w:tcW w:w="0" w:type="auto"/>
            <w:tcBorders>
              <w:top w:val="nil"/>
              <w:bottom w:val="nil"/>
            </w:tcBorders>
          </w:tcPr>
          <w:p w14:paraId="272399FA" w14:textId="77777777" w:rsidR="00CC7C90" w:rsidRPr="0081338E" w:rsidRDefault="00CC7C90" w:rsidP="00B5383E">
            <w:pPr>
              <w:pStyle w:val="TableText0"/>
              <w:keepLines/>
              <w:jc w:val="center"/>
            </w:pPr>
            <w:r w:rsidRPr="0081338E">
              <w:t>2.25</w:t>
            </w:r>
          </w:p>
        </w:tc>
        <w:tc>
          <w:tcPr>
            <w:tcW w:w="0" w:type="auto"/>
            <w:tcBorders>
              <w:top w:val="nil"/>
              <w:bottom w:val="nil"/>
            </w:tcBorders>
          </w:tcPr>
          <w:p w14:paraId="1BD6CBE3" w14:textId="701F9FB2" w:rsidR="00CC7C90" w:rsidRPr="00E27E7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8"/>
                <w14:textFill>
                  <w14:solidFill>
                    <w14:srgbClr w14:val="000000">
                      <w14:alpha w14:val="100000"/>
                    </w14:srgbClr>
                  </w14:solidFill>
                </w14:textFill>
              </w:rPr>
              <w:t>||</w:t>
            </w:r>
            <w:r w:rsidR="008C30A7" w:rsidRPr="00FE32E3">
              <w:rPr>
                <w:color w:val="000000"/>
                <w:spacing w:val="1"/>
                <w:shd w:val="solid" w:color="000000" w:fill="000000"/>
                <w:fitText w:val="238" w:id="-694445818"/>
                <w14:textFill>
                  <w14:solidFill>
                    <w14:srgbClr w14:val="000000">
                      <w14:alpha w14:val="100000"/>
                    </w14:srgbClr>
                  </w14:solidFill>
                </w14:textFill>
              </w:rPr>
              <w:t>|</w:t>
            </w:r>
            <w:r w:rsidR="00E27E76">
              <w:rPr>
                <w:vertAlign w:val="superscript"/>
              </w:rPr>
              <w:t>1</w:t>
            </w:r>
          </w:p>
        </w:tc>
        <w:tc>
          <w:tcPr>
            <w:tcW w:w="0" w:type="auto"/>
            <w:tcBorders>
              <w:top w:val="nil"/>
              <w:bottom w:val="nil"/>
            </w:tcBorders>
          </w:tcPr>
          <w:p w14:paraId="1A58828F" w14:textId="4FC5F72F" w:rsidR="00CC7C90" w:rsidRPr="0081338E" w:rsidRDefault="008C30A7" w:rsidP="00B5383E">
            <w:pPr>
              <w:pStyle w:val="TableText0"/>
              <w:keepLines/>
              <w:jc w:val="center"/>
            </w:pPr>
            <w:r w:rsidRPr="00FE32E3">
              <w:rPr>
                <w:color w:val="000000"/>
                <w:spacing w:val="90"/>
                <w:shd w:val="solid" w:color="000000" w:fill="000000"/>
                <w:fitText w:val="176" w:id="-694445817"/>
                <w14:textFill>
                  <w14:solidFill>
                    <w14:srgbClr w14:val="000000">
                      <w14:alpha w14:val="100000"/>
                    </w14:srgbClr>
                  </w14:solidFill>
                </w14:textFill>
              </w:rPr>
              <w:t>|</w:t>
            </w:r>
            <w:r w:rsidRPr="00FE32E3">
              <w:rPr>
                <w:color w:val="000000"/>
                <w:spacing w:val="1"/>
                <w:shd w:val="solid" w:color="000000" w:fill="000000"/>
                <w:fitText w:val="176" w:id="-694445817"/>
                <w14:textFill>
                  <w14:solidFill>
                    <w14:srgbClr w14:val="000000">
                      <w14:alpha w14:val="100000"/>
                    </w14:srgbClr>
                  </w14:solidFill>
                </w14:textFill>
              </w:rPr>
              <w:t>|</w:t>
            </w:r>
            <w:r w:rsidR="00CC7C90" w:rsidRPr="0081338E">
              <w:t>%</w:t>
            </w:r>
          </w:p>
        </w:tc>
        <w:tc>
          <w:tcPr>
            <w:tcW w:w="0" w:type="auto"/>
            <w:tcBorders>
              <w:top w:val="nil"/>
              <w:bottom w:val="nil"/>
            </w:tcBorders>
          </w:tcPr>
          <w:p w14:paraId="5095592D" w14:textId="1FCFB7FE"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6"/>
                <w14:textFill>
                  <w14:solidFill>
                    <w14:srgbClr w14:val="000000">
                      <w14:alpha w14:val="100000"/>
                    </w14:srgbClr>
                  </w14:solidFill>
                </w14:textFill>
              </w:rPr>
              <w:t>||</w:t>
            </w:r>
            <w:r w:rsidR="008C30A7" w:rsidRPr="00FE32E3">
              <w:rPr>
                <w:color w:val="000000"/>
                <w:spacing w:val="1"/>
                <w:shd w:val="solid" w:color="000000" w:fill="000000"/>
                <w:fitText w:val="238" w:id="-694445816"/>
                <w14:textFill>
                  <w14:solidFill>
                    <w14:srgbClr w14:val="000000">
                      <w14:alpha w14:val="100000"/>
                    </w14:srgbClr>
                  </w14:solidFill>
                </w14:textFill>
              </w:rPr>
              <w:t>|</w:t>
            </w:r>
          </w:p>
        </w:tc>
        <w:tc>
          <w:tcPr>
            <w:tcW w:w="0" w:type="auto"/>
            <w:tcBorders>
              <w:top w:val="nil"/>
              <w:bottom w:val="nil"/>
            </w:tcBorders>
          </w:tcPr>
          <w:p w14:paraId="0C8AFA27" w14:textId="77777777" w:rsidR="00CC7C90" w:rsidRPr="0081338E" w:rsidRDefault="00CC7C90" w:rsidP="00B5383E">
            <w:pPr>
              <w:pStyle w:val="TableText0"/>
              <w:keepLines/>
              <w:jc w:val="center"/>
            </w:pPr>
            <w:r w:rsidRPr="0081338E">
              <w:t>4.66</w:t>
            </w:r>
          </w:p>
        </w:tc>
        <w:tc>
          <w:tcPr>
            <w:tcW w:w="0" w:type="auto"/>
            <w:tcBorders>
              <w:top w:val="nil"/>
              <w:bottom w:val="nil"/>
            </w:tcBorders>
          </w:tcPr>
          <w:p w14:paraId="4AAB65BC" w14:textId="209176AB" w:rsidR="00CC7C90" w:rsidRPr="00363E6E"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5"/>
                <w14:textFill>
                  <w14:solidFill>
                    <w14:srgbClr w14:val="000000">
                      <w14:alpha w14:val="100000"/>
                    </w14:srgbClr>
                  </w14:solidFill>
                </w14:textFill>
              </w:rPr>
              <w:t>||</w:t>
            </w:r>
            <w:r w:rsidR="008C30A7" w:rsidRPr="00FE32E3">
              <w:rPr>
                <w:color w:val="000000"/>
                <w:spacing w:val="1"/>
                <w:shd w:val="solid" w:color="000000" w:fill="000000"/>
                <w:fitText w:val="238" w:id="-694445815"/>
                <w14:textFill>
                  <w14:solidFill>
                    <w14:srgbClr w14:val="000000">
                      <w14:alpha w14:val="100000"/>
                    </w14:srgbClr>
                  </w14:solidFill>
                </w14:textFill>
              </w:rPr>
              <w:t>|</w:t>
            </w:r>
            <w:r w:rsidR="00363E6E">
              <w:rPr>
                <w:vertAlign w:val="superscript"/>
              </w:rPr>
              <w:t>7</w:t>
            </w:r>
          </w:p>
        </w:tc>
        <w:tc>
          <w:tcPr>
            <w:tcW w:w="0" w:type="auto"/>
            <w:tcBorders>
              <w:top w:val="nil"/>
              <w:bottom w:val="nil"/>
            </w:tcBorders>
          </w:tcPr>
          <w:p w14:paraId="2C6AC6A6" w14:textId="22333268" w:rsidR="00CC7C90" w:rsidRPr="0081338E" w:rsidRDefault="008C30A7" w:rsidP="00B5383E">
            <w:pPr>
              <w:pStyle w:val="TableText0"/>
              <w:keepLines/>
              <w:jc w:val="center"/>
            </w:pPr>
            <w:r w:rsidRPr="00FE32E3">
              <w:rPr>
                <w:color w:val="000000"/>
                <w:spacing w:val="89"/>
                <w:shd w:val="solid" w:color="000000" w:fill="000000"/>
                <w:fitText w:val="175" w:id="-694445814"/>
                <w14:textFill>
                  <w14:solidFill>
                    <w14:srgbClr w14:val="000000">
                      <w14:alpha w14:val="100000"/>
                    </w14:srgbClr>
                  </w14:solidFill>
                </w14:textFill>
              </w:rPr>
              <w:t>|</w:t>
            </w:r>
            <w:r w:rsidRPr="00FE32E3">
              <w:rPr>
                <w:color w:val="000000"/>
                <w:spacing w:val="1"/>
                <w:shd w:val="solid" w:color="000000" w:fill="000000"/>
                <w:fitText w:val="175" w:id="-694445814"/>
                <w14:textFill>
                  <w14:solidFill>
                    <w14:srgbClr w14:val="000000">
                      <w14:alpha w14:val="100000"/>
                    </w14:srgbClr>
                  </w14:solidFill>
                </w14:textFill>
              </w:rPr>
              <w:t>|</w:t>
            </w:r>
            <w:r w:rsidR="00CC7C90" w:rsidRPr="0081338E">
              <w:t>%</w:t>
            </w:r>
          </w:p>
        </w:tc>
      </w:tr>
      <w:tr w:rsidR="008C30A7" w:rsidRPr="0081338E" w14:paraId="666767D1" w14:textId="77777777" w:rsidTr="00D10956">
        <w:tc>
          <w:tcPr>
            <w:tcW w:w="0" w:type="auto"/>
            <w:tcBorders>
              <w:top w:val="nil"/>
              <w:bottom w:val="nil"/>
            </w:tcBorders>
          </w:tcPr>
          <w:p w14:paraId="7BDFCDB8" w14:textId="2BB35789" w:rsidR="00CC7C90" w:rsidRPr="0081338E" w:rsidRDefault="002931DB" w:rsidP="00B5383E">
            <w:pPr>
              <w:pStyle w:val="TableText0"/>
              <w:keepLines/>
              <w:numPr>
                <w:ilvl w:val="0"/>
                <w:numId w:val="6"/>
              </w:numPr>
              <w:ind w:left="109" w:hanging="142"/>
            </w:pPr>
            <w:r>
              <w:t>E</w:t>
            </w:r>
            <w:r w:rsidR="00CC7C90" w:rsidRPr="0081338E">
              <w:t>qual to EF, 2 year cap</w:t>
            </w:r>
          </w:p>
        </w:tc>
        <w:tc>
          <w:tcPr>
            <w:tcW w:w="0" w:type="auto"/>
            <w:tcBorders>
              <w:top w:val="nil"/>
              <w:bottom w:val="nil"/>
            </w:tcBorders>
          </w:tcPr>
          <w:p w14:paraId="53E40141" w14:textId="4B087A55"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3"/>
                <w14:textFill>
                  <w14:solidFill>
                    <w14:srgbClr w14:val="000000">
                      <w14:alpha w14:val="100000"/>
                    </w14:srgbClr>
                  </w14:solidFill>
                </w14:textFill>
              </w:rPr>
              <w:t>||</w:t>
            </w:r>
            <w:r w:rsidR="008C30A7" w:rsidRPr="00FE32E3">
              <w:rPr>
                <w:color w:val="000000"/>
                <w:spacing w:val="1"/>
                <w:shd w:val="solid" w:color="000000" w:fill="000000"/>
                <w:fitText w:val="238" w:id="-694445813"/>
                <w14:textFill>
                  <w14:solidFill>
                    <w14:srgbClr w14:val="000000">
                      <w14:alpha w14:val="100000"/>
                    </w14:srgbClr>
                  </w14:solidFill>
                </w14:textFill>
              </w:rPr>
              <w:t>|</w:t>
            </w:r>
          </w:p>
        </w:tc>
        <w:tc>
          <w:tcPr>
            <w:tcW w:w="0" w:type="auto"/>
            <w:tcBorders>
              <w:top w:val="nil"/>
              <w:bottom w:val="nil"/>
            </w:tcBorders>
          </w:tcPr>
          <w:p w14:paraId="6D110CBA" w14:textId="77777777" w:rsidR="00CC7C90" w:rsidRPr="0081338E" w:rsidRDefault="00CC7C90" w:rsidP="00B5383E">
            <w:pPr>
              <w:pStyle w:val="TableText0"/>
              <w:keepLines/>
              <w:jc w:val="center"/>
            </w:pPr>
            <w:r w:rsidRPr="0081338E">
              <w:t>2.25</w:t>
            </w:r>
          </w:p>
        </w:tc>
        <w:tc>
          <w:tcPr>
            <w:tcW w:w="0" w:type="auto"/>
            <w:tcBorders>
              <w:top w:val="nil"/>
              <w:bottom w:val="nil"/>
            </w:tcBorders>
          </w:tcPr>
          <w:p w14:paraId="42222DE9" w14:textId="12002D6D" w:rsidR="00CC7C90" w:rsidRPr="00E27E7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2"/>
                <w14:textFill>
                  <w14:solidFill>
                    <w14:srgbClr w14:val="000000">
                      <w14:alpha w14:val="100000"/>
                    </w14:srgbClr>
                  </w14:solidFill>
                </w14:textFill>
              </w:rPr>
              <w:t>||</w:t>
            </w:r>
            <w:r w:rsidR="008C30A7" w:rsidRPr="00FE32E3">
              <w:rPr>
                <w:color w:val="000000"/>
                <w:spacing w:val="1"/>
                <w:shd w:val="solid" w:color="000000" w:fill="000000"/>
                <w:fitText w:val="238" w:id="-694445812"/>
                <w14:textFill>
                  <w14:solidFill>
                    <w14:srgbClr w14:val="000000">
                      <w14:alpha w14:val="100000"/>
                    </w14:srgbClr>
                  </w14:solidFill>
                </w14:textFill>
              </w:rPr>
              <w:t>|</w:t>
            </w:r>
            <w:r w:rsidR="00E27E76">
              <w:rPr>
                <w:vertAlign w:val="superscript"/>
              </w:rPr>
              <w:t>1</w:t>
            </w:r>
          </w:p>
        </w:tc>
        <w:tc>
          <w:tcPr>
            <w:tcW w:w="0" w:type="auto"/>
            <w:tcBorders>
              <w:top w:val="nil"/>
              <w:bottom w:val="nil"/>
            </w:tcBorders>
          </w:tcPr>
          <w:p w14:paraId="344824AD" w14:textId="52E26E0A" w:rsidR="00CC7C90" w:rsidRPr="0081338E" w:rsidRDefault="008C30A7" w:rsidP="00B5383E">
            <w:pPr>
              <w:pStyle w:val="TableText0"/>
              <w:keepLines/>
              <w:jc w:val="center"/>
            </w:pPr>
            <w:r w:rsidRPr="00FE32E3">
              <w:rPr>
                <w:color w:val="000000"/>
                <w:spacing w:val="90"/>
                <w:shd w:val="solid" w:color="000000" w:fill="000000"/>
                <w:fitText w:val="176" w:id="-694445811"/>
                <w14:textFill>
                  <w14:solidFill>
                    <w14:srgbClr w14:val="000000">
                      <w14:alpha w14:val="100000"/>
                    </w14:srgbClr>
                  </w14:solidFill>
                </w14:textFill>
              </w:rPr>
              <w:t>|</w:t>
            </w:r>
            <w:r w:rsidRPr="00FE32E3">
              <w:rPr>
                <w:color w:val="000000"/>
                <w:spacing w:val="1"/>
                <w:shd w:val="solid" w:color="000000" w:fill="000000"/>
                <w:fitText w:val="176" w:id="-694445811"/>
                <w14:textFill>
                  <w14:solidFill>
                    <w14:srgbClr w14:val="000000">
                      <w14:alpha w14:val="100000"/>
                    </w14:srgbClr>
                  </w14:solidFill>
                </w14:textFill>
              </w:rPr>
              <w:t>|</w:t>
            </w:r>
            <w:r w:rsidR="00CC7C90" w:rsidRPr="0081338E">
              <w:t>%</w:t>
            </w:r>
          </w:p>
        </w:tc>
        <w:tc>
          <w:tcPr>
            <w:tcW w:w="0" w:type="auto"/>
            <w:tcBorders>
              <w:top w:val="nil"/>
              <w:bottom w:val="nil"/>
            </w:tcBorders>
          </w:tcPr>
          <w:p w14:paraId="4EB3E34E" w14:textId="08CEE3AE"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0"/>
                <w14:textFill>
                  <w14:solidFill>
                    <w14:srgbClr w14:val="000000">
                      <w14:alpha w14:val="100000"/>
                    </w14:srgbClr>
                  </w14:solidFill>
                </w14:textFill>
              </w:rPr>
              <w:t>||</w:t>
            </w:r>
            <w:r w:rsidR="008C30A7" w:rsidRPr="00FE32E3">
              <w:rPr>
                <w:color w:val="000000"/>
                <w:spacing w:val="1"/>
                <w:shd w:val="solid" w:color="000000" w:fill="000000"/>
                <w:fitText w:val="238" w:id="-694445810"/>
                <w14:textFill>
                  <w14:solidFill>
                    <w14:srgbClr w14:val="000000">
                      <w14:alpha w14:val="100000"/>
                    </w14:srgbClr>
                  </w14:solidFill>
                </w14:textFill>
              </w:rPr>
              <w:t>|</w:t>
            </w:r>
          </w:p>
        </w:tc>
        <w:tc>
          <w:tcPr>
            <w:tcW w:w="0" w:type="auto"/>
            <w:tcBorders>
              <w:top w:val="nil"/>
              <w:bottom w:val="nil"/>
            </w:tcBorders>
          </w:tcPr>
          <w:p w14:paraId="6623F4BC" w14:textId="77777777" w:rsidR="00CC7C90" w:rsidRPr="0081338E" w:rsidRDefault="00CC7C90" w:rsidP="00B5383E">
            <w:pPr>
              <w:pStyle w:val="TableText0"/>
              <w:keepLines/>
              <w:jc w:val="center"/>
            </w:pPr>
            <w:r w:rsidRPr="0081338E">
              <w:t>4.66</w:t>
            </w:r>
          </w:p>
        </w:tc>
        <w:tc>
          <w:tcPr>
            <w:tcW w:w="0" w:type="auto"/>
            <w:tcBorders>
              <w:top w:val="nil"/>
              <w:bottom w:val="nil"/>
            </w:tcBorders>
          </w:tcPr>
          <w:p w14:paraId="0C70C27E" w14:textId="6E562E87" w:rsidR="00CC7C90" w:rsidRPr="00B51C58" w:rsidRDefault="00CC7C90" w:rsidP="00B5383E">
            <w:pPr>
              <w:pStyle w:val="TableText0"/>
              <w:keepLines/>
              <w:jc w:val="center"/>
            </w:pPr>
            <w:r w:rsidRPr="0081338E">
              <w:t>$</w:t>
            </w:r>
            <w:r w:rsidR="008C30A7" w:rsidRPr="00FE32E3">
              <w:rPr>
                <w:color w:val="000000"/>
                <w:spacing w:val="55"/>
                <w:shd w:val="solid" w:color="000000" w:fill="000000"/>
                <w:fitText w:val="238" w:id="-694445809"/>
                <w14:textFill>
                  <w14:solidFill>
                    <w14:srgbClr w14:val="000000">
                      <w14:alpha w14:val="100000"/>
                    </w14:srgbClr>
                  </w14:solidFill>
                </w14:textFill>
              </w:rPr>
              <w:t>||</w:t>
            </w:r>
            <w:r w:rsidR="008C30A7" w:rsidRPr="00FE32E3">
              <w:rPr>
                <w:color w:val="000000"/>
                <w:spacing w:val="1"/>
                <w:shd w:val="solid" w:color="000000" w:fill="000000"/>
                <w:fitText w:val="238" w:id="-694445809"/>
                <w14:textFill>
                  <w14:solidFill>
                    <w14:srgbClr w14:val="000000">
                      <w14:alpha w14:val="100000"/>
                    </w14:srgbClr>
                  </w14:solidFill>
                </w14:textFill>
              </w:rPr>
              <w:t>|</w:t>
            </w:r>
            <w:r w:rsidR="00B51C58">
              <w:rPr>
                <w:vertAlign w:val="superscript"/>
              </w:rPr>
              <w:t>6</w:t>
            </w:r>
          </w:p>
        </w:tc>
        <w:tc>
          <w:tcPr>
            <w:tcW w:w="0" w:type="auto"/>
            <w:tcBorders>
              <w:top w:val="nil"/>
              <w:bottom w:val="nil"/>
            </w:tcBorders>
          </w:tcPr>
          <w:p w14:paraId="5CE2085B" w14:textId="613EA79A"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808"/>
                <w14:textFill>
                  <w14:solidFill>
                    <w14:srgbClr w14:val="000000">
                      <w14:alpha w14:val="100000"/>
                    </w14:srgbClr>
                  </w14:solidFill>
                </w14:textFill>
              </w:rPr>
              <w:t>||</w:t>
            </w:r>
            <w:r w:rsidR="008C30A7" w:rsidRPr="00FE32E3">
              <w:rPr>
                <w:color w:val="000000"/>
                <w:spacing w:val="1"/>
                <w:shd w:val="solid" w:color="000000" w:fill="000000"/>
                <w:fitText w:val="212" w:id="-694445808"/>
                <w14:textFill>
                  <w14:solidFill>
                    <w14:srgbClr w14:val="000000">
                      <w14:alpha w14:val="100000"/>
                    </w14:srgbClr>
                  </w14:solidFill>
                </w14:textFill>
              </w:rPr>
              <w:t>|</w:t>
            </w:r>
            <w:r w:rsidRPr="0081338E">
              <w:t>%</w:t>
            </w:r>
          </w:p>
        </w:tc>
      </w:tr>
      <w:tr w:rsidR="008C30A7" w:rsidRPr="0081338E" w14:paraId="53D565C8" w14:textId="77777777" w:rsidTr="00D10956">
        <w:tc>
          <w:tcPr>
            <w:tcW w:w="0" w:type="auto"/>
            <w:tcBorders>
              <w:top w:val="nil"/>
              <w:bottom w:val="single" w:sz="4" w:space="0" w:color="auto"/>
            </w:tcBorders>
          </w:tcPr>
          <w:p w14:paraId="2806B82F" w14:textId="77777777" w:rsidR="00CC7C90" w:rsidRPr="0081338E" w:rsidRDefault="00CC7C90" w:rsidP="00B5383E">
            <w:pPr>
              <w:pStyle w:val="TableText0"/>
              <w:keepLines/>
              <w:numPr>
                <w:ilvl w:val="0"/>
                <w:numId w:val="6"/>
              </w:numPr>
              <w:ind w:left="109" w:hanging="142"/>
            </w:pPr>
            <w:r w:rsidRPr="0081338E">
              <w:t>Equal to EF, cap at cure point (7 year)</w:t>
            </w:r>
          </w:p>
        </w:tc>
        <w:tc>
          <w:tcPr>
            <w:tcW w:w="0" w:type="auto"/>
            <w:tcBorders>
              <w:top w:val="nil"/>
              <w:bottom w:val="single" w:sz="4" w:space="0" w:color="auto"/>
            </w:tcBorders>
          </w:tcPr>
          <w:p w14:paraId="24D4B533" w14:textId="11159C60"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4"/>
                <w14:textFill>
                  <w14:solidFill>
                    <w14:srgbClr w14:val="000000">
                      <w14:alpha w14:val="100000"/>
                    </w14:srgbClr>
                  </w14:solidFill>
                </w14:textFill>
              </w:rPr>
              <w:t>||</w:t>
            </w:r>
            <w:r w:rsidR="008C30A7" w:rsidRPr="00FE32E3">
              <w:rPr>
                <w:color w:val="000000"/>
                <w:spacing w:val="1"/>
                <w:shd w:val="solid" w:color="000000" w:fill="000000"/>
                <w:fitText w:val="238" w:id="-694445824"/>
                <w14:textFill>
                  <w14:solidFill>
                    <w14:srgbClr w14:val="000000">
                      <w14:alpha w14:val="100000"/>
                    </w14:srgbClr>
                  </w14:solidFill>
                </w14:textFill>
              </w:rPr>
              <w:t>|</w:t>
            </w:r>
          </w:p>
        </w:tc>
        <w:tc>
          <w:tcPr>
            <w:tcW w:w="0" w:type="auto"/>
            <w:tcBorders>
              <w:top w:val="nil"/>
              <w:bottom w:val="single" w:sz="4" w:space="0" w:color="auto"/>
            </w:tcBorders>
          </w:tcPr>
          <w:p w14:paraId="0F381C01" w14:textId="77777777" w:rsidR="00CC7C90" w:rsidRPr="0081338E" w:rsidRDefault="00CC7C90" w:rsidP="00B5383E">
            <w:pPr>
              <w:pStyle w:val="TableText0"/>
              <w:keepLines/>
              <w:jc w:val="center"/>
            </w:pPr>
            <w:r w:rsidRPr="0081338E">
              <w:t>2.25</w:t>
            </w:r>
          </w:p>
        </w:tc>
        <w:tc>
          <w:tcPr>
            <w:tcW w:w="0" w:type="auto"/>
            <w:tcBorders>
              <w:top w:val="nil"/>
              <w:bottom w:val="single" w:sz="4" w:space="0" w:color="auto"/>
            </w:tcBorders>
          </w:tcPr>
          <w:p w14:paraId="769707DC" w14:textId="7CF4B1F4" w:rsidR="00CC7C90" w:rsidRPr="0081338E" w:rsidRDefault="00CC7C90" w:rsidP="00B5383E">
            <w:pPr>
              <w:pStyle w:val="TableText0"/>
              <w:keepLines/>
              <w:jc w:val="center"/>
            </w:pPr>
            <w:r w:rsidRPr="0081338E">
              <w:t>$</w:t>
            </w:r>
            <w:r w:rsidR="008C30A7" w:rsidRPr="00FE32E3">
              <w:rPr>
                <w:color w:val="000000"/>
                <w:spacing w:val="177"/>
                <w:shd w:val="solid" w:color="000000" w:fill="000000"/>
                <w:fitText w:val="263" w:id="-694445823"/>
                <w14:textFill>
                  <w14:solidFill>
                    <w14:srgbClr w14:val="000000">
                      <w14:alpha w14:val="100000"/>
                    </w14:srgbClr>
                  </w14:solidFill>
                </w14:textFill>
              </w:rPr>
              <w:t>|</w:t>
            </w:r>
            <w:r w:rsidR="008C30A7" w:rsidRPr="00FE32E3">
              <w:rPr>
                <w:color w:val="000000"/>
                <w:spacing w:val="1"/>
                <w:shd w:val="solid" w:color="000000" w:fill="000000"/>
                <w:fitText w:val="263" w:id="-694445823"/>
                <w14:textFill>
                  <w14:solidFill>
                    <w14:srgbClr w14:val="000000">
                      <w14:alpha w14:val="100000"/>
                    </w14:srgbClr>
                  </w14:solidFill>
                </w14:textFill>
              </w:rPr>
              <w:t>|</w:t>
            </w:r>
            <w:r w:rsidR="00E338FD" w:rsidRPr="00E338FD">
              <w:rPr>
                <w:vertAlign w:val="superscript"/>
              </w:rPr>
              <w:t>10</w:t>
            </w:r>
          </w:p>
        </w:tc>
        <w:tc>
          <w:tcPr>
            <w:tcW w:w="0" w:type="auto"/>
            <w:tcBorders>
              <w:top w:val="nil"/>
              <w:bottom w:val="single" w:sz="4" w:space="0" w:color="auto"/>
            </w:tcBorders>
          </w:tcPr>
          <w:p w14:paraId="1B15774A" w14:textId="25E80544" w:rsidR="00CC7C90" w:rsidRPr="0081338E" w:rsidRDefault="008C30A7" w:rsidP="00B5383E">
            <w:pPr>
              <w:pStyle w:val="TableText0"/>
              <w:keepLines/>
              <w:jc w:val="center"/>
            </w:pPr>
            <w:r w:rsidRPr="00FE32E3">
              <w:rPr>
                <w:color w:val="000000"/>
                <w:spacing w:val="90"/>
                <w:shd w:val="solid" w:color="000000" w:fill="000000"/>
                <w:fitText w:val="176" w:id="-694445822"/>
                <w14:textFill>
                  <w14:solidFill>
                    <w14:srgbClr w14:val="000000">
                      <w14:alpha w14:val="100000"/>
                    </w14:srgbClr>
                  </w14:solidFill>
                </w14:textFill>
              </w:rPr>
              <w:t>|</w:t>
            </w:r>
            <w:r w:rsidRPr="00FE32E3">
              <w:rPr>
                <w:color w:val="000000"/>
                <w:spacing w:val="1"/>
                <w:shd w:val="solid" w:color="000000" w:fill="000000"/>
                <w:fitText w:val="176" w:id="-694445822"/>
                <w14:textFill>
                  <w14:solidFill>
                    <w14:srgbClr w14:val="000000">
                      <w14:alpha w14:val="100000"/>
                    </w14:srgbClr>
                  </w14:solidFill>
                </w14:textFill>
              </w:rPr>
              <w:t>|</w:t>
            </w:r>
            <w:r w:rsidR="00CC7C90" w:rsidRPr="0081338E">
              <w:t>%</w:t>
            </w:r>
          </w:p>
        </w:tc>
        <w:tc>
          <w:tcPr>
            <w:tcW w:w="0" w:type="auto"/>
            <w:tcBorders>
              <w:top w:val="nil"/>
              <w:bottom w:val="single" w:sz="4" w:space="0" w:color="auto"/>
            </w:tcBorders>
          </w:tcPr>
          <w:p w14:paraId="218E08CF" w14:textId="480E7A46"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21"/>
                <w14:textFill>
                  <w14:solidFill>
                    <w14:srgbClr w14:val="000000">
                      <w14:alpha w14:val="100000"/>
                    </w14:srgbClr>
                  </w14:solidFill>
                </w14:textFill>
              </w:rPr>
              <w:t>||</w:t>
            </w:r>
            <w:r w:rsidR="008C30A7" w:rsidRPr="00FE32E3">
              <w:rPr>
                <w:color w:val="000000"/>
                <w:spacing w:val="1"/>
                <w:shd w:val="solid" w:color="000000" w:fill="000000"/>
                <w:fitText w:val="238" w:id="-694445821"/>
                <w14:textFill>
                  <w14:solidFill>
                    <w14:srgbClr w14:val="000000">
                      <w14:alpha w14:val="100000"/>
                    </w14:srgbClr>
                  </w14:solidFill>
                </w14:textFill>
              </w:rPr>
              <w:t>|</w:t>
            </w:r>
          </w:p>
        </w:tc>
        <w:tc>
          <w:tcPr>
            <w:tcW w:w="0" w:type="auto"/>
            <w:tcBorders>
              <w:top w:val="nil"/>
              <w:bottom w:val="single" w:sz="4" w:space="0" w:color="auto"/>
            </w:tcBorders>
          </w:tcPr>
          <w:p w14:paraId="60F4A625" w14:textId="77777777" w:rsidR="00CC7C90" w:rsidRPr="0081338E" w:rsidRDefault="00CC7C90" w:rsidP="00B5383E">
            <w:pPr>
              <w:pStyle w:val="TableText0"/>
              <w:keepLines/>
              <w:jc w:val="center"/>
            </w:pPr>
            <w:r w:rsidRPr="0081338E">
              <w:t>4.66</w:t>
            </w:r>
          </w:p>
        </w:tc>
        <w:tc>
          <w:tcPr>
            <w:tcW w:w="0" w:type="auto"/>
            <w:tcBorders>
              <w:top w:val="nil"/>
              <w:bottom w:val="single" w:sz="4" w:space="0" w:color="auto"/>
            </w:tcBorders>
          </w:tcPr>
          <w:p w14:paraId="2496B515" w14:textId="5B126ED6" w:rsidR="00CC7C90" w:rsidRPr="003F30A1"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20"/>
                <w14:textFill>
                  <w14:solidFill>
                    <w14:srgbClr w14:val="000000">
                      <w14:alpha w14:val="100000"/>
                    </w14:srgbClr>
                  </w14:solidFill>
                </w14:textFill>
              </w:rPr>
              <w:t>||</w:t>
            </w:r>
            <w:r w:rsidR="008C30A7" w:rsidRPr="00FE32E3">
              <w:rPr>
                <w:color w:val="000000"/>
                <w:spacing w:val="1"/>
                <w:shd w:val="solid" w:color="000000" w:fill="000000"/>
                <w:fitText w:val="238" w:id="-694445820"/>
                <w14:textFill>
                  <w14:solidFill>
                    <w14:srgbClr w14:val="000000">
                      <w14:alpha w14:val="100000"/>
                    </w14:srgbClr>
                  </w14:solidFill>
                </w14:textFill>
              </w:rPr>
              <w:t>|</w:t>
            </w:r>
            <w:r w:rsidR="003F30A1">
              <w:rPr>
                <w:vertAlign w:val="superscript"/>
              </w:rPr>
              <w:t>8</w:t>
            </w:r>
          </w:p>
        </w:tc>
        <w:tc>
          <w:tcPr>
            <w:tcW w:w="0" w:type="auto"/>
            <w:tcBorders>
              <w:top w:val="nil"/>
              <w:bottom w:val="single" w:sz="4" w:space="0" w:color="auto"/>
            </w:tcBorders>
          </w:tcPr>
          <w:p w14:paraId="44AD9FB9" w14:textId="70D182C5" w:rsidR="00CC7C90" w:rsidRPr="0081338E" w:rsidRDefault="008C30A7" w:rsidP="00B5383E">
            <w:pPr>
              <w:pStyle w:val="TableText0"/>
              <w:keepLines/>
              <w:jc w:val="center"/>
            </w:pPr>
            <w:r w:rsidRPr="00FE32E3">
              <w:rPr>
                <w:color w:val="000000"/>
                <w:spacing w:val="89"/>
                <w:shd w:val="solid" w:color="000000" w:fill="000000"/>
                <w:fitText w:val="175" w:id="-694445819"/>
                <w14:textFill>
                  <w14:solidFill>
                    <w14:srgbClr w14:val="000000">
                      <w14:alpha w14:val="100000"/>
                    </w14:srgbClr>
                  </w14:solidFill>
                </w14:textFill>
              </w:rPr>
              <w:t>|</w:t>
            </w:r>
            <w:r w:rsidRPr="00FE32E3">
              <w:rPr>
                <w:color w:val="000000"/>
                <w:spacing w:val="1"/>
                <w:shd w:val="solid" w:color="000000" w:fill="000000"/>
                <w:fitText w:val="175" w:id="-694445819"/>
                <w14:textFill>
                  <w14:solidFill>
                    <w14:srgbClr w14:val="000000">
                      <w14:alpha w14:val="100000"/>
                    </w14:srgbClr>
                  </w14:solidFill>
                </w14:textFill>
              </w:rPr>
              <w:t>|</w:t>
            </w:r>
            <w:r w:rsidR="00CC7C90" w:rsidRPr="0081338E">
              <w:t>%</w:t>
            </w:r>
          </w:p>
        </w:tc>
      </w:tr>
      <w:tr w:rsidR="00CC7C90" w:rsidRPr="0081338E" w14:paraId="0D92D557" w14:textId="77777777" w:rsidTr="00D10956">
        <w:tc>
          <w:tcPr>
            <w:tcW w:w="0" w:type="auto"/>
            <w:gridSpan w:val="9"/>
            <w:tcBorders>
              <w:top w:val="single" w:sz="4" w:space="0" w:color="auto"/>
              <w:bottom w:val="nil"/>
            </w:tcBorders>
          </w:tcPr>
          <w:p w14:paraId="3CAE80E0" w14:textId="77777777" w:rsidR="00CC7C90" w:rsidRPr="0081338E" w:rsidRDefault="00CC7C90" w:rsidP="00B5383E">
            <w:pPr>
              <w:pStyle w:val="TableText0"/>
              <w:keepLines/>
            </w:pPr>
            <w:r w:rsidRPr="0081338E">
              <w:t>Utilities (base age based with -7.3% decrement in EF/LT-remission, -41.7% in relapse)</w:t>
            </w:r>
          </w:p>
        </w:tc>
      </w:tr>
      <w:tr w:rsidR="008C30A7" w:rsidRPr="0081338E" w14:paraId="6D4CC5BC" w14:textId="77777777" w:rsidTr="00D10956">
        <w:tc>
          <w:tcPr>
            <w:tcW w:w="0" w:type="auto"/>
            <w:tcBorders>
              <w:top w:val="nil"/>
              <w:bottom w:val="nil"/>
            </w:tcBorders>
          </w:tcPr>
          <w:p w14:paraId="2FAA13C3" w14:textId="77777777" w:rsidR="00CC7C90" w:rsidRPr="0081338E" w:rsidRDefault="00CC7C90" w:rsidP="00B5383E">
            <w:pPr>
              <w:pStyle w:val="TableText0"/>
              <w:keepLines/>
              <w:numPr>
                <w:ilvl w:val="0"/>
                <w:numId w:val="6"/>
              </w:numPr>
              <w:ind w:left="109" w:hanging="142"/>
            </w:pPr>
            <w:r w:rsidRPr="0081338E">
              <w:t>EF/LT-remission +20%</w:t>
            </w:r>
          </w:p>
        </w:tc>
        <w:tc>
          <w:tcPr>
            <w:tcW w:w="0" w:type="auto"/>
            <w:tcBorders>
              <w:top w:val="nil"/>
              <w:bottom w:val="nil"/>
            </w:tcBorders>
          </w:tcPr>
          <w:p w14:paraId="2AC4EDD8" w14:textId="3C3C8502"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8"/>
                <w14:textFill>
                  <w14:solidFill>
                    <w14:srgbClr w14:val="000000">
                      <w14:alpha w14:val="100000"/>
                    </w14:srgbClr>
                  </w14:solidFill>
                </w14:textFill>
              </w:rPr>
              <w:t>||</w:t>
            </w:r>
            <w:r w:rsidR="008C30A7" w:rsidRPr="00FE32E3">
              <w:rPr>
                <w:color w:val="000000"/>
                <w:spacing w:val="1"/>
                <w:shd w:val="solid" w:color="000000" w:fill="000000"/>
                <w:fitText w:val="238" w:id="-694445818"/>
                <w14:textFill>
                  <w14:solidFill>
                    <w14:srgbClr w14:val="000000">
                      <w14:alpha w14:val="100000"/>
                    </w14:srgbClr>
                  </w14:solidFill>
                </w14:textFill>
              </w:rPr>
              <w:t>|</w:t>
            </w:r>
          </w:p>
        </w:tc>
        <w:tc>
          <w:tcPr>
            <w:tcW w:w="0" w:type="auto"/>
            <w:tcBorders>
              <w:top w:val="nil"/>
              <w:bottom w:val="nil"/>
            </w:tcBorders>
          </w:tcPr>
          <w:p w14:paraId="5FE52E51" w14:textId="77777777" w:rsidR="00CC7C90" w:rsidRPr="0081338E" w:rsidRDefault="00CC7C90" w:rsidP="00B5383E">
            <w:pPr>
              <w:pStyle w:val="TableText0"/>
              <w:keepLines/>
              <w:jc w:val="center"/>
            </w:pPr>
            <w:r w:rsidRPr="0081338E">
              <w:t>2.68</w:t>
            </w:r>
          </w:p>
        </w:tc>
        <w:tc>
          <w:tcPr>
            <w:tcW w:w="0" w:type="auto"/>
            <w:tcBorders>
              <w:top w:val="nil"/>
              <w:bottom w:val="nil"/>
            </w:tcBorders>
          </w:tcPr>
          <w:p w14:paraId="762EB1C3" w14:textId="00AC5E0C" w:rsidR="00CC7C90" w:rsidRPr="00986DB9"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7"/>
                <w14:textFill>
                  <w14:solidFill>
                    <w14:srgbClr w14:val="000000">
                      <w14:alpha w14:val="100000"/>
                    </w14:srgbClr>
                  </w14:solidFill>
                </w14:textFill>
              </w:rPr>
              <w:t>||</w:t>
            </w:r>
            <w:r w:rsidR="008C30A7" w:rsidRPr="00FE32E3">
              <w:rPr>
                <w:color w:val="000000"/>
                <w:spacing w:val="1"/>
                <w:shd w:val="solid" w:color="000000" w:fill="000000"/>
                <w:fitText w:val="238" w:id="-694445817"/>
                <w14:textFill>
                  <w14:solidFill>
                    <w14:srgbClr w14:val="000000">
                      <w14:alpha w14:val="100000"/>
                    </w14:srgbClr>
                  </w14:solidFill>
                </w14:textFill>
              </w:rPr>
              <w:t>|</w:t>
            </w:r>
            <w:r w:rsidR="00986DB9">
              <w:rPr>
                <w:vertAlign w:val="superscript"/>
              </w:rPr>
              <w:t>5</w:t>
            </w:r>
          </w:p>
        </w:tc>
        <w:tc>
          <w:tcPr>
            <w:tcW w:w="0" w:type="auto"/>
            <w:tcBorders>
              <w:top w:val="nil"/>
              <w:bottom w:val="nil"/>
            </w:tcBorders>
          </w:tcPr>
          <w:p w14:paraId="78668BF5" w14:textId="465B25D8"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3" w:id="-694445816"/>
                <w14:textFill>
                  <w14:solidFill>
                    <w14:srgbClr w14:val="000000">
                      <w14:alpha w14:val="100000"/>
                    </w14:srgbClr>
                  </w14:solidFill>
                </w14:textFill>
              </w:rPr>
              <w:t>||</w:t>
            </w:r>
            <w:r w:rsidR="008C30A7" w:rsidRPr="00FE32E3">
              <w:rPr>
                <w:color w:val="000000"/>
                <w:spacing w:val="2"/>
                <w:shd w:val="solid" w:color="000000" w:fill="000000"/>
                <w:fitText w:val="213" w:id="-694445816"/>
                <w14:textFill>
                  <w14:solidFill>
                    <w14:srgbClr w14:val="000000">
                      <w14:alpha w14:val="100000"/>
                    </w14:srgbClr>
                  </w14:solidFill>
                </w14:textFill>
              </w:rPr>
              <w:t>|</w:t>
            </w:r>
            <w:r w:rsidRPr="0081338E">
              <w:t>%</w:t>
            </w:r>
          </w:p>
        </w:tc>
        <w:tc>
          <w:tcPr>
            <w:tcW w:w="0" w:type="auto"/>
            <w:tcBorders>
              <w:top w:val="nil"/>
              <w:bottom w:val="nil"/>
            </w:tcBorders>
          </w:tcPr>
          <w:p w14:paraId="11143B9B" w14:textId="41182EB7"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5"/>
                <w14:textFill>
                  <w14:solidFill>
                    <w14:srgbClr w14:val="000000">
                      <w14:alpha w14:val="100000"/>
                    </w14:srgbClr>
                  </w14:solidFill>
                </w14:textFill>
              </w:rPr>
              <w:t>||</w:t>
            </w:r>
            <w:r w:rsidR="008C30A7" w:rsidRPr="00FE32E3">
              <w:rPr>
                <w:color w:val="000000"/>
                <w:spacing w:val="1"/>
                <w:shd w:val="solid" w:color="000000" w:fill="000000"/>
                <w:fitText w:val="238" w:id="-694445815"/>
                <w14:textFill>
                  <w14:solidFill>
                    <w14:srgbClr w14:val="000000">
                      <w14:alpha w14:val="100000"/>
                    </w14:srgbClr>
                  </w14:solidFill>
                </w14:textFill>
              </w:rPr>
              <w:t>|</w:t>
            </w:r>
          </w:p>
        </w:tc>
        <w:tc>
          <w:tcPr>
            <w:tcW w:w="0" w:type="auto"/>
            <w:tcBorders>
              <w:top w:val="nil"/>
              <w:bottom w:val="nil"/>
            </w:tcBorders>
          </w:tcPr>
          <w:p w14:paraId="503F57B0" w14:textId="77777777" w:rsidR="00CC7C90" w:rsidRPr="0081338E" w:rsidRDefault="00CC7C90" w:rsidP="00B5383E">
            <w:pPr>
              <w:pStyle w:val="TableText0"/>
              <w:keepLines/>
              <w:jc w:val="center"/>
            </w:pPr>
            <w:r w:rsidRPr="0081338E">
              <w:t>5.54</w:t>
            </w:r>
          </w:p>
        </w:tc>
        <w:tc>
          <w:tcPr>
            <w:tcW w:w="0" w:type="auto"/>
            <w:tcBorders>
              <w:top w:val="nil"/>
              <w:bottom w:val="nil"/>
            </w:tcBorders>
          </w:tcPr>
          <w:p w14:paraId="2913E57D" w14:textId="3D7313EB" w:rsidR="00CC7C90" w:rsidRPr="00FD4535"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4"/>
                <w14:textFill>
                  <w14:solidFill>
                    <w14:srgbClr w14:val="000000">
                      <w14:alpha w14:val="100000"/>
                    </w14:srgbClr>
                  </w14:solidFill>
                </w14:textFill>
              </w:rPr>
              <w:t>||</w:t>
            </w:r>
            <w:r w:rsidR="008C30A7" w:rsidRPr="00FE32E3">
              <w:rPr>
                <w:color w:val="000000"/>
                <w:spacing w:val="1"/>
                <w:shd w:val="solid" w:color="000000" w:fill="000000"/>
                <w:fitText w:val="238" w:id="-694445814"/>
                <w14:textFill>
                  <w14:solidFill>
                    <w14:srgbClr w14:val="000000">
                      <w14:alpha w14:val="100000"/>
                    </w14:srgbClr>
                  </w14:solidFill>
                </w14:textFill>
              </w:rPr>
              <w:t>|</w:t>
            </w:r>
            <w:r w:rsidR="00FD4535">
              <w:rPr>
                <w:vertAlign w:val="superscript"/>
              </w:rPr>
              <w:t>2</w:t>
            </w:r>
          </w:p>
        </w:tc>
        <w:tc>
          <w:tcPr>
            <w:tcW w:w="0" w:type="auto"/>
            <w:tcBorders>
              <w:top w:val="nil"/>
              <w:bottom w:val="nil"/>
            </w:tcBorders>
          </w:tcPr>
          <w:p w14:paraId="7B57AB1F" w14:textId="19C36F4B"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813"/>
                <w14:textFill>
                  <w14:solidFill>
                    <w14:srgbClr w14:val="000000">
                      <w14:alpha w14:val="100000"/>
                    </w14:srgbClr>
                  </w14:solidFill>
                </w14:textFill>
              </w:rPr>
              <w:t>||</w:t>
            </w:r>
            <w:r w:rsidR="008C30A7" w:rsidRPr="00FE32E3">
              <w:rPr>
                <w:color w:val="000000"/>
                <w:spacing w:val="1"/>
                <w:shd w:val="solid" w:color="000000" w:fill="000000"/>
                <w:fitText w:val="212" w:id="-694445813"/>
                <w14:textFill>
                  <w14:solidFill>
                    <w14:srgbClr w14:val="000000">
                      <w14:alpha w14:val="100000"/>
                    </w14:srgbClr>
                  </w14:solidFill>
                </w14:textFill>
              </w:rPr>
              <w:t>|</w:t>
            </w:r>
            <w:r w:rsidRPr="0081338E">
              <w:t>%</w:t>
            </w:r>
          </w:p>
        </w:tc>
      </w:tr>
      <w:tr w:rsidR="008C30A7" w:rsidRPr="0081338E" w14:paraId="7D56F3BF" w14:textId="77777777" w:rsidTr="00D10956">
        <w:tc>
          <w:tcPr>
            <w:tcW w:w="0" w:type="auto"/>
            <w:tcBorders>
              <w:top w:val="nil"/>
              <w:bottom w:val="single" w:sz="4" w:space="0" w:color="auto"/>
            </w:tcBorders>
          </w:tcPr>
          <w:p w14:paraId="354AB8B4" w14:textId="77777777" w:rsidR="00CC7C90" w:rsidRPr="0081338E" w:rsidRDefault="00CC7C90" w:rsidP="00B5383E">
            <w:pPr>
              <w:pStyle w:val="TableText0"/>
              <w:keepLines/>
              <w:numPr>
                <w:ilvl w:val="0"/>
                <w:numId w:val="6"/>
              </w:numPr>
              <w:ind w:left="109" w:hanging="142"/>
            </w:pPr>
            <w:r w:rsidRPr="0081338E">
              <w:t>EF/LT-remission -20%</w:t>
            </w:r>
          </w:p>
        </w:tc>
        <w:tc>
          <w:tcPr>
            <w:tcW w:w="0" w:type="auto"/>
            <w:tcBorders>
              <w:top w:val="nil"/>
              <w:bottom w:val="single" w:sz="4" w:space="0" w:color="auto"/>
            </w:tcBorders>
          </w:tcPr>
          <w:p w14:paraId="0E9CB187" w14:textId="32FE8AA4"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12"/>
                <w14:textFill>
                  <w14:solidFill>
                    <w14:srgbClr w14:val="000000">
                      <w14:alpha w14:val="100000"/>
                    </w14:srgbClr>
                  </w14:solidFill>
                </w14:textFill>
              </w:rPr>
              <w:t>||</w:t>
            </w:r>
            <w:r w:rsidR="008C30A7" w:rsidRPr="00FE32E3">
              <w:rPr>
                <w:color w:val="000000"/>
                <w:spacing w:val="1"/>
                <w:shd w:val="solid" w:color="000000" w:fill="000000"/>
                <w:fitText w:val="238" w:id="-694445812"/>
                <w14:textFill>
                  <w14:solidFill>
                    <w14:srgbClr w14:val="000000">
                      <w14:alpha w14:val="100000"/>
                    </w14:srgbClr>
                  </w14:solidFill>
                </w14:textFill>
              </w:rPr>
              <w:t>|</w:t>
            </w:r>
          </w:p>
        </w:tc>
        <w:tc>
          <w:tcPr>
            <w:tcW w:w="0" w:type="auto"/>
            <w:tcBorders>
              <w:top w:val="nil"/>
              <w:bottom w:val="single" w:sz="4" w:space="0" w:color="auto"/>
            </w:tcBorders>
          </w:tcPr>
          <w:p w14:paraId="2C533D3E" w14:textId="77777777" w:rsidR="00CC7C90" w:rsidRPr="0081338E" w:rsidRDefault="00CC7C90" w:rsidP="00B5383E">
            <w:pPr>
              <w:pStyle w:val="TableText0"/>
              <w:keepLines/>
              <w:jc w:val="center"/>
            </w:pPr>
            <w:r w:rsidRPr="0081338E">
              <w:t>1.82</w:t>
            </w:r>
          </w:p>
        </w:tc>
        <w:tc>
          <w:tcPr>
            <w:tcW w:w="0" w:type="auto"/>
            <w:tcBorders>
              <w:top w:val="nil"/>
              <w:bottom w:val="single" w:sz="4" w:space="0" w:color="auto"/>
            </w:tcBorders>
          </w:tcPr>
          <w:p w14:paraId="10614C04" w14:textId="03854478" w:rsidR="00CC7C90" w:rsidRPr="00E27E7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11"/>
                <w14:textFill>
                  <w14:solidFill>
                    <w14:srgbClr w14:val="000000">
                      <w14:alpha w14:val="100000"/>
                    </w14:srgbClr>
                  </w14:solidFill>
                </w14:textFill>
              </w:rPr>
              <w:t>||</w:t>
            </w:r>
            <w:r w:rsidR="008C30A7" w:rsidRPr="00FE32E3">
              <w:rPr>
                <w:color w:val="000000"/>
                <w:spacing w:val="1"/>
                <w:shd w:val="solid" w:color="000000" w:fill="000000"/>
                <w:fitText w:val="238" w:id="-694445811"/>
                <w14:textFill>
                  <w14:solidFill>
                    <w14:srgbClr w14:val="000000">
                      <w14:alpha w14:val="100000"/>
                    </w14:srgbClr>
                  </w14:solidFill>
                </w14:textFill>
              </w:rPr>
              <w:t>|</w:t>
            </w:r>
            <w:r w:rsidR="00E27E76">
              <w:rPr>
                <w:vertAlign w:val="superscript"/>
              </w:rPr>
              <w:t>1</w:t>
            </w:r>
          </w:p>
        </w:tc>
        <w:tc>
          <w:tcPr>
            <w:tcW w:w="0" w:type="auto"/>
            <w:tcBorders>
              <w:top w:val="nil"/>
              <w:bottom w:val="single" w:sz="4" w:space="0" w:color="auto"/>
            </w:tcBorders>
          </w:tcPr>
          <w:p w14:paraId="7FADFCC8" w14:textId="468F36D3" w:rsidR="00CC7C90" w:rsidRPr="0081338E" w:rsidRDefault="008C30A7" w:rsidP="00B5383E">
            <w:pPr>
              <w:pStyle w:val="TableText0"/>
              <w:keepLines/>
              <w:jc w:val="center"/>
            </w:pPr>
            <w:r w:rsidRPr="00FE32E3">
              <w:rPr>
                <w:color w:val="000000"/>
                <w:spacing w:val="90"/>
                <w:shd w:val="solid" w:color="000000" w:fill="000000"/>
                <w:fitText w:val="176" w:id="-694445810"/>
                <w14:textFill>
                  <w14:solidFill>
                    <w14:srgbClr w14:val="000000">
                      <w14:alpha w14:val="100000"/>
                    </w14:srgbClr>
                  </w14:solidFill>
                </w14:textFill>
              </w:rPr>
              <w:t>|</w:t>
            </w:r>
            <w:r w:rsidRPr="00FE32E3">
              <w:rPr>
                <w:color w:val="000000"/>
                <w:spacing w:val="1"/>
                <w:shd w:val="solid" w:color="000000" w:fill="000000"/>
                <w:fitText w:val="176" w:id="-694445810"/>
                <w14:textFill>
                  <w14:solidFill>
                    <w14:srgbClr w14:val="000000">
                      <w14:alpha w14:val="100000"/>
                    </w14:srgbClr>
                  </w14:solidFill>
                </w14:textFill>
              </w:rPr>
              <w:t>|</w:t>
            </w:r>
            <w:r w:rsidR="00CC7C90" w:rsidRPr="0081338E">
              <w:t>%</w:t>
            </w:r>
          </w:p>
        </w:tc>
        <w:tc>
          <w:tcPr>
            <w:tcW w:w="0" w:type="auto"/>
            <w:tcBorders>
              <w:top w:val="nil"/>
              <w:bottom w:val="single" w:sz="4" w:space="0" w:color="auto"/>
            </w:tcBorders>
          </w:tcPr>
          <w:p w14:paraId="50C781DC" w14:textId="346E716F"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809"/>
                <w14:textFill>
                  <w14:solidFill>
                    <w14:srgbClr w14:val="000000">
                      <w14:alpha w14:val="100000"/>
                    </w14:srgbClr>
                  </w14:solidFill>
                </w14:textFill>
              </w:rPr>
              <w:t>||</w:t>
            </w:r>
            <w:r w:rsidR="008C30A7" w:rsidRPr="00FE32E3">
              <w:rPr>
                <w:color w:val="000000"/>
                <w:spacing w:val="1"/>
                <w:shd w:val="solid" w:color="000000" w:fill="000000"/>
                <w:fitText w:val="238" w:id="-694445809"/>
                <w14:textFill>
                  <w14:solidFill>
                    <w14:srgbClr w14:val="000000">
                      <w14:alpha w14:val="100000"/>
                    </w14:srgbClr>
                  </w14:solidFill>
                </w14:textFill>
              </w:rPr>
              <w:t>|</w:t>
            </w:r>
          </w:p>
        </w:tc>
        <w:tc>
          <w:tcPr>
            <w:tcW w:w="0" w:type="auto"/>
            <w:tcBorders>
              <w:top w:val="nil"/>
              <w:bottom w:val="single" w:sz="4" w:space="0" w:color="auto"/>
            </w:tcBorders>
          </w:tcPr>
          <w:p w14:paraId="10CDC2D8" w14:textId="77777777" w:rsidR="00CC7C90" w:rsidRPr="0081338E" w:rsidRDefault="00CC7C90" w:rsidP="00B5383E">
            <w:pPr>
              <w:pStyle w:val="TableText0"/>
              <w:keepLines/>
              <w:jc w:val="center"/>
            </w:pPr>
            <w:r w:rsidRPr="0081338E">
              <w:t>3.78</w:t>
            </w:r>
          </w:p>
        </w:tc>
        <w:tc>
          <w:tcPr>
            <w:tcW w:w="0" w:type="auto"/>
            <w:tcBorders>
              <w:top w:val="nil"/>
              <w:bottom w:val="single" w:sz="4" w:space="0" w:color="auto"/>
            </w:tcBorders>
          </w:tcPr>
          <w:p w14:paraId="40B89DDA" w14:textId="3A27A2EE" w:rsidR="00CC7C90" w:rsidRPr="00FC2F7E"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808"/>
                <w14:textFill>
                  <w14:solidFill>
                    <w14:srgbClr w14:val="000000">
                      <w14:alpha w14:val="100000"/>
                    </w14:srgbClr>
                  </w14:solidFill>
                </w14:textFill>
              </w:rPr>
              <w:t>||</w:t>
            </w:r>
            <w:r w:rsidR="008C30A7" w:rsidRPr="00FE32E3">
              <w:rPr>
                <w:color w:val="000000"/>
                <w:spacing w:val="1"/>
                <w:shd w:val="solid" w:color="000000" w:fill="000000"/>
                <w:fitText w:val="238" w:id="-694445808"/>
                <w14:textFill>
                  <w14:solidFill>
                    <w14:srgbClr w14:val="000000">
                      <w14:alpha w14:val="100000"/>
                    </w14:srgbClr>
                  </w14:solidFill>
                </w14:textFill>
              </w:rPr>
              <w:t>|</w:t>
            </w:r>
            <w:r w:rsidR="00FC2F7E">
              <w:rPr>
                <w:vertAlign w:val="superscript"/>
              </w:rPr>
              <w:t>7</w:t>
            </w:r>
          </w:p>
        </w:tc>
        <w:tc>
          <w:tcPr>
            <w:tcW w:w="0" w:type="auto"/>
            <w:tcBorders>
              <w:top w:val="nil"/>
              <w:bottom w:val="single" w:sz="4" w:space="0" w:color="auto"/>
            </w:tcBorders>
          </w:tcPr>
          <w:p w14:paraId="058C95AE" w14:textId="4F33E708" w:rsidR="00CC7C90" w:rsidRPr="0081338E" w:rsidRDefault="008C30A7" w:rsidP="00B5383E">
            <w:pPr>
              <w:pStyle w:val="TableText0"/>
              <w:keepLines/>
              <w:jc w:val="center"/>
            </w:pPr>
            <w:r w:rsidRPr="00FE32E3">
              <w:rPr>
                <w:color w:val="000000"/>
                <w:spacing w:val="89"/>
                <w:shd w:val="solid" w:color="000000" w:fill="000000"/>
                <w:fitText w:val="175" w:id="-694445824"/>
                <w14:textFill>
                  <w14:solidFill>
                    <w14:srgbClr w14:val="000000">
                      <w14:alpha w14:val="100000"/>
                    </w14:srgbClr>
                  </w14:solidFill>
                </w14:textFill>
              </w:rPr>
              <w:t>|</w:t>
            </w:r>
            <w:r w:rsidRPr="00FE32E3">
              <w:rPr>
                <w:color w:val="000000"/>
                <w:spacing w:val="1"/>
                <w:shd w:val="solid" w:color="000000" w:fill="000000"/>
                <w:fitText w:val="175" w:id="-694445824"/>
                <w14:textFill>
                  <w14:solidFill>
                    <w14:srgbClr w14:val="000000">
                      <w14:alpha w14:val="100000"/>
                    </w14:srgbClr>
                  </w14:solidFill>
                </w14:textFill>
              </w:rPr>
              <w:t>|</w:t>
            </w:r>
            <w:r w:rsidR="00CC7C90" w:rsidRPr="0081338E">
              <w:t>%</w:t>
            </w:r>
          </w:p>
        </w:tc>
      </w:tr>
      <w:tr w:rsidR="008C30A7" w:rsidRPr="0081338E" w14:paraId="1F18D17E" w14:textId="77777777" w:rsidTr="00D10956">
        <w:tc>
          <w:tcPr>
            <w:tcW w:w="0" w:type="auto"/>
            <w:tcBorders>
              <w:top w:val="single" w:sz="4" w:space="0" w:color="auto"/>
              <w:bottom w:val="single" w:sz="4" w:space="0" w:color="auto"/>
            </w:tcBorders>
          </w:tcPr>
          <w:p w14:paraId="217B7A46" w14:textId="77777777" w:rsidR="00CC7C90" w:rsidRPr="0081338E" w:rsidRDefault="00CC7C90" w:rsidP="00B5383E">
            <w:pPr>
              <w:pStyle w:val="TableText0"/>
              <w:keepLines/>
            </w:pPr>
            <w:r w:rsidRPr="0081338E">
              <w:t>No costs in relapse (base one-off, plus per cycle costs)</w:t>
            </w:r>
          </w:p>
        </w:tc>
        <w:tc>
          <w:tcPr>
            <w:tcW w:w="0" w:type="auto"/>
            <w:tcBorders>
              <w:top w:val="single" w:sz="4" w:space="0" w:color="auto"/>
              <w:bottom w:val="single" w:sz="4" w:space="0" w:color="auto"/>
            </w:tcBorders>
          </w:tcPr>
          <w:p w14:paraId="190EA6CC" w14:textId="72914858"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568"/>
                <w14:textFill>
                  <w14:solidFill>
                    <w14:srgbClr w14:val="000000">
                      <w14:alpha w14:val="100000"/>
                    </w14:srgbClr>
                  </w14:solidFill>
                </w14:textFill>
              </w:rPr>
              <w:t>||</w:t>
            </w:r>
            <w:r w:rsidR="008C30A7" w:rsidRPr="00FE32E3">
              <w:rPr>
                <w:color w:val="000000"/>
                <w:spacing w:val="1"/>
                <w:shd w:val="solid" w:color="000000" w:fill="000000"/>
                <w:fitText w:val="238" w:id="-694445568"/>
                <w14:textFill>
                  <w14:solidFill>
                    <w14:srgbClr w14:val="000000">
                      <w14:alpha w14:val="100000"/>
                    </w14:srgbClr>
                  </w14:solidFill>
                </w14:textFill>
              </w:rPr>
              <w:t>|</w:t>
            </w:r>
          </w:p>
        </w:tc>
        <w:tc>
          <w:tcPr>
            <w:tcW w:w="0" w:type="auto"/>
            <w:tcBorders>
              <w:top w:val="single" w:sz="4" w:space="0" w:color="auto"/>
              <w:bottom w:val="single" w:sz="4" w:space="0" w:color="auto"/>
            </w:tcBorders>
          </w:tcPr>
          <w:p w14:paraId="6221B201" w14:textId="77777777" w:rsidR="00CC7C90" w:rsidRPr="0081338E" w:rsidRDefault="00CC7C90" w:rsidP="00B5383E">
            <w:pPr>
              <w:pStyle w:val="TableText0"/>
              <w:keepLines/>
              <w:jc w:val="center"/>
            </w:pPr>
            <w:r w:rsidRPr="0081338E">
              <w:t>2.25</w:t>
            </w:r>
          </w:p>
        </w:tc>
        <w:tc>
          <w:tcPr>
            <w:tcW w:w="0" w:type="auto"/>
            <w:tcBorders>
              <w:top w:val="single" w:sz="4" w:space="0" w:color="auto"/>
              <w:bottom w:val="single" w:sz="4" w:space="0" w:color="auto"/>
            </w:tcBorders>
          </w:tcPr>
          <w:p w14:paraId="41B6BEA8" w14:textId="25CB3861" w:rsidR="00CC7C90" w:rsidRPr="00E27E76"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567"/>
                <w14:textFill>
                  <w14:solidFill>
                    <w14:srgbClr w14:val="000000">
                      <w14:alpha w14:val="100000"/>
                    </w14:srgbClr>
                  </w14:solidFill>
                </w14:textFill>
              </w:rPr>
              <w:t>||</w:t>
            </w:r>
            <w:r w:rsidR="008C30A7" w:rsidRPr="00FE32E3">
              <w:rPr>
                <w:color w:val="000000"/>
                <w:spacing w:val="1"/>
                <w:shd w:val="solid" w:color="000000" w:fill="000000"/>
                <w:fitText w:val="238" w:id="-694445567"/>
                <w14:textFill>
                  <w14:solidFill>
                    <w14:srgbClr w14:val="000000">
                      <w14:alpha w14:val="100000"/>
                    </w14:srgbClr>
                  </w14:solidFill>
                </w14:textFill>
              </w:rPr>
              <w:t>|</w:t>
            </w:r>
            <w:r w:rsidR="00E27E76">
              <w:rPr>
                <w:vertAlign w:val="superscript"/>
              </w:rPr>
              <w:t>1</w:t>
            </w:r>
          </w:p>
        </w:tc>
        <w:tc>
          <w:tcPr>
            <w:tcW w:w="0" w:type="auto"/>
            <w:tcBorders>
              <w:top w:val="single" w:sz="4" w:space="0" w:color="auto"/>
              <w:bottom w:val="single" w:sz="4" w:space="0" w:color="auto"/>
            </w:tcBorders>
          </w:tcPr>
          <w:p w14:paraId="1ABD1B42" w14:textId="26B3914F" w:rsidR="00CC7C90" w:rsidRPr="0081338E" w:rsidRDefault="008C30A7" w:rsidP="00B5383E">
            <w:pPr>
              <w:pStyle w:val="TableText0"/>
              <w:keepLines/>
              <w:jc w:val="center"/>
            </w:pPr>
            <w:r w:rsidRPr="00FE32E3">
              <w:rPr>
                <w:color w:val="000000"/>
                <w:spacing w:val="90"/>
                <w:shd w:val="solid" w:color="000000" w:fill="000000"/>
                <w:fitText w:val="176" w:id="-694445566"/>
                <w14:textFill>
                  <w14:solidFill>
                    <w14:srgbClr w14:val="000000">
                      <w14:alpha w14:val="100000"/>
                    </w14:srgbClr>
                  </w14:solidFill>
                </w14:textFill>
              </w:rPr>
              <w:t>|</w:t>
            </w:r>
            <w:r w:rsidRPr="00FE32E3">
              <w:rPr>
                <w:color w:val="000000"/>
                <w:spacing w:val="1"/>
                <w:shd w:val="solid" w:color="000000" w:fill="000000"/>
                <w:fitText w:val="176" w:id="-694445566"/>
                <w14:textFill>
                  <w14:solidFill>
                    <w14:srgbClr w14:val="000000">
                      <w14:alpha w14:val="100000"/>
                    </w14:srgbClr>
                  </w14:solidFill>
                </w14:textFill>
              </w:rPr>
              <w:t>|</w:t>
            </w:r>
            <w:r w:rsidR="00CC7C90" w:rsidRPr="0081338E">
              <w:t>%</w:t>
            </w:r>
          </w:p>
        </w:tc>
        <w:tc>
          <w:tcPr>
            <w:tcW w:w="0" w:type="auto"/>
            <w:tcBorders>
              <w:top w:val="single" w:sz="4" w:space="0" w:color="auto"/>
              <w:bottom w:val="single" w:sz="4" w:space="0" w:color="auto"/>
            </w:tcBorders>
          </w:tcPr>
          <w:p w14:paraId="63CB7FDA" w14:textId="7A054686" w:rsidR="00CC7C90" w:rsidRPr="0081338E" w:rsidRDefault="00CC7C90" w:rsidP="00B5383E">
            <w:pPr>
              <w:pStyle w:val="TableText0"/>
              <w:keepLines/>
              <w:jc w:val="center"/>
            </w:pPr>
            <w:r w:rsidRPr="0081338E">
              <w:t>$</w:t>
            </w:r>
            <w:r w:rsidR="008C30A7" w:rsidRPr="00FE32E3">
              <w:rPr>
                <w:color w:val="000000"/>
                <w:spacing w:val="55"/>
                <w:shd w:val="solid" w:color="000000" w:fill="000000"/>
                <w:fitText w:val="238" w:id="-694445565"/>
                <w14:textFill>
                  <w14:solidFill>
                    <w14:srgbClr w14:val="000000">
                      <w14:alpha w14:val="100000"/>
                    </w14:srgbClr>
                  </w14:solidFill>
                </w14:textFill>
              </w:rPr>
              <w:t>||</w:t>
            </w:r>
            <w:r w:rsidR="008C30A7" w:rsidRPr="00FE32E3">
              <w:rPr>
                <w:color w:val="000000"/>
                <w:spacing w:val="1"/>
                <w:shd w:val="solid" w:color="000000" w:fill="000000"/>
                <w:fitText w:val="238" w:id="-694445565"/>
                <w14:textFill>
                  <w14:solidFill>
                    <w14:srgbClr w14:val="000000">
                      <w14:alpha w14:val="100000"/>
                    </w14:srgbClr>
                  </w14:solidFill>
                </w14:textFill>
              </w:rPr>
              <w:t>|</w:t>
            </w:r>
          </w:p>
        </w:tc>
        <w:tc>
          <w:tcPr>
            <w:tcW w:w="0" w:type="auto"/>
            <w:tcBorders>
              <w:top w:val="single" w:sz="4" w:space="0" w:color="auto"/>
              <w:bottom w:val="single" w:sz="4" w:space="0" w:color="auto"/>
            </w:tcBorders>
          </w:tcPr>
          <w:p w14:paraId="10F4B5F9" w14:textId="77777777" w:rsidR="00CC7C90" w:rsidRPr="0081338E" w:rsidRDefault="00CC7C90" w:rsidP="00B5383E">
            <w:pPr>
              <w:pStyle w:val="TableText0"/>
              <w:keepLines/>
              <w:jc w:val="center"/>
            </w:pPr>
            <w:r w:rsidRPr="0081338E">
              <w:t>4.66</w:t>
            </w:r>
          </w:p>
        </w:tc>
        <w:tc>
          <w:tcPr>
            <w:tcW w:w="0" w:type="auto"/>
            <w:tcBorders>
              <w:top w:val="single" w:sz="4" w:space="0" w:color="auto"/>
              <w:bottom w:val="single" w:sz="4" w:space="0" w:color="auto"/>
            </w:tcBorders>
          </w:tcPr>
          <w:p w14:paraId="16F5DAE4" w14:textId="0446D2EF" w:rsidR="00CC7C90" w:rsidRPr="00FD4535" w:rsidRDefault="00CC7C90" w:rsidP="00B5383E">
            <w:pPr>
              <w:pStyle w:val="TableText0"/>
              <w:keepLines/>
              <w:jc w:val="center"/>
              <w:rPr>
                <w:vertAlign w:val="superscript"/>
              </w:rPr>
            </w:pPr>
            <w:r w:rsidRPr="0081338E">
              <w:t>$</w:t>
            </w:r>
            <w:r w:rsidR="008C30A7" w:rsidRPr="00FE32E3">
              <w:rPr>
                <w:color w:val="000000"/>
                <w:spacing w:val="55"/>
                <w:shd w:val="solid" w:color="000000" w:fill="000000"/>
                <w:fitText w:val="238" w:id="-694445564"/>
                <w14:textFill>
                  <w14:solidFill>
                    <w14:srgbClr w14:val="000000">
                      <w14:alpha w14:val="100000"/>
                    </w14:srgbClr>
                  </w14:solidFill>
                </w14:textFill>
              </w:rPr>
              <w:t>||</w:t>
            </w:r>
            <w:r w:rsidR="008C30A7" w:rsidRPr="00FE32E3">
              <w:rPr>
                <w:color w:val="000000"/>
                <w:spacing w:val="1"/>
                <w:shd w:val="solid" w:color="000000" w:fill="000000"/>
                <w:fitText w:val="238" w:id="-694445564"/>
                <w14:textFill>
                  <w14:solidFill>
                    <w14:srgbClr w14:val="000000">
                      <w14:alpha w14:val="100000"/>
                    </w14:srgbClr>
                  </w14:solidFill>
                </w14:textFill>
              </w:rPr>
              <w:t>|</w:t>
            </w:r>
            <w:r w:rsidR="00FD4535">
              <w:rPr>
                <w:vertAlign w:val="superscript"/>
              </w:rPr>
              <w:t>2</w:t>
            </w:r>
          </w:p>
        </w:tc>
        <w:tc>
          <w:tcPr>
            <w:tcW w:w="0" w:type="auto"/>
            <w:tcBorders>
              <w:top w:val="single" w:sz="4" w:space="0" w:color="auto"/>
              <w:bottom w:val="single" w:sz="4" w:space="0" w:color="auto"/>
            </w:tcBorders>
          </w:tcPr>
          <w:p w14:paraId="70DB109A" w14:textId="5D8F2DDE" w:rsidR="00CC7C90" w:rsidRPr="0081338E" w:rsidRDefault="00CC7C90" w:rsidP="00B5383E">
            <w:pPr>
              <w:pStyle w:val="TableText0"/>
              <w:keepLines/>
              <w:jc w:val="center"/>
            </w:pPr>
            <w:r w:rsidRPr="0081338E">
              <w:t>-</w:t>
            </w:r>
            <w:r w:rsidR="008C30A7" w:rsidRPr="00FE32E3">
              <w:rPr>
                <w:color w:val="000000"/>
                <w:spacing w:val="42"/>
                <w:shd w:val="solid" w:color="000000" w:fill="000000"/>
                <w:fitText w:val="212" w:id="-694445563"/>
                <w14:textFill>
                  <w14:solidFill>
                    <w14:srgbClr w14:val="000000">
                      <w14:alpha w14:val="100000"/>
                    </w14:srgbClr>
                  </w14:solidFill>
                </w14:textFill>
              </w:rPr>
              <w:t>||</w:t>
            </w:r>
            <w:r w:rsidR="008C30A7" w:rsidRPr="00FE32E3">
              <w:rPr>
                <w:color w:val="000000"/>
                <w:spacing w:val="1"/>
                <w:shd w:val="solid" w:color="000000" w:fill="000000"/>
                <w:fitText w:val="212" w:id="-694445563"/>
                <w14:textFill>
                  <w14:solidFill>
                    <w14:srgbClr w14:val="000000">
                      <w14:alpha w14:val="100000"/>
                    </w14:srgbClr>
                  </w14:solidFill>
                </w14:textFill>
              </w:rPr>
              <w:t>|</w:t>
            </w:r>
            <w:r w:rsidRPr="0081338E">
              <w:t>%</w:t>
            </w:r>
          </w:p>
        </w:tc>
      </w:tr>
      <w:tr w:rsidR="00F527C7" w:rsidRPr="0081338E" w14:paraId="072C4FCF" w14:textId="77777777" w:rsidTr="00D10956">
        <w:tc>
          <w:tcPr>
            <w:tcW w:w="0" w:type="auto"/>
            <w:gridSpan w:val="9"/>
          </w:tcPr>
          <w:p w14:paraId="5EFC1130" w14:textId="09CED500" w:rsidR="00F527C7" w:rsidRPr="0081338E" w:rsidRDefault="00F527C7">
            <w:pPr>
              <w:pStyle w:val="In-tableHeading"/>
              <w:keepNext w:val="0"/>
            </w:pPr>
            <w:r w:rsidRPr="0081338E">
              <w:t>Multivariate analyses</w:t>
            </w:r>
          </w:p>
        </w:tc>
      </w:tr>
      <w:tr w:rsidR="004F292B" w:rsidRPr="0081338E" w14:paraId="3F70094A" w14:textId="77777777" w:rsidTr="00D10956">
        <w:tc>
          <w:tcPr>
            <w:tcW w:w="0" w:type="auto"/>
            <w:gridSpan w:val="9"/>
            <w:tcBorders>
              <w:top w:val="nil"/>
              <w:bottom w:val="single" w:sz="4" w:space="0" w:color="auto"/>
            </w:tcBorders>
          </w:tcPr>
          <w:p w14:paraId="49FE64DB" w14:textId="77777777" w:rsidR="004F292B" w:rsidRPr="0081338E" w:rsidRDefault="004F292B">
            <w:pPr>
              <w:pStyle w:val="TableText0"/>
              <w:keepNext w:val="0"/>
            </w:pPr>
            <w:r w:rsidRPr="0081338E">
              <w:t>Stratum 1 modelling approach (Stratum 2 equal to Stratum 2 versus Stratum 1 HRs applied to Stratum 1 modelled arms)</w:t>
            </w:r>
          </w:p>
        </w:tc>
      </w:tr>
      <w:tr w:rsidR="008C30A7" w:rsidRPr="0081338E" w14:paraId="760AC27B" w14:textId="77777777" w:rsidTr="00D10956">
        <w:tc>
          <w:tcPr>
            <w:tcW w:w="0" w:type="auto"/>
            <w:tcBorders>
              <w:top w:val="nil"/>
              <w:bottom w:val="single" w:sz="4" w:space="0" w:color="auto"/>
            </w:tcBorders>
          </w:tcPr>
          <w:p w14:paraId="48212CA8" w14:textId="77777777" w:rsidR="004F292B" w:rsidRPr="0081338E" w:rsidRDefault="004F292B">
            <w:pPr>
              <w:pStyle w:val="TableText0"/>
              <w:keepNext w:val="0"/>
              <w:numPr>
                <w:ilvl w:val="0"/>
                <w:numId w:val="6"/>
              </w:numPr>
              <w:ind w:left="109" w:hanging="142"/>
            </w:pPr>
            <w:r w:rsidRPr="0081338E">
              <w:t>EFS HR=0.49 and OS HR=0.33 (point estimates)</w:t>
            </w:r>
          </w:p>
        </w:tc>
        <w:tc>
          <w:tcPr>
            <w:tcW w:w="0" w:type="auto"/>
            <w:tcBorders>
              <w:top w:val="nil"/>
              <w:bottom w:val="single" w:sz="4" w:space="0" w:color="auto"/>
            </w:tcBorders>
          </w:tcPr>
          <w:p w14:paraId="3BBAFB87" w14:textId="2FEF36EC" w:rsidR="004F292B" w:rsidRPr="0081338E" w:rsidRDefault="004F292B">
            <w:pPr>
              <w:pStyle w:val="TableText0"/>
              <w:keepNext w:val="0"/>
              <w:jc w:val="center"/>
            </w:pPr>
            <w:r w:rsidRPr="0081338E">
              <w:t>$</w:t>
            </w:r>
            <w:r w:rsidR="008C30A7" w:rsidRPr="00FE32E3">
              <w:rPr>
                <w:color w:val="000000"/>
                <w:spacing w:val="55"/>
                <w:shd w:val="solid" w:color="000000" w:fill="000000"/>
                <w:fitText w:val="238" w:id="-694445562"/>
                <w14:textFill>
                  <w14:solidFill>
                    <w14:srgbClr w14:val="000000">
                      <w14:alpha w14:val="100000"/>
                    </w14:srgbClr>
                  </w14:solidFill>
                </w14:textFill>
              </w:rPr>
              <w:t>||</w:t>
            </w:r>
            <w:r w:rsidR="008C30A7" w:rsidRPr="00FE32E3">
              <w:rPr>
                <w:color w:val="000000"/>
                <w:spacing w:val="1"/>
                <w:shd w:val="solid" w:color="000000" w:fill="000000"/>
                <w:fitText w:val="238" w:id="-694445562"/>
                <w14:textFill>
                  <w14:solidFill>
                    <w14:srgbClr w14:val="000000">
                      <w14:alpha w14:val="100000"/>
                    </w14:srgbClr>
                  </w14:solidFill>
                </w14:textFill>
              </w:rPr>
              <w:t>|</w:t>
            </w:r>
          </w:p>
        </w:tc>
        <w:tc>
          <w:tcPr>
            <w:tcW w:w="0" w:type="auto"/>
            <w:tcBorders>
              <w:top w:val="nil"/>
              <w:bottom w:val="single" w:sz="4" w:space="0" w:color="auto"/>
            </w:tcBorders>
          </w:tcPr>
          <w:p w14:paraId="0F50435C" w14:textId="77777777" w:rsidR="004F292B" w:rsidRPr="0081338E" w:rsidRDefault="004F292B">
            <w:pPr>
              <w:pStyle w:val="TableText0"/>
              <w:keepNext w:val="0"/>
              <w:jc w:val="center"/>
            </w:pPr>
            <w:r w:rsidRPr="0081338E">
              <w:t>2.28</w:t>
            </w:r>
          </w:p>
        </w:tc>
        <w:tc>
          <w:tcPr>
            <w:tcW w:w="0" w:type="auto"/>
            <w:tcBorders>
              <w:top w:val="nil"/>
              <w:bottom w:val="single" w:sz="4" w:space="0" w:color="auto"/>
            </w:tcBorders>
          </w:tcPr>
          <w:p w14:paraId="1534E7AE" w14:textId="3B0E96F0" w:rsidR="004F292B" w:rsidRPr="003F30A1" w:rsidRDefault="004F292B">
            <w:pPr>
              <w:pStyle w:val="TableText0"/>
              <w:keepNext w:val="0"/>
              <w:jc w:val="center"/>
              <w:rPr>
                <w:vertAlign w:val="superscript"/>
              </w:rPr>
            </w:pPr>
            <w:r w:rsidRPr="0081338E">
              <w:t>$</w:t>
            </w:r>
            <w:r w:rsidR="008C30A7" w:rsidRPr="00FE32E3">
              <w:rPr>
                <w:color w:val="000000"/>
                <w:spacing w:val="55"/>
                <w:shd w:val="solid" w:color="000000" w:fill="000000"/>
                <w:fitText w:val="238" w:id="-694445561"/>
                <w14:textFill>
                  <w14:solidFill>
                    <w14:srgbClr w14:val="000000">
                      <w14:alpha w14:val="100000"/>
                    </w14:srgbClr>
                  </w14:solidFill>
                </w14:textFill>
              </w:rPr>
              <w:t>||</w:t>
            </w:r>
            <w:r w:rsidR="008C30A7" w:rsidRPr="00FE32E3">
              <w:rPr>
                <w:color w:val="000000"/>
                <w:spacing w:val="1"/>
                <w:shd w:val="solid" w:color="000000" w:fill="000000"/>
                <w:fitText w:val="238" w:id="-694445561"/>
                <w14:textFill>
                  <w14:solidFill>
                    <w14:srgbClr w14:val="000000">
                      <w14:alpha w14:val="100000"/>
                    </w14:srgbClr>
                  </w14:solidFill>
                </w14:textFill>
              </w:rPr>
              <w:t>|</w:t>
            </w:r>
            <w:r w:rsidR="003F30A1">
              <w:rPr>
                <w:vertAlign w:val="superscript"/>
              </w:rPr>
              <w:t>8</w:t>
            </w:r>
          </w:p>
        </w:tc>
        <w:tc>
          <w:tcPr>
            <w:tcW w:w="0" w:type="auto"/>
            <w:tcBorders>
              <w:top w:val="nil"/>
              <w:bottom w:val="single" w:sz="4" w:space="0" w:color="auto"/>
            </w:tcBorders>
          </w:tcPr>
          <w:p w14:paraId="29A8CE16" w14:textId="1D4DFD4F" w:rsidR="004F292B" w:rsidRPr="0081338E" w:rsidRDefault="004F292B">
            <w:pPr>
              <w:pStyle w:val="TableText0"/>
              <w:keepNext w:val="0"/>
              <w:jc w:val="center"/>
            </w:pPr>
            <w:r w:rsidRPr="0081338E">
              <w:t>-</w:t>
            </w:r>
            <w:r w:rsidR="008C30A7" w:rsidRPr="00FE32E3">
              <w:rPr>
                <w:color w:val="000000"/>
                <w:spacing w:val="42"/>
                <w:shd w:val="solid" w:color="000000" w:fill="000000"/>
                <w:fitText w:val="213" w:id="-694445560"/>
                <w14:textFill>
                  <w14:solidFill>
                    <w14:srgbClr w14:val="000000">
                      <w14:alpha w14:val="100000"/>
                    </w14:srgbClr>
                  </w14:solidFill>
                </w14:textFill>
              </w:rPr>
              <w:t>||</w:t>
            </w:r>
            <w:r w:rsidR="008C30A7" w:rsidRPr="00FE32E3">
              <w:rPr>
                <w:color w:val="000000"/>
                <w:spacing w:val="2"/>
                <w:shd w:val="solid" w:color="000000" w:fill="000000"/>
                <w:fitText w:val="213" w:id="-694445560"/>
                <w14:textFill>
                  <w14:solidFill>
                    <w14:srgbClr w14:val="000000">
                      <w14:alpha w14:val="100000"/>
                    </w14:srgbClr>
                  </w14:solidFill>
                </w14:textFill>
              </w:rPr>
              <w:t>|</w:t>
            </w:r>
            <w:r w:rsidRPr="0081338E">
              <w:t>%</w:t>
            </w:r>
          </w:p>
        </w:tc>
        <w:tc>
          <w:tcPr>
            <w:tcW w:w="0" w:type="auto"/>
            <w:tcBorders>
              <w:top w:val="nil"/>
              <w:bottom w:val="single" w:sz="4" w:space="0" w:color="auto"/>
            </w:tcBorders>
          </w:tcPr>
          <w:p w14:paraId="4BF6ED98" w14:textId="761C7602" w:rsidR="004F292B" w:rsidRPr="0081338E" w:rsidRDefault="004F292B">
            <w:pPr>
              <w:pStyle w:val="TableText0"/>
              <w:keepNext w:val="0"/>
              <w:jc w:val="center"/>
            </w:pPr>
            <w:r w:rsidRPr="0081338E">
              <w:t>$</w:t>
            </w:r>
            <w:r w:rsidR="008C30A7" w:rsidRPr="00FE32E3">
              <w:rPr>
                <w:color w:val="000000"/>
                <w:spacing w:val="55"/>
                <w:shd w:val="solid" w:color="000000" w:fill="000000"/>
                <w:fitText w:val="238" w:id="-694445559"/>
                <w14:textFill>
                  <w14:solidFill>
                    <w14:srgbClr w14:val="000000">
                      <w14:alpha w14:val="100000"/>
                    </w14:srgbClr>
                  </w14:solidFill>
                </w14:textFill>
              </w:rPr>
              <w:t>||</w:t>
            </w:r>
            <w:r w:rsidR="008C30A7" w:rsidRPr="00FE32E3">
              <w:rPr>
                <w:color w:val="000000"/>
                <w:spacing w:val="1"/>
                <w:shd w:val="solid" w:color="000000" w:fill="000000"/>
                <w:fitText w:val="238" w:id="-694445559"/>
                <w14:textFill>
                  <w14:solidFill>
                    <w14:srgbClr w14:val="000000">
                      <w14:alpha w14:val="100000"/>
                    </w14:srgbClr>
                  </w14:solidFill>
                </w14:textFill>
              </w:rPr>
              <w:t>|</w:t>
            </w:r>
          </w:p>
        </w:tc>
        <w:tc>
          <w:tcPr>
            <w:tcW w:w="0" w:type="auto"/>
            <w:tcBorders>
              <w:top w:val="nil"/>
              <w:bottom w:val="single" w:sz="4" w:space="0" w:color="auto"/>
            </w:tcBorders>
          </w:tcPr>
          <w:p w14:paraId="5B05C49F" w14:textId="77777777" w:rsidR="004F292B" w:rsidRPr="0081338E" w:rsidRDefault="004F292B">
            <w:pPr>
              <w:pStyle w:val="TableText0"/>
              <w:keepNext w:val="0"/>
              <w:jc w:val="center"/>
            </w:pPr>
            <w:r w:rsidRPr="0081338E">
              <w:t>4.65</w:t>
            </w:r>
          </w:p>
        </w:tc>
        <w:tc>
          <w:tcPr>
            <w:tcW w:w="0" w:type="auto"/>
            <w:tcBorders>
              <w:top w:val="nil"/>
              <w:bottom w:val="single" w:sz="4" w:space="0" w:color="auto"/>
            </w:tcBorders>
          </w:tcPr>
          <w:p w14:paraId="0754F0E4" w14:textId="2284F914" w:rsidR="004F292B" w:rsidRPr="00FD4535" w:rsidRDefault="004F292B">
            <w:pPr>
              <w:pStyle w:val="TableText0"/>
              <w:keepNext w:val="0"/>
              <w:jc w:val="center"/>
              <w:rPr>
                <w:vertAlign w:val="superscript"/>
              </w:rPr>
            </w:pPr>
            <w:r w:rsidRPr="0081338E">
              <w:t>$</w:t>
            </w:r>
            <w:r w:rsidR="008C30A7" w:rsidRPr="00FE32E3">
              <w:rPr>
                <w:color w:val="000000"/>
                <w:spacing w:val="55"/>
                <w:shd w:val="solid" w:color="000000" w:fill="000000"/>
                <w:fitText w:val="238" w:id="-694445558"/>
                <w14:textFill>
                  <w14:solidFill>
                    <w14:srgbClr w14:val="000000">
                      <w14:alpha w14:val="100000"/>
                    </w14:srgbClr>
                  </w14:solidFill>
                </w14:textFill>
              </w:rPr>
              <w:t>||</w:t>
            </w:r>
            <w:r w:rsidR="008C30A7" w:rsidRPr="00FE32E3">
              <w:rPr>
                <w:color w:val="000000"/>
                <w:spacing w:val="1"/>
                <w:shd w:val="solid" w:color="000000" w:fill="000000"/>
                <w:fitText w:val="238" w:id="-694445558"/>
                <w14:textFill>
                  <w14:solidFill>
                    <w14:srgbClr w14:val="000000">
                      <w14:alpha w14:val="100000"/>
                    </w14:srgbClr>
                  </w14:solidFill>
                </w14:textFill>
              </w:rPr>
              <w:t>|</w:t>
            </w:r>
            <w:r w:rsidR="00FD4535">
              <w:rPr>
                <w:vertAlign w:val="superscript"/>
              </w:rPr>
              <w:t>2</w:t>
            </w:r>
          </w:p>
        </w:tc>
        <w:tc>
          <w:tcPr>
            <w:tcW w:w="0" w:type="auto"/>
            <w:tcBorders>
              <w:top w:val="nil"/>
              <w:bottom w:val="single" w:sz="4" w:space="0" w:color="auto"/>
            </w:tcBorders>
          </w:tcPr>
          <w:p w14:paraId="60AA083C" w14:textId="0CB4E1A8" w:rsidR="004F292B" w:rsidRPr="0081338E" w:rsidRDefault="004F292B">
            <w:pPr>
              <w:pStyle w:val="TableText0"/>
              <w:keepNext w:val="0"/>
              <w:jc w:val="center"/>
            </w:pPr>
            <w:r w:rsidRPr="0081338E">
              <w:t>-</w:t>
            </w:r>
            <w:r w:rsidR="008C30A7" w:rsidRPr="00FE32E3">
              <w:rPr>
                <w:color w:val="000000"/>
                <w:spacing w:val="42"/>
                <w:shd w:val="solid" w:color="000000" w:fill="000000"/>
                <w:fitText w:val="212" w:id="-694445557"/>
                <w14:textFill>
                  <w14:solidFill>
                    <w14:srgbClr w14:val="000000">
                      <w14:alpha w14:val="100000"/>
                    </w14:srgbClr>
                  </w14:solidFill>
                </w14:textFill>
              </w:rPr>
              <w:t>||</w:t>
            </w:r>
            <w:r w:rsidR="008C30A7" w:rsidRPr="00FE32E3">
              <w:rPr>
                <w:color w:val="000000"/>
                <w:spacing w:val="1"/>
                <w:shd w:val="solid" w:color="000000" w:fill="000000"/>
                <w:fitText w:val="212" w:id="-694445557"/>
                <w14:textFill>
                  <w14:solidFill>
                    <w14:srgbClr w14:val="000000">
                      <w14:alpha w14:val="100000"/>
                    </w14:srgbClr>
                  </w14:solidFill>
                </w14:textFill>
              </w:rPr>
              <w:t>|</w:t>
            </w:r>
            <w:r w:rsidRPr="0081338E">
              <w:t>%</w:t>
            </w:r>
          </w:p>
        </w:tc>
      </w:tr>
      <w:tr w:rsidR="008C30A7" w:rsidRPr="0081338E" w14:paraId="13D0A471" w14:textId="77777777" w:rsidTr="00D10956">
        <w:tc>
          <w:tcPr>
            <w:tcW w:w="0" w:type="auto"/>
            <w:tcBorders>
              <w:top w:val="nil"/>
              <w:bottom w:val="single" w:sz="4" w:space="0" w:color="auto"/>
            </w:tcBorders>
            <w:vAlign w:val="top"/>
          </w:tcPr>
          <w:p w14:paraId="15D3DCFA" w14:textId="77777777" w:rsidR="004F292B" w:rsidRPr="0081338E" w:rsidRDefault="004F292B">
            <w:pPr>
              <w:pStyle w:val="TableText0"/>
              <w:keepNext w:val="0"/>
              <w:numPr>
                <w:ilvl w:val="0"/>
                <w:numId w:val="6"/>
              </w:numPr>
              <w:ind w:left="109" w:hanging="142"/>
            </w:pPr>
            <w:r w:rsidRPr="0081338E">
              <w:t>EFS HR=0.28 and OS HR=0.16 (lower 95% CI)</w:t>
            </w:r>
          </w:p>
        </w:tc>
        <w:tc>
          <w:tcPr>
            <w:tcW w:w="0" w:type="auto"/>
            <w:tcBorders>
              <w:top w:val="nil"/>
              <w:bottom w:val="single" w:sz="4" w:space="0" w:color="auto"/>
            </w:tcBorders>
          </w:tcPr>
          <w:p w14:paraId="7BD112B2" w14:textId="05D82650" w:rsidR="004F292B" w:rsidRPr="0081338E" w:rsidRDefault="004F292B">
            <w:pPr>
              <w:pStyle w:val="TableText0"/>
              <w:keepNext w:val="0"/>
              <w:jc w:val="center"/>
            </w:pPr>
            <w:r w:rsidRPr="0081338E">
              <w:t>$</w:t>
            </w:r>
            <w:r w:rsidR="008C30A7" w:rsidRPr="00FE32E3">
              <w:rPr>
                <w:color w:val="000000"/>
                <w:spacing w:val="55"/>
                <w:shd w:val="solid" w:color="000000" w:fill="000000"/>
                <w:fitText w:val="238" w:id="-694445556"/>
                <w14:textFill>
                  <w14:solidFill>
                    <w14:srgbClr w14:val="000000">
                      <w14:alpha w14:val="100000"/>
                    </w14:srgbClr>
                  </w14:solidFill>
                </w14:textFill>
              </w:rPr>
              <w:t>||</w:t>
            </w:r>
            <w:r w:rsidR="008C30A7" w:rsidRPr="00FE32E3">
              <w:rPr>
                <w:color w:val="000000"/>
                <w:spacing w:val="1"/>
                <w:shd w:val="solid" w:color="000000" w:fill="000000"/>
                <w:fitText w:val="238" w:id="-694445556"/>
                <w14:textFill>
                  <w14:solidFill>
                    <w14:srgbClr w14:val="000000">
                      <w14:alpha w14:val="100000"/>
                    </w14:srgbClr>
                  </w14:solidFill>
                </w14:textFill>
              </w:rPr>
              <w:t>|</w:t>
            </w:r>
          </w:p>
        </w:tc>
        <w:tc>
          <w:tcPr>
            <w:tcW w:w="0" w:type="auto"/>
            <w:tcBorders>
              <w:top w:val="nil"/>
              <w:bottom w:val="single" w:sz="4" w:space="0" w:color="auto"/>
            </w:tcBorders>
          </w:tcPr>
          <w:p w14:paraId="1EC7397E" w14:textId="77777777" w:rsidR="004F292B" w:rsidRPr="0081338E" w:rsidRDefault="004F292B">
            <w:pPr>
              <w:pStyle w:val="TableText0"/>
              <w:keepNext w:val="0"/>
              <w:jc w:val="center"/>
            </w:pPr>
            <w:r w:rsidRPr="0081338E">
              <w:t>4.83</w:t>
            </w:r>
          </w:p>
        </w:tc>
        <w:tc>
          <w:tcPr>
            <w:tcW w:w="0" w:type="auto"/>
            <w:tcBorders>
              <w:top w:val="nil"/>
              <w:bottom w:val="single" w:sz="4" w:space="0" w:color="auto"/>
            </w:tcBorders>
          </w:tcPr>
          <w:p w14:paraId="5BF54FF1" w14:textId="2C819BCE" w:rsidR="004F292B" w:rsidRPr="00B51C58" w:rsidRDefault="004F292B">
            <w:pPr>
              <w:pStyle w:val="TableText0"/>
              <w:keepNext w:val="0"/>
              <w:jc w:val="center"/>
            </w:pPr>
            <w:r w:rsidRPr="0081338E">
              <w:t>$</w:t>
            </w:r>
            <w:r w:rsidR="008C30A7" w:rsidRPr="00FE32E3">
              <w:rPr>
                <w:color w:val="000000"/>
                <w:spacing w:val="55"/>
                <w:shd w:val="solid" w:color="000000" w:fill="000000"/>
                <w:fitText w:val="238" w:id="-694445555"/>
                <w14:textFill>
                  <w14:solidFill>
                    <w14:srgbClr w14:val="000000">
                      <w14:alpha w14:val="100000"/>
                    </w14:srgbClr>
                  </w14:solidFill>
                </w14:textFill>
              </w:rPr>
              <w:t>||</w:t>
            </w:r>
            <w:r w:rsidR="008C30A7" w:rsidRPr="00FE32E3">
              <w:rPr>
                <w:color w:val="000000"/>
                <w:spacing w:val="1"/>
                <w:shd w:val="solid" w:color="000000" w:fill="000000"/>
                <w:fitText w:val="238" w:id="-694445555"/>
                <w14:textFill>
                  <w14:solidFill>
                    <w14:srgbClr w14:val="000000">
                      <w14:alpha w14:val="100000"/>
                    </w14:srgbClr>
                  </w14:solidFill>
                </w14:textFill>
              </w:rPr>
              <w:t>|</w:t>
            </w:r>
            <w:r w:rsidR="00B51C58">
              <w:rPr>
                <w:vertAlign w:val="superscript"/>
              </w:rPr>
              <w:t>6</w:t>
            </w:r>
          </w:p>
        </w:tc>
        <w:tc>
          <w:tcPr>
            <w:tcW w:w="0" w:type="auto"/>
            <w:tcBorders>
              <w:top w:val="nil"/>
              <w:bottom w:val="single" w:sz="4" w:space="0" w:color="auto"/>
            </w:tcBorders>
          </w:tcPr>
          <w:p w14:paraId="6D08C117" w14:textId="48D99C2A" w:rsidR="004F292B" w:rsidRPr="0081338E" w:rsidRDefault="004F292B">
            <w:pPr>
              <w:pStyle w:val="TableText0"/>
              <w:keepNext w:val="0"/>
              <w:jc w:val="center"/>
            </w:pPr>
            <w:r w:rsidRPr="0081338E">
              <w:t>-</w:t>
            </w:r>
            <w:r w:rsidR="008C30A7" w:rsidRPr="00FE32E3">
              <w:rPr>
                <w:color w:val="000000"/>
                <w:spacing w:val="42"/>
                <w:shd w:val="solid" w:color="000000" w:fill="000000"/>
                <w:fitText w:val="213" w:id="-694445554"/>
                <w14:textFill>
                  <w14:solidFill>
                    <w14:srgbClr w14:val="000000">
                      <w14:alpha w14:val="100000"/>
                    </w14:srgbClr>
                  </w14:solidFill>
                </w14:textFill>
              </w:rPr>
              <w:t>||</w:t>
            </w:r>
            <w:r w:rsidR="008C30A7" w:rsidRPr="00FE32E3">
              <w:rPr>
                <w:color w:val="000000"/>
                <w:spacing w:val="2"/>
                <w:shd w:val="solid" w:color="000000" w:fill="000000"/>
                <w:fitText w:val="213" w:id="-694445554"/>
                <w14:textFill>
                  <w14:solidFill>
                    <w14:srgbClr w14:val="000000">
                      <w14:alpha w14:val="100000"/>
                    </w14:srgbClr>
                  </w14:solidFill>
                </w14:textFill>
              </w:rPr>
              <w:t>|</w:t>
            </w:r>
            <w:r w:rsidRPr="0081338E">
              <w:t>%</w:t>
            </w:r>
          </w:p>
        </w:tc>
        <w:tc>
          <w:tcPr>
            <w:tcW w:w="0" w:type="auto"/>
            <w:tcBorders>
              <w:top w:val="nil"/>
              <w:bottom w:val="single" w:sz="4" w:space="0" w:color="auto"/>
            </w:tcBorders>
          </w:tcPr>
          <w:p w14:paraId="03E488D1" w14:textId="27D3314D" w:rsidR="004F292B" w:rsidRPr="0081338E" w:rsidRDefault="004F292B">
            <w:pPr>
              <w:pStyle w:val="TableText0"/>
              <w:keepNext w:val="0"/>
              <w:jc w:val="center"/>
            </w:pPr>
            <w:r w:rsidRPr="0081338E">
              <w:t>$</w:t>
            </w:r>
            <w:r w:rsidR="008C30A7" w:rsidRPr="00FE32E3">
              <w:rPr>
                <w:color w:val="000000"/>
                <w:spacing w:val="55"/>
                <w:shd w:val="solid" w:color="000000" w:fill="000000"/>
                <w:fitText w:val="238" w:id="-694445553"/>
                <w14:textFill>
                  <w14:solidFill>
                    <w14:srgbClr w14:val="000000">
                      <w14:alpha w14:val="100000"/>
                    </w14:srgbClr>
                  </w14:solidFill>
                </w14:textFill>
              </w:rPr>
              <w:t>||</w:t>
            </w:r>
            <w:r w:rsidR="008C30A7" w:rsidRPr="00FE32E3">
              <w:rPr>
                <w:color w:val="000000"/>
                <w:spacing w:val="1"/>
                <w:shd w:val="solid" w:color="000000" w:fill="000000"/>
                <w:fitText w:val="238" w:id="-694445553"/>
                <w14:textFill>
                  <w14:solidFill>
                    <w14:srgbClr w14:val="000000">
                      <w14:alpha w14:val="100000"/>
                    </w14:srgbClr>
                  </w14:solidFill>
                </w14:textFill>
              </w:rPr>
              <w:t>|</w:t>
            </w:r>
          </w:p>
        </w:tc>
        <w:tc>
          <w:tcPr>
            <w:tcW w:w="0" w:type="auto"/>
            <w:tcBorders>
              <w:top w:val="nil"/>
              <w:bottom w:val="single" w:sz="4" w:space="0" w:color="auto"/>
            </w:tcBorders>
          </w:tcPr>
          <w:p w14:paraId="71617E55" w14:textId="77777777" w:rsidR="004F292B" w:rsidRPr="0081338E" w:rsidRDefault="004F292B">
            <w:pPr>
              <w:pStyle w:val="TableText0"/>
              <w:keepNext w:val="0"/>
              <w:jc w:val="center"/>
            </w:pPr>
            <w:r w:rsidRPr="0081338E">
              <w:t>6.55</w:t>
            </w:r>
          </w:p>
        </w:tc>
        <w:tc>
          <w:tcPr>
            <w:tcW w:w="0" w:type="auto"/>
            <w:tcBorders>
              <w:top w:val="nil"/>
              <w:bottom w:val="single" w:sz="4" w:space="0" w:color="auto"/>
            </w:tcBorders>
          </w:tcPr>
          <w:p w14:paraId="44387CDD" w14:textId="1F86D7D2" w:rsidR="004F292B" w:rsidRPr="00B51C58" w:rsidRDefault="004F292B">
            <w:pPr>
              <w:pStyle w:val="TableText0"/>
              <w:keepNext w:val="0"/>
              <w:jc w:val="center"/>
            </w:pPr>
            <w:r w:rsidRPr="0081338E">
              <w:t>$</w:t>
            </w:r>
            <w:r w:rsidR="008C30A7" w:rsidRPr="00FE32E3">
              <w:rPr>
                <w:color w:val="000000"/>
                <w:spacing w:val="55"/>
                <w:shd w:val="solid" w:color="000000" w:fill="000000"/>
                <w:fitText w:val="238" w:id="-694445552"/>
                <w14:textFill>
                  <w14:solidFill>
                    <w14:srgbClr w14:val="000000">
                      <w14:alpha w14:val="100000"/>
                    </w14:srgbClr>
                  </w14:solidFill>
                </w14:textFill>
              </w:rPr>
              <w:t>||</w:t>
            </w:r>
            <w:r w:rsidR="008C30A7" w:rsidRPr="00FE32E3">
              <w:rPr>
                <w:color w:val="000000"/>
                <w:spacing w:val="1"/>
                <w:shd w:val="solid" w:color="000000" w:fill="000000"/>
                <w:fitText w:val="238" w:id="-694445552"/>
                <w14:textFill>
                  <w14:solidFill>
                    <w14:srgbClr w14:val="000000">
                      <w14:alpha w14:val="100000"/>
                    </w14:srgbClr>
                  </w14:solidFill>
                </w14:textFill>
              </w:rPr>
              <w:t>|</w:t>
            </w:r>
            <w:r w:rsidR="00B51C58">
              <w:rPr>
                <w:vertAlign w:val="superscript"/>
              </w:rPr>
              <w:t>6</w:t>
            </w:r>
          </w:p>
        </w:tc>
        <w:tc>
          <w:tcPr>
            <w:tcW w:w="0" w:type="auto"/>
            <w:tcBorders>
              <w:top w:val="nil"/>
              <w:bottom w:val="single" w:sz="4" w:space="0" w:color="auto"/>
            </w:tcBorders>
          </w:tcPr>
          <w:p w14:paraId="461AF909" w14:textId="4CA6FE69" w:rsidR="004F292B" w:rsidRPr="0081338E" w:rsidRDefault="004F292B">
            <w:pPr>
              <w:pStyle w:val="TableText0"/>
              <w:keepNext w:val="0"/>
              <w:jc w:val="center"/>
            </w:pPr>
            <w:r w:rsidRPr="0081338E">
              <w:t>-</w:t>
            </w:r>
            <w:r w:rsidR="008C30A7" w:rsidRPr="00FE32E3">
              <w:rPr>
                <w:color w:val="000000"/>
                <w:spacing w:val="42"/>
                <w:shd w:val="solid" w:color="000000" w:fill="000000"/>
                <w:fitText w:val="212" w:id="-694445568"/>
                <w14:textFill>
                  <w14:solidFill>
                    <w14:srgbClr w14:val="000000">
                      <w14:alpha w14:val="100000"/>
                    </w14:srgbClr>
                  </w14:solidFill>
                </w14:textFill>
              </w:rPr>
              <w:t>||</w:t>
            </w:r>
            <w:r w:rsidR="008C30A7" w:rsidRPr="00FE32E3">
              <w:rPr>
                <w:color w:val="000000"/>
                <w:spacing w:val="1"/>
                <w:shd w:val="solid" w:color="000000" w:fill="000000"/>
                <w:fitText w:val="212" w:id="-694445568"/>
                <w14:textFill>
                  <w14:solidFill>
                    <w14:srgbClr w14:val="000000">
                      <w14:alpha w14:val="100000"/>
                    </w14:srgbClr>
                  </w14:solidFill>
                </w14:textFill>
              </w:rPr>
              <w:t>|</w:t>
            </w:r>
            <w:r w:rsidRPr="0081338E">
              <w:t>%</w:t>
            </w:r>
          </w:p>
        </w:tc>
      </w:tr>
      <w:tr w:rsidR="008C30A7" w:rsidRPr="0081338E" w14:paraId="77FBEF3C" w14:textId="77777777" w:rsidTr="00D10956">
        <w:tc>
          <w:tcPr>
            <w:tcW w:w="0" w:type="auto"/>
            <w:tcBorders>
              <w:top w:val="nil"/>
              <w:bottom w:val="single" w:sz="4" w:space="0" w:color="auto"/>
            </w:tcBorders>
            <w:vAlign w:val="top"/>
          </w:tcPr>
          <w:p w14:paraId="4641322E" w14:textId="77777777" w:rsidR="004F292B" w:rsidRPr="00816F96" w:rsidRDefault="004F292B">
            <w:pPr>
              <w:pStyle w:val="TableText0"/>
              <w:keepNext w:val="0"/>
              <w:numPr>
                <w:ilvl w:val="0"/>
                <w:numId w:val="6"/>
              </w:numPr>
              <w:ind w:left="109" w:hanging="142"/>
              <w:rPr>
                <w:lang w:val="sv-SE"/>
              </w:rPr>
            </w:pPr>
            <w:r w:rsidRPr="00816F96">
              <w:rPr>
                <w:lang w:val="sv-SE"/>
              </w:rPr>
              <w:t>EFS HR=0.86 and OS HR=0.70 (upper 95% CI)</w:t>
            </w:r>
          </w:p>
        </w:tc>
        <w:tc>
          <w:tcPr>
            <w:tcW w:w="0" w:type="auto"/>
            <w:tcBorders>
              <w:top w:val="nil"/>
              <w:bottom w:val="single" w:sz="4" w:space="0" w:color="auto"/>
            </w:tcBorders>
          </w:tcPr>
          <w:p w14:paraId="4E2EF237" w14:textId="04DA92BD" w:rsidR="004F292B" w:rsidRPr="0081338E" w:rsidRDefault="004F292B">
            <w:pPr>
              <w:pStyle w:val="TableText0"/>
              <w:keepNext w:val="0"/>
              <w:jc w:val="center"/>
            </w:pPr>
            <w:r w:rsidRPr="0081338E">
              <w:t>$</w:t>
            </w:r>
            <w:r w:rsidR="008C30A7" w:rsidRPr="00FE32E3">
              <w:rPr>
                <w:color w:val="000000"/>
                <w:spacing w:val="55"/>
                <w:shd w:val="solid" w:color="000000" w:fill="000000"/>
                <w:fitText w:val="238" w:id="-694445567"/>
                <w14:textFill>
                  <w14:solidFill>
                    <w14:srgbClr w14:val="000000">
                      <w14:alpha w14:val="100000"/>
                    </w14:srgbClr>
                  </w14:solidFill>
                </w14:textFill>
              </w:rPr>
              <w:t>||</w:t>
            </w:r>
            <w:r w:rsidR="008C30A7" w:rsidRPr="00FE32E3">
              <w:rPr>
                <w:color w:val="000000"/>
                <w:spacing w:val="1"/>
                <w:shd w:val="solid" w:color="000000" w:fill="000000"/>
                <w:fitText w:val="238" w:id="-694445567"/>
                <w14:textFill>
                  <w14:solidFill>
                    <w14:srgbClr w14:val="000000">
                      <w14:alpha w14:val="100000"/>
                    </w14:srgbClr>
                  </w14:solidFill>
                </w14:textFill>
              </w:rPr>
              <w:t>|</w:t>
            </w:r>
          </w:p>
        </w:tc>
        <w:tc>
          <w:tcPr>
            <w:tcW w:w="0" w:type="auto"/>
            <w:tcBorders>
              <w:top w:val="nil"/>
              <w:bottom w:val="single" w:sz="4" w:space="0" w:color="auto"/>
            </w:tcBorders>
          </w:tcPr>
          <w:p w14:paraId="7A0F0A35" w14:textId="77777777" w:rsidR="004F292B" w:rsidRPr="0081338E" w:rsidRDefault="004F292B">
            <w:pPr>
              <w:pStyle w:val="TableText0"/>
              <w:keepNext w:val="0"/>
              <w:jc w:val="center"/>
            </w:pPr>
            <w:r w:rsidRPr="0081338E">
              <w:t>0.50</w:t>
            </w:r>
          </w:p>
        </w:tc>
        <w:tc>
          <w:tcPr>
            <w:tcW w:w="0" w:type="auto"/>
            <w:tcBorders>
              <w:top w:val="nil"/>
              <w:bottom w:val="single" w:sz="4" w:space="0" w:color="auto"/>
            </w:tcBorders>
          </w:tcPr>
          <w:p w14:paraId="2E07987A" w14:textId="4987E1C7" w:rsidR="004F292B" w:rsidRPr="0081338E" w:rsidRDefault="004F292B">
            <w:pPr>
              <w:pStyle w:val="TableText0"/>
              <w:keepNext w:val="0"/>
              <w:jc w:val="center"/>
            </w:pPr>
            <w:r w:rsidRPr="0081338E">
              <w:t>$</w:t>
            </w:r>
            <w:r w:rsidR="008C30A7" w:rsidRPr="00FE32E3">
              <w:rPr>
                <w:color w:val="000000"/>
                <w:spacing w:val="177"/>
                <w:shd w:val="solid" w:color="000000" w:fill="000000"/>
                <w:fitText w:val="263" w:id="-694445566"/>
                <w14:textFill>
                  <w14:solidFill>
                    <w14:srgbClr w14:val="000000">
                      <w14:alpha w14:val="100000"/>
                    </w14:srgbClr>
                  </w14:solidFill>
                </w14:textFill>
              </w:rPr>
              <w:t>|</w:t>
            </w:r>
            <w:r w:rsidR="008C30A7" w:rsidRPr="00FE32E3">
              <w:rPr>
                <w:color w:val="000000"/>
                <w:spacing w:val="1"/>
                <w:shd w:val="solid" w:color="000000" w:fill="000000"/>
                <w:fitText w:val="263" w:id="-694445566"/>
                <w14:textFill>
                  <w14:solidFill>
                    <w14:srgbClr w14:val="000000">
                      <w14:alpha w14:val="100000"/>
                    </w14:srgbClr>
                  </w14:solidFill>
                </w14:textFill>
              </w:rPr>
              <w:t>|</w:t>
            </w:r>
            <w:r w:rsidR="00A20B87" w:rsidRPr="00A20B87">
              <w:rPr>
                <w:vertAlign w:val="superscript"/>
              </w:rPr>
              <w:t>11</w:t>
            </w:r>
          </w:p>
        </w:tc>
        <w:tc>
          <w:tcPr>
            <w:tcW w:w="0" w:type="auto"/>
            <w:tcBorders>
              <w:top w:val="nil"/>
              <w:bottom w:val="single" w:sz="4" w:space="0" w:color="auto"/>
            </w:tcBorders>
          </w:tcPr>
          <w:p w14:paraId="747158A8" w14:textId="48C226ED" w:rsidR="004F292B" w:rsidRPr="0081338E" w:rsidRDefault="008C30A7">
            <w:pPr>
              <w:pStyle w:val="TableText0"/>
              <w:keepNext w:val="0"/>
              <w:jc w:val="center"/>
            </w:pPr>
            <w:r w:rsidRPr="00FE32E3">
              <w:rPr>
                <w:color w:val="000000"/>
                <w:spacing w:val="76"/>
                <w:shd w:val="solid" w:color="000000" w:fill="000000"/>
                <w:fitText w:val="162" w:id="-694445565"/>
                <w14:textFill>
                  <w14:solidFill>
                    <w14:srgbClr w14:val="000000">
                      <w14:alpha w14:val="100000"/>
                    </w14:srgbClr>
                  </w14:solidFill>
                </w14:textFill>
              </w:rPr>
              <w:t>|</w:t>
            </w:r>
            <w:r w:rsidRPr="00FE32E3">
              <w:rPr>
                <w:color w:val="000000"/>
                <w:spacing w:val="1"/>
                <w:shd w:val="solid" w:color="000000" w:fill="000000"/>
                <w:fitText w:val="162" w:id="-694445565"/>
                <w14:textFill>
                  <w14:solidFill>
                    <w14:srgbClr w14:val="000000">
                      <w14:alpha w14:val="100000"/>
                    </w14:srgbClr>
                  </w14:solidFill>
                </w14:textFill>
              </w:rPr>
              <w:t>|</w:t>
            </w:r>
            <w:r w:rsidR="004F292B" w:rsidRPr="0081338E">
              <w:t>%</w:t>
            </w:r>
          </w:p>
        </w:tc>
        <w:tc>
          <w:tcPr>
            <w:tcW w:w="0" w:type="auto"/>
            <w:tcBorders>
              <w:top w:val="nil"/>
              <w:bottom w:val="single" w:sz="4" w:space="0" w:color="auto"/>
            </w:tcBorders>
          </w:tcPr>
          <w:p w14:paraId="3B632B27" w14:textId="0371708E" w:rsidR="004F292B" w:rsidRPr="0081338E" w:rsidRDefault="004F292B">
            <w:pPr>
              <w:pStyle w:val="TableText0"/>
              <w:keepNext w:val="0"/>
              <w:jc w:val="center"/>
            </w:pPr>
            <w:r w:rsidRPr="0081338E">
              <w:t>$</w:t>
            </w:r>
            <w:r w:rsidR="008C30A7" w:rsidRPr="00FE32E3">
              <w:rPr>
                <w:color w:val="000000"/>
                <w:spacing w:val="48"/>
                <w:shd w:val="solid" w:color="000000" w:fill="000000"/>
                <w:fitText w:val="225" w:id="-694445564"/>
                <w14:textFill>
                  <w14:solidFill>
                    <w14:srgbClr w14:val="000000">
                      <w14:alpha w14:val="100000"/>
                    </w14:srgbClr>
                  </w14:solidFill>
                </w14:textFill>
              </w:rPr>
              <w:t>||</w:t>
            </w:r>
            <w:r w:rsidR="008C30A7" w:rsidRPr="00FE32E3">
              <w:rPr>
                <w:color w:val="000000"/>
                <w:spacing w:val="2"/>
                <w:shd w:val="solid" w:color="000000" w:fill="000000"/>
                <w:fitText w:val="225" w:id="-694445564"/>
                <w14:textFill>
                  <w14:solidFill>
                    <w14:srgbClr w14:val="000000">
                      <w14:alpha w14:val="100000"/>
                    </w14:srgbClr>
                  </w14:solidFill>
                </w14:textFill>
              </w:rPr>
              <w:t>|</w:t>
            </w:r>
          </w:p>
        </w:tc>
        <w:tc>
          <w:tcPr>
            <w:tcW w:w="0" w:type="auto"/>
            <w:tcBorders>
              <w:top w:val="nil"/>
              <w:bottom w:val="single" w:sz="4" w:space="0" w:color="auto"/>
            </w:tcBorders>
          </w:tcPr>
          <w:p w14:paraId="667B5666" w14:textId="77777777" w:rsidR="004F292B" w:rsidRPr="0081338E" w:rsidRDefault="004F292B">
            <w:pPr>
              <w:pStyle w:val="TableText0"/>
              <w:keepNext w:val="0"/>
              <w:jc w:val="center"/>
            </w:pPr>
            <w:r w:rsidRPr="0081338E">
              <w:t>1.01</w:t>
            </w:r>
          </w:p>
        </w:tc>
        <w:tc>
          <w:tcPr>
            <w:tcW w:w="0" w:type="auto"/>
            <w:tcBorders>
              <w:top w:val="nil"/>
              <w:bottom w:val="single" w:sz="4" w:space="0" w:color="auto"/>
            </w:tcBorders>
          </w:tcPr>
          <w:p w14:paraId="24AE8217" w14:textId="094686D8" w:rsidR="004F292B" w:rsidRPr="009A2823" w:rsidRDefault="004F292B">
            <w:pPr>
              <w:pStyle w:val="TableText0"/>
              <w:keepNext w:val="0"/>
              <w:jc w:val="center"/>
              <w:rPr>
                <w:vertAlign w:val="superscript"/>
              </w:rPr>
            </w:pPr>
            <w:r w:rsidRPr="0081338E">
              <w:t>$</w:t>
            </w:r>
            <w:r w:rsidR="008C30A7" w:rsidRPr="00FE32E3">
              <w:rPr>
                <w:color w:val="000000"/>
                <w:spacing w:val="189"/>
                <w:shd w:val="solid" w:color="000000" w:fill="000000"/>
                <w:fitText w:val="275" w:id="-694445563"/>
                <w14:textFill>
                  <w14:solidFill>
                    <w14:srgbClr w14:val="000000">
                      <w14:alpha w14:val="100000"/>
                    </w14:srgbClr>
                  </w14:solidFill>
                </w14:textFill>
              </w:rPr>
              <w:t>|</w:t>
            </w:r>
            <w:r w:rsidR="008C30A7" w:rsidRPr="00FE32E3">
              <w:rPr>
                <w:color w:val="000000"/>
                <w:spacing w:val="1"/>
                <w:shd w:val="solid" w:color="000000" w:fill="000000"/>
                <w:fitText w:val="275" w:id="-694445563"/>
                <w14:textFill>
                  <w14:solidFill>
                    <w14:srgbClr w14:val="000000">
                      <w14:alpha w14:val="100000"/>
                    </w14:srgbClr>
                  </w14:solidFill>
                </w14:textFill>
              </w:rPr>
              <w:t>|</w:t>
            </w:r>
            <w:r w:rsidR="009A2823">
              <w:rPr>
                <w:vertAlign w:val="superscript"/>
              </w:rPr>
              <w:t>12</w:t>
            </w:r>
          </w:p>
        </w:tc>
        <w:tc>
          <w:tcPr>
            <w:tcW w:w="0" w:type="auto"/>
            <w:tcBorders>
              <w:top w:val="nil"/>
              <w:bottom w:val="single" w:sz="4" w:space="0" w:color="auto"/>
            </w:tcBorders>
          </w:tcPr>
          <w:p w14:paraId="55C16992" w14:textId="34CA7E36" w:rsidR="004F292B" w:rsidRPr="0081338E" w:rsidRDefault="008C30A7">
            <w:pPr>
              <w:pStyle w:val="TableText0"/>
              <w:keepNext w:val="0"/>
              <w:jc w:val="center"/>
            </w:pPr>
            <w:r w:rsidRPr="008C30A7">
              <w:rPr>
                <w:rFonts w:hint="eastAsia"/>
                <w:color w:val="000000"/>
                <w:w w:val="33"/>
                <w:shd w:val="solid" w:color="000000" w:fill="000000"/>
                <w:fitText w:val="150" w:id="-694445562"/>
                <w14:textFill>
                  <w14:solidFill>
                    <w14:srgbClr w14:val="000000">
                      <w14:alpha w14:val="100000"/>
                    </w14:srgbClr>
                  </w14:solidFill>
                </w14:textFill>
              </w:rPr>
              <w:t xml:space="preserve">　</w:t>
            </w:r>
            <w:r w:rsidRPr="008C30A7">
              <w:rPr>
                <w:color w:val="000000"/>
                <w:w w:val="33"/>
                <w:shd w:val="solid" w:color="000000" w:fill="000000"/>
                <w:fitText w:val="150" w:id="-694445562"/>
                <w14:textFill>
                  <w14:solidFill>
                    <w14:srgbClr w14:val="000000">
                      <w14:alpha w14:val="100000"/>
                    </w14:srgbClr>
                  </w14:solidFill>
                </w14:textFill>
              </w:rPr>
              <w:t>|</w:t>
            </w:r>
            <w:r w:rsidRPr="008C30A7">
              <w:rPr>
                <w:rFonts w:hint="eastAsia"/>
                <w:color w:val="000000"/>
                <w:spacing w:val="4"/>
                <w:w w:val="33"/>
                <w:shd w:val="solid" w:color="000000" w:fill="000000"/>
                <w:fitText w:val="150" w:id="-694445562"/>
                <w14:textFill>
                  <w14:solidFill>
                    <w14:srgbClr w14:val="000000">
                      <w14:alpha w14:val="100000"/>
                    </w14:srgbClr>
                  </w14:solidFill>
                </w14:textFill>
              </w:rPr>
              <w:t xml:space="preserve">　</w:t>
            </w:r>
            <w:r w:rsidR="004F292B" w:rsidRPr="0081338E">
              <w:t>%</w:t>
            </w:r>
          </w:p>
        </w:tc>
      </w:tr>
    </w:tbl>
    <w:p w14:paraId="069C7472" w14:textId="77777777" w:rsidR="00CC7C90" w:rsidRDefault="00CC7C90" w:rsidP="00B5383E">
      <w:pPr>
        <w:pStyle w:val="FooterTableFigure"/>
        <w:keepNext/>
        <w:keepLines/>
      </w:pPr>
      <w:r>
        <w:t xml:space="preserve">Source: </w:t>
      </w:r>
      <w:r w:rsidRPr="001E60E6">
        <w:t>compiled during the evaluation</w:t>
      </w:r>
      <w:r w:rsidRPr="00963C3D">
        <w:rPr>
          <w:i/>
          <w:iCs/>
        </w:rPr>
        <w:t xml:space="preserve"> </w:t>
      </w:r>
      <w:r>
        <w:t xml:space="preserve">using scenarios in Sections 3.9.3 and 3.10.5.4 of the submission </w:t>
      </w:r>
    </w:p>
    <w:p w14:paraId="3B2BED31" w14:textId="0821974D" w:rsidR="00CC7C90" w:rsidRDefault="00452BE5" w:rsidP="00B5383E">
      <w:pPr>
        <w:pStyle w:val="FooterTableFigure"/>
        <w:keepNext/>
        <w:keepLines/>
      </w:pPr>
      <w:r>
        <w:t xml:space="preserve">CI=confidence interval; </w:t>
      </w:r>
      <w:r w:rsidR="00CC7C90">
        <w:t xml:space="preserve">EF=event free, OS=overall survival, EFS=event free survival, HR=hazard ratio. TTD=time to treatment discontinuation, SMR=standardised mortality ratio, BICR=blinded independent central review </w:t>
      </w:r>
      <w:r w:rsidR="00CC7C90" w:rsidRPr="004173EB">
        <w:t>conducted at an earlier database lock</w:t>
      </w:r>
      <w:r w:rsidR="00CC7C90">
        <w:t>, LT=long term</w:t>
      </w:r>
      <w:r>
        <w:t>.</w:t>
      </w:r>
    </w:p>
    <w:p w14:paraId="2F05FD5D" w14:textId="55ECE957" w:rsidR="00805FF8" w:rsidRDefault="00D82DAD" w:rsidP="00805FF8">
      <w:pPr>
        <w:pStyle w:val="FooterTableFigure"/>
        <w:rPr>
          <w:i/>
          <w:iCs/>
        </w:rPr>
      </w:pPr>
      <w:bookmarkStart w:id="66" w:name="_Hlk187325913"/>
      <w:r w:rsidRPr="00D82DAD">
        <w:rPr>
          <w:i/>
          <w:iCs/>
        </w:rPr>
        <w:t>The redacted values correspond to the following ranges:</w:t>
      </w:r>
    </w:p>
    <w:p w14:paraId="70B4B2EE" w14:textId="73BD9F32" w:rsidR="00D82DAD" w:rsidRDefault="00D82DAD" w:rsidP="00805FF8">
      <w:pPr>
        <w:pStyle w:val="FooterTableFigure"/>
        <w:rPr>
          <w:i/>
          <w:iCs/>
        </w:rPr>
      </w:pPr>
      <w:r>
        <w:rPr>
          <w:i/>
          <w:iCs/>
          <w:vertAlign w:val="superscript"/>
        </w:rPr>
        <w:t>1</w:t>
      </w:r>
      <w:r w:rsidR="00F13F26" w:rsidRPr="00F13F26">
        <w:rPr>
          <w:i/>
          <w:iCs/>
        </w:rPr>
        <w:t>$155,000 to &lt; $255,000</w:t>
      </w:r>
    </w:p>
    <w:p w14:paraId="2F6991F3" w14:textId="59A16EA2" w:rsidR="008025B2" w:rsidRDefault="008025B2" w:rsidP="00805FF8">
      <w:pPr>
        <w:pStyle w:val="FooterTableFigure"/>
        <w:rPr>
          <w:i/>
          <w:iCs/>
        </w:rPr>
      </w:pPr>
      <w:r>
        <w:rPr>
          <w:i/>
          <w:iCs/>
          <w:vertAlign w:val="superscript"/>
        </w:rPr>
        <w:t>2</w:t>
      </w:r>
      <w:r w:rsidRPr="008025B2">
        <w:rPr>
          <w:i/>
          <w:iCs/>
        </w:rPr>
        <w:t>$75,000 to &lt; $95,000</w:t>
      </w:r>
    </w:p>
    <w:p w14:paraId="47580D9E" w14:textId="3B29065C" w:rsidR="00A82243" w:rsidRDefault="00A82243" w:rsidP="00805FF8">
      <w:pPr>
        <w:pStyle w:val="FooterTableFigure"/>
        <w:rPr>
          <w:i/>
          <w:iCs/>
        </w:rPr>
      </w:pPr>
      <w:r>
        <w:rPr>
          <w:i/>
          <w:iCs/>
          <w:vertAlign w:val="superscript"/>
        </w:rPr>
        <w:t>3</w:t>
      </w:r>
      <w:r w:rsidRPr="00A82243">
        <w:rPr>
          <w:i/>
          <w:iCs/>
        </w:rPr>
        <w:t>$45,000 to &lt; $55,000</w:t>
      </w:r>
    </w:p>
    <w:p w14:paraId="5C492A4F" w14:textId="45545427" w:rsidR="007B2A05" w:rsidRDefault="007B2A05" w:rsidP="00805FF8">
      <w:pPr>
        <w:pStyle w:val="FooterTableFigure"/>
        <w:rPr>
          <w:i/>
          <w:iCs/>
        </w:rPr>
      </w:pPr>
      <w:r>
        <w:rPr>
          <w:i/>
          <w:iCs/>
          <w:vertAlign w:val="superscript"/>
        </w:rPr>
        <w:t>4</w:t>
      </w:r>
      <w:r w:rsidR="00F21EB0" w:rsidRPr="00F21EB0">
        <w:rPr>
          <w:i/>
          <w:iCs/>
        </w:rPr>
        <w:t>$25,000 to &lt; $35,000</w:t>
      </w:r>
    </w:p>
    <w:p w14:paraId="6D6546BE" w14:textId="66190077" w:rsidR="00A238E0" w:rsidRDefault="00A238E0" w:rsidP="00805FF8">
      <w:pPr>
        <w:pStyle w:val="FooterTableFigure"/>
        <w:rPr>
          <w:i/>
          <w:iCs/>
        </w:rPr>
      </w:pPr>
      <w:r>
        <w:rPr>
          <w:i/>
          <w:iCs/>
          <w:vertAlign w:val="superscript"/>
        </w:rPr>
        <w:t>5</w:t>
      </w:r>
      <w:r w:rsidR="001F2393" w:rsidRPr="001F2393">
        <w:rPr>
          <w:i/>
          <w:iCs/>
        </w:rPr>
        <w:t>$115,000 to &lt; $135,000</w:t>
      </w:r>
    </w:p>
    <w:p w14:paraId="54442350" w14:textId="44FD7475" w:rsidR="00B51C58" w:rsidRDefault="00B51C58" w:rsidP="00805FF8">
      <w:pPr>
        <w:pStyle w:val="FooterTableFigure"/>
        <w:rPr>
          <w:i/>
          <w:iCs/>
        </w:rPr>
      </w:pPr>
      <w:r>
        <w:rPr>
          <w:i/>
          <w:iCs/>
          <w:vertAlign w:val="superscript"/>
        </w:rPr>
        <w:t>6</w:t>
      </w:r>
      <w:r w:rsidRPr="00B51C58">
        <w:rPr>
          <w:i/>
          <w:iCs/>
        </w:rPr>
        <w:t>$55,000 to &lt; $75,000</w:t>
      </w:r>
    </w:p>
    <w:p w14:paraId="019E9130" w14:textId="21EB8A0F" w:rsidR="007E69E5" w:rsidRDefault="007E69E5" w:rsidP="00805FF8">
      <w:pPr>
        <w:pStyle w:val="FooterTableFigure"/>
        <w:rPr>
          <w:i/>
          <w:iCs/>
        </w:rPr>
      </w:pPr>
      <w:r>
        <w:rPr>
          <w:i/>
          <w:iCs/>
          <w:vertAlign w:val="superscript"/>
        </w:rPr>
        <w:t>7</w:t>
      </w:r>
      <w:r w:rsidRPr="007E69E5">
        <w:rPr>
          <w:i/>
          <w:iCs/>
        </w:rPr>
        <w:t>$95,000 to &lt; $115,000</w:t>
      </w:r>
    </w:p>
    <w:p w14:paraId="76D0C7F7" w14:textId="1A911F0C" w:rsidR="00BC5B7A" w:rsidRDefault="00BC5B7A" w:rsidP="00805FF8">
      <w:pPr>
        <w:pStyle w:val="FooterTableFigure"/>
        <w:rPr>
          <w:i/>
          <w:iCs/>
        </w:rPr>
      </w:pPr>
      <w:r>
        <w:rPr>
          <w:i/>
          <w:iCs/>
          <w:vertAlign w:val="superscript"/>
        </w:rPr>
        <w:t>8</w:t>
      </w:r>
      <w:r w:rsidRPr="00BC5B7A">
        <w:rPr>
          <w:i/>
          <w:iCs/>
        </w:rPr>
        <w:t>$135,000 to &lt; $155,000</w:t>
      </w:r>
    </w:p>
    <w:p w14:paraId="574FA5D2" w14:textId="53031E47" w:rsidR="008F423C" w:rsidRDefault="008F423C" w:rsidP="00805FF8">
      <w:pPr>
        <w:pStyle w:val="FooterTableFigure"/>
        <w:rPr>
          <w:i/>
          <w:iCs/>
        </w:rPr>
      </w:pPr>
      <w:r>
        <w:rPr>
          <w:i/>
          <w:iCs/>
          <w:vertAlign w:val="superscript"/>
        </w:rPr>
        <w:t>9</w:t>
      </w:r>
      <w:r w:rsidRPr="008F423C">
        <w:rPr>
          <w:i/>
          <w:iCs/>
        </w:rPr>
        <w:t>$255,000 to &lt; $355,000</w:t>
      </w:r>
    </w:p>
    <w:p w14:paraId="609657EC" w14:textId="776BF486" w:rsidR="00D82852" w:rsidRDefault="00D82852" w:rsidP="00805FF8">
      <w:pPr>
        <w:pStyle w:val="FooterTableFigure"/>
        <w:rPr>
          <w:i/>
          <w:iCs/>
        </w:rPr>
      </w:pPr>
      <w:r>
        <w:rPr>
          <w:i/>
          <w:iCs/>
          <w:vertAlign w:val="superscript"/>
        </w:rPr>
        <w:t>10</w:t>
      </w:r>
      <w:r w:rsidRPr="00D82852">
        <w:rPr>
          <w:i/>
          <w:iCs/>
        </w:rPr>
        <w:t>$455,000 to &lt; $555,000</w:t>
      </w:r>
    </w:p>
    <w:p w14:paraId="0D8D4462" w14:textId="03D3EF29" w:rsidR="00A20B87" w:rsidRDefault="00A20B87" w:rsidP="00805FF8">
      <w:pPr>
        <w:pStyle w:val="FooterTableFigure"/>
        <w:rPr>
          <w:i/>
          <w:iCs/>
        </w:rPr>
      </w:pPr>
      <w:r>
        <w:rPr>
          <w:i/>
          <w:iCs/>
          <w:vertAlign w:val="superscript"/>
        </w:rPr>
        <w:t>11</w:t>
      </w:r>
      <w:r w:rsidRPr="00A20B87">
        <w:rPr>
          <w:i/>
          <w:iCs/>
        </w:rPr>
        <w:t>$655,000 to &lt; $755,000</w:t>
      </w:r>
    </w:p>
    <w:p w14:paraId="1E813699" w14:textId="6B321787" w:rsidR="00277F88" w:rsidRPr="00277F88" w:rsidRDefault="00277F88" w:rsidP="00805FF8">
      <w:pPr>
        <w:pStyle w:val="FooterTableFigure"/>
        <w:rPr>
          <w:i/>
          <w:iCs/>
        </w:rPr>
      </w:pPr>
      <w:r>
        <w:rPr>
          <w:i/>
          <w:iCs/>
          <w:vertAlign w:val="superscript"/>
        </w:rPr>
        <w:t>12</w:t>
      </w:r>
      <w:r w:rsidRPr="00277F88">
        <w:rPr>
          <w:i/>
          <w:iCs/>
        </w:rPr>
        <w:t>$355,000 to &lt; $455,000</w:t>
      </w:r>
    </w:p>
    <w:p w14:paraId="47286EBC" w14:textId="0A4642AC" w:rsidR="00805FF8" w:rsidRPr="00762FCE" w:rsidRDefault="00805FF8" w:rsidP="00222C3D">
      <w:pPr>
        <w:pStyle w:val="4-SubsectionHeading"/>
        <w:keepLines/>
      </w:pPr>
      <w:bookmarkStart w:id="67" w:name="_Toc107927632"/>
      <w:bookmarkStart w:id="68" w:name="_Toc188441772"/>
      <w:bookmarkStart w:id="69" w:name="_Toc22897647"/>
      <w:bookmarkEnd w:id="55"/>
      <w:bookmarkEnd w:id="66"/>
      <w:r>
        <w:lastRenderedPageBreak/>
        <w:t xml:space="preserve">Eflornithine </w:t>
      </w:r>
      <w:r w:rsidRPr="002C2775">
        <w:t>cost/patient/</w:t>
      </w:r>
      <w:r>
        <w:t>course</w:t>
      </w:r>
      <w:bookmarkEnd w:id="67"/>
      <w:bookmarkEnd w:id="68"/>
    </w:p>
    <w:p w14:paraId="752D0FFD" w14:textId="4BF8E021" w:rsidR="00805FF8" w:rsidRPr="00BB732D" w:rsidRDefault="00805FF8" w:rsidP="00A73FEE">
      <w:pPr>
        <w:pStyle w:val="Caption"/>
        <w:rPr>
          <w:rStyle w:val="CommentReference"/>
          <w:b/>
          <w:szCs w:val="24"/>
        </w:rPr>
      </w:pPr>
      <w:bookmarkStart w:id="70" w:name="_Ref104805102"/>
      <w:r>
        <w:t xml:space="preserve">Table </w:t>
      </w:r>
      <w:r w:rsidR="00AF2AB7">
        <w:fldChar w:fldCharType="begin" w:fldLock="1"/>
      </w:r>
      <w:r w:rsidR="00AF2AB7">
        <w:instrText xml:space="preserve"> SEQ Table \* ARABIC </w:instrText>
      </w:r>
      <w:r w:rsidR="00AF2AB7">
        <w:fldChar w:fldCharType="separate"/>
      </w:r>
      <w:r w:rsidR="00AF2AB7">
        <w:rPr>
          <w:noProof/>
        </w:rPr>
        <w:t>11</w:t>
      </w:r>
      <w:r w:rsidR="00AF2AB7">
        <w:rPr>
          <w:noProof/>
        </w:rPr>
        <w:fldChar w:fldCharType="end"/>
      </w:r>
      <w:bookmarkEnd w:id="70"/>
      <w:r>
        <w:t>:</w:t>
      </w:r>
      <w:r w:rsidRPr="00BB732D">
        <w:rPr>
          <w:rStyle w:val="CommentReference"/>
          <w:b/>
          <w:szCs w:val="24"/>
        </w:rPr>
        <w:t xml:space="preserve"> Drug cost per patient for proposed and comparator drugs</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Drug cost per patient for proposed and comparator drugs"/>
      </w:tblPr>
      <w:tblGrid>
        <w:gridCol w:w="1554"/>
        <w:gridCol w:w="1256"/>
        <w:gridCol w:w="1255"/>
        <w:gridCol w:w="1260"/>
        <w:gridCol w:w="1255"/>
        <w:gridCol w:w="1262"/>
        <w:gridCol w:w="1262"/>
      </w:tblGrid>
      <w:tr w:rsidR="00805FF8" w:rsidRPr="00E2771E" w14:paraId="167B1C16" w14:textId="77777777" w:rsidTr="00BB405D">
        <w:trPr>
          <w:cantSplit/>
          <w:tblHeader/>
          <w:jc w:val="center"/>
        </w:trPr>
        <w:tc>
          <w:tcPr>
            <w:tcW w:w="853" w:type="pct"/>
            <w:vAlign w:val="center"/>
          </w:tcPr>
          <w:p w14:paraId="5CCB6594" w14:textId="77777777" w:rsidR="00805FF8" w:rsidRPr="00E2771E" w:rsidRDefault="00805FF8" w:rsidP="00A73FEE">
            <w:pPr>
              <w:pStyle w:val="In-tableHeading"/>
              <w:keepLines/>
              <w:jc w:val="center"/>
            </w:pPr>
          </w:p>
        </w:tc>
        <w:tc>
          <w:tcPr>
            <w:tcW w:w="2071" w:type="pct"/>
            <w:gridSpan w:val="3"/>
            <w:vAlign w:val="center"/>
          </w:tcPr>
          <w:p w14:paraId="0204C499" w14:textId="77777777" w:rsidR="00805FF8" w:rsidRDefault="00805FF8" w:rsidP="00A73FEE">
            <w:pPr>
              <w:pStyle w:val="In-tableHeading"/>
              <w:keepLines/>
              <w:jc w:val="center"/>
            </w:pPr>
            <w:r>
              <w:t>Eflornithine Stratum 1</w:t>
            </w:r>
          </w:p>
        </w:tc>
        <w:tc>
          <w:tcPr>
            <w:tcW w:w="2075" w:type="pct"/>
            <w:gridSpan w:val="3"/>
            <w:vAlign w:val="center"/>
          </w:tcPr>
          <w:p w14:paraId="0BF6CF4B" w14:textId="77777777" w:rsidR="00805FF8" w:rsidRDefault="00805FF8" w:rsidP="00A73FEE">
            <w:pPr>
              <w:pStyle w:val="In-tableHeading"/>
              <w:keepLines/>
              <w:jc w:val="center"/>
            </w:pPr>
            <w:r>
              <w:t>Eflornithine Stratum 2</w:t>
            </w:r>
          </w:p>
        </w:tc>
      </w:tr>
      <w:tr w:rsidR="00805FF8" w:rsidRPr="00E2771E" w14:paraId="635A54CD" w14:textId="77777777" w:rsidTr="00BB405D">
        <w:trPr>
          <w:cantSplit/>
          <w:tblHeader/>
          <w:jc w:val="center"/>
        </w:trPr>
        <w:tc>
          <w:tcPr>
            <w:tcW w:w="853" w:type="pct"/>
            <w:vAlign w:val="center"/>
          </w:tcPr>
          <w:p w14:paraId="0BF12611" w14:textId="77777777" w:rsidR="00805FF8" w:rsidRPr="00E2771E" w:rsidRDefault="00805FF8" w:rsidP="00A73FEE">
            <w:pPr>
              <w:pStyle w:val="In-tableHeading"/>
              <w:keepLines/>
              <w:jc w:val="center"/>
            </w:pPr>
          </w:p>
        </w:tc>
        <w:tc>
          <w:tcPr>
            <w:tcW w:w="690" w:type="pct"/>
            <w:vAlign w:val="center"/>
          </w:tcPr>
          <w:p w14:paraId="3D4E199A" w14:textId="77777777" w:rsidR="00805FF8" w:rsidRDefault="00805FF8" w:rsidP="00A73FEE">
            <w:pPr>
              <w:pStyle w:val="In-tableHeading"/>
              <w:keepLines/>
              <w:jc w:val="center"/>
            </w:pPr>
            <w:r>
              <w:t xml:space="preserve">Study 3b </w:t>
            </w:r>
            <w:r w:rsidRPr="00F65EAA">
              <w:t>dos</w:t>
            </w:r>
            <w:r>
              <w:t>e</w:t>
            </w:r>
            <w:r w:rsidRPr="00F65EAA">
              <w:t xml:space="preserve"> and duration</w:t>
            </w:r>
          </w:p>
          <w:p w14:paraId="78390CB6" w14:textId="77777777" w:rsidR="00805FF8" w:rsidRDefault="00805FF8" w:rsidP="00A73FEE">
            <w:pPr>
              <w:pStyle w:val="In-tableHeading"/>
              <w:keepLines/>
              <w:jc w:val="center"/>
            </w:pPr>
            <w:r>
              <w:t>ITT 105 pts</w:t>
            </w:r>
          </w:p>
          <w:p w14:paraId="3FA98985" w14:textId="3E9A3D4B" w:rsidR="00805FF8" w:rsidRPr="00F65EAA" w:rsidRDefault="00805FF8" w:rsidP="00A73FEE">
            <w:pPr>
              <w:pStyle w:val="In-tableHeading"/>
              <w:keepLines/>
              <w:jc w:val="center"/>
            </w:pPr>
            <w:r>
              <w:t>Safety set 85</w:t>
            </w:r>
            <w:r w:rsidR="00C340AD">
              <w:t> </w:t>
            </w:r>
            <w:r>
              <w:t>pts</w:t>
            </w:r>
          </w:p>
        </w:tc>
        <w:tc>
          <w:tcPr>
            <w:tcW w:w="689" w:type="pct"/>
            <w:vAlign w:val="center"/>
          </w:tcPr>
          <w:p w14:paraId="660D8044" w14:textId="77777777" w:rsidR="00805FF8" w:rsidRPr="00E2771E" w:rsidRDefault="00805FF8" w:rsidP="00A73FEE">
            <w:pPr>
              <w:pStyle w:val="In-tableHeading"/>
              <w:keepLines/>
              <w:jc w:val="center"/>
            </w:pPr>
            <w:r>
              <w:t>Model</w:t>
            </w:r>
          </w:p>
        </w:tc>
        <w:tc>
          <w:tcPr>
            <w:tcW w:w="692" w:type="pct"/>
            <w:vAlign w:val="center"/>
          </w:tcPr>
          <w:p w14:paraId="2EFE9F73" w14:textId="77777777" w:rsidR="00805FF8" w:rsidRPr="00E2771E" w:rsidRDefault="00805FF8" w:rsidP="00A73FEE">
            <w:pPr>
              <w:pStyle w:val="In-tableHeading"/>
              <w:keepLines/>
              <w:jc w:val="center"/>
            </w:pPr>
            <w:r>
              <w:t>Financial estimates</w:t>
            </w:r>
          </w:p>
        </w:tc>
        <w:tc>
          <w:tcPr>
            <w:tcW w:w="689" w:type="pct"/>
            <w:vAlign w:val="center"/>
          </w:tcPr>
          <w:p w14:paraId="7937C415" w14:textId="77777777" w:rsidR="00805FF8" w:rsidRDefault="00805FF8" w:rsidP="00A73FEE">
            <w:pPr>
              <w:pStyle w:val="In-tableHeading"/>
              <w:keepLines/>
              <w:jc w:val="center"/>
            </w:pPr>
            <w:r>
              <w:t>Study 3b dose and duration</w:t>
            </w:r>
          </w:p>
          <w:p w14:paraId="6B6A5A81" w14:textId="77777777" w:rsidR="00805FF8" w:rsidRDefault="00805FF8" w:rsidP="00A73FEE">
            <w:pPr>
              <w:pStyle w:val="In-tableHeading"/>
              <w:keepLines/>
              <w:jc w:val="center"/>
            </w:pPr>
            <w:r>
              <w:t>ITT 35 pts</w:t>
            </w:r>
          </w:p>
          <w:p w14:paraId="6A1EF0E2" w14:textId="6E08D92F" w:rsidR="00805FF8" w:rsidRPr="00E2771E" w:rsidRDefault="00805FF8" w:rsidP="00A73FEE">
            <w:pPr>
              <w:pStyle w:val="In-tableHeading"/>
              <w:keepLines/>
              <w:jc w:val="center"/>
            </w:pPr>
            <w:r>
              <w:t>Safety set 16</w:t>
            </w:r>
            <w:r w:rsidR="00C340AD">
              <w:t> </w:t>
            </w:r>
            <w:r>
              <w:t>pts</w:t>
            </w:r>
          </w:p>
        </w:tc>
        <w:tc>
          <w:tcPr>
            <w:tcW w:w="693" w:type="pct"/>
            <w:vAlign w:val="center"/>
          </w:tcPr>
          <w:p w14:paraId="400C0F34" w14:textId="77777777" w:rsidR="00805FF8" w:rsidRPr="00E2771E" w:rsidRDefault="00805FF8" w:rsidP="00A73FEE">
            <w:pPr>
              <w:pStyle w:val="In-tableHeading"/>
              <w:keepLines/>
              <w:jc w:val="center"/>
            </w:pPr>
            <w:r>
              <w:t>Model</w:t>
            </w:r>
          </w:p>
        </w:tc>
        <w:tc>
          <w:tcPr>
            <w:tcW w:w="693" w:type="pct"/>
            <w:vAlign w:val="center"/>
          </w:tcPr>
          <w:p w14:paraId="29B01675" w14:textId="77777777" w:rsidR="00805FF8" w:rsidRDefault="00805FF8" w:rsidP="00A73FEE">
            <w:pPr>
              <w:pStyle w:val="In-tableHeading"/>
              <w:keepLines/>
              <w:jc w:val="center"/>
            </w:pPr>
            <w:r>
              <w:t>Financial estimates</w:t>
            </w:r>
          </w:p>
        </w:tc>
      </w:tr>
      <w:tr w:rsidR="00805FF8" w:rsidRPr="00E2771E" w14:paraId="510B86B5" w14:textId="77777777" w:rsidTr="00BB405D">
        <w:trPr>
          <w:cantSplit/>
          <w:jc w:val="center"/>
        </w:trPr>
        <w:tc>
          <w:tcPr>
            <w:tcW w:w="853" w:type="pct"/>
            <w:vAlign w:val="center"/>
          </w:tcPr>
          <w:p w14:paraId="1B74358F" w14:textId="77777777" w:rsidR="00805FF8" w:rsidRPr="001F5BDA" w:rsidRDefault="00805FF8" w:rsidP="00A73FEE">
            <w:pPr>
              <w:pStyle w:val="TableText0"/>
              <w:keepLines/>
              <w:rPr>
                <w:lang w:val="en-US"/>
              </w:rPr>
            </w:pPr>
            <w:r w:rsidRPr="001F5BDA">
              <w:rPr>
                <w:lang w:val="en-US"/>
              </w:rPr>
              <w:t xml:space="preserve">Mean </w:t>
            </w:r>
            <w:r>
              <w:rPr>
                <w:lang w:val="en-US"/>
              </w:rPr>
              <w:t xml:space="preserve">daily </w:t>
            </w:r>
            <w:r w:rsidRPr="001F5BDA">
              <w:rPr>
                <w:lang w:val="en-US"/>
              </w:rPr>
              <w:t>dose</w:t>
            </w:r>
          </w:p>
        </w:tc>
        <w:tc>
          <w:tcPr>
            <w:tcW w:w="690" w:type="pct"/>
            <w:vAlign w:val="center"/>
          </w:tcPr>
          <w:p w14:paraId="543776CE" w14:textId="77777777" w:rsidR="00805FF8" w:rsidRPr="00915AE4" w:rsidRDefault="00805FF8" w:rsidP="00A73FEE">
            <w:pPr>
              <w:pStyle w:val="TableText0"/>
              <w:keepLines/>
              <w:jc w:val="center"/>
              <w:rPr>
                <w:bCs w:val="0"/>
                <w:lang w:val="en-US"/>
              </w:rPr>
            </w:pPr>
            <w:r w:rsidRPr="00915AE4">
              <w:rPr>
                <w:bCs w:val="0"/>
                <w:lang w:val="en-US"/>
              </w:rPr>
              <w:t>ITT: NR</w:t>
            </w:r>
          </w:p>
          <w:p w14:paraId="6ED59E17" w14:textId="77777777" w:rsidR="00805FF8" w:rsidRPr="00915AE4" w:rsidRDefault="00805FF8" w:rsidP="00A73FEE">
            <w:pPr>
              <w:pStyle w:val="TableText0"/>
              <w:keepLines/>
              <w:jc w:val="center"/>
              <w:rPr>
                <w:bCs w:val="0"/>
                <w:lang w:val="en-US"/>
              </w:rPr>
            </w:pPr>
            <w:r w:rsidRPr="00915AE4">
              <w:rPr>
                <w:bCs w:val="0"/>
                <w:lang w:val="en-US"/>
              </w:rPr>
              <w:t>Safety set:1264.3mg</w:t>
            </w:r>
            <w:r w:rsidRPr="00915AE4">
              <w:rPr>
                <w:bCs w:val="0"/>
                <w:vertAlign w:val="superscript"/>
                <w:lang w:val="en-US"/>
              </w:rPr>
              <w:t>a</w:t>
            </w:r>
          </w:p>
        </w:tc>
        <w:tc>
          <w:tcPr>
            <w:tcW w:w="689" w:type="pct"/>
            <w:vAlign w:val="center"/>
          </w:tcPr>
          <w:p w14:paraId="141ECFB8" w14:textId="6DD55835" w:rsidR="00805FF8" w:rsidRPr="00915AE4" w:rsidRDefault="00805FF8" w:rsidP="00A73FEE">
            <w:pPr>
              <w:pStyle w:val="TableText0"/>
              <w:keepLines/>
              <w:jc w:val="center"/>
              <w:rPr>
                <w:bCs w:val="0"/>
                <w:lang w:val="en-US"/>
              </w:rPr>
            </w:pPr>
            <w:r w:rsidRPr="00915AE4">
              <w:rPr>
                <w:bCs w:val="0"/>
                <w:lang w:val="en-US"/>
              </w:rPr>
              <w:t>1363.9</w:t>
            </w:r>
            <w:r w:rsidR="00C05DD0" w:rsidRPr="00915AE4">
              <w:rPr>
                <w:bCs w:val="0"/>
                <w:lang w:val="en-US"/>
              </w:rPr>
              <w:t xml:space="preserve"> </w:t>
            </w:r>
            <w:r w:rsidRPr="00915AE4">
              <w:rPr>
                <w:bCs w:val="0"/>
                <w:lang w:val="en-US"/>
              </w:rPr>
              <w:t>mg (with wastage)</w:t>
            </w:r>
          </w:p>
          <w:p w14:paraId="7D1386F4" w14:textId="630F2331" w:rsidR="00805FF8" w:rsidRPr="00915AE4" w:rsidRDefault="00805FF8" w:rsidP="00A73FEE">
            <w:pPr>
              <w:pStyle w:val="TableText0"/>
              <w:keepLines/>
              <w:jc w:val="center"/>
              <w:rPr>
                <w:bCs w:val="0"/>
                <w:lang w:val="en-US"/>
              </w:rPr>
            </w:pPr>
            <w:r w:rsidRPr="00915AE4">
              <w:rPr>
                <w:bCs w:val="0"/>
                <w:lang w:val="en-US"/>
              </w:rPr>
              <w:t>1274.9</w:t>
            </w:r>
            <w:r w:rsidR="00C05DD0" w:rsidRPr="00915AE4">
              <w:rPr>
                <w:bCs w:val="0"/>
                <w:lang w:val="en-US"/>
              </w:rPr>
              <w:t xml:space="preserve"> </w:t>
            </w:r>
            <w:r w:rsidRPr="00915AE4">
              <w:rPr>
                <w:bCs w:val="0"/>
                <w:lang w:val="en-US"/>
              </w:rPr>
              <w:t>mg (no wastage)</w:t>
            </w:r>
          </w:p>
        </w:tc>
        <w:tc>
          <w:tcPr>
            <w:tcW w:w="692" w:type="pct"/>
            <w:vAlign w:val="center"/>
          </w:tcPr>
          <w:p w14:paraId="712D38EC" w14:textId="77777777" w:rsidR="00805FF8" w:rsidRPr="00915AE4" w:rsidRDefault="00805FF8" w:rsidP="00A73FEE">
            <w:pPr>
              <w:pStyle w:val="TableText0"/>
              <w:keepLines/>
              <w:jc w:val="center"/>
              <w:rPr>
                <w:bCs w:val="0"/>
                <w:lang w:val="en-US"/>
              </w:rPr>
            </w:pPr>
            <w:r w:rsidRPr="00915AE4">
              <w:rPr>
                <w:bCs w:val="0"/>
                <w:lang w:val="en-US"/>
              </w:rPr>
              <w:t>1285.2mg</w:t>
            </w:r>
          </w:p>
        </w:tc>
        <w:tc>
          <w:tcPr>
            <w:tcW w:w="689" w:type="pct"/>
            <w:vAlign w:val="center"/>
          </w:tcPr>
          <w:p w14:paraId="6EEDA05B" w14:textId="77777777" w:rsidR="00805FF8" w:rsidRPr="00915AE4" w:rsidRDefault="00805FF8" w:rsidP="00A73FEE">
            <w:pPr>
              <w:pStyle w:val="TableText0"/>
              <w:keepLines/>
              <w:jc w:val="center"/>
              <w:rPr>
                <w:bCs w:val="0"/>
                <w:lang w:val="en-US"/>
              </w:rPr>
            </w:pPr>
            <w:r w:rsidRPr="00915AE4">
              <w:rPr>
                <w:bCs w:val="0"/>
                <w:lang w:val="en-US"/>
              </w:rPr>
              <w:t>ITT: NR</w:t>
            </w:r>
          </w:p>
          <w:p w14:paraId="2D2DAF2E" w14:textId="77777777" w:rsidR="00805FF8" w:rsidRPr="00915AE4" w:rsidRDefault="00805FF8" w:rsidP="00A73FEE">
            <w:pPr>
              <w:pStyle w:val="TableText0"/>
              <w:keepLines/>
              <w:jc w:val="center"/>
              <w:rPr>
                <w:bCs w:val="0"/>
                <w:lang w:val="en-US"/>
              </w:rPr>
            </w:pPr>
            <w:r w:rsidRPr="00915AE4">
              <w:rPr>
                <w:bCs w:val="0"/>
                <w:lang w:val="en-US"/>
              </w:rPr>
              <w:t>Safety set:1289.5mg</w:t>
            </w:r>
            <w:r w:rsidRPr="00915AE4">
              <w:rPr>
                <w:bCs w:val="0"/>
                <w:vertAlign w:val="superscript"/>
                <w:lang w:val="en-US"/>
              </w:rPr>
              <w:t>b</w:t>
            </w:r>
          </w:p>
        </w:tc>
        <w:tc>
          <w:tcPr>
            <w:tcW w:w="693" w:type="pct"/>
            <w:vAlign w:val="center"/>
          </w:tcPr>
          <w:p w14:paraId="4CA655BF" w14:textId="45DD1A35" w:rsidR="00805FF8" w:rsidRPr="00915AE4" w:rsidRDefault="00805FF8" w:rsidP="00A73FEE">
            <w:pPr>
              <w:pStyle w:val="TableText0"/>
              <w:keepLines/>
              <w:jc w:val="center"/>
              <w:rPr>
                <w:bCs w:val="0"/>
                <w:lang w:val="en-US"/>
              </w:rPr>
            </w:pPr>
            <w:r w:rsidRPr="00915AE4">
              <w:rPr>
                <w:bCs w:val="0"/>
                <w:lang w:val="en-US"/>
              </w:rPr>
              <w:t>1351.4</w:t>
            </w:r>
            <w:r w:rsidR="00C05DD0" w:rsidRPr="00915AE4">
              <w:rPr>
                <w:bCs w:val="0"/>
                <w:lang w:val="en-US"/>
              </w:rPr>
              <w:t xml:space="preserve"> </w:t>
            </w:r>
            <w:r w:rsidRPr="00915AE4">
              <w:rPr>
                <w:bCs w:val="0"/>
                <w:lang w:val="en-US"/>
              </w:rPr>
              <w:t>mg (with wastage)</w:t>
            </w:r>
          </w:p>
          <w:p w14:paraId="243458A7" w14:textId="14CB0D7E" w:rsidR="00805FF8" w:rsidRPr="00915AE4" w:rsidRDefault="00805FF8" w:rsidP="00A73FEE">
            <w:pPr>
              <w:pStyle w:val="TableText0"/>
              <w:keepLines/>
              <w:jc w:val="center"/>
              <w:rPr>
                <w:bCs w:val="0"/>
                <w:lang w:val="en-US"/>
              </w:rPr>
            </w:pPr>
            <w:r w:rsidRPr="00915AE4">
              <w:rPr>
                <w:bCs w:val="0"/>
                <w:lang w:val="en-US"/>
              </w:rPr>
              <w:t>1274.9</w:t>
            </w:r>
            <w:r w:rsidR="00C05DD0" w:rsidRPr="00915AE4">
              <w:rPr>
                <w:bCs w:val="0"/>
                <w:lang w:val="en-US"/>
              </w:rPr>
              <w:t xml:space="preserve"> </w:t>
            </w:r>
            <w:r w:rsidRPr="00915AE4">
              <w:rPr>
                <w:bCs w:val="0"/>
                <w:lang w:val="en-US"/>
              </w:rPr>
              <w:t>mg (no wastage)</w:t>
            </w:r>
          </w:p>
        </w:tc>
        <w:tc>
          <w:tcPr>
            <w:tcW w:w="693" w:type="pct"/>
            <w:vAlign w:val="center"/>
          </w:tcPr>
          <w:p w14:paraId="0739D776" w14:textId="730DD7F2" w:rsidR="00805FF8" w:rsidRPr="00915AE4" w:rsidRDefault="00805FF8" w:rsidP="00A73FEE">
            <w:pPr>
              <w:pStyle w:val="TableText0"/>
              <w:keepLines/>
              <w:jc w:val="center"/>
              <w:rPr>
                <w:bCs w:val="0"/>
                <w:lang w:val="en-US"/>
              </w:rPr>
            </w:pPr>
            <w:r w:rsidRPr="00915AE4">
              <w:rPr>
                <w:bCs w:val="0"/>
                <w:lang w:val="en-US"/>
              </w:rPr>
              <w:t>1285.2</w:t>
            </w:r>
            <w:r w:rsidR="00C05DD0" w:rsidRPr="00915AE4">
              <w:rPr>
                <w:bCs w:val="0"/>
                <w:lang w:val="en-US"/>
              </w:rPr>
              <w:t xml:space="preserve"> </w:t>
            </w:r>
            <w:r w:rsidRPr="00915AE4">
              <w:rPr>
                <w:bCs w:val="0"/>
                <w:lang w:val="en-US"/>
              </w:rPr>
              <w:t>mg</w:t>
            </w:r>
          </w:p>
        </w:tc>
      </w:tr>
      <w:tr w:rsidR="00805FF8" w:rsidRPr="00E2771E" w14:paraId="6B4435FA" w14:textId="77777777" w:rsidTr="00BB405D">
        <w:trPr>
          <w:cantSplit/>
          <w:jc w:val="center"/>
        </w:trPr>
        <w:tc>
          <w:tcPr>
            <w:tcW w:w="853" w:type="pct"/>
            <w:vAlign w:val="center"/>
          </w:tcPr>
          <w:p w14:paraId="423BBA7A" w14:textId="77777777" w:rsidR="00805FF8" w:rsidRPr="001F5BDA" w:rsidRDefault="00805FF8" w:rsidP="00A73FEE">
            <w:pPr>
              <w:pStyle w:val="TableText0"/>
              <w:keepLines/>
              <w:rPr>
                <w:lang w:val="en-US"/>
              </w:rPr>
            </w:pPr>
            <w:r w:rsidRPr="001F5BDA">
              <w:rPr>
                <w:lang w:val="en-US"/>
              </w:rPr>
              <w:t>Mean duration</w:t>
            </w:r>
            <w:r>
              <w:rPr>
                <w:lang w:val="en-US"/>
              </w:rPr>
              <w:t xml:space="preserve"> (no. 28 day cycles)</w:t>
            </w:r>
          </w:p>
        </w:tc>
        <w:tc>
          <w:tcPr>
            <w:tcW w:w="690" w:type="pct"/>
            <w:vAlign w:val="center"/>
          </w:tcPr>
          <w:p w14:paraId="086DA34E" w14:textId="77777777" w:rsidR="00805FF8" w:rsidRPr="00915AE4" w:rsidRDefault="00805FF8" w:rsidP="00A73FEE">
            <w:pPr>
              <w:pStyle w:val="TableText0"/>
              <w:keepLines/>
              <w:jc w:val="center"/>
              <w:rPr>
                <w:bCs w:val="0"/>
                <w:lang w:val="en-US"/>
              </w:rPr>
            </w:pPr>
            <w:r w:rsidRPr="00915AE4">
              <w:rPr>
                <w:bCs w:val="0"/>
                <w:lang w:val="en-US"/>
              </w:rPr>
              <w:t>ITT: NR</w:t>
            </w:r>
          </w:p>
          <w:p w14:paraId="711E97A9" w14:textId="77777777" w:rsidR="00805FF8" w:rsidRPr="00915AE4" w:rsidRDefault="00805FF8" w:rsidP="00A73FEE">
            <w:pPr>
              <w:pStyle w:val="TableText0"/>
              <w:keepLines/>
              <w:jc w:val="center"/>
              <w:rPr>
                <w:bCs w:val="0"/>
                <w:lang w:val="en-US"/>
              </w:rPr>
            </w:pPr>
            <w:r w:rsidRPr="00915AE4">
              <w:rPr>
                <w:bCs w:val="0"/>
                <w:lang w:val="en-US"/>
              </w:rPr>
              <w:t>Safety set: 24.0</w:t>
            </w:r>
          </w:p>
        </w:tc>
        <w:tc>
          <w:tcPr>
            <w:tcW w:w="689" w:type="pct"/>
            <w:vAlign w:val="center"/>
          </w:tcPr>
          <w:p w14:paraId="3DAD34AB" w14:textId="77777777" w:rsidR="00805FF8" w:rsidRPr="00915AE4" w:rsidRDefault="00805FF8" w:rsidP="00A73FEE">
            <w:pPr>
              <w:pStyle w:val="TableText0"/>
              <w:keepLines/>
              <w:jc w:val="center"/>
              <w:rPr>
                <w:bCs w:val="0"/>
                <w:lang w:val="en-US"/>
              </w:rPr>
            </w:pPr>
            <w:r w:rsidRPr="00915AE4">
              <w:rPr>
                <w:bCs w:val="0"/>
                <w:lang w:val="en-US"/>
              </w:rPr>
              <w:t>22.4</w:t>
            </w:r>
            <w:r w:rsidRPr="00915AE4">
              <w:rPr>
                <w:bCs w:val="0"/>
                <w:vertAlign w:val="superscript"/>
                <w:lang w:val="en-US"/>
              </w:rPr>
              <w:t>c</w:t>
            </w:r>
          </w:p>
          <w:p w14:paraId="38CA4AC7" w14:textId="77777777" w:rsidR="00805FF8" w:rsidRPr="00915AE4" w:rsidRDefault="00805FF8" w:rsidP="00A73FEE">
            <w:pPr>
              <w:pStyle w:val="TableText0"/>
              <w:keepLines/>
              <w:jc w:val="center"/>
              <w:rPr>
                <w:bCs w:val="0"/>
                <w:lang w:val="en-US"/>
              </w:rPr>
            </w:pPr>
            <w:r w:rsidRPr="00915AE4">
              <w:rPr>
                <w:bCs w:val="0"/>
                <w:lang w:val="en-US"/>
              </w:rPr>
              <w:t>(1.72 yrs)</w:t>
            </w:r>
          </w:p>
        </w:tc>
        <w:tc>
          <w:tcPr>
            <w:tcW w:w="692" w:type="pct"/>
            <w:vAlign w:val="center"/>
          </w:tcPr>
          <w:p w14:paraId="43A39926" w14:textId="77777777" w:rsidR="00805FF8" w:rsidRPr="00915AE4" w:rsidRDefault="00805FF8" w:rsidP="00A73FEE">
            <w:pPr>
              <w:pStyle w:val="TableText0"/>
              <w:keepLines/>
              <w:jc w:val="center"/>
              <w:rPr>
                <w:bCs w:val="0"/>
                <w:lang w:val="en-US"/>
              </w:rPr>
            </w:pPr>
            <w:r w:rsidRPr="00915AE4">
              <w:rPr>
                <w:bCs w:val="0"/>
                <w:lang w:val="en-US"/>
              </w:rPr>
              <w:t>26.1 cycles</w:t>
            </w:r>
          </w:p>
          <w:p w14:paraId="76370D02" w14:textId="77777777" w:rsidR="00805FF8" w:rsidRPr="00915AE4" w:rsidRDefault="00805FF8" w:rsidP="00A73FEE">
            <w:pPr>
              <w:pStyle w:val="TableText0"/>
              <w:keepLines/>
              <w:jc w:val="center"/>
              <w:rPr>
                <w:bCs w:val="0"/>
                <w:lang w:val="en-US"/>
              </w:rPr>
            </w:pPr>
            <w:r w:rsidRPr="00915AE4">
              <w:rPr>
                <w:bCs w:val="0"/>
                <w:lang w:val="en-US"/>
              </w:rPr>
              <w:t>(2.0 years)</w:t>
            </w:r>
          </w:p>
        </w:tc>
        <w:tc>
          <w:tcPr>
            <w:tcW w:w="689" w:type="pct"/>
            <w:vAlign w:val="center"/>
          </w:tcPr>
          <w:p w14:paraId="38FB0D7F" w14:textId="77777777" w:rsidR="00805FF8" w:rsidRPr="00915AE4" w:rsidRDefault="00805FF8" w:rsidP="00A73FEE">
            <w:pPr>
              <w:pStyle w:val="TableText0"/>
              <w:keepLines/>
              <w:jc w:val="center"/>
              <w:rPr>
                <w:bCs w:val="0"/>
                <w:lang w:val="en-US"/>
              </w:rPr>
            </w:pPr>
            <w:r w:rsidRPr="00915AE4">
              <w:rPr>
                <w:bCs w:val="0"/>
                <w:lang w:val="en-US"/>
              </w:rPr>
              <w:t>ITT: NR</w:t>
            </w:r>
          </w:p>
          <w:p w14:paraId="1241A013" w14:textId="77777777" w:rsidR="00805FF8" w:rsidRPr="00915AE4" w:rsidRDefault="00805FF8" w:rsidP="00A73FEE">
            <w:pPr>
              <w:pStyle w:val="TableText0"/>
              <w:keepLines/>
              <w:jc w:val="center"/>
              <w:rPr>
                <w:bCs w:val="0"/>
                <w:lang w:val="en-US"/>
              </w:rPr>
            </w:pPr>
            <w:r w:rsidRPr="00915AE4">
              <w:rPr>
                <w:bCs w:val="0"/>
                <w:lang w:val="en-US"/>
              </w:rPr>
              <w:t>Safety set: 19.9</w:t>
            </w:r>
          </w:p>
        </w:tc>
        <w:tc>
          <w:tcPr>
            <w:tcW w:w="693" w:type="pct"/>
            <w:vAlign w:val="center"/>
          </w:tcPr>
          <w:p w14:paraId="7AA6B1B2" w14:textId="77777777" w:rsidR="00805FF8" w:rsidRPr="00915AE4" w:rsidRDefault="00805FF8" w:rsidP="00A73FEE">
            <w:pPr>
              <w:pStyle w:val="TableText0"/>
              <w:keepLines/>
              <w:jc w:val="center"/>
              <w:rPr>
                <w:bCs w:val="0"/>
                <w:lang w:val="en-US"/>
              </w:rPr>
            </w:pPr>
            <w:r w:rsidRPr="00915AE4">
              <w:rPr>
                <w:bCs w:val="0"/>
                <w:lang w:val="en-US"/>
              </w:rPr>
              <w:t>22.4</w:t>
            </w:r>
            <w:r w:rsidRPr="00915AE4">
              <w:rPr>
                <w:bCs w:val="0"/>
                <w:vertAlign w:val="superscript"/>
                <w:lang w:val="en-US"/>
              </w:rPr>
              <w:t>c</w:t>
            </w:r>
          </w:p>
          <w:p w14:paraId="67FBEDBA" w14:textId="77777777" w:rsidR="00805FF8" w:rsidRPr="00915AE4" w:rsidRDefault="00805FF8" w:rsidP="00A73FEE">
            <w:pPr>
              <w:pStyle w:val="TableText0"/>
              <w:keepLines/>
              <w:jc w:val="center"/>
              <w:rPr>
                <w:bCs w:val="0"/>
                <w:lang w:val="en-US"/>
              </w:rPr>
            </w:pPr>
            <w:r w:rsidRPr="00915AE4">
              <w:rPr>
                <w:bCs w:val="0"/>
                <w:lang w:val="en-US"/>
              </w:rPr>
              <w:t>(1.72 yrs)</w:t>
            </w:r>
          </w:p>
        </w:tc>
        <w:tc>
          <w:tcPr>
            <w:tcW w:w="693" w:type="pct"/>
            <w:vAlign w:val="center"/>
          </w:tcPr>
          <w:p w14:paraId="46DBE059" w14:textId="77777777" w:rsidR="00805FF8" w:rsidRPr="00915AE4" w:rsidRDefault="00805FF8" w:rsidP="00A73FEE">
            <w:pPr>
              <w:pStyle w:val="TableText0"/>
              <w:keepLines/>
              <w:jc w:val="center"/>
              <w:rPr>
                <w:bCs w:val="0"/>
                <w:lang w:val="en-US"/>
              </w:rPr>
            </w:pPr>
            <w:r w:rsidRPr="00915AE4">
              <w:rPr>
                <w:bCs w:val="0"/>
                <w:lang w:val="en-US"/>
              </w:rPr>
              <w:t>26.1 cycles</w:t>
            </w:r>
          </w:p>
          <w:p w14:paraId="7C3A7FC2" w14:textId="77777777" w:rsidR="00805FF8" w:rsidRPr="00915AE4" w:rsidRDefault="00805FF8" w:rsidP="00A73FEE">
            <w:pPr>
              <w:pStyle w:val="TableText0"/>
              <w:keepLines/>
              <w:jc w:val="center"/>
              <w:rPr>
                <w:bCs w:val="0"/>
                <w:lang w:val="en-US"/>
              </w:rPr>
            </w:pPr>
            <w:r w:rsidRPr="00915AE4">
              <w:rPr>
                <w:bCs w:val="0"/>
                <w:lang w:val="en-US"/>
              </w:rPr>
              <w:t>(2.0 years)</w:t>
            </w:r>
          </w:p>
        </w:tc>
      </w:tr>
      <w:tr w:rsidR="00805FF8" w:rsidRPr="00E2771E" w14:paraId="34E78F81" w14:textId="77777777" w:rsidTr="00BB405D">
        <w:trPr>
          <w:cantSplit/>
          <w:jc w:val="center"/>
        </w:trPr>
        <w:tc>
          <w:tcPr>
            <w:tcW w:w="853" w:type="pct"/>
            <w:vAlign w:val="center"/>
          </w:tcPr>
          <w:p w14:paraId="32D7A571" w14:textId="77777777" w:rsidR="00805FF8" w:rsidRPr="00E2771E" w:rsidRDefault="00805FF8" w:rsidP="00A73FEE">
            <w:pPr>
              <w:pStyle w:val="TableText0"/>
              <w:keepLines/>
              <w:rPr>
                <w:lang w:val="en-US"/>
              </w:rPr>
            </w:pPr>
            <w:r>
              <w:rPr>
                <w:lang w:val="en-US"/>
              </w:rPr>
              <w:t>Cost/patient/course</w:t>
            </w:r>
          </w:p>
        </w:tc>
        <w:tc>
          <w:tcPr>
            <w:tcW w:w="690" w:type="pct"/>
            <w:vAlign w:val="center"/>
          </w:tcPr>
          <w:p w14:paraId="15F2B001" w14:textId="77777777" w:rsidR="00805FF8" w:rsidRPr="00E2771E" w:rsidRDefault="00805FF8" w:rsidP="00A73FEE">
            <w:pPr>
              <w:pStyle w:val="TableText0"/>
              <w:keepLines/>
              <w:jc w:val="center"/>
              <w:rPr>
                <w:lang w:val="en-US"/>
              </w:rPr>
            </w:pPr>
            <w:r>
              <w:rPr>
                <w:lang w:val="en-US"/>
              </w:rPr>
              <w:t>-</w:t>
            </w:r>
          </w:p>
        </w:tc>
        <w:tc>
          <w:tcPr>
            <w:tcW w:w="689" w:type="pct"/>
            <w:vAlign w:val="center"/>
          </w:tcPr>
          <w:p w14:paraId="1A56C293" w14:textId="390975E2" w:rsidR="00805FF8" w:rsidRDefault="00805FF8" w:rsidP="00A73FEE">
            <w:pPr>
              <w:pStyle w:val="TableText0"/>
              <w:keepLines/>
              <w:jc w:val="center"/>
              <w:rPr>
                <w:lang w:val="en-US"/>
              </w:rPr>
            </w:pPr>
            <w:r w:rsidRPr="00962623">
              <w:rPr>
                <w:b/>
                <w:bCs w:val="0"/>
                <w:lang w:val="en-US"/>
              </w:rPr>
              <w:t>$</w:t>
            </w:r>
            <w:r w:rsidR="008C30A7" w:rsidRPr="00FE32E3">
              <w:rPr>
                <w:b/>
                <w:color w:val="000000"/>
                <w:spacing w:val="50"/>
                <w:shd w:val="solid" w:color="000000" w:fill="000000"/>
                <w:fitText w:val="238" w:id="-694445561"/>
                <w:lang w:val="en-US"/>
                <w14:textFill>
                  <w14:solidFill>
                    <w14:srgbClr w14:val="000000">
                      <w14:alpha w14:val="100000"/>
                    </w14:srgbClr>
                  </w14:solidFill>
                </w14:textFill>
              </w:rPr>
              <w:t>||</w:t>
            </w:r>
            <w:r w:rsidR="008C30A7" w:rsidRPr="00FE32E3">
              <w:rPr>
                <w:b/>
                <w:bCs w:val="0"/>
                <w:color w:val="000000"/>
                <w:spacing w:val="1"/>
                <w:shd w:val="solid" w:color="000000" w:fill="000000"/>
                <w:fitText w:val="238" w:id="-694445561"/>
                <w:lang w:val="en-US"/>
                <w14:textFill>
                  <w14:solidFill>
                    <w14:srgbClr w14:val="000000">
                      <w14:alpha w14:val="100000"/>
                    </w14:srgbClr>
                  </w14:solidFill>
                </w14:textFill>
              </w:rPr>
              <w:t>|</w:t>
            </w:r>
            <w:r>
              <w:rPr>
                <w:lang w:val="en-US"/>
              </w:rPr>
              <w:t xml:space="preserve"> (with wastage)</w:t>
            </w:r>
          </w:p>
          <w:p w14:paraId="0D733B53" w14:textId="3D9129FC" w:rsidR="00805FF8" w:rsidRPr="00E2771E" w:rsidRDefault="00805FF8" w:rsidP="00A73FEE">
            <w:pPr>
              <w:pStyle w:val="TableText0"/>
              <w:keepLines/>
              <w:jc w:val="center"/>
              <w:rPr>
                <w:lang w:val="en-US"/>
              </w:rPr>
            </w:pPr>
            <w:r>
              <w:rPr>
                <w:lang w:val="en-US"/>
              </w:rPr>
              <w:t>$</w:t>
            </w:r>
            <w:r w:rsidR="008C30A7" w:rsidRPr="008C30A7">
              <w:rPr>
                <w:rFonts w:hint="eastAsia"/>
                <w:color w:val="000000"/>
                <w:w w:val="33"/>
                <w:shd w:val="solid" w:color="000000" w:fill="000000"/>
                <w:fitText w:val="150" w:id="-694445560"/>
                <w:lang w:val="en-US"/>
                <w14:textFill>
                  <w14:solidFill>
                    <w14:srgbClr w14:val="000000">
                      <w14:alpha w14:val="100000"/>
                    </w14:srgbClr>
                  </w14:solidFill>
                </w14:textFill>
              </w:rPr>
              <w:t xml:space="preserve">　</w:t>
            </w:r>
            <w:r w:rsidR="008C30A7" w:rsidRPr="008C30A7">
              <w:rPr>
                <w:color w:val="000000"/>
                <w:w w:val="33"/>
                <w:shd w:val="solid" w:color="000000" w:fill="000000"/>
                <w:fitText w:val="150" w:id="-694445560"/>
                <w:lang w:val="en-US"/>
                <w14:textFill>
                  <w14:solidFill>
                    <w14:srgbClr w14:val="000000">
                      <w14:alpha w14:val="100000"/>
                    </w14:srgbClr>
                  </w14:solidFill>
                </w14:textFill>
              </w:rPr>
              <w:t>|</w:t>
            </w:r>
            <w:r w:rsidR="008C30A7" w:rsidRPr="008C30A7">
              <w:rPr>
                <w:rFonts w:hint="eastAsia"/>
                <w:color w:val="000000"/>
                <w:spacing w:val="4"/>
                <w:w w:val="33"/>
                <w:shd w:val="solid" w:color="000000" w:fill="000000"/>
                <w:fitText w:val="150" w:id="-694445560"/>
                <w:lang w:val="en-US"/>
                <w14:textFill>
                  <w14:solidFill>
                    <w14:srgbClr w14:val="000000">
                      <w14:alpha w14:val="100000"/>
                    </w14:srgbClr>
                  </w14:solidFill>
                </w14:textFill>
              </w:rPr>
              <w:t xml:space="preserve">　</w:t>
            </w:r>
            <w:r>
              <w:rPr>
                <w:lang w:val="en-US"/>
              </w:rPr>
              <w:t xml:space="preserve"> (no wastage)</w:t>
            </w:r>
            <w:r>
              <w:rPr>
                <w:vertAlign w:val="superscript"/>
                <w:lang w:val="en-US"/>
              </w:rPr>
              <w:t>d</w:t>
            </w:r>
          </w:p>
        </w:tc>
        <w:tc>
          <w:tcPr>
            <w:tcW w:w="692" w:type="pct"/>
            <w:vAlign w:val="center"/>
          </w:tcPr>
          <w:p w14:paraId="18B7A24A" w14:textId="2E88BAAE" w:rsidR="00805FF8" w:rsidRPr="0076790F" w:rsidRDefault="00805FF8" w:rsidP="00A73FEE">
            <w:pPr>
              <w:pStyle w:val="TableText0"/>
              <w:keepLines/>
              <w:jc w:val="center"/>
              <w:rPr>
                <w:vertAlign w:val="superscript"/>
                <w:lang w:val="en-US"/>
              </w:rPr>
            </w:pPr>
            <w:r>
              <w:rPr>
                <w:lang w:val="en-US"/>
              </w:rPr>
              <w:t>$</w:t>
            </w:r>
            <w:r w:rsidR="008C30A7" w:rsidRPr="002409D6">
              <w:rPr>
                <w:rFonts w:hint="eastAsia"/>
                <w:color w:val="000000"/>
                <w:w w:val="15"/>
                <w:shd w:val="solid" w:color="000000" w:fill="000000"/>
                <w:fitText w:val="13" w:id="-694445559"/>
                <w:lang w:val="en-US"/>
                <w14:textFill>
                  <w14:solidFill>
                    <w14:srgbClr w14:val="000000">
                      <w14:alpha w14:val="100000"/>
                    </w14:srgbClr>
                  </w14:solidFill>
                </w14:textFill>
              </w:rPr>
              <w:t xml:space="preserve">　</w:t>
            </w:r>
            <w:r w:rsidR="008C30A7" w:rsidRPr="002409D6">
              <w:rPr>
                <w:color w:val="000000"/>
                <w:w w:val="15"/>
                <w:shd w:val="solid" w:color="000000" w:fill="000000"/>
                <w:fitText w:val="13" w:id="-694445559"/>
                <w:lang w:val="en-US"/>
                <w14:textFill>
                  <w14:solidFill>
                    <w14:srgbClr w14:val="000000">
                      <w14:alpha w14:val="100000"/>
                    </w14:srgbClr>
                  </w14:solidFill>
                </w14:textFill>
              </w:rPr>
              <w:t>|</w:t>
            </w:r>
            <w:r w:rsidR="008C30A7" w:rsidRPr="002409D6">
              <w:rPr>
                <w:rFonts w:hint="eastAsia"/>
                <w:color w:val="000000"/>
                <w:spacing w:val="-52"/>
                <w:w w:val="15"/>
                <w:shd w:val="solid" w:color="000000" w:fill="000000"/>
                <w:fitText w:val="13" w:id="-694445559"/>
                <w:lang w:val="en-US"/>
                <w14:textFill>
                  <w14:solidFill>
                    <w14:srgbClr w14:val="000000">
                      <w14:alpha w14:val="100000"/>
                    </w14:srgbClr>
                  </w14:solidFill>
                </w14:textFill>
              </w:rPr>
              <w:t xml:space="preserve">　</w:t>
            </w:r>
            <w:r w:rsidRPr="0076790F">
              <w:rPr>
                <w:vertAlign w:val="superscript"/>
                <w:lang w:val="en-US"/>
              </w:rPr>
              <w:t>e</w:t>
            </w:r>
          </w:p>
        </w:tc>
        <w:tc>
          <w:tcPr>
            <w:tcW w:w="689" w:type="pct"/>
            <w:vAlign w:val="center"/>
          </w:tcPr>
          <w:p w14:paraId="57D9C121" w14:textId="77777777" w:rsidR="00805FF8" w:rsidRPr="00E2771E" w:rsidRDefault="00805FF8" w:rsidP="00A73FEE">
            <w:pPr>
              <w:pStyle w:val="TableText0"/>
              <w:keepLines/>
              <w:jc w:val="center"/>
              <w:rPr>
                <w:lang w:val="en-US"/>
              </w:rPr>
            </w:pPr>
            <w:r>
              <w:rPr>
                <w:lang w:val="en-US"/>
              </w:rPr>
              <w:t>-</w:t>
            </w:r>
          </w:p>
        </w:tc>
        <w:tc>
          <w:tcPr>
            <w:tcW w:w="693" w:type="pct"/>
            <w:vAlign w:val="center"/>
          </w:tcPr>
          <w:p w14:paraId="57D2FD6E" w14:textId="0070059A" w:rsidR="00805FF8" w:rsidRDefault="00805FF8" w:rsidP="00A73FEE">
            <w:pPr>
              <w:pStyle w:val="TableText0"/>
              <w:keepLines/>
              <w:jc w:val="center"/>
              <w:rPr>
                <w:lang w:val="en-US"/>
              </w:rPr>
            </w:pPr>
            <w:r w:rsidRPr="006D6874">
              <w:rPr>
                <w:b/>
                <w:bCs w:val="0"/>
                <w:lang w:val="en-US"/>
              </w:rPr>
              <w:t>$</w:t>
            </w:r>
            <w:r w:rsidR="008C30A7" w:rsidRPr="00FE32E3">
              <w:rPr>
                <w:b/>
                <w:color w:val="000000"/>
                <w:spacing w:val="43"/>
                <w:shd w:val="solid" w:color="000000" w:fill="000000"/>
                <w:fitText w:val="225" w:id="-694445558"/>
                <w:lang w:val="en-US"/>
                <w14:textFill>
                  <w14:solidFill>
                    <w14:srgbClr w14:val="000000">
                      <w14:alpha w14:val="100000"/>
                    </w14:srgbClr>
                  </w14:solidFill>
                </w14:textFill>
              </w:rPr>
              <w:t>||</w:t>
            </w:r>
            <w:r w:rsidR="008C30A7" w:rsidRPr="00FE32E3">
              <w:rPr>
                <w:b/>
                <w:bCs w:val="0"/>
                <w:color w:val="000000"/>
                <w:spacing w:val="2"/>
                <w:shd w:val="solid" w:color="000000" w:fill="000000"/>
                <w:fitText w:val="225" w:id="-694445558"/>
                <w:lang w:val="en-US"/>
                <w14:textFill>
                  <w14:solidFill>
                    <w14:srgbClr w14:val="000000">
                      <w14:alpha w14:val="100000"/>
                    </w14:srgbClr>
                  </w14:solidFill>
                </w14:textFill>
              </w:rPr>
              <w:t>|</w:t>
            </w:r>
            <w:r>
              <w:rPr>
                <w:lang w:val="en-US"/>
              </w:rPr>
              <w:t xml:space="preserve"> (with wastage)</w:t>
            </w:r>
          </w:p>
          <w:p w14:paraId="54515B1F" w14:textId="7CF47DB8" w:rsidR="00805FF8" w:rsidRPr="00E2771E" w:rsidRDefault="00805FF8" w:rsidP="00A73FEE">
            <w:pPr>
              <w:pStyle w:val="TableText0"/>
              <w:keepLines/>
              <w:jc w:val="center"/>
              <w:rPr>
                <w:lang w:val="en-US"/>
              </w:rPr>
            </w:pPr>
            <w:r>
              <w:rPr>
                <w:lang w:val="en-US"/>
              </w:rPr>
              <w:t>$</w:t>
            </w:r>
            <w:r w:rsidR="008C30A7" w:rsidRPr="008C30A7">
              <w:rPr>
                <w:rFonts w:hint="eastAsia"/>
                <w:color w:val="000000"/>
                <w:w w:val="28"/>
                <w:shd w:val="solid" w:color="000000" w:fill="000000"/>
                <w:fitText w:val="125" w:id="-694445557"/>
                <w:lang w:val="en-US"/>
                <w14:textFill>
                  <w14:solidFill>
                    <w14:srgbClr w14:val="000000">
                      <w14:alpha w14:val="100000"/>
                    </w14:srgbClr>
                  </w14:solidFill>
                </w14:textFill>
              </w:rPr>
              <w:t xml:space="preserve">　</w:t>
            </w:r>
            <w:r w:rsidR="008C30A7" w:rsidRPr="008C30A7">
              <w:rPr>
                <w:color w:val="000000"/>
                <w:w w:val="28"/>
                <w:shd w:val="solid" w:color="000000" w:fill="000000"/>
                <w:fitText w:val="125" w:id="-694445557"/>
                <w:lang w:val="en-US"/>
                <w14:textFill>
                  <w14:solidFill>
                    <w14:srgbClr w14:val="000000">
                      <w14:alpha w14:val="100000"/>
                    </w14:srgbClr>
                  </w14:solidFill>
                </w14:textFill>
              </w:rPr>
              <w:t>|</w:t>
            </w:r>
            <w:r w:rsidR="008C30A7" w:rsidRPr="008C30A7">
              <w:rPr>
                <w:rFonts w:hint="eastAsia"/>
                <w:color w:val="000000"/>
                <w:spacing w:val="3"/>
                <w:w w:val="28"/>
                <w:shd w:val="solid" w:color="000000" w:fill="000000"/>
                <w:fitText w:val="125" w:id="-694445557"/>
                <w:lang w:val="en-US"/>
                <w14:textFill>
                  <w14:solidFill>
                    <w14:srgbClr w14:val="000000">
                      <w14:alpha w14:val="100000"/>
                    </w14:srgbClr>
                  </w14:solidFill>
                </w14:textFill>
              </w:rPr>
              <w:t xml:space="preserve">　</w:t>
            </w:r>
            <w:r>
              <w:rPr>
                <w:lang w:val="en-US"/>
              </w:rPr>
              <w:t xml:space="preserve"> (no wastage)</w:t>
            </w:r>
            <w:r>
              <w:rPr>
                <w:vertAlign w:val="superscript"/>
                <w:lang w:val="en-US"/>
              </w:rPr>
              <w:t>d</w:t>
            </w:r>
          </w:p>
        </w:tc>
        <w:tc>
          <w:tcPr>
            <w:tcW w:w="693" w:type="pct"/>
            <w:vAlign w:val="center"/>
          </w:tcPr>
          <w:p w14:paraId="50219F42" w14:textId="50865CDA" w:rsidR="00805FF8" w:rsidRPr="00E2771E" w:rsidRDefault="00805FF8" w:rsidP="00A73FEE">
            <w:pPr>
              <w:pStyle w:val="TableText0"/>
              <w:keepLines/>
              <w:jc w:val="center"/>
              <w:rPr>
                <w:lang w:val="en-US"/>
              </w:rPr>
            </w:pPr>
            <w:r>
              <w:rPr>
                <w:lang w:val="en-US"/>
              </w:rPr>
              <w:t>$</w:t>
            </w:r>
            <w:r w:rsidR="008C30A7" w:rsidRPr="002409D6">
              <w:rPr>
                <w:rFonts w:hint="eastAsia"/>
                <w:color w:val="000000"/>
                <w:w w:val="15"/>
                <w:shd w:val="solid" w:color="000000" w:fill="000000"/>
                <w:fitText w:val="13" w:id="-694445556"/>
                <w:lang w:val="en-US"/>
                <w14:textFill>
                  <w14:solidFill>
                    <w14:srgbClr w14:val="000000">
                      <w14:alpha w14:val="100000"/>
                    </w14:srgbClr>
                  </w14:solidFill>
                </w14:textFill>
              </w:rPr>
              <w:t xml:space="preserve">　</w:t>
            </w:r>
            <w:r w:rsidR="008C30A7" w:rsidRPr="002409D6">
              <w:rPr>
                <w:color w:val="000000"/>
                <w:w w:val="15"/>
                <w:shd w:val="solid" w:color="000000" w:fill="000000"/>
                <w:fitText w:val="13" w:id="-694445556"/>
                <w:lang w:val="en-US"/>
                <w14:textFill>
                  <w14:solidFill>
                    <w14:srgbClr w14:val="000000">
                      <w14:alpha w14:val="100000"/>
                    </w14:srgbClr>
                  </w14:solidFill>
                </w14:textFill>
              </w:rPr>
              <w:t>|</w:t>
            </w:r>
            <w:r w:rsidR="008C30A7" w:rsidRPr="002409D6">
              <w:rPr>
                <w:rFonts w:hint="eastAsia"/>
                <w:color w:val="000000"/>
                <w:spacing w:val="-52"/>
                <w:w w:val="15"/>
                <w:shd w:val="solid" w:color="000000" w:fill="000000"/>
                <w:fitText w:val="13" w:id="-694445556"/>
                <w:lang w:val="en-US"/>
                <w14:textFill>
                  <w14:solidFill>
                    <w14:srgbClr w14:val="000000">
                      <w14:alpha w14:val="100000"/>
                    </w14:srgbClr>
                  </w14:solidFill>
                </w14:textFill>
              </w:rPr>
              <w:t xml:space="preserve">　</w:t>
            </w:r>
            <w:r w:rsidRPr="0076790F">
              <w:rPr>
                <w:vertAlign w:val="superscript"/>
                <w:lang w:val="en-US"/>
              </w:rPr>
              <w:t>e</w:t>
            </w:r>
          </w:p>
        </w:tc>
      </w:tr>
    </w:tbl>
    <w:p w14:paraId="32790A40" w14:textId="1460A7D7" w:rsidR="00805FF8" w:rsidRDefault="00805FF8" w:rsidP="00A73FEE">
      <w:pPr>
        <w:pStyle w:val="FooterTableFigure"/>
        <w:keepNext/>
        <w:keepLines/>
      </w:pPr>
      <w:r w:rsidRPr="007F1017">
        <w:t>Source:</w:t>
      </w:r>
      <w:r>
        <w:t xml:space="preserve"> </w:t>
      </w:r>
      <w:r w:rsidRPr="006A2B10">
        <w:t>compiled during the evaluation from Table 19, p80 of the Study 3b CSR and Excel workbooks ‘EFLORNITHINE – Cost effectiveness analysis. Final model 4thNov_2024 PBAC submission .xlsm’ and ‘Eflornithine_BIM Stratum 1 and 2 including grandfathered patients Nov_2024.xlsx’</w:t>
      </w:r>
    </w:p>
    <w:p w14:paraId="5B13AD22" w14:textId="5534D720" w:rsidR="00C340AD" w:rsidRDefault="00976883" w:rsidP="00A73FEE">
      <w:pPr>
        <w:pStyle w:val="FooterTableFigure"/>
        <w:keepNext/>
        <w:keepLines/>
      </w:pPr>
      <w:r>
        <w:t>ITT</w:t>
      </w:r>
      <w:r w:rsidR="00D50C85">
        <w:t xml:space="preserve">=intention to treat; </w:t>
      </w:r>
      <w:r w:rsidR="00C340AD">
        <w:t>NR=not report, pts=patients</w:t>
      </w:r>
      <w:r w:rsidR="00E96301">
        <w:t>, yrs=years</w:t>
      </w:r>
    </w:p>
    <w:p w14:paraId="688B108A" w14:textId="17207750" w:rsidR="00805FF8" w:rsidRPr="00AC248B" w:rsidRDefault="00805FF8" w:rsidP="00A73FEE">
      <w:pPr>
        <w:pStyle w:val="FooterTableFigure"/>
        <w:keepNext/>
        <w:keepLines/>
      </w:pPr>
      <w:r>
        <w:t>a</w:t>
      </w:r>
      <w:r>
        <w:tab/>
        <w:t xml:space="preserve">Sum of mean morning </w:t>
      </w:r>
      <w:r w:rsidRPr="00AC248B">
        <w:t>dose (631.6</w:t>
      </w:r>
      <w:r w:rsidR="00775661">
        <w:t xml:space="preserve"> </w:t>
      </w:r>
      <w:r w:rsidRPr="00AC248B">
        <w:t>mg) and evening dose (632.7</w:t>
      </w:r>
      <w:r w:rsidR="00775661">
        <w:t xml:space="preserve"> </w:t>
      </w:r>
      <w:r w:rsidRPr="00AC248B">
        <w:t>mg)</w:t>
      </w:r>
    </w:p>
    <w:p w14:paraId="3A066F6D" w14:textId="538E029E" w:rsidR="00805FF8" w:rsidRPr="00AC248B" w:rsidRDefault="00805FF8" w:rsidP="00A73FEE">
      <w:pPr>
        <w:pStyle w:val="FooterTableFigure"/>
        <w:keepNext/>
        <w:keepLines/>
      </w:pPr>
      <w:r w:rsidRPr="00AC248B">
        <w:t>b</w:t>
      </w:r>
      <w:r w:rsidRPr="00AC248B">
        <w:tab/>
      </w:r>
      <w:r w:rsidR="00C340AD" w:rsidRPr="00AC248B">
        <w:t>S</w:t>
      </w:r>
      <w:r w:rsidRPr="00AC248B">
        <w:t>um of mean morning dose (644.3</w:t>
      </w:r>
      <w:r w:rsidR="00775661">
        <w:t xml:space="preserve"> </w:t>
      </w:r>
      <w:r w:rsidRPr="00AC248B">
        <w:t>mg) and evening dose (645.2</w:t>
      </w:r>
      <w:r w:rsidR="00775661">
        <w:t xml:space="preserve"> </w:t>
      </w:r>
      <w:r w:rsidRPr="00AC248B">
        <w:t>mg)</w:t>
      </w:r>
    </w:p>
    <w:p w14:paraId="23ED74A7" w14:textId="77777777" w:rsidR="00805FF8" w:rsidRDefault="00805FF8" w:rsidP="00A73FEE">
      <w:pPr>
        <w:pStyle w:val="FooterTableFigure"/>
        <w:keepNext/>
        <w:keepLines/>
      </w:pPr>
      <w:r w:rsidRPr="00AC248B">
        <w:t>c</w:t>
      </w:r>
      <w:r w:rsidRPr="00AC248B">
        <w:tab/>
        <w:t>corrected number of cycles. In the submission, Stratum 1 22.4 cycles (1.72 years) and Stratum 2 27.5 cycles (2.11 years)</w:t>
      </w:r>
    </w:p>
    <w:p w14:paraId="67A0EC27" w14:textId="1EC66272" w:rsidR="00805FF8" w:rsidRDefault="00805FF8" w:rsidP="00A73FEE">
      <w:pPr>
        <w:pStyle w:val="FooterTableFigure"/>
        <w:keepNext/>
        <w:keepLines/>
      </w:pPr>
      <w:r>
        <w:t>d</w:t>
      </w:r>
      <w:r>
        <w:tab/>
        <w:t>model costs</w:t>
      </w:r>
      <w:r w:rsidR="00EC41D0">
        <w:t xml:space="preserve"> incorrectly</w:t>
      </w:r>
      <w:r>
        <w:t xml:space="preserve"> used EMP $</w:t>
      </w:r>
      <w:r w:rsidR="008C30A7" w:rsidRPr="00F6759F">
        <w:rPr>
          <w:color w:val="000000"/>
          <w:spacing w:val="89"/>
          <w:w w:val="75"/>
          <w:shd w:val="solid" w:color="000000" w:fill="000000"/>
          <w:fitText w:val="268" w:id="-694445555"/>
          <w14:textFill>
            <w14:solidFill>
              <w14:srgbClr w14:val="000000">
                <w14:alpha w14:val="100000"/>
              </w14:srgbClr>
            </w14:solidFill>
          </w14:textFill>
        </w:rPr>
        <w:t>|</w:t>
      </w:r>
      <w:r w:rsidR="00F6759F" w:rsidRPr="00F6759F">
        <w:rPr>
          <w:color w:val="000000"/>
          <w:spacing w:val="89"/>
          <w:w w:val="75"/>
          <w:shd w:val="solid" w:color="000000" w:fill="000000"/>
          <w:fitText w:val="268" w:id="-694445555"/>
          <w14:textFill>
            <w14:solidFill>
              <w14:srgbClr w14:val="000000">
                <w14:alpha w14:val="100000"/>
              </w14:srgbClr>
            </w14:solidFill>
          </w14:textFill>
        </w:rPr>
        <w:t xml:space="preserve"> </w:t>
      </w:r>
      <w:r w:rsidR="008C30A7" w:rsidRPr="00F6759F">
        <w:rPr>
          <w:color w:val="000000"/>
          <w:spacing w:val="2"/>
          <w:w w:val="75"/>
          <w:shd w:val="solid" w:color="000000" w:fill="000000"/>
          <w:fitText w:val="268" w:id="-694445555"/>
          <w14:textFill>
            <w14:solidFill>
              <w14:srgbClr w14:val="000000">
                <w14:alpha w14:val="100000"/>
              </w14:srgbClr>
            </w14:solidFill>
          </w14:textFill>
        </w:rPr>
        <w:t>|</w:t>
      </w:r>
      <w:r>
        <w:t xml:space="preserve"> for 100 tablets</w:t>
      </w:r>
      <w:r w:rsidR="00EC41D0">
        <w:t>, rather than DPMQ.</w:t>
      </w:r>
    </w:p>
    <w:p w14:paraId="23908AEE" w14:textId="22290FD5" w:rsidR="00805FF8" w:rsidRDefault="00805FF8" w:rsidP="00A73FEE">
      <w:pPr>
        <w:pStyle w:val="FooterTableFigure"/>
        <w:keepNext/>
        <w:keepLines/>
      </w:pPr>
      <w:r>
        <w:t>e</w:t>
      </w:r>
      <w:r>
        <w:tab/>
        <w:t>financial estimates use corrected DPMQ $</w:t>
      </w:r>
      <w:r w:rsidR="008C30A7" w:rsidRPr="00F6759F">
        <w:rPr>
          <w:color w:val="000000"/>
          <w:spacing w:val="89"/>
          <w:w w:val="75"/>
          <w:shd w:val="solid" w:color="000000" w:fill="000000"/>
          <w:fitText w:val="268" w:id="-694445554"/>
          <w14:textFill>
            <w14:solidFill>
              <w14:srgbClr w14:val="000000">
                <w14:alpha w14:val="100000"/>
              </w14:srgbClr>
            </w14:solidFill>
          </w14:textFill>
        </w:rPr>
        <w:t>|</w:t>
      </w:r>
      <w:r w:rsidR="00F6759F" w:rsidRPr="00F6759F">
        <w:rPr>
          <w:color w:val="000000"/>
          <w:spacing w:val="89"/>
          <w:w w:val="75"/>
          <w:shd w:val="solid" w:color="000000" w:fill="000000"/>
          <w:fitText w:val="268" w:id="-694445554"/>
          <w14:textFill>
            <w14:solidFill>
              <w14:srgbClr w14:val="000000">
                <w14:alpha w14:val="100000"/>
              </w14:srgbClr>
            </w14:solidFill>
          </w14:textFill>
        </w:rPr>
        <w:t xml:space="preserve"> </w:t>
      </w:r>
      <w:r w:rsidR="008C30A7" w:rsidRPr="00F6759F">
        <w:rPr>
          <w:color w:val="000000"/>
          <w:spacing w:val="2"/>
          <w:w w:val="75"/>
          <w:shd w:val="solid" w:color="000000" w:fill="000000"/>
          <w:fitText w:val="268" w:id="-694445554"/>
          <w14:textFill>
            <w14:solidFill>
              <w14:srgbClr w14:val="000000">
                <w14:alpha w14:val="100000"/>
              </w14:srgbClr>
            </w14:solidFill>
          </w14:textFill>
        </w:rPr>
        <w:t>|</w:t>
      </w:r>
      <w:r>
        <w:t xml:space="preserve"> for 100 tablets, no pack wastage assumed</w:t>
      </w:r>
    </w:p>
    <w:p w14:paraId="7B2EA27A" w14:textId="11AF720D" w:rsidR="00805FF8" w:rsidRPr="0081338E" w:rsidRDefault="00805FF8" w:rsidP="00805FF8">
      <w:pPr>
        <w:pStyle w:val="3-BodyText"/>
        <w:rPr>
          <w:snapToGrid/>
          <w:lang w:val="en-US"/>
        </w:rPr>
      </w:pPr>
      <w:bookmarkStart w:id="71" w:name="_Ref194655734"/>
      <w:bookmarkStart w:id="72" w:name="_Hlk107307804"/>
      <w:r w:rsidRPr="0081338E">
        <w:t xml:space="preserve">The </w:t>
      </w:r>
      <w:r w:rsidR="00BC594C">
        <w:t xml:space="preserve">estimated undiscounted average cost per patient per course of eflornithine was </w:t>
      </w:r>
      <w:r w:rsidRPr="0081338E">
        <w:t>$</w:t>
      </w:r>
      <w:r w:rsidR="008C30A7" w:rsidRPr="002409D6">
        <w:rPr>
          <w:color w:val="000000"/>
          <w:w w:val="15"/>
          <w:shd w:val="solid" w:color="000000" w:fill="000000"/>
          <w:fitText w:val="-20" w:id="-694445553"/>
          <w14:textFill>
            <w14:solidFill>
              <w14:srgbClr w14:val="000000">
                <w14:alpha w14:val="100000"/>
              </w14:srgbClr>
            </w14:solidFill>
          </w14:textFill>
        </w:rPr>
        <w:t>|</w:t>
      </w:r>
      <w:r w:rsidR="00F6759F" w:rsidRPr="002409D6">
        <w:rPr>
          <w:color w:val="000000"/>
          <w:w w:val="15"/>
          <w:shd w:val="solid" w:color="000000" w:fill="000000"/>
          <w:fitText w:val="-20" w:id="-694445553"/>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5553"/>
          <w14:textFill>
            <w14:solidFill>
              <w14:srgbClr w14:val="000000">
                <w14:alpha w14:val="100000"/>
              </w14:srgbClr>
            </w14:solidFill>
          </w14:textFill>
        </w:rPr>
        <w:t>|</w:t>
      </w:r>
      <w:r w:rsidRPr="0081338E">
        <w:t xml:space="preserve"> in Stratum 1 and Stratum 2 </w:t>
      </w:r>
      <w:r w:rsidR="008628D3">
        <w:t>(corrected for errors in the submission, see paragraph</w:t>
      </w:r>
      <w:r w:rsidR="00B626F4">
        <w:t xml:space="preserve"> </w:t>
      </w:r>
      <w:r w:rsidR="00B626F4">
        <w:fldChar w:fldCharType="begin" w:fldLock="1"/>
      </w:r>
      <w:r w:rsidR="00B626F4">
        <w:instrText xml:space="preserve"> REF _Ref194655734 \r \h </w:instrText>
      </w:r>
      <w:r w:rsidR="00B626F4">
        <w:fldChar w:fldCharType="separate"/>
      </w:r>
      <w:r w:rsidR="00AF2AB7">
        <w:t>6.56</w:t>
      </w:r>
      <w:r w:rsidR="00B626F4">
        <w:fldChar w:fldCharType="end"/>
      </w:r>
      <w:r w:rsidR="008628D3">
        <w:t xml:space="preserve">) </w:t>
      </w:r>
      <w:r w:rsidRPr="00AC248B">
        <w:t xml:space="preserve">for 1.72 </w:t>
      </w:r>
      <w:r w:rsidRPr="0081338E">
        <w:t>years of treatment</w:t>
      </w:r>
      <w:r w:rsidR="000B1D1E" w:rsidRPr="0081338E">
        <w:t>, including pack wastage</w:t>
      </w:r>
      <w:r w:rsidRPr="0081338E">
        <w:t>. Without pack wastage the cost per course of eflornithine was $</w:t>
      </w:r>
      <w:r w:rsidR="008C30A7" w:rsidRPr="002409D6">
        <w:rPr>
          <w:color w:val="000000"/>
          <w:w w:val="15"/>
          <w:shd w:val="solid" w:color="000000" w:fill="000000"/>
          <w:fitText w:val="-20" w:id="-694445552"/>
          <w14:textFill>
            <w14:solidFill>
              <w14:srgbClr w14:val="000000">
                <w14:alpha w14:val="100000"/>
              </w14:srgbClr>
            </w14:solidFill>
          </w14:textFill>
        </w:rPr>
        <w:t>|</w:t>
      </w:r>
      <w:r w:rsidR="00F6759F" w:rsidRPr="002409D6">
        <w:rPr>
          <w:color w:val="000000"/>
          <w:w w:val="15"/>
          <w:shd w:val="solid" w:color="000000" w:fill="000000"/>
          <w:fitText w:val="-20" w:id="-694445552"/>
          <w14:textFill>
            <w14:solidFill>
              <w14:srgbClr w14:val="000000">
                <w14:alpha w14:val="100000"/>
              </w14:srgbClr>
            </w14:solidFill>
          </w14:textFill>
        </w:rPr>
        <w:t xml:space="preserve"> </w:t>
      </w:r>
      <w:r w:rsidR="008C30A7" w:rsidRPr="002409D6">
        <w:rPr>
          <w:color w:val="000000"/>
          <w:spacing w:val="-61"/>
          <w:w w:val="15"/>
          <w:shd w:val="solid" w:color="000000" w:fill="000000"/>
          <w:fitText w:val="-20" w:id="-694445552"/>
          <w14:textFill>
            <w14:solidFill>
              <w14:srgbClr w14:val="000000">
                <w14:alpha w14:val="100000"/>
              </w14:srgbClr>
            </w14:solidFill>
          </w14:textFill>
        </w:rPr>
        <w:t>|</w:t>
      </w:r>
      <w:r w:rsidRPr="0081338E">
        <w:t xml:space="preserve"> in Stratum 1 and Stratum 2. </w:t>
      </w:r>
      <w:r w:rsidRPr="0081338E">
        <w:rPr>
          <w:snapToGrid/>
          <w:lang w:val="en-US"/>
        </w:rPr>
        <w:t>The financial estimates assumed 2 years on treatment for all patients and implemented DPMQ rather than EMP</w:t>
      </w:r>
      <w:r w:rsidR="0097533E" w:rsidRPr="0081338E">
        <w:rPr>
          <w:snapToGrid/>
          <w:lang w:val="en-US"/>
        </w:rPr>
        <w:t>;</w:t>
      </w:r>
      <w:r w:rsidRPr="0081338E">
        <w:rPr>
          <w:snapToGrid/>
          <w:lang w:val="en-US"/>
        </w:rPr>
        <w:t xml:space="preserve"> therefore</w:t>
      </w:r>
      <w:r w:rsidR="0097533E" w:rsidRPr="0081338E">
        <w:rPr>
          <w:snapToGrid/>
          <w:lang w:val="en-US"/>
        </w:rPr>
        <w:t>,</w:t>
      </w:r>
      <w:r w:rsidRPr="0081338E">
        <w:rPr>
          <w:snapToGrid/>
          <w:lang w:val="en-US"/>
        </w:rPr>
        <w:t xml:space="preserve"> the cost per person was higher: $</w:t>
      </w:r>
      <w:r w:rsidR="008C30A7" w:rsidRPr="002409D6">
        <w:rPr>
          <w:snapToGrid/>
          <w:color w:val="000000"/>
          <w:w w:val="15"/>
          <w:shd w:val="solid" w:color="000000" w:fill="000000"/>
          <w:fitText w:val="-20" w:id="-694445568"/>
          <w:lang w:val="en-US"/>
          <w14:textFill>
            <w14:solidFill>
              <w14:srgbClr w14:val="000000">
                <w14:alpha w14:val="100000"/>
              </w14:srgbClr>
            </w14:solidFill>
          </w14:textFill>
        </w:rPr>
        <w:t>|</w:t>
      </w:r>
      <w:r w:rsidR="00F6759F" w:rsidRPr="002409D6">
        <w:rPr>
          <w:snapToGrid/>
          <w:color w:val="000000"/>
          <w:w w:val="15"/>
          <w:shd w:val="solid" w:color="000000" w:fill="000000"/>
          <w:fitText w:val="-20" w:id="-694445568"/>
          <w:lang w:val="en-US"/>
          <w14:textFill>
            <w14:solidFill>
              <w14:srgbClr w14:val="000000">
                <w14:alpha w14:val="100000"/>
              </w14:srgbClr>
            </w14:solidFill>
          </w14:textFill>
        </w:rPr>
        <w:t xml:space="preserve"> </w:t>
      </w:r>
      <w:r w:rsidR="008C30A7" w:rsidRPr="002409D6">
        <w:rPr>
          <w:snapToGrid/>
          <w:color w:val="000000"/>
          <w:spacing w:val="-61"/>
          <w:w w:val="15"/>
          <w:shd w:val="solid" w:color="000000" w:fill="000000"/>
          <w:fitText w:val="-20" w:id="-694445568"/>
          <w:lang w:val="en-US"/>
          <w14:textFill>
            <w14:solidFill>
              <w14:srgbClr w14:val="000000">
                <w14:alpha w14:val="100000"/>
              </w14:srgbClr>
            </w14:solidFill>
          </w14:textFill>
        </w:rPr>
        <w:t>|</w:t>
      </w:r>
      <w:r w:rsidRPr="0081338E">
        <w:rPr>
          <w:snapToGrid/>
          <w:lang w:val="en-US"/>
        </w:rPr>
        <w:t>.</w:t>
      </w:r>
      <w:bookmarkEnd w:id="71"/>
    </w:p>
    <w:p w14:paraId="27AD54E6" w14:textId="77777777" w:rsidR="00805FF8" w:rsidRPr="00C9624D" w:rsidRDefault="00805FF8" w:rsidP="00805FF8">
      <w:pPr>
        <w:pStyle w:val="4-SubsectionHeading"/>
      </w:pPr>
      <w:bookmarkStart w:id="73" w:name="_Toc107927633"/>
      <w:bookmarkStart w:id="74" w:name="_Toc188441773"/>
      <w:bookmarkStart w:id="75" w:name="_Toc22897648"/>
      <w:bookmarkEnd w:id="69"/>
      <w:bookmarkEnd w:id="72"/>
      <w:r w:rsidRPr="00C9624D">
        <w:t>Estimated PBS usage &amp; financial implications</w:t>
      </w:r>
      <w:bookmarkEnd w:id="73"/>
      <w:bookmarkEnd w:id="74"/>
    </w:p>
    <w:bookmarkEnd w:id="75"/>
    <w:p w14:paraId="1BD5C70A" w14:textId="108E45D7" w:rsidR="0031567A" w:rsidRDefault="0031567A" w:rsidP="0031567A">
      <w:pPr>
        <w:pStyle w:val="3-BodyText"/>
      </w:pPr>
      <w:r w:rsidRPr="00C56363">
        <w:t xml:space="preserve">This submission </w:t>
      </w:r>
      <w:r>
        <w:t>was</w:t>
      </w:r>
      <w:r w:rsidRPr="00C56363">
        <w:t xml:space="preserve"> considered by DUSC. </w:t>
      </w:r>
    </w:p>
    <w:p w14:paraId="73417BA2" w14:textId="6DCD3501" w:rsidR="0031567A" w:rsidRPr="00C56363" w:rsidRDefault="0031567A" w:rsidP="0031567A">
      <w:pPr>
        <w:pStyle w:val="3-BodyText"/>
      </w:pPr>
      <w:r w:rsidRPr="00C56363">
        <w:fldChar w:fldCharType="begin" w:fldLock="1"/>
      </w:r>
      <w:r w:rsidRPr="00C56363">
        <w:instrText xml:space="preserve"> REF _Ref104805262 \h  \* MERGEFORMAT </w:instrText>
      </w:r>
      <w:r w:rsidRPr="00C56363">
        <w:fldChar w:fldCharType="separate"/>
      </w:r>
      <w:r w:rsidR="00AF2AB7">
        <w:t>Table 12</w:t>
      </w:r>
      <w:r w:rsidRPr="00C56363">
        <w:fldChar w:fldCharType="end"/>
      </w:r>
      <w:r w:rsidRPr="00C56363">
        <w:t xml:space="preserve"> outlines the key inputs relied on </w:t>
      </w:r>
      <w:r>
        <w:t>for</w:t>
      </w:r>
      <w:r w:rsidRPr="00C56363">
        <w:t xml:space="preserve"> the financial estimates.</w:t>
      </w:r>
    </w:p>
    <w:p w14:paraId="3230EE1D" w14:textId="3C853A04" w:rsidR="0031567A" w:rsidRPr="007925DF" w:rsidRDefault="0031567A" w:rsidP="0031567A">
      <w:pPr>
        <w:pStyle w:val="Caption"/>
        <w:rPr>
          <w:rStyle w:val="CommentReference"/>
          <w:b/>
          <w:szCs w:val="24"/>
        </w:rPr>
      </w:pPr>
      <w:bookmarkStart w:id="76" w:name="_Ref104805262"/>
      <w:r>
        <w:t xml:space="preserve">Table </w:t>
      </w:r>
      <w:r w:rsidR="00AF2AB7">
        <w:fldChar w:fldCharType="begin" w:fldLock="1"/>
      </w:r>
      <w:r w:rsidR="00AF2AB7">
        <w:instrText xml:space="preserve"> SEQ Table \* ARABIC </w:instrText>
      </w:r>
      <w:r w:rsidR="00AF2AB7">
        <w:fldChar w:fldCharType="separate"/>
      </w:r>
      <w:r w:rsidR="00AF2AB7">
        <w:rPr>
          <w:noProof/>
        </w:rPr>
        <w:t>12</w:t>
      </w:r>
      <w:r w:rsidR="00AF2AB7">
        <w:rPr>
          <w:noProof/>
        </w:rPr>
        <w:fldChar w:fldCharType="end"/>
      </w:r>
      <w:bookmarkEnd w:id="76"/>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inputs for financial estimates"/>
      </w:tblPr>
      <w:tblGrid>
        <w:gridCol w:w="1713"/>
        <w:gridCol w:w="3102"/>
        <w:gridCol w:w="4202"/>
      </w:tblGrid>
      <w:tr w:rsidR="0031567A" w:rsidRPr="003D1DE4" w14:paraId="2ABFF538" w14:textId="77777777">
        <w:trPr>
          <w:tblHeader/>
        </w:trPr>
        <w:tc>
          <w:tcPr>
            <w:tcW w:w="950" w:type="pct"/>
            <w:vAlign w:val="center"/>
          </w:tcPr>
          <w:p w14:paraId="1A2B968B" w14:textId="77777777" w:rsidR="0031567A" w:rsidRPr="003D1DE4" w:rsidRDefault="0031567A">
            <w:pPr>
              <w:pStyle w:val="In-tableHeading"/>
              <w:keepNext w:val="0"/>
            </w:pPr>
            <w:r>
              <w:t>Parameter</w:t>
            </w:r>
          </w:p>
        </w:tc>
        <w:tc>
          <w:tcPr>
            <w:tcW w:w="1720" w:type="pct"/>
            <w:vAlign w:val="center"/>
          </w:tcPr>
          <w:p w14:paraId="153B1B54" w14:textId="77777777" w:rsidR="0031567A" w:rsidRPr="003D1DE4" w:rsidRDefault="0031567A">
            <w:pPr>
              <w:pStyle w:val="In-tableHeading"/>
              <w:keepNext w:val="0"/>
            </w:pPr>
            <w:r>
              <w:t>Value applied and source</w:t>
            </w:r>
          </w:p>
        </w:tc>
        <w:tc>
          <w:tcPr>
            <w:tcW w:w="2330" w:type="pct"/>
            <w:vAlign w:val="center"/>
          </w:tcPr>
          <w:p w14:paraId="17942E46" w14:textId="28B3395D" w:rsidR="0031567A" w:rsidRPr="003D1DE4" w:rsidRDefault="0031567A">
            <w:pPr>
              <w:pStyle w:val="In-tableHeading"/>
              <w:keepNext w:val="0"/>
            </w:pPr>
            <w:r>
              <w:t>Comment</w:t>
            </w:r>
            <w:r w:rsidR="00D973A2">
              <w:t xml:space="preserve"> from evaluation</w:t>
            </w:r>
          </w:p>
        </w:tc>
      </w:tr>
      <w:tr w:rsidR="0031567A" w:rsidRPr="00E2771E" w14:paraId="3C9304EB" w14:textId="77777777">
        <w:tc>
          <w:tcPr>
            <w:tcW w:w="950" w:type="pct"/>
            <w:vAlign w:val="center"/>
          </w:tcPr>
          <w:p w14:paraId="212F2B41" w14:textId="77777777" w:rsidR="0031567A" w:rsidRPr="00E2771E" w:rsidRDefault="0031567A">
            <w:pPr>
              <w:pStyle w:val="TableText0"/>
              <w:keepNext w:val="0"/>
              <w:rPr>
                <w:lang w:val="en-US"/>
              </w:rPr>
            </w:pPr>
            <w:r w:rsidRPr="00977041">
              <w:t>Incident NBL patients</w:t>
            </w:r>
          </w:p>
        </w:tc>
        <w:tc>
          <w:tcPr>
            <w:tcW w:w="1720" w:type="pct"/>
            <w:vAlign w:val="center"/>
          </w:tcPr>
          <w:p w14:paraId="299B2226" w14:textId="77777777" w:rsidR="0031567A" w:rsidRPr="00816F96" w:rsidRDefault="0031567A">
            <w:pPr>
              <w:pStyle w:val="Tabletext"/>
            </w:pPr>
            <w:r w:rsidRPr="00816F96">
              <w:t>Yr 1: 81, Yr 2: 82, Yr 3: 83, Yr 4: 84, Yr 5: 85, Yr 6: 86</w:t>
            </w:r>
          </w:p>
          <w:p w14:paraId="3F79D4DC" w14:textId="77777777" w:rsidR="0031567A" w:rsidRPr="00E2771E" w:rsidRDefault="0031567A">
            <w:pPr>
              <w:pStyle w:val="Tabletext"/>
              <w:rPr>
                <w:lang w:val="en-US"/>
              </w:rPr>
            </w:pPr>
            <w:r w:rsidRPr="002548BA">
              <w:rPr>
                <w:bCs/>
              </w:rPr>
              <w:t xml:space="preserve">ABS population 0-21 years (2025-2030) and NBL incidence trend in children 0-14 years old from Youlden 2020 </w:t>
            </w:r>
            <w:r w:rsidRPr="0031567A">
              <w:rPr>
                <w:bCs/>
              </w:rPr>
              <w:t>(submission stated 10.6 per million children, 9.5 per million children reported in Youlden 2020).</w:t>
            </w:r>
          </w:p>
        </w:tc>
        <w:tc>
          <w:tcPr>
            <w:tcW w:w="2330" w:type="pct"/>
            <w:vAlign w:val="center"/>
          </w:tcPr>
          <w:p w14:paraId="3FE7D995" w14:textId="77777777" w:rsidR="0031567A" w:rsidRPr="0031567A" w:rsidRDefault="0031567A">
            <w:pPr>
              <w:pStyle w:val="TableText0"/>
              <w:keepNext w:val="0"/>
              <w:rPr>
                <w:iCs/>
                <w:lang w:val="en-US"/>
              </w:rPr>
            </w:pPr>
            <w:r w:rsidRPr="0031567A">
              <w:rPr>
                <w:iCs/>
                <w:lang w:val="en-US"/>
              </w:rPr>
              <w:t>Likely overestimated because</w:t>
            </w:r>
            <w:r w:rsidRPr="0031567A">
              <w:rPr>
                <w:iCs/>
              </w:rPr>
              <w:t xml:space="preserve"> it may not be appropriate to apply the same rate based on ages 0-14 years to 15-21 years who have a much lower incidence. Further, the incidence of neuroblastoma was higher than expert opinion (40-50, ANZCHOG 2024 and clinical opinion) and previous estimates of 50-59 patients per year in Table 17 dinutuximab beta PSD July 2020 MSAC meeting.</w:t>
            </w:r>
          </w:p>
        </w:tc>
      </w:tr>
      <w:tr w:rsidR="0031567A" w:rsidRPr="00E2771E" w14:paraId="01E442A3" w14:textId="77777777">
        <w:tc>
          <w:tcPr>
            <w:tcW w:w="950" w:type="pct"/>
            <w:vAlign w:val="center"/>
          </w:tcPr>
          <w:p w14:paraId="6F307267" w14:textId="77777777" w:rsidR="0031567A" w:rsidRDefault="0031567A">
            <w:pPr>
              <w:pStyle w:val="TableText0"/>
              <w:keepNext w:val="0"/>
              <w:rPr>
                <w:lang w:val="en-US"/>
              </w:rPr>
            </w:pPr>
            <w:r>
              <w:rPr>
                <w:lang w:val="en-US"/>
              </w:rPr>
              <w:t>% who meet Stratum 1 criteria</w:t>
            </w:r>
          </w:p>
        </w:tc>
        <w:tc>
          <w:tcPr>
            <w:tcW w:w="1720" w:type="pct"/>
            <w:vAlign w:val="center"/>
          </w:tcPr>
          <w:p w14:paraId="30A1BAC0" w14:textId="77777777" w:rsidR="0031567A" w:rsidRDefault="0031567A">
            <w:pPr>
              <w:pStyle w:val="TableText0"/>
              <w:keepNext w:val="0"/>
              <w:rPr>
                <w:lang w:val="en-US"/>
              </w:rPr>
            </w:pPr>
            <w:r>
              <w:rPr>
                <w:lang w:val="en-US"/>
              </w:rPr>
              <w:t xml:space="preserve">52.6% high-risk (Youlden 2020) x 79.8% respond to induction (Pinto 2019) x 92.2% respond to consolidation (Granger </w:t>
            </w:r>
            <w:r>
              <w:rPr>
                <w:lang w:val="en-US"/>
              </w:rPr>
              <w:lastRenderedPageBreak/>
              <w:t>2022) x 84.0% complete maintenance (Desai 2022) x 97.4% response after maintenance (Desai 2022)</w:t>
            </w:r>
          </w:p>
        </w:tc>
        <w:tc>
          <w:tcPr>
            <w:tcW w:w="2330" w:type="pct"/>
            <w:vAlign w:val="center"/>
          </w:tcPr>
          <w:p w14:paraId="13E903D7" w14:textId="77777777" w:rsidR="0031567A" w:rsidRDefault="0031567A">
            <w:pPr>
              <w:pStyle w:val="TableText0"/>
              <w:keepNext w:val="0"/>
              <w:rPr>
                <w:iCs/>
              </w:rPr>
            </w:pPr>
            <w:r w:rsidRPr="0031567A">
              <w:rPr>
                <w:iCs/>
              </w:rPr>
              <w:lastRenderedPageBreak/>
              <w:t>The populations in these studies had some overlap but generally differed to each other and to Study 3b; therefore, these estimates are uncertain.</w:t>
            </w:r>
          </w:p>
          <w:p w14:paraId="1F4E16FB" w14:textId="77777777" w:rsidR="000A7CAB" w:rsidRDefault="000A7CAB">
            <w:pPr>
              <w:pStyle w:val="TableText0"/>
              <w:keepNext w:val="0"/>
              <w:rPr>
                <w:iCs/>
                <w:lang w:val="en-US"/>
              </w:rPr>
            </w:pPr>
          </w:p>
          <w:p w14:paraId="47862FCA" w14:textId="77777777" w:rsidR="000A7CAB" w:rsidRPr="0031567A" w:rsidRDefault="000A7CAB">
            <w:pPr>
              <w:pStyle w:val="TableText0"/>
              <w:keepNext w:val="0"/>
              <w:rPr>
                <w:iCs/>
                <w:lang w:val="en-US"/>
              </w:rPr>
            </w:pPr>
          </w:p>
        </w:tc>
      </w:tr>
      <w:tr w:rsidR="0031567A" w:rsidRPr="00E2771E" w14:paraId="53F31799" w14:textId="77777777">
        <w:tc>
          <w:tcPr>
            <w:tcW w:w="950" w:type="pct"/>
            <w:vAlign w:val="center"/>
          </w:tcPr>
          <w:p w14:paraId="2CDD0A0F" w14:textId="77777777" w:rsidR="0031567A" w:rsidRPr="00E2771E" w:rsidRDefault="0031567A">
            <w:pPr>
              <w:pStyle w:val="TableText0"/>
              <w:keepNext w:val="0"/>
              <w:rPr>
                <w:lang w:val="en-US"/>
              </w:rPr>
            </w:pPr>
            <w:r>
              <w:rPr>
                <w:lang w:val="en-US"/>
              </w:rPr>
              <w:lastRenderedPageBreak/>
              <w:t>% who meet Stratum 2 criteria</w:t>
            </w:r>
          </w:p>
        </w:tc>
        <w:tc>
          <w:tcPr>
            <w:tcW w:w="1720" w:type="pct"/>
            <w:vAlign w:val="center"/>
          </w:tcPr>
          <w:p w14:paraId="36D7A6B0" w14:textId="77777777" w:rsidR="0031567A" w:rsidRDefault="0031567A">
            <w:pPr>
              <w:pStyle w:val="TableText0"/>
              <w:keepNext w:val="0"/>
              <w:rPr>
                <w:lang w:val="en-US"/>
              </w:rPr>
            </w:pPr>
            <w:r w:rsidRPr="00414766">
              <w:rPr>
                <w:b/>
                <w:bCs w:val="0"/>
                <w:lang w:val="en-US"/>
              </w:rPr>
              <w:t>Refractory</w:t>
            </w:r>
            <w:r>
              <w:rPr>
                <w:b/>
                <w:bCs w:val="0"/>
                <w:lang w:val="en-US"/>
              </w:rPr>
              <w:t>:</w:t>
            </w:r>
            <w:r w:rsidRPr="00414766">
              <w:rPr>
                <w:b/>
                <w:bCs w:val="0"/>
                <w:lang w:val="en-US"/>
              </w:rPr>
              <w:t xml:space="preserve"> </w:t>
            </w:r>
            <w:r>
              <w:rPr>
                <w:lang w:val="en-US"/>
              </w:rPr>
              <w:t>52.6% high-risk (Youlden 2020) x 20.2% do not respond to induction (Pinto 2019) x 54.0% alive at 2.5 yrs (Pinto 2019) x 34.0% respond to immunotherapy (CADTH 2021)</w:t>
            </w:r>
          </w:p>
          <w:p w14:paraId="0A227220" w14:textId="77777777" w:rsidR="0031567A" w:rsidRPr="00E2771E" w:rsidRDefault="0031567A">
            <w:pPr>
              <w:pStyle w:val="TableText0"/>
              <w:keepNext w:val="0"/>
              <w:rPr>
                <w:lang w:val="en-US"/>
              </w:rPr>
            </w:pPr>
            <w:r w:rsidRPr="00414766">
              <w:rPr>
                <w:b/>
                <w:bCs w:val="0"/>
                <w:lang w:val="en-US"/>
              </w:rPr>
              <w:t>Re</w:t>
            </w:r>
            <w:r>
              <w:rPr>
                <w:b/>
                <w:bCs w:val="0"/>
                <w:lang w:val="en-US"/>
              </w:rPr>
              <w:t>lapsed:</w:t>
            </w:r>
            <w:r w:rsidRPr="00414766">
              <w:rPr>
                <w:b/>
                <w:bCs w:val="0"/>
                <w:lang w:val="en-US"/>
              </w:rPr>
              <w:t xml:space="preserve"> </w:t>
            </w:r>
            <w:r>
              <w:rPr>
                <w:lang w:val="en-US"/>
              </w:rPr>
              <w:t>52.6% high-risk (Youlden 2020) x 79.8% respond to induction (Pinto 2019) x 50.0% relapse (ANZCHOG 2024) x 52.0% respond post-relapse (CADTH 2021) x 30.0% enduring response (CADTH 2021 and time to treatment from Study 3b).</w:t>
            </w:r>
          </w:p>
        </w:tc>
        <w:tc>
          <w:tcPr>
            <w:tcW w:w="2330" w:type="pct"/>
            <w:vAlign w:val="center"/>
          </w:tcPr>
          <w:p w14:paraId="6680F457" w14:textId="5D78509D" w:rsidR="004829BD" w:rsidRPr="0031567A" w:rsidRDefault="0031567A" w:rsidP="004829BD">
            <w:pPr>
              <w:pStyle w:val="TableText0"/>
              <w:keepNext w:val="0"/>
              <w:rPr>
                <w:iCs/>
                <w:lang w:val="en-US"/>
              </w:rPr>
            </w:pPr>
            <w:r w:rsidRPr="0031567A">
              <w:rPr>
                <w:iCs/>
                <w:lang w:val="en-US"/>
              </w:rPr>
              <w:t xml:space="preserve">The studies underpinning the ANZCHOG estimate were not specific to Australia, but likely reflect reasonable estimates. </w:t>
            </w:r>
          </w:p>
          <w:p w14:paraId="06CBCFE4" w14:textId="5F269F1E" w:rsidR="0031567A" w:rsidRPr="0031567A" w:rsidRDefault="0031567A">
            <w:pPr>
              <w:pStyle w:val="TableText0"/>
              <w:keepNext w:val="0"/>
              <w:rPr>
                <w:iCs/>
                <w:lang w:val="en-US"/>
              </w:rPr>
            </w:pPr>
          </w:p>
        </w:tc>
      </w:tr>
      <w:tr w:rsidR="0031567A" w:rsidRPr="00E2771E" w14:paraId="43427C60" w14:textId="77777777">
        <w:tc>
          <w:tcPr>
            <w:tcW w:w="950" w:type="pct"/>
            <w:vAlign w:val="center"/>
          </w:tcPr>
          <w:p w14:paraId="2FDD2425" w14:textId="77777777" w:rsidR="0031567A" w:rsidRDefault="0031567A">
            <w:pPr>
              <w:pStyle w:val="TableText0"/>
              <w:keepNext w:val="0"/>
              <w:rPr>
                <w:lang w:val="en-US"/>
              </w:rPr>
            </w:pPr>
            <w:r>
              <w:rPr>
                <w:lang w:val="en-US"/>
              </w:rPr>
              <w:t>Grandfathered patients</w:t>
            </w:r>
          </w:p>
        </w:tc>
        <w:tc>
          <w:tcPr>
            <w:tcW w:w="1720" w:type="pct"/>
            <w:vAlign w:val="center"/>
          </w:tcPr>
          <w:p w14:paraId="51C077EE" w14:textId="0706FD47" w:rsidR="0031567A" w:rsidRDefault="0031567A">
            <w:pPr>
              <w:pStyle w:val="TableText0"/>
              <w:keepNext w:val="0"/>
              <w:rPr>
                <w:lang w:val="en-US"/>
              </w:rPr>
            </w:pPr>
            <w:r>
              <w:rPr>
                <w:lang w:val="en-US"/>
              </w:rPr>
              <w:t xml:space="preserve">Yr 1: </w:t>
            </w:r>
            <w:r w:rsidR="008C30A7" w:rsidRPr="00FE32E3">
              <w:rPr>
                <w:color w:val="000000"/>
                <w:spacing w:val="51"/>
                <w:shd w:val="solid" w:color="000000" w:fill="000000"/>
                <w:fitText w:val="326" w:id="-694445567"/>
                <w:lang w:val="en-US"/>
                <w14:textFill>
                  <w14:solidFill>
                    <w14:srgbClr w14:val="000000">
                      <w14:alpha w14:val="100000"/>
                    </w14:srgbClr>
                  </w14:solidFill>
                </w14:textFill>
              </w:rPr>
              <w:t>|||</w:t>
            </w:r>
            <w:r w:rsidR="008C30A7" w:rsidRPr="00FE32E3">
              <w:rPr>
                <w:color w:val="000000"/>
                <w:spacing w:val="3"/>
                <w:shd w:val="solid" w:color="000000" w:fill="000000"/>
                <w:fitText w:val="326" w:id="-694445567"/>
                <w:lang w:val="en-US"/>
                <w14:textFill>
                  <w14:solidFill>
                    <w14:srgbClr w14:val="000000">
                      <w14:alpha w14:val="100000"/>
                    </w14:srgbClr>
                  </w14:solidFill>
                </w14:textFill>
              </w:rPr>
              <w:t>|</w:t>
            </w:r>
            <w:r w:rsidR="001950C6">
              <w:rPr>
                <w:vertAlign w:val="superscript"/>
                <w:lang w:val="en-US"/>
              </w:rPr>
              <w:t>1</w:t>
            </w:r>
            <w:r>
              <w:rPr>
                <w:lang w:val="en-US"/>
              </w:rPr>
              <w:t xml:space="preserve"> (assumed)</w:t>
            </w:r>
          </w:p>
        </w:tc>
        <w:tc>
          <w:tcPr>
            <w:tcW w:w="2330" w:type="pct"/>
            <w:vAlign w:val="center"/>
          </w:tcPr>
          <w:p w14:paraId="5FC5D328" w14:textId="2031267B" w:rsidR="0031567A" w:rsidRPr="0031567A" w:rsidRDefault="00BC4B3C">
            <w:pPr>
              <w:pStyle w:val="TableText0"/>
              <w:keepNext w:val="0"/>
              <w:rPr>
                <w:iCs/>
                <w:lang w:val="en-US"/>
              </w:rPr>
            </w:pPr>
            <w:r>
              <w:t xml:space="preserve">The pre-PBAC response noted that </w:t>
            </w:r>
            <w:r w:rsidR="008C30A7" w:rsidRPr="00FE32E3">
              <w:rPr>
                <w:color w:val="000000"/>
                <w:spacing w:val="51"/>
                <w:shd w:val="solid" w:color="000000" w:fill="000000"/>
                <w:fitText w:val="326" w:id="-694445566"/>
                <w14:textFill>
                  <w14:solidFill>
                    <w14:srgbClr w14:val="000000">
                      <w14:alpha w14:val="100000"/>
                    </w14:srgbClr>
                  </w14:solidFill>
                </w14:textFill>
              </w:rPr>
              <w:t>|||</w:t>
            </w:r>
            <w:r w:rsidR="008C30A7" w:rsidRPr="00FE32E3">
              <w:rPr>
                <w:color w:val="000000"/>
                <w:spacing w:val="3"/>
                <w:shd w:val="solid" w:color="000000" w:fill="000000"/>
                <w:fitText w:val="326" w:id="-694445566"/>
                <w14:textFill>
                  <w14:solidFill>
                    <w14:srgbClr w14:val="000000">
                      <w14:alpha w14:val="100000"/>
                    </w14:srgbClr>
                  </w14:solidFill>
                </w14:textFill>
              </w:rPr>
              <w:t>|</w:t>
            </w:r>
            <w:r w:rsidR="001950C6">
              <w:rPr>
                <w:vertAlign w:val="superscript"/>
              </w:rPr>
              <w:t>1</w:t>
            </w:r>
            <w:r>
              <w:t xml:space="preserve"> patients were currently being treated via the EAP</w:t>
            </w:r>
            <w:r w:rsidR="00C218FF">
              <w:t xml:space="preserve">. </w:t>
            </w:r>
            <w:r>
              <w:t>.</w:t>
            </w:r>
          </w:p>
        </w:tc>
      </w:tr>
      <w:tr w:rsidR="0031567A" w:rsidRPr="00E2771E" w14:paraId="451BDD7F" w14:textId="77777777">
        <w:tc>
          <w:tcPr>
            <w:tcW w:w="950" w:type="pct"/>
            <w:vAlign w:val="center"/>
          </w:tcPr>
          <w:p w14:paraId="68AA365B" w14:textId="77777777" w:rsidR="0031567A" w:rsidRPr="00E2771E" w:rsidRDefault="0031567A">
            <w:pPr>
              <w:pStyle w:val="TableText0"/>
              <w:keepNext w:val="0"/>
              <w:rPr>
                <w:lang w:val="en-US"/>
              </w:rPr>
            </w:pPr>
            <w:r>
              <w:rPr>
                <w:lang w:val="en-US"/>
              </w:rPr>
              <w:t>Uptake rate</w:t>
            </w:r>
          </w:p>
        </w:tc>
        <w:tc>
          <w:tcPr>
            <w:tcW w:w="1720" w:type="pct"/>
            <w:vAlign w:val="center"/>
          </w:tcPr>
          <w:p w14:paraId="64F425D6" w14:textId="77777777" w:rsidR="0031567A" w:rsidRPr="00E2771E" w:rsidRDefault="0031567A">
            <w:pPr>
              <w:pStyle w:val="TableText0"/>
              <w:keepNext w:val="0"/>
              <w:rPr>
                <w:lang w:val="en-US"/>
              </w:rPr>
            </w:pPr>
            <w:r>
              <w:t xml:space="preserve">Yrs 1-6: </w:t>
            </w:r>
            <w:r>
              <w:rPr>
                <w:lang w:val="en-US"/>
              </w:rPr>
              <w:t>100% (assumed)</w:t>
            </w:r>
          </w:p>
        </w:tc>
        <w:tc>
          <w:tcPr>
            <w:tcW w:w="2330" w:type="pct"/>
            <w:vAlign w:val="center"/>
          </w:tcPr>
          <w:p w14:paraId="055C6859" w14:textId="77777777" w:rsidR="0031567A" w:rsidRPr="0031567A" w:rsidRDefault="0031567A">
            <w:pPr>
              <w:pStyle w:val="TableText0"/>
              <w:keepNext w:val="0"/>
              <w:rPr>
                <w:iCs/>
                <w:lang w:val="en-US"/>
              </w:rPr>
            </w:pPr>
            <w:r w:rsidRPr="0031567A">
              <w:rPr>
                <w:iCs/>
                <w:lang w:val="en-US"/>
              </w:rPr>
              <w:t>Reasonable</w:t>
            </w:r>
          </w:p>
        </w:tc>
      </w:tr>
      <w:tr w:rsidR="0031567A" w:rsidRPr="00E2771E" w14:paraId="50D81F42" w14:textId="77777777">
        <w:tc>
          <w:tcPr>
            <w:tcW w:w="950" w:type="pct"/>
            <w:vAlign w:val="center"/>
          </w:tcPr>
          <w:p w14:paraId="590D2FB2" w14:textId="77777777" w:rsidR="0031567A" w:rsidRDefault="0031567A">
            <w:pPr>
              <w:pStyle w:val="TableText0"/>
              <w:keepNext w:val="0"/>
              <w:rPr>
                <w:lang w:val="en-US"/>
              </w:rPr>
            </w:pPr>
            <w:r>
              <w:t>Scripts dispensed</w:t>
            </w:r>
          </w:p>
        </w:tc>
        <w:tc>
          <w:tcPr>
            <w:tcW w:w="1720" w:type="pct"/>
            <w:vAlign w:val="center"/>
          </w:tcPr>
          <w:p w14:paraId="69EBA258" w14:textId="77777777" w:rsidR="0031567A" w:rsidRDefault="0031567A">
            <w:pPr>
              <w:pStyle w:val="TableText0"/>
              <w:keepNext w:val="0"/>
              <w:rPr>
                <w:lang w:val="en-US"/>
              </w:rPr>
            </w:pPr>
            <w:r w:rsidRPr="00517581">
              <w:rPr>
                <w:lang w:val="en-US"/>
              </w:rPr>
              <w:t>18.78 scripts per year, 5.14 tablets per day, 1 script= 100 tablets (Study 3b Stratum 1 average for Years 1 and 2)</w:t>
            </w:r>
          </w:p>
        </w:tc>
        <w:tc>
          <w:tcPr>
            <w:tcW w:w="2330" w:type="pct"/>
            <w:vAlign w:val="center"/>
          </w:tcPr>
          <w:p w14:paraId="0FBFEC47" w14:textId="77777777" w:rsidR="0031567A" w:rsidRPr="0031567A" w:rsidRDefault="0031567A">
            <w:pPr>
              <w:pStyle w:val="TableText0"/>
              <w:keepNext w:val="0"/>
              <w:rPr>
                <w:iCs/>
              </w:rPr>
            </w:pPr>
            <w:r w:rsidRPr="0031567A">
              <w:rPr>
                <w:iCs/>
              </w:rPr>
              <w:t>The same number of scripts were assumed for Stratum 1, Stratum 2 and grandfathered patients which may not be reasonable (Stratum 2 patients and grandfathered patients will likely be older and have larger BSA).</w:t>
            </w:r>
          </w:p>
        </w:tc>
      </w:tr>
      <w:tr w:rsidR="0031567A" w:rsidRPr="00E2771E" w14:paraId="38236812" w14:textId="77777777">
        <w:tc>
          <w:tcPr>
            <w:tcW w:w="950" w:type="pct"/>
            <w:vAlign w:val="center"/>
          </w:tcPr>
          <w:p w14:paraId="0E33FB0D" w14:textId="77777777" w:rsidR="0031567A" w:rsidRDefault="0031567A">
            <w:pPr>
              <w:pStyle w:val="TableText0"/>
              <w:keepNext w:val="0"/>
              <w:rPr>
                <w:lang w:val="en-US"/>
              </w:rPr>
            </w:pPr>
            <w:r>
              <w:t>Time on treatment</w:t>
            </w:r>
          </w:p>
        </w:tc>
        <w:tc>
          <w:tcPr>
            <w:tcW w:w="1720" w:type="pct"/>
            <w:vAlign w:val="center"/>
          </w:tcPr>
          <w:p w14:paraId="7B32CD8D" w14:textId="77777777" w:rsidR="0031567A" w:rsidRDefault="0031567A">
            <w:pPr>
              <w:pStyle w:val="TableText0"/>
              <w:keepNext w:val="0"/>
              <w:rPr>
                <w:lang w:val="en-US"/>
              </w:rPr>
            </w:pPr>
            <w:r w:rsidRPr="00414766">
              <w:rPr>
                <w:lang w:val="en-US"/>
              </w:rPr>
              <w:t>2 years</w:t>
            </w:r>
            <w:r>
              <w:rPr>
                <w:lang w:val="en-US"/>
              </w:rPr>
              <w:t xml:space="preserve"> (</w:t>
            </w:r>
            <w:r w:rsidRPr="00414766">
              <w:rPr>
                <w:lang w:val="en-US"/>
              </w:rPr>
              <w:t>Maximum time on treatment</w:t>
            </w:r>
            <w:r>
              <w:rPr>
                <w:lang w:val="en-US"/>
              </w:rPr>
              <w:t>)</w:t>
            </w:r>
          </w:p>
        </w:tc>
        <w:tc>
          <w:tcPr>
            <w:tcW w:w="2330" w:type="pct"/>
            <w:vAlign w:val="center"/>
          </w:tcPr>
          <w:p w14:paraId="6704A463" w14:textId="77777777" w:rsidR="0031567A" w:rsidRPr="0031567A" w:rsidRDefault="0031567A">
            <w:pPr>
              <w:pStyle w:val="TableText0"/>
              <w:keepNext w:val="0"/>
              <w:rPr>
                <w:iCs/>
              </w:rPr>
            </w:pPr>
            <w:r w:rsidRPr="0031567A">
              <w:rPr>
                <w:iCs/>
              </w:rPr>
              <w:t>No discontinuation assumed, and assumed that 2 years represents time on treatment (i.e., the 2 years does not incorporate treatment breaks). Likely to overestimate time on treatment based only Study 3b, particularly for Stratum 2 patients. However, some families may want children to continue treatment beyond two years.</w:t>
            </w:r>
          </w:p>
        </w:tc>
      </w:tr>
      <w:tr w:rsidR="0031567A" w:rsidRPr="00E2771E" w14:paraId="5E3DBA78" w14:textId="77777777">
        <w:tc>
          <w:tcPr>
            <w:tcW w:w="950" w:type="pct"/>
          </w:tcPr>
          <w:p w14:paraId="415C48EA" w14:textId="77777777" w:rsidR="0031567A" w:rsidRDefault="0031567A">
            <w:pPr>
              <w:pStyle w:val="TableText0"/>
              <w:keepNext w:val="0"/>
              <w:rPr>
                <w:lang w:val="en-US"/>
              </w:rPr>
            </w:pPr>
            <w:r w:rsidRPr="0036602B">
              <w:t>Eflornithine cost</w:t>
            </w:r>
          </w:p>
        </w:tc>
        <w:tc>
          <w:tcPr>
            <w:tcW w:w="1720" w:type="pct"/>
          </w:tcPr>
          <w:p w14:paraId="0C6612B3" w14:textId="7CD6EFA5" w:rsidR="0031567A" w:rsidRDefault="0031567A">
            <w:pPr>
              <w:pStyle w:val="TableText0"/>
              <w:keepNext w:val="0"/>
              <w:rPr>
                <w:lang w:val="en-US"/>
              </w:rPr>
            </w:pPr>
            <w:r w:rsidRPr="0036602B">
              <w:t>DPMQ $</w:t>
            </w:r>
            <w:r w:rsidR="008C30A7" w:rsidRPr="00FE32E3">
              <w:rPr>
                <w:color w:val="000000"/>
                <w:spacing w:val="51"/>
                <w:shd w:val="solid" w:color="000000" w:fill="000000"/>
                <w:fitText w:val="326" w:id="-694445565"/>
                <w14:textFill>
                  <w14:solidFill>
                    <w14:srgbClr w14:val="000000">
                      <w14:alpha w14:val="100000"/>
                    </w14:srgbClr>
                  </w14:solidFill>
                </w14:textFill>
              </w:rPr>
              <w:t>|||</w:t>
            </w:r>
            <w:r w:rsidR="008C30A7" w:rsidRPr="00FE32E3">
              <w:rPr>
                <w:color w:val="000000"/>
                <w:spacing w:val="3"/>
                <w:shd w:val="solid" w:color="000000" w:fill="000000"/>
                <w:fitText w:val="326" w:id="-694445565"/>
                <w14:textFill>
                  <w14:solidFill>
                    <w14:srgbClr w14:val="000000">
                      <w14:alpha w14:val="100000"/>
                    </w14:srgbClr>
                  </w14:solidFill>
                </w14:textFill>
              </w:rPr>
              <w:t>|</w:t>
            </w:r>
            <w:r w:rsidRPr="0036602B">
              <w:t xml:space="preserve"> for 1 pack of 100</w:t>
            </w:r>
            <w:r w:rsidR="000628CC">
              <w:t> </w:t>
            </w:r>
            <w:r w:rsidRPr="0036602B">
              <w:t>tablets</w:t>
            </w:r>
          </w:p>
        </w:tc>
        <w:tc>
          <w:tcPr>
            <w:tcW w:w="2330" w:type="pct"/>
            <w:vAlign w:val="center"/>
          </w:tcPr>
          <w:p w14:paraId="42E820C3" w14:textId="377AD74B" w:rsidR="0031567A" w:rsidRPr="0031567A" w:rsidRDefault="0031567A">
            <w:pPr>
              <w:pStyle w:val="TableText0"/>
              <w:keepNext w:val="0"/>
              <w:rPr>
                <w:iCs/>
              </w:rPr>
            </w:pPr>
            <w:r w:rsidRPr="0031567A">
              <w:rPr>
                <w:iCs/>
              </w:rPr>
              <w:t>Corrected DPMQs are $</w:t>
            </w:r>
            <w:r w:rsidR="008C30A7" w:rsidRPr="00FE32E3">
              <w:rPr>
                <w:color w:val="000000"/>
                <w:spacing w:val="51"/>
                <w:shd w:val="solid" w:color="000000" w:fill="000000"/>
                <w:fitText w:val="325" w:id="-694445564"/>
                <w14:textFill>
                  <w14:solidFill>
                    <w14:srgbClr w14:val="000000">
                      <w14:alpha w14:val="100000"/>
                    </w14:srgbClr>
                  </w14:solidFill>
                </w14:textFill>
              </w:rPr>
              <w:t>|||</w:t>
            </w:r>
            <w:r w:rsidR="008C30A7" w:rsidRPr="00FE32E3">
              <w:rPr>
                <w:color w:val="000000"/>
                <w:spacing w:val="2"/>
                <w:shd w:val="solid" w:color="000000" w:fill="000000"/>
                <w:fitText w:val="325" w:id="-694445564"/>
                <w14:textFill>
                  <w14:solidFill>
                    <w14:srgbClr w14:val="000000">
                      <w14:alpha w14:val="100000"/>
                    </w14:srgbClr>
                  </w14:solidFill>
                </w14:textFill>
              </w:rPr>
              <w:t>|</w:t>
            </w:r>
            <w:r w:rsidRPr="0031567A">
              <w:rPr>
                <w:iCs/>
              </w:rPr>
              <w:t xml:space="preserve"> for 1 pack, $</w:t>
            </w:r>
            <w:r w:rsidR="008C30A7" w:rsidRPr="00FE32E3">
              <w:rPr>
                <w:color w:val="000000"/>
                <w:spacing w:val="51"/>
                <w:shd w:val="solid" w:color="000000" w:fill="000000"/>
                <w:fitText w:val="325" w:id="-694445563"/>
                <w14:textFill>
                  <w14:solidFill>
                    <w14:srgbClr w14:val="000000">
                      <w14:alpha w14:val="100000"/>
                    </w14:srgbClr>
                  </w14:solidFill>
                </w14:textFill>
              </w:rPr>
              <w:t>|||</w:t>
            </w:r>
            <w:r w:rsidR="008C30A7" w:rsidRPr="00FE32E3">
              <w:rPr>
                <w:color w:val="000000"/>
                <w:spacing w:val="2"/>
                <w:shd w:val="solid" w:color="000000" w:fill="000000"/>
                <w:fitText w:val="325" w:id="-694445563"/>
                <w14:textFill>
                  <w14:solidFill>
                    <w14:srgbClr w14:val="000000">
                      <w14:alpha w14:val="100000"/>
                    </w14:srgbClr>
                  </w14:solidFill>
                </w14:textFill>
              </w:rPr>
              <w:t>|</w:t>
            </w:r>
            <w:r w:rsidRPr="0031567A">
              <w:rPr>
                <w:iCs/>
              </w:rPr>
              <w:t xml:space="preserve"> for 2 packs, $</w:t>
            </w:r>
            <w:r w:rsidR="008C30A7" w:rsidRPr="00FE32E3">
              <w:rPr>
                <w:color w:val="000000"/>
                <w:spacing w:val="51"/>
                <w:shd w:val="solid" w:color="000000" w:fill="000000"/>
                <w:fitText w:val="326" w:id="-694445562"/>
                <w14:textFill>
                  <w14:solidFill>
                    <w14:srgbClr w14:val="000000">
                      <w14:alpha w14:val="100000"/>
                    </w14:srgbClr>
                  </w14:solidFill>
                </w14:textFill>
              </w:rPr>
              <w:t>|||</w:t>
            </w:r>
            <w:r w:rsidR="008C30A7" w:rsidRPr="00FE32E3">
              <w:rPr>
                <w:color w:val="000000"/>
                <w:spacing w:val="3"/>
                <w:shd w:val="solid" w:color="000000" w:fill="000000"/>
                <w:fitText w:val="326" w:id="-694445562"/>
                <w14:textFill>
                  <w14:solidFill>
                    <w14:srgbClr w14:val="000000">
                      <w14:alpha w14:val="100000"/>
                    </w14:srgbClr>
                  </w14:solidFill>
                </w14:textFill>
              </w:rPr>
              <w:t>|</w:t>
            </w:r>
            <w:r w:rsidRPr="0031567A">
              <w:rPr>
                <w:iCs/>
              </w:rPr>
              <w:t xml:space="preserve"> for 3 packs (see Requested listing).</w:t>
            </w:r>
          </w:p>
        </w:tc>
      </w:tr>
      <w:tr w:rsidR="0031567A" w:rsidRPr="00E2771E" w14:paraId="77392292" w14:textId="77777777">
        <w:tc>
          <w:tcPr>
            <w:tcW w:w="950" w:type="pct"/>
            <w:vAlign w:val="center"/>
          </w:tcPr>
          <w:p w14:paraId="01278170" w14:textId="77777777" w:rsidR="0031567A" w:rsidRPr="00E2771E" w:rsidRDefault="0031567A">
            <w:pPr>
              <w:pStyle w:val="TableText0"/>
              <w:keepNext w:val="0"/>
              <w:rPr>
                <w:lang w:val="en-US"/>
              </w:rPr>
            </w:pPr>
            <w:r w:rsidRPr="00977041">
              <w:t xml:space="preserve">MBS </w:t>
            </w:r>
            <w:r>
              <w:t>costs</w:t>
            </w:r>
          </w:p>
        </w:tc>
        <w:tc>
          <w:tcPr>
            <w:tcW w:w="1720" w:type="pct"/>
            <w:vAlign w:val="center"/>
          </w:tcPr>
          <w:p w14:paraId="639D521E" w14:textId="3D19F8FC" w:rsidR="0031567A" w:rsidRPr="00E2771E" w:rsidRDefault="0031567A">
            <w:pPr>
              <w:pStyle w:val="TableText0"/>
              <w:keepNext w:val="0"/>
              <w:rPr>
                <w:lang w:val="en-US"/>
              </w:rPr>
            </w:pPr>
            <w:r>
              <w:t>7.1% patients (Study 3b Stratum 1 safety set, any hearing loss</w:t>
            </w:r>
            <w:r w:rsidRPr="00973EF9">
              <w:rPr>
                <w:i/>
                <w:iCs/>
              </w:rPr>
              <w:t xml:space="preserve">; </w:t>
            </w:r>
            <w:r w:rsidRPr="0031567A">
              <w:t>5.9% treatment-related used in the model)</w:t>
            </w:r>
            <w:r>
              <w:t xml:space="preserve"> assumed to receive hearing loss diagnosis for each year of treatment at a cost of $19.90 ($15.92 with 80% rebate) (MBS item 82306)</w:t>
            </w:r>
          </w:p>
        </w:tc>
        <w:tc>
          <w:tcPr>
            <w:tcW w:w="2330" w:type="pct"/>
            <w:vAlign w:val="center"/>
          </w:tcPr>
          <w:p w14:paraId="25643E17" w14:textId="77777777" w:rsidR="0031567A" w:rsidRPr="0031567A" w:rsidRDefault="0031567A">
            <w:pPr>
              <w:pStyle w:val="Tabletext"/>
              <w:rPr>
                <w:iCs/>
              </w:rPr>
            </w:pPr>
            <w:r w:rsidRPr="0031567A">
              <w:rPr>
                <w:iCs/>
              </w:rPr>
              <w:t>MBS costs were incorrectly applied in the submission (the Stratum 1 only analysis subtracted rather than added the MBS costs, the combined Stratum 1 and 2 analysis did not include MBS costs for the Stratum 2 population) and have been corrected during the evaluation.</w:t>
            </w:r>
          </w:p>
          <w:p w14:paraId="11AEBA98" w14:textId="77777777" w:rsidR="0031567A" w:rsidRPr="0031567A" w:rsidRDefault="0031567A">
            <w:pPr>
              <w:pStyle w:val="TableText0"/>
              <w:keepNext w:val="0"/>
              <w:rPr>
                <w:iCs/>
                <w:lang w:val="en-US"/>
              </w:rPr>
            </w:pPr>
            <w:r w:rsidRPr="0031567A">
              <w:rPr>
                <w:rFonts w:cs="Arial"/>
                <w:iCs/>
              </w:rPr>
              <w:t>It may also be more reasonable to assume all patients receiving eflornithine have an additional audiology appointment each year, rather than only those experiencing hearing loss. No other AEs were included, inconsistent with the economic analysis.</w:t>
            </w:r>
          </w:p>
        </w:tc>
      </w:tr>
    </w:tbl>
    <w:p w14:paraId="65F03492" w14:textId="77777777" w:rsidR="0031567A" w:rsidRPr="00042E2B" w:rsidRDefault="0031567A" w:rsidP="0031567A">
      <w:pPr>
        <w:pStyle w:val="TableFigureFooter"/>
      </w:pPr>
      <w:r w:rsidRPr="403006C9">
        <w:t xml:space="preserve">Source: </w:t>
      </w:r>
      <w:r w:rsidRPr="00042E2B">
        <w:t>Compiled during the evaluation from Section 4 and Excel workbook ‘Eflornithine_BIM Stratum 1 and 2 including grandfathered patients Nov_2024.xlsx’</w:t>
      </w:r>
    </w:p>
    <w:p w14:paraId="4B1DB6DB" w14:textId="77777777" w:rsidR="0031567A" w:rsidRDefault="0031567A" w:rsidP="0031567A">
      <w:pPr>
        <w:pStyle w:val="TableFigureFooter"/>
      </w:pPr>
      <w:r>
        <w:t>NBL= neuroblastoma, ABS=Australian Bureau of Statistics, ANCHOG=</w:t>
      </w:r>
      <w:r w:rsidRPr="00EE7052">
        <w:t xml:space="preserve"> Australian and New Zealand Children’s Haematology/Oncology Group</w:t>
      </w:r>
      <w:r>
        <w:t>, PSD=Public Summary Document, MSAC=Medical Services Advisory Committee, PR=partial response, CR=complete response, ORR=overall response rate, BSA=body surface area, DPMQ=dispensed price for maximum quantity, (R)PBS=(Repatriation) Pharmaceutical Benefits Scheme, MBS=Medicare Benefits Schedule</w:t>
      </w:r>
    </w:p>
    <w:p w14:paraId="207B17AF" w14:textId="77777777" w:rsidR="001950C6" w:rsidRPr="001950C6" w:rsidRDefault="001950C6" w:rsidP="001950C6">
      <w:pPr>
        <w:pStyle w:val="TableFigureFooter"/>
        <w:tabs>
          <w:tab w:val="left" w:pos="142"/>
        </w:tabs>
        <w:rPr>
          <w:i/>
          <w:iCs/>
        </w:rPr>
      </w:pPr>
      <w:r w:rsidRPr="001950C6">
        <w:rPr>
          <w:i/>
          <w:iCs/>
        </w:rPr>
        <w:t>The redacted values correspond to the following ranges:</w:t>
      </w:r>
    </w:p>
    <w:p w14:paraId="100BAAE5" w14:textId="6D944E4F" w:rsidR="001950C6" w:rsidRPr="001950C6" w:rsidRDefault="001950C6" w:rsidP="001950C6">
      <w:pPr>
        <w:pStyle w:val="TableFigureFooter"/>
        <w:tabs>
          <w:tab w:val="left" w:pos="142"/>
        </w:tabs>
        <w:rPr>
          <w:i/>
          <w:iCs/>
        </w:rPr>
      </w:pPr>
      <w:r w:rsidRPr="001950C6">
        <w:rPr>
          <w:i/>
          <w:iCs/>
          <w:vertAlign w:val="superscript"/>
        </w:rPr>
        <w:t>1</w:t>
      </w:r>
      <w:r w:rsidRPr="001950C6">
        <w:rPr>
          <w:i/>
          <w:iCs/>
        </w:rPr>
        <w:t>&lt; 500</w:t>
      </w:r>
    </w:p>
    <w:p w14:paraId="4CAA72BC" w14:textId="77777777" w:rsidR="000C4139" w:rsidRDefault="000C4139">
      <w:pPr>
        <w:jc w:val="left"/>
        <w:rPr>
          <w:rFonts w:asciiTheme="minorHAnsi" w:hAnsiTheme="minorHAnsi"/>
          <w:snapToGrid w:val="0"/>
        </w:rPr>
      </w:pPr>
      <w:r>
        <w:br w:type="page"/>
      </w:r>
    </w:p>
    <w:p w14:paraId="4DFCC606" w14:textId="40DBD5EB" w:rsidR="0031567A" w:rsidRPr="0031567A" w:rsidRDefault="0031567A" w:rsidP="0031567A">
      <w:pPr>
        <w:pStyle w:val="3-BodyText"/>
      </w:pPr>
      <w:r>
        <w:lastRenderedPageBreak/>
        <w:fldChar w:fldCharType="begin" w:fldLock="1"/>
      </w:r>
      <w:r>
        <w:instrText xml:space="preserve"> REF _Ref104805295 \h  \* MERGEFORMAT </w:instrText>
      </w:r>
      <w:r>
        <w:fldChar w:fldCharType="separate"/>
      </w:r>
      <w:r w:rsidR="00AF2AB7">
        <w:t>Table 13</w:t>
      </w:r>
      <w:r>
        <w:fldChar w:fldCharType="end"/>
      </w:r>
      <w:r w:rsidRPr="403006C9">
        <w:t xml:space="preserve"> summarises the estimated net financial impact to PBS and MBS of the proposed listing of eflornithine for Stratum 1 and Stratum 2 patients with </w:t>
      </w:r>
      <w:r w:rsidR="0055388E">
        <w:t>HRNB</w:t>
      </w:r>
      <w:r w:rsidRPr="403006C9">
        <w:t xml:space="preserve"> who are currently in remission and who would qualify for post-maintenance therapy</w:t>
      </w:r>
      <w:r w:rsidR="004C5E0E">
        <w:t>.</w:t>
      </w:r>
      <w:r w:rsidRPr="403006C9">
        <w:t xml:space="preserve"> </w:t>
      </w:r>
      <w:r w:rsidRPr="0031567A">
        <w:t>The financial estimates presented below were corrected for DPMQ and MBS cost errors identified during the evaluation.</w:t>
      </w:r>
    </w:p>
    <w:p w14:paraId="7545C58B" w14:textId="4E790F5C" w:rsidR="0031567A" w:rsidRPr="00606FBA" w:rsidRDefault="0031567A" w:rsidP="0031567A">
      <w:pPr>
        <w:pStyle w:val="Caption"/>
      </w:pPr>
      <w:bookmarkStart w:id="77" w:name="_Ref104805295"/>
      <w:r>
        <w:t xml:space="preserve">Table </w:t>
      </w:r>
      <w:r w:rsidR="00AF2AB7">
        <w:fldChar w:fldCharType="begin" w:fldLock="1"/>
      </w:r>
      <w:r w:rsidR="00AF2AB7">
        <w:instrText xml:space="preserve"> SEQ Table \* ARABIC </w:instrText>
      </w:r>
      <w:r w:rsidR="00AF2AB7">
        <w:fldChar w:fldCharType="separate"/>
      </w:r>
      <w:r w:rsidR="00AF2AB7">
        <w:rPr>
          <w:noProof/>
        </w:rPr>
        <w:t>13</w:t>
      </w:r>
      <w:r w:rsidR="00AF2AB7">
        <w:rPr>
          <w:noProof/>
        </w:rPr>
        <w:fldChar w:fldCharType="end"/>
      </w:r>
      <w:bookmarkEnd w:id="77"/>
      <w:r>
        <w:t>:</w:t>
      </w:r>
      <w:r w:rsidRPr="00606FBA">
        <w:rPr>
          <w:rStyle w:val="CommentReference"/>
          <w:b/>
          <w:szCs w:val="24"/>
        </w:rPr>
        <w:t xml:space="preserve"> Estimated use and financial implications</w:t>
      </w:r>
    </w:p>
    <w:tbl>
      <w:tblPr>
        <w:tblStyle w:val="ASDTable2"/>
        <w:tblW w:w="5000" w:type="pct"/>
        <w:tblCellMar>
          <w:left w:w="28" w:type="dxa"/>
          <w:right w:w="28" w:type="dxa"/>
        </w:tblCellMar>
        <w:tblLook w:val="04A0" w:firstRow="1" w:lastRow="0" w:firstColumn="1" w:lastColumn="0" w:noHBand="0" w:noVBand="1"/>
        <w:tblCaption w:val="Table 13: Estimated use and financial implications"/>
      </w:tblPr>
      <w:tblGrid>
        <w:gridCol w:w="2932"/>
        <w:gridCol w:w="969"/>
        <w:gridCol w:w="968"/>
        <w:gridCol w:w="968"/>
        <w:gridCol w:w="968"/>
        <w:gridCol w:w="968"/>
        <w:gridCol w:w="1244"/>
      </w:tblGrid>
      <w:tr w:rsidR="0031567A" w:rsidRPr="0031567A" w14:paraId="766329F4" w14:textId="77777777" w:rsidTr="00562818">
        <w:trPr>
          <w:tblHeader/>
        </w:trPr>
        <w:tc>
          <w:tcPr>
            <w:tcW w:w="1625" w:type="pct"/>
            <w:vAlign w:val="center"/>
          </w:tcPr>
          <w:p w14:paraId="10B85EE2" w14:textId="77777777" w:rsidR="0031567A" w:rsidRPr="0031567A" w:rsidRDefault="0031567A">
            <w:pPr>
              <w:jc w:val="left"/>
              <w:rPr>
                <w:rFonts w:ascii="Arial Narrow" w:eastAsiaTheme="majorEastAsia" w:hAnsi="Arial Narrow" w:cstheme="majorBidi"/>
                <w:bCs/>
                <w:sz w:val="20"/>
                <w:szCs w:val="20"/>
              </w:rPr>
            </w:pPr>
          </w:p>
        </w:tc>
        <w:tc>
          <w:tcPr>
            <w:tcW w:w="537" w:type="pct"/>
            <w:vAlign w:val="center"/>
          </w:tcPr>
          <w:p w14:paraId="0C1CC179" w14:textId="77777777" w:rsidR="0031567A" w:rsidRPr="0031567A" w:rsidRDefault="0031567A">
            <w:pPr>
              <w:jc w:val="center"/>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Year 1</w:t>
            </w:r>
          </w:p>
        </w:tc>
        <w:tc>
          <w:tcPr>
            <w:tcW w:w="537" w:type="pct"/>
          </w:tcPr>
          <w:p w14:paraId="4636E95E" w14:textId="77777777" w:rsidR="0031567A" w:rsidRPr="0031567A" w:rsidRDefault="0031567A">
            <w:pPr>
              <w:jc w:val="center"/>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Year 2</w:t>
            </w:r>
          </w:p>
        </w:tc>
        <w:tc>
          <w:tcPr>
            <w:tcW w:w="537" w:type="pct"/>
          </w:tcPr>
          <w:p w14:paraId="43A38DA5" w14:textId="77777777" w:rsidR="0031567A" w:rsidRPr="0031567A" w:rsidRDefault="0031567A">
            <w:pPr>
              <w:jc w:val="center"/>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Year 3</w:t>
            </w:r>
          </w:p>
        </w:tc>
        <w:tc>
          <w:tcPr>
            <w:tcW w:w="537" w:type="pct"/>
          </w:tcPr>
          <w:p w14:paraId="747DCC41" w14:textId="77777777" w:rsidR="0031567A" w:rsidRPr="0031567A" w:rsidRDefault="0031567A">
            <w:pPr>
              <w:jc w:val="center"/>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Year 4</w:t>
            </w:r>
          </w:p>
        </w:tc>
        <w:tc>
          <w:tcPr>
            <w:tcW w:w="537" w:type="pct"/>
          </w:tcPr>
          <w:p w14:paraId="1911C73C" w14:textId="77777777" w:rsidR="0031567A" w:rsidRPr="0031567A" w:rsidRDefault="0031567A">
            <w:pPr>
              <w:jc w:val="center"/>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Year 5</w:t>
            </w:r>
          </w:p>
        </w:tc>
        <w:tc>
          <w:tcPr>
            <w:tcW w:w="688" w:type="pct"/>
          </w:tcPr>
          <w:p w14:paraId="5A1518BE" w14:textId="77777777" w:rsidR="0031567A" w:rsidRPr="0031567A" w:rsidRDefault="0031567A">
            <w:pPr>
              <w:jc w:val="center"/>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Year 6</w:t>
            </w:r>
          </w:p>
        </w:tc>
      </w:tr>
      <w:tr w:rsidR="0031567A" w:rsidRPr="0031567A" w14:paraId="18A5E619" w14:textId="77777777">
        <w:trPr>
          <w:trHeight w:val="224"/>
        </w:trPr>
        <w:tc>
          <w:tcPr>
            <w:tcW w:w="5000" w:type="pct"/>
            <w:gridSpan w:val="7"/>
            <w:vAlign w:val="center"/>
          </w:tcPr>
          <w:p w14:paraId="554D7C49" w14:textId="77777777" w:rsidR="0031567A" w:rsidRPr="0031567A" w:rsidRDefault="0031567A">
            <w:pPr>
              <w:jc w:val="left"/>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Estimation of number of treated patients</w:t>
            </w:r>
          </w:p>
        </w:tc>
      </w:tr>
      <w:tr w:rsidR="0031567A" w:rsidRPr="0031567A" w14:paraId="04D72E34" w14:textId="77777777" w:rsidTr="00562818">
        <w:tc>
          <w:tcPr>
            <w:tcW w:w="1625" w:type="pct"/>
            <w:vAlign w:val="center"/>
          </w:tcPr>
          <w:p w14:paraId="2F78FDF0" w14:textId="77777777" w:rsidR="0031567A" w:rsidRPr="0031567A" w:rsidRDefault="0031567A">
            <w:pPr>
              <w:jc w:val="left"/>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Incident NBL patients</w:t>
            </w:r>
          </w:p>
        </w:tc>
        <w:tc>
          <w:tcPr>
            <w:tcW w:w="537" w:type="pct"/>
            <w:vAlign w:val="center"/>
          </w:tcPr>
          <w:p w14:paraId="4FB2A426" w14:textId="4911FEC4" w:rsidR="0031567A" w:rsidRPr="00BB1CB4" w:rsidRDefault="008C30A7">
            <w:pPr>
              <w:pStyle w:val="TableText0"/>
              <w:keepNext w:val="0"/>
              <w:jc w:val="center"/>
              <w:rPr>
                <w:szCs w:val="20"/>
                <w:highlight w:val="darkGray"/>
                <w:vertAlign w:val="superscript"/>
              </w:rPr>
            </w:pPr>
            <w:r w:rsidRPr="008C30A7">
              <w:rPr>
                <w:rFonts w:hint="eastAsia"/>
                <w:color w:val="000000"/>
                <w:w w:val="28"/>
                <w:shd w:val="solid" w:color="000000" w:fill="000000"/>
                <w:fitText w:val="125" w:id="-694445561"/>
                <w14:textFill>
                  <w14:solidFill>
                    <w14:srgbClr w14:val="000000">
                      <w14:alpha w14:val="100000"/>
                    </w14:srgbClr>
                  </w14:solidFill>
                </w14:textFill>
              </w:rPr>
              <w:t xml:space="preserve">　</w:t>
            </w:r>
            <w:r w:rsidRPr="008C30A7">
              <w:rPr>
                <w:color w:val="000000"/>
                <w:w w:val="28"/>
                <w:shd w:val="solid" w:color="000000" w:fill="000000"/>
                <w:fitText w:val="125" w:id="-694445561"/>
                <w14:textFill>
                  <w14:solidFill>
                    <w14:srgbClr w14:val="000000">
                      <w14:alpha w14:val="100000"/>
                    </w14:srgbClr>
                  </w14:solidFill>
                </w14:textFill>
              </w:rPr>
              <w:t>|</w:t>
            </w:r>
            <w:r w:rsidRPr="008C30A7">
              <w:rPr>
                <w:rFonts w:hint="eastAsia"/>
                <w:color w:val="000000"/>
                <w:spacing w:val="3"/>
                <w:w w:val="28"/>
                <w:shd w:val="solid" w:color="000000" w:fill="000000"/>
                <w:fitText w:val="125" w:id="-694445561"/>
                <w14:textFill>
                  <w14:solidFill>
                    <w14:srgbClr w14:val="000000">
                      <w14:alpha w14:val="100000"/>
                    </w14:srgbClr>
                  </w14:solidFill>
                </w14:textFill>
              </w:rPr>
              <w:t xml:space="preserve">　</w:t>
            </w:r>
            <w:r w:rsidR="00BB1CB4" w:rsidRPr="001E7C4E">
              <w:rPr>
                <w:vertAlign w:val="superscript"/>
              </w:rPr>
              <w:t>1</w:t>
            </w:r>
          </w:p>
        </w:tc>
        <w:tc>
          <w:tcPr>
            <w:tcW w:w="537" w:type="pct"/>
            <w:vAlign w:val="center"/>
          </w:tcPr>
          <w:p w14:paraId="135015FB" w14:textId="5A7617A9"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0"/>
                <w14:textFill>
                  <w14:solidFill>
                    <w14:srgbClr w14:val="000000">
                      <w14:alpha w14:val="100000"/>
                    </w14:srgbClr>
                  </w14:solidFill>
                </w14:textFill>
              </w:rPr>
              <w:t xml:space="preserve">　</w:t>
            </w:r>
            <w:r w:rsidRPr="008C30A7">
              <w:rPr>
                <w:color w:val="000000"/>
                <w:w w:val="28"/>
                <w:shd w:val="solid" w:color="000000" w:fill="000000"/>
                <w:fitText w:val="125" w:id="-694445560"/>
                <w14:textFill>
                  <w14:solidFill>
                    <w14:srgbClr w14:val="000000">
                      <w14:alpha w14:val="100000"/>
                    </w14:srgbClr>
                  </w14:solidFill>
                </w14:textFill>
              </w:rPr>
              <w:t>|</w:t>
            </w:r>
            <w:r w:rsidRPr="008C30A7">
              <w:rPr>
                <w:rFonts w:hint="eastAsia"/>
                <w:color w:val="000000"/>
                <w:spacing w:val="3"/>
                <w:w w:val="28"/>
                <w:shd w:val="solid" w:color="000000" w:fill="000000"/>
                <w:fitText w:val="125" w:id="-694445560"/>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0267FF4D" w14:textId="3B49CB93"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9"/>
                <w14:textFill>
                  <w14:solidFill>
                    <w14:srgbClr w14:val="000000">
                      <w14:alpha w14:val="100000"/>
                    </w14:srgbClr>
                  </w14:solidFill>
                </w14:textFill>
              </w:rPr>
              <w:t xml:space="preserve">　</w:t>
            </w:r>
            <w:r w:rsidRPr="008C30A7">
              <w:rPr>
                <w:color w:val="000000"/>
                <w:w w:val="28"/>
                <w:shd w:val="solid" w:color="000000" w:fill="000000"/>
                <w:fitText w:val="125" w:id="-694445559"/>
                <w14:textFill>
                  <w14:solidFill>
                    <w14:srgbClr w14:val="000000">
                      <w14:alpha w14:val="100000"/>
                    </w14:srgbClr>
                  </w14:solidFill>
                </w14:textFill>
              </w:rPr>
              <w:t>|</w:t>
            </w:r>
            <w:r w:rsidRPr="008C30A7">
              <w:rPr>
                <w:rFonts w:hint="eastAsia"/>
                <w:color w:val="000000"/>
                <w:spacing w:val="3"/>
                <w:w w:val="28"/>
                <w:shd w:val="solid" w:color="000000" w:fill="000000"/>
                <w:fitText w:val="125" w:id="-694445559"/>
                <w14:textFill>
                  <w14:solidFill>
                    <w14:srgbClr w14:val="000000">
                      <w14:alpha w14:val="100000"/>
                    </w14:srgbClr>
                  </w14:solidFill>
                </w14:textFill>
              </w:rPr>
              <w:t xml:space="preserve">　</w:t>
            </w:r>
            <w:r w:rsidR="00BB1CB4" w:rsidRPr="001E7C4E">
              <w:rPr>
                <w:vertAlign w:val="superscript"/>
              </w:rPr>
              <w:t>1</w:t>
            </w:r>
          </w:p>
        </w:tc>
        <w:tc>
          <w:tcPr>
            <w:tcW w:w="537" w:type="pct"/>
            <w:vAlign w:val="center"/>
          </w:tcPr>
          <w:p w14:paraId="6AB9DA87" w14:textId="1BAC12E2"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8"/>
                <w14:textFill>
                  <w14:solidFill>
                    <w14:srgbClr w14:val="000000">
                      <w14:alpha w14:val="100000"/>
                    </w14:srgbClr>
                  </w14:solidFill>
                </w14:textFill>
              </w:rPr>
              <w:t xml:space="preserve">　</w:t>
            </w:r>
            <w:r w:rsidRPr="008C30A7">
              <w:rPr>
                <w:color w:val="000000"/>
                <w:w w:val="28"/>
                <w:shd w:val="solid" w:color="000000" w:fill="000000"/>
                <w:fitText w:val="125" w:id="-694445558"/>
                <w14:textFill>
                  <w14:solidFill>
                    <w14:srgbClr w14:val="000000">
                      <w14:alpha w14:val="100000"/>
                    </w14:srgbClr>
                  </w14:solidFill>
                </w14:textFill>
              </w:rPr>
              <w:t>|</w:t>
            </w:r>
            <w:r w:rsidRPr="008C30A7">
              <w:rPr>
                <w:rFonts w:hint="eastAsia"/>
                <w:color w:val="000000"/>
                <w:spacing w:val="3"/>
                <w:w w:val="28"/>
                <w:shd w:val="solid" w:color="000000" w:fill="000000"/>
                <w:fitText w:val="125" w:id="-694445558"/>
                <w14:textFill>
                  <w14:solidFill>
                    <w14:srgbClr w14:val="000000">
                      <w14:alpha w14:val="100000"/>
                    </w14:srgbClr>
                  </w14:solidFill>
                </w14:textFill>
              </w:rPr>
              <w:t xml:space="preserve">　</w:t>
            </w:r>
            <w:r w:rsidR="00BB1CB4" w:rsidRPr="001E7C4E">
              <w:rPr>
                <w:vertAlign w:val="superscript"/>
              </w:rPr>
              <w:t>1</w:t>
            </w:r>
          </w:p>
        </w:tc>
        <w:tc>
          <w:tcPr>
            <w:tcW w:w="537" w:type="pct"/>
            <w:vAlign w:val="center"/>
          </w:tcPr>
          <w:p w14:paraId="770157AA" w14:textId="136F7705"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7"/>
                <w14:textFill>
                  <w14:solidFill>
                    <w14:srgbClr w14:val="000000">
                      <w14:alpha w14:val="100000"/>
                    </w14:srgbClr>
                  </w14:solidFill>
                </w14:textFill>
              </w:rPr>
              <w:t xml:space="preserve">　</w:t>
            </w:r>
            <w:r w:rsidRPr="008C30A7">
              <w:rPr>
                <w:color w:val="000000"/>
                <w:w w:val="28"/>
                <w:shd w:val="solid" w:color="000000" w:fill="000000"/>
                <w:fitText w:val="125" w:id="-694445557"/>
                <w14:textFill>
                  <w14:solidFill>
                    <w14:srgbClr w14:val="000000">
                      <w14:alpha w14:val="100000"/>
                    </w14:srgbClr>
                  </w14:solidFill>
                </w14:textFill>
              </w:rPr>
              <w:t>|</w:t>
            </w:r>
            <w:r w:rsidRPr="008C30A7">
              <w:rPr>
                <w:rFonts w:hint="eastAsia"/>
                <w:color w:val="000000"/>
                <w:spacing w:val="3"/>
                <w:w w:val="28"/>
                <w:shd w:val="solid" w:color="000000" w:fill="000000"/>
                <w:fitText w:val="125" w:id="-694445557"/>
                <w14:textFill>
                  <w14:solidFill>
                    <w14:srgbClr w14:val="000000">
                      <w14:alpha w14:val="100000"/>
                    </w14:srgbClr>
                  </w14:solidFill>
                </w14:textFill>
              </w:rPr>
              <w:t xml:space="preserve">　</w:t>
            </w:r>
            <w:r w:rsidR="00BB1CB4" w:rsidRPr="001E7C4E">
              <w:rPr>
                <w:vertAlign w:val="superscript"/>
              </w:rPr>
              <w:t>1</w:t>
            </w:r>
          </w:p>
        </w:tc>
        <w:tc>
          <w:tcPr>
            <w:tcW w:w="688" w:type="pct"/>
            <w:vAlign w:val="center"/>
          </w:tcPr>
          <w:p w14:paraId="098D17D0" w14:textId="7CAB878C"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BB1CB4" w:rsidRPr="001E7C4E">
              <w:rPr>
                <w:vertAlign w:val="superscript"/>
              </w:rPr>
              <w:t>1</w:t>
            </w:r>
          </w:p>
        </w:tc>
      </w:tr>
      <w:tr w:rsidR="0031567A" w:rsidRPr="0031567A" w14:paraId="79C48F64" w14:textId="77777777" w:rsidTr="00562818">
        <w:tc>
          <w:tcPr>
            <w:tcW w:w="1625" w:type="pct"/>
            <w:vAlign w:val="center"/>
          </w:tcPr>
          <w:p w14:paraId="4E1437BD" w14:textId="77777777" w:rsidR="0031567A" w:rsidRPr="0031567A" w:rsidRDefault="0031567A">
            <w:pPr>
              <w:ind w:left="104"/>
              <w:jc w:val="left"/>
              <w:rPr>
                <w:rFonts w:ascii="Arial Narrow" w:eastAsiaTheme="majorEastAsia" w:hAnsi="Arial Narrow" w:cstheme="majorBidi"/>
                <w:sz w:val="20"/>
                <w:szCs w:val="20"/>
              </w:rPr>
            </w:pPr>
            <w:r w:rsidRPr="0031567A">
              <w:rPr>
                <w:rFonts w:ascii="Arial Narrow" w:eastAsiaTheme="majorEastAsia" w:hAnsi="Arial Narrow" w:cstheme="majorBidi"/>
                <w:sz w:val="20"/>
                <w:szCs w:val="20"/>
              </w:rPr>
              <w:t>Of which, high-risk</w:t>
            </w:r>
          </w:p>
        </w:tc>
        <w:tc>
          <w:tcPr>
            <w:tcW w:w="537" w:type="pct"/>
            <w:vAlign w:val="center"/>
          </w:tcPr>
          <w:p w14:paraId="78AB25FF" w14:textId="1FA7557C"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6"/>
                <w14:textFill>
                  <w14:solidFill>
                    <w14:srgbClr w14:val="000000">
                      <w14:alpha w14:val="100000"/>
                    </w14:srgbClr>
                  </w14:solidFill>
                </w14:textFill>
              </w:rPr>
              <w:t xml:space="preserve">　</w:t>
            </w:r>
            <w:r w:rsidRPr="008C30A7">
              <w:rPr>
                <w:color w:val="000000"/>
                <w:w w:val="28"/>
                <w:shd w:val="solid" w:color="000000" w:fill="000000"/>
                <w:fitText w:val="125" w:id="-694445556"/>
                <w14:textFill>
                  <w14:solidFill>
                    <w14:srgbClr w14:val="000000">
                      <w14:alpha w14:val="100000"/>
                    </w14:srgbClr>
                  </w14:solidFill>
                </w14:textFill>
              </w:rPr>
              <w:t>|</w:t>
            </w:r>
            <w:r w:rsidRPr="008C30A7">
              <w:rPr>
                <w:rFonts w:hint="eastAsia"/>
                <w:color w:val="000000"/>
                <w:spacing w:val="3"/>
                <w:w w:val="28"/>
                <w:shd w:val="solid" w:color="000000" w:fill="000000"/>
                <w:fitText w:val="125" w:id="-694445556"/>
                <w14:textFill>
                  <w14:solidFill>
                    <w14:srgbClr w14:val="000000">
                      <w14:alpha w14:val="100000"/>
                    </w14:srgbClr>
                  </w14:solidFill>
                </w14:textFill>
              </w:rPr>
              <w:t xml:space="preserve">　</w:t>
            </w:r>
            <w:r w:rsidR="00BB1CB4" w:rsidRPr="001E7C4E">
              <w:rPr>
                <w:vertAlign w:val="superscript"/>
              </w:rPr>
              <w:t>1</w:t>
            </w:r>
          </w:p>
        </w:tc>
        <w:tc>
          <w:tcPr>
            <w:tcW w:w="537" w:type="pct"/>
            <w:vAlign w:val="center"/>
          </w:tcPr>
          <w:p w14:paraId="58DDADC2" w14:textId="2132E914"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5"/>
                <w14:textFill>
                  <w14:solidFill>
                    <w14:srgbClr w14:val="000000">
                      <w14:alpha w14:val="100000"/>
                    </w14:srgbClr>
                  </w14:solidFill>
                </w14:textFill>
              </w:rPr>
              <w:t xml:space="preserve">　</w:t>
            </w:r>
            <w:r w:rsidRPr="008C30A7">
              <w:rPr>
                <w:color w:val="000000"/>
                <w:w w:val="28"/>
                <w:shd w:val="solid" w:color="000000" w:fill="000000"/>
                <w:fitText w:val="125" w:id="-694445555"/>
                <w14:textFill>
                  <w14:solidFill>
                    <w14:srgbClr w14:val="000000">
                      <w14:alpha w14:val="100000"/>
                    </w14:srgbClr>
                  </w14:solidFill>
                </w14:textFill>
              </w:rPr>
              <w:t>|</w:t>
            </w:r>
            <w:r w:rsidRPr="008C30A7">
              <w:rPr>
                <w:rFonts w:hint="eastAsia"/>
                <w:color w:val="000000"/>
                <w:spacing w:val="3"/>
                <w:w w:val="28"/>
                <w:shd w:val="solid" w:color="000000" w:fill="000000"/>
                <w:fitText w:val="125" w:id="-694445555"/>
                <w14:textFill>
                  <w14:solidFill>
                    <w14:srgbClr w14:val="000000">
                      <w14:alpha w14:val="100000"/>
                    </w14:srgbClr>
                  </w14:solidFill>
                </w14:textFill>
              </w:rPr>
              <w:t xml:space="preserve">　</w:t>
            </w:r>
            <w:r w:rsidR="00BB1CB4" w:rsidRPr="001E7C4E">
              <w:rPr>
                <w:vertAlign w:val="superscript"/>
              </w:rPr>
              <w:t>1</w:t>
            </w:r>
          </w:p>
        </w:tc>
        <w:tc>
          <w:tcPr>
            <w:tcW w:w="537" w:type="pct"/>
            <w:vAlign w:val="center"/>
          </w:tcPr>
          <w:p w14:paraId="4B5FCAB6" w14:textId="20DADBD8"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4"/>
                <w14:textFill>
                  <w14:solidFill>
                    <w14:srgbClr w14:val="000000">
                      <w14:alpha w14:val="100000"/>
                    </w14:srgbClr>
                  </w14:solidFill>
                </w14:textFill>
              </w:rPr>
              <w:t xml:space="preserve">　</w:t>
            </w:r>
            <w:r w:rsidRPr="008C30A7">
              <w:rPr>
                <w:color w:val="000000"/>
                <w:w w:val="28"/>
                <w:shd w:val="solid" w:color="000000" w:fill="000000"/>
                <w:fitText w:val="125" w:id="-694445554"/>
                <w14:textFill>
                  <w14:solidFill>
                    <w14:srgbClr w14:val="000000">
                      <w14:alpha w14:val="100000"/>
                    </w14:srgbClr>
                  </w14:solidFill>
                </w14:textFill>
              </w:rPr>
              <w:t>|</w:t>
            </w:r>
            <w:r w:rsidRPr="008C30A7">
              <w:rPr>
                <w:rFonts w:hint="eastAsia"/>
                <w:color w:val="000000"/>
                <w:spacing w:val="3"/>
                <w:w w:val="28"/>
                <w:shd w:val="solid" w:color="000000" w:fill="000000"/>
                <w:fitText w:val="125" w:id="-694445554"/>
                <w14:textFill>
                  <w14:solidFill>
                    <w14:srgbClr w14:val="000000">
                      <w14:alpha w14:val="100000"/>
                    </w14:srgbClr>
                  </w14:solidFill>
                </w14:textFill>
              </w:rPr>
              <w:t xml:space="preserve">　</w:t>
            </w:r>
            <w:r w:rsidR="00BB1CB4" w:rsidRPr="001E7C4E">
              <w:rPr>
                <w:vertAlign w:val="superscript"/>
              </w:rPr>
              <w:t>1</w:t>
            </w:r>
          </w:p>
        </w:tc>
        <w:tc>
          <w:tcPr>
            <w:tcW w:w="537" w:type="pct"/>
            <w:vAlign w:val="center"/>
          </w:tcPr>
          <w:p w14:paraId="34F07CCA" w14:textId="2F3F142E"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3"/>
                <w14:textFill>
                  <w14:solidFill>
                    <w14:srgbClr w14:val="000000">
                      <w14:alpha w14:val="100000"/>
                    </w14:srgbClr>
                  </w14:solidFill>
                </w14:textFill>
              </w:rPr>
              <w:t xml:space="preserve">　</w:t>
            </w:r>
            <w:r w:rsidRPr="008C30A7">
              <w:rPr>
                <w:color w:val="000000"/>
                <w:w w:val="28"/>
                <w:shd w:val="solid" w:color="000000" w:fill="000000"/>
                <w:fitText w:val="125" w:id="-694445553"/>
                <w14:textFill>
                  <w14:solidFill>
                    <w14:srgbClr w14:val="000000">
                      <w14:alpha w14:val="100000"/>
                    </w14:srgbClr>
                  </w14:solidFill>
                </w14:textFill>
              </w:rPr>
              <w:t>|</w:t>
            </w:r>
            <w:r w:rsidRPr="008C30A7">
              <w:rPr>
                <w:rFonts w:hint="eastAsia"/>
                <w:color w:val="000000"/>
                <w:spacing w:val="3"/>
                <w:w w:val="28"/>
                <w:shd w:val="solid" w:color="000000" w:fill="000000"/>
                <w:fitText w:val="125" w:id="-694445553"/>
                <w14:textFill>
                  <w14:solidFill>
                    <w14:srgbClr w14:val="000000">
                      <w14:alpha w14:val="100000"/>
                    </w14:srgbClr>
                  </w14:solidFill>
                </w14:textFill>
              </w:rPr>
              <w:t xml:space="preserve">　</w:t>
            </w:r>
            <w:r w:rsidR="00BB1CB4" w:rsidRPr="001E7C4E">
              <w:rPr>
                <w:vertAlign w:val="superscript"/>
              </w:rPr>
              <w:t>1</w:t>
            </w:r>
          </w:p>
        </w:tc>
        <w:tc>
          <w:tcPr>
            <w:tcW w:w="537" w:type="pct"/>
            <w:vAlign w:val="center"/>
          </w:tcPr>
          <w:p w14:paraId="08F00E9A" w14:textId="5847B435"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2"/>
                <w14:textFill>
                  <w14:solidFill>
                    <w14:srgbClr w14:val="000000">
                      <w14:alpha w14:val="100000"/>
                    </w14:srgbClr>
                  </w14:solidFill>
                </w14:textFill>
              </w:rPr>
              <w:t xml:space="preserve">　</w:t>
            </w:r>
            <w:r w:rsidRPr="008C30A7">
              <w:rPr>
                <w:color w:val="000000"/>
                <w:w w:val="28"/>
                <w:shd w:val="solid" w:color="000000" w:fill="000000"/>
                <w:fitText w:val="125" w:id="-694445552"/>
                <w14:textFill>
                  <w14:solidFill>
                    <w14:srgbClr w14:val="000000">
                      <w14:alpha w14:val="100000"/>
                    </w14:srgbClr>
                  </w14:solidFill>
                </w14:textFill>
              </w:rPr>
              <w:t>|</w:t>
            </w:r>
            <w:r w:rsidRPr="008C30A7">
              <w:rPr>
                <w:rFonts w:hint="eastAsia"/>
                <w:color w:val="000000"/>
                <w:spacing w:val="3"/>
                <w:w w:val="28"/>
                <w:shd w:val="solid" w:color="000000" w:fill="000000"/>
                <w:fitText w:val="125" w:id="-694445552"/>
                <w14:textFill>
                  <w14:solidFill>
                    <w14:srgbClr w14:val="000000">
                      <w14:alpha w14:val="100000"/>
                    </w14:srgbClr>
                  </w14:solidFill>
                </w14:textFill>
              </w:rPr>
              <w:t xml:space="preserve">　</w:t>
            </w:r>
            <w:r w:rsidR="001E7C4E" w:rsidRPr="001E7C4E">
              <w:rPr>
                <w:vertAlign w:val="superscript"/>
              </w:rPr>
              <w:t>1</w:t>
            </w:r>
          </w:p>
        </w:tc>
        <w:tc>
          <w:tcPr>
            <w:tcW w:w="688" w:type="pct"/>
            <w:vAlign w:val="center"/>
          </w:tcPr>
          <w:p w14:paraId="7C6CECC7" w14:textId="04BB5101"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1E7C4E" w:rsidRPr="001E7C4E">
              <w:rPr>
                <w:vertAlign w:val="superscript"/>
              </w:rPr>
              <w:t>1</w:t>
            </w:r>
          </w:p>
        </w:tc>
      </w:tr>
      <w:tr w:rsidR="0031567A" w:rsidRPr="0031567A" w14:paraId="056D083A" w14:textId="77777777">
        <w:tc>
          <w:tcPr>
            <w:tcW w:w="5000" w:type="pct"/>
            <w:gridSpan w:val="7"/>
            <w:vAlign w:val="center"/>
          </w:tcPr>
          <w:p w14:paraId="04BDEE56" w14:textId="7744758E" w:rsidR="0031567A" w:rsidRPr="0031567A" w:rsidRDefault="0031567A">
            <w:pPr>
              <w:pStyle w:val="TableText0"/>
              <w:keepNext w:val="0"/>
            </w:pPr>
            <w:r w:rsidRPr="0031567A">
              <w:rPr>
                <w:b/>
                <w:szCs w:val="20"/>
              </w:rPr>
              <w:t>Eligible</w:t>
            </w:r>
            <w:r w:rsidR="00391E91">
              <w:rPr>
                <w:b/>
                <w:szCs w:val="20"/>
              </w:rPr>
              <w:t xml:space="preserve"> incident</w:t>
            </w:r>
            <w:r w:rsidRPr="0031567A">
              <w:rPr>
                <w:b/>
                <w:szCs w:val="20"/>
              </w:rPr>
              <w:t xml:space="preserve"> HRNB patients</w:t>
            </w:r>
          </w:p>
        </w:tc>
      </w:tr>
      <w:tr w:rsidR="0031567A" w:rsidRPr="0031567A" w14:paraId="5BD9787A" w14:textId="77777777" w:rsidTr="00562818">
        <w:tc>
          <w:tcPr>
            <w:tcW w:w="1625" w:type="pct"/>
            <w:vAlign w:val="center"/>
          </w:tcPr>
          <w:p w14:paraId="42E14846" w14:textId="77777777"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Pts in Stratum 1</w:t>
            </w:r>
          </w:p>
        </w:tc>
        <w:tc>
          <w:tcPr>
            <w:tcW w:w="537" w:type="pct"/>
            <w:vAlign w:val="center"/>
          </w:tcPr>
          <w:p w14:paraId="579E8FE7" w14:textId="56C8911F"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8"/>
                <w14:textFill>
                  <w14:solidFill>
                    <w14:srgbClr w14:val="000000">
                      <w14:alpha w14:val="100000"/>
                    </w14:srgbClr>
                  </w14:solidFill>
                </w14:textFill>
              </w:rPr>
              <w:t xml:space="preserve">　</w:t>
            </w:r>
            <w:r w:rsidRPr="008C30A7">
              <w:rPr>
                <w:color w:val="000000"/>
                <w:w w:val="28"/>
                <w:shd w:val="solid" w:color="000000" w:fill="000000"/>
                <w:fitText w:val="125" w:id="-694445568"/>
                <w14:textFill>
                  <w14:solidFill>
                    <w14:srgbClr w14:val="000000">
                      <w14:alpha w14:val="100000"/>
                    </w14:srgbClr>
                  </w14:solidFill>
                </w14:textFill>
              </w:rPr>
              <w:t>|</w:t>
            </w:r>
            <w:r w:rsidRPr="008C30A7">
              <w:rPr>
                <w:rFonts w:hint="eastAsia"/>
                <w:color w:val="000000"/>
                <w:spacing w:val="3"/>
                <w:w w:val="28"/>
                <w:shd w:val="solid" w:color="000000" w:fill="000000"/>
                <w:fitText w:val="125" w:id="-694445568"/>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79036F06" w14:textId="4632104B"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7"/>
                <w14:textFill>
                  <w14:solidFill>
                    <w14:srgbClr w14:val="000000">
                      <w14:alpha w14:val="100000"/>
                    </w14:srgbClr>
                  </w14:solidFill>
                </w14:textFill>
              </w:rPr>
              <w:t xml:space="preserve">　</w:t>
            </w:r>
            <w:r w:rsidRPr="008C30A7">
              <w:rPr>
                <w:color w:val="000000"/>
                <w:w w:val="28"/>
                <w:shd w:val="solid" w:color="000000" w:fill="000000"/>
                <w:fitText w:val="125" w:id="-694445567"/>
                <w14:textFill>
                  <w14:solidFill>
                    <w14:srgbClr w14:val="000000">
                      <w14:alpha w14:val="100000"/>
                    </w14:srgbClr>
                  </w14:solidFill>
                </w14:textFill>
              </w:rPr>
              <w:t>|</w:t>
            </w:r>
            <w:r w:rsidRPr="008C30A7">
              <w:rPr>
                <w:rFonts w:hint="eastAsia"/>
                <w:color w:val="000000"/>
                <w:spacing w:val="3"/>
                <w:w w:val="28"/>
                <w:shd w:val="solid" w:color="000000" w:fill="000000"/>
                <w:fitText w:val="125" w:id="-694445567"/>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13C73EC8" w14:textId="60EBAA5C"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6"/>
                <w14:textFill>
                  <w14:solidFill>
                    <w14:srgbClr w14:val="000000">
                      <w14:alpha w14:val="100000"/>
                    </w14:srgbClr>
                  </w14:solidFill>
                </w14:textFill>
              </w:rPr>
              <w:t xml:space="preserve">　</w:t>
            </w:r>
            <w:r w:rsidRPr="008C30A7">
              <w:rPr>
                <w:color w:val="000000"/>
                <w:w w:val="28"/>
                <w:shd w:val="solid" w:color="000000" w:fill="000000"/>
                <w:fitText w:val="125" w:id="-694445566"/>
                <w14:textFill>
                  <w14:solidFill>
                    <w14:srgbClr w14:val="000000">
                      <w14:alpha w14:val="100000"/>
                    </w14:srgbClr>
                  </w14:solidFill>
                </w14:textFill>
              </w:rPr>
              <w:t>|</w:t>
            </w:r>
            <w:r w:rsidRPr="008C30A7">
              <w:rPr>
                <w:rFonts w:hint="eastAsia"/>
                <w:color w:val="000000"/>
                <w:spacing w:val="3"/>
                <w:w w:val="28"/>
                <w:shd w:val="solid" w:color="000000" w:fill="000000"/>
                <w:fitText w:val="125" w:id="-694445566"/>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5DC02D09" w14:textId="7E6E8986"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5"/>
                <w14:textFill>
                  <w14:solidFill>
                    <w14:srgbClr w14:val="000000">
                      <w14:alpha w14:val="100000"/>
                    </w14:srgbClr>
                  </w14:solidFill>
                </w14:textFill>
              </w:rPr>
              <w:t xml:space="preserve">　</w:t>
            </w:r>
            <w:r w:rsidRPr="008C30A7">
              <w:rPr>
                <w:color w:val="000000"/>
                <w:w w:val="28"/>
                <w:shd w:val="solid" w:color="000000" w:fill="000000"/>
                <w:fitText w:val="125" w:id="-694445565"/>
                <w14:textFill>
                  <w14:solidFill>
                    <w14:srgbClr w14:val="000000">
                      <w14:alpha w14:val="100000"/>
                    </w14:srgbClr>
                  </w14:solidFill>
                </w14:textFill>
              </w:rPr>
              <w:t>|</w:t>
            </w:r>
            <w:r w:rsidRPr="008C30A7">
              <w:rPr>
                <w:rFonts w:hint="eastAsia"/>
                <w:color w:val="000000"/>
                <w:spacing w:val="3"/>
                <w:w w:val="28"/>
                <w:shd w:val="solid" w:color="000000" w:fill="000000"/>
                <w:fitText w:val="125" w:id="-694445565"/>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308C9CD2" w14:textId="7ADE2360"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4"/>
                <w14:textFill>
                  <w14:solidFill>
                    <w14:srgbClr w14:val="000000">
                      <w14:alpha w14:val="100000"/>
                    </w14:srgbClr>
                  </w14:solidFill>
                </w14:textFill>
              </w:rPr>
              <w:t xml:space="preserve">　</w:t>
            </w:r>
            <w:r w:rsidRPr="008C30A7">
              <w:rPr>
                <w:color w:val="000000"/>
                <w:w w:val="28"/>
                <w:shd w:val="solid" w:color="000000" w:fill="000000"/>
                <w:fitText w:val="125" w:id="-694445564"/>
                <w14:textFill>
                  <w14:solidFill>
                    <w14:srgbClr w14:val="000000">
                      <w14:alpha w14:val="100000"/>
                    </w14:srgbClr>
                  </w14:solidFill>
                </w14:textFill>
              </w:rPr>
              <w:t>|</w:t>
            </w:r>
            <w:r w:rsidRPr="008C30A7">
              <w:rPr>
                <w:rFonts w:hint="eastAsia"/>
                <w:color w:val="000000"/>
                <w:spacing w:val="3"/>
                <w:w w:val="28"/>
                <w:shd w:val="solid" w:color="000000" w:fill="000000"/>
                <w:fitText w:val="125" w:id="-694445564"/>
                <w14:textFill>
                  <w14:solidFill>
                    <w14:srgbClr w14:val="000000">
                      <w14:alpha w14:val="100000"/>
                    </w14:srgbClr>
                  </w14:solidFill>
                </w14:textFill>
              </w:rPr>
              <w:t xml:space="preserve">　</w:t>
            </w:r>
            <w:r w:rsidR="001E7C4E" w:rsidRPr="001E7C4E">
              <w:rPr>
                <w:vertAlign w:val="superscript"/>
              </w:rPr>
              <w:t>1</w:t>
            </w:r>
          </w:p>
        </w:tc>
        <w:tc>
          <w:tcPr>
            <w:tcW w:w="688" w:type="pct"/>
            <w:vAlign w:val="center"/>
          </w:tcPr>
          <w:p w14:paraId="1D68E302" w14:textId="68A040B3"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1E7C4E" w:rsidRPr="001E7C4E">
              <w:rPr>
                <w:vertAlign w:val="superscript"/>
              </w:rPr>
              <w:t>1</w:t>
            </w:r>
          </w:p>
        </w:tc>
      </w:tr>
      <w:tr w:rsidR="0031567A" w:rsidRPr="0031567A" w14:paraId="77E84894" w14:textId="77777777" w:rsidTr="00562818">
        <w:tc>
          <w:tcPr>
            <w:tcW w:w="1625" w:type="pct"/>
            <w:vAlign w:val="center"/>
          </w:tcPr>
          <w:p w14:paraId="40EFB55D" w14:textId="77777777"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Pts in Stratum 2 refractory</w:t>
            </w:r>
          </w:p>
        </w:tc>
        <w:tc>
          <w:tcPr>
            <w:tcW w:w="537" w:type="pct"/>
            <w:vAlign w:val="center"/>
          </w:tcPr>
          <w:p w14:paraId="470D90D8" w14:textId="61FD340E"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3"/>
                <w14:textFill>
                  <w14:solidFill>
                    <w14:srgbClr w14:val="000000">
                      <w14:alpha w14:val="100000"/>
                    </w14:srgbClr>
                  </w14:solidFill>
                </w14:textFill>
              </w:rPr>
              <w:t xml:space="preserve">　</w:t>
            </w:r>
            <w:r w:rsidRPr="008C30A7">
              <w:rPr>
                <w:color w:val="000000"/>
                <w:w w:val="28"/>
                <w:shd w:val="solid" w:color="000000" w:fill="000000"/>
                <w:fitText w:val="125" w:id="-694445563"/>
                <w14:textFill>
                  <w14:solidFill>
                    <w14:srgbClr w14:val="000000">
                      <w14:alpha w14:val="100000"/>
                    </w14:srgbClr>
                  </w14:solidFill>
                </w14:textFill>
              </w:rPr>
              <w:t>|</w:t>
            </w:r>
            <w:r w:rsidRPr="008C30A7">
              <w:rPr>
                <w:rFonts w:hint="eastAsia"/>
                <w:color w:val="000000"/>
                <w:spacing w:val="3"/>
                <w:w w:val="28"/>
                <w:shd w:val="solid" w:color="000000" w:fill="000000"/>
                <w:fitText w:val="125" w:id="-694445563"/>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6E7A830F" w14:textId="7EBCE16E"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2"/>
                <w14:textFill>
                  <w14:solidFill>
                    <w14:srgbClr w14:val="000000">
                      <w14:alpha w14:val="100000"/>
                    </w14:srgbClr>
                  </w14:solidFill>
                </w14:textFill>
              </w:rPr>
              <w:t xml:space="preserve">　</w:t>
            </w:r>
            <w:r w:rsidRPr="008C30A7">
              <w:rPr>
                <w:color w:val="000000"/>
                <w:w w:val="28"/>
                <w:shd w:val="solid" w:color="000000" w:fill="000000"/>
                <w:fitText w:val="125" w:id="-694445562"/>
                <w14:textFill>
                  <w14:solidFill>
                    <w14:srgbClr w14:val="000000">
                      <w14:alpha w14:val="100000"/>
                    </w14:srgbClr>
                  </w14:solidFill>
                </w14:textFill>
              </w:rPr>
              <w:t>|</w:t>
            </w:r>
            <w:r w:rsidRPr="008C30A7">
              <w:rPr>
                <w:rFonts w:hint="eastAsia"/>
                <w:color w:val="000000"/>
                <w:spacing w:val="3"/>
                <w:w w:val="28"/>
                <w:shd w:val="solid" w:color="000000" w:fill="000000"/>
                <w:fitText w:val="125" w:id="-694445562"/>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6D02D96C" w14:textId="457CEF16"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1"/>
                <w14:textFill>
                  <w14:solidFill>
                    <w14:srgbClr w14:val="000000">
                      <w14:alpha w14:val="100000"/>
                    </w14:srgbClr>
                  </w14:solidFill>
                </w14:textFill>
              </w:rPr>
              <w:t xml:space="preserve">　</w:t>
            </w:r>
            <w:r w:rsidRPr="008C30A7">
              <w:rPr>
                <w:color w:val="000000"/>
                <w:w w:val="28"/>
                <w:shd w:val="solid" w:color="000000" w:fill="000000"/>
                <w:fitText w:val="125" w:id="-694445561"/>
                <w14:textFill>
                  <w14:solidFill>
                    <w14:srgbClr w14:val="000000">
                      <w14:alpha w14:val="100000"/>
                    </w14:srgbClr>
                  </w14:solidFill>
                </w14:textFill>
              </w:rPr>
              <w:t>|</w:t>
            </w:r>
            <w:r w:rsidRPr="008C30A7">
              <w:rPr>
                <w:rFonts w:hint="eastAsia"/>
                <w:color w:val="000000"/>
                <w:spacing w:val="3"/>
                <w:w w:val="28"/>
                <w:shd w:val="solid" w:color="000000" w:fill="000000"/>
                <w:fitText w:val="125" w:id="-694445561"/>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215BF18F" w14:textId="3006EAB8"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0"/>
                <w14:textFill>
                  <w14:solidFill>
                    <w14:srgbClr w14:val="000000">
                      <w14:alpha w14:val="100000"/>
                    </w14:srgbClr>
                  </w14:solidFill>
                </w14:textFill>
              </w:rPr>
              <w:t xml:space="preserve">　</w:t>
            </w:r>
            <w:r w:rsidRPr="008C30A7">
              <w:rPr>
                <w:color w:val="000000"/>
                <w:w w:val="28"/>
                <w:shd w:val="solid" w:color="000000" w:fill="000000"/>
                <w:fitText w:val="125" w:id="-694445560"/>
                <w14:textFill>
                  <w14:solidFill>
                    <w14:srgbClr w14:val="000000">
                      <w14:alpha w14:val="100000"/>
                    </w14:srgbClr>
                  </w14:solidFill>
                </w14:textFill>
              </w:rPr>
              <w:t>|</w:t>
            </w:r>
            <w:r w:rsidRPr="008C30A7">
              <w:rPr>
                <w:rFonts w:hint="eastAsia"/>
                <w:color w:val="000000"/>
                <w:spacing w:val="3"/>
                <w:w w:val="28"/>
                <w:shd w:val="solid" w:color="000000" w:fill="000000"/>
                <w:fitText w:val="125" w:id="-694445560"/>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5F4EAF06" w14:textId="3D4CFB5E"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9"/>
                <w14:textFill>
                  <w14:solidFill>
                    <w14:srgbClr w14:val="000000">
                      <w14:alpha w14:val="100000"/>
                    </w14:srgbClr>
                  </w14:solidFill>
                </w14:textFill>
              </w:rPr>
              <w:t xml:space="preserve">　</w:t>
            </w:r>
            <w:r w:rsidRPr="008C30A7">
              <w:rPr>
                <w:color w:val="000000"/>
                <w:w w:val="28"/>
                <w:shd w:val="solid" w:color="000000" w:fill="000000"/>
                <w:fitText w:val="125" w:id="-694445559"/>
                <w14:textFill>
                  <w14:solidFill>
                    <w14:srgbClr w14:val="000000">
                      <w14:alpha w14:val="100000"/>
                    </w14:srgbClr>
                  </w14:solidFill>
                </w14:textFill>
              </w:rPr>
              <w:t>|</w:t>
            </w:r>
            <w:r w:rsidRPr="008C30A7">
              <w:rPr>
                <w:rFonts w:hint="eastAsia"/>
                <w:color w:val="000000"/>
                <w:spacing w:val="3"/>
                <w:w w:val="28"/>
                <w:shd w:val="solid" w:color="000000" w:fill="000000"/>
                <w:fitText w:val="125" w:id="-694445559"/>
                <w14:textFill>
                  <w14:solidFill>
                    <w14:srgbClr w14:val="000000">
                      <w14:alpha w14:val="100000"/>
                    </w14:srgbClr>
                  </w14:solidFill>
                </w14:textFill>
              </w:rPr>
              <w:t xml:space="preserve">　</w:t>
            </w:r>
            <w:r w:rsidR="001E7C4E" w:rsidRPr="001E7C4E">
              <w:rPr>
                <w:vertAlign w:val="superscript"/>
              </w:rPr>
              <w:t>1</w:t>
            </w:r>
          </w:p>
        </w:tc>
        <w:tc>
          <w:tcPr>
            <w:tcW w:w="688" w:type="pct"/>
            <w:vAlign w:val="center"/>
          </w:tcPr>
          <w:p w14:paraId="689D5C3C" w14:textId="1660F159"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1E7C4E" w:rsidRPr="001E7C4E">
              <w:rPr>
                <w:vertAlign w:val="superscript"/>
              </w:rPr>
              <w:t>1</w:t>
            </w:r>
          </w:p>
        </w:tc>
      </w:tr>
      <w:tr w:rsidR="0031567A" w:rsidRPr="0031567A" w14:paraId="58CFF476" w14:textId="77777777" w:rsidTr="00562818">
        <w:tc>
          <w:tcPr>
            <w:tcW w:w="1625" w:type="pct"/>
            <w:vAlign w:val="center"/>
          </w:tcPr>
          <w:p w14:paraId="25354D5A" w14:textId="77777777" w:rsidR="0031567A" w:rsidRPr="0031567A" w:rsidDel="00E722D4"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Pts in Stratum 2 relapse</w:t>
            </w:r>
          </w:p>
        </w:tc>
        <w:tc>
          <w:tcPr>
            <w:tcW w:w="537" w:type="pct"/>
            <w:vAlign w:val="center"/>
          </w:tcPr>
          <w:p w14:paraId="08E54BA4" w14:textId="19039601"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8"/>
                <w14:textFill>
                  <w14:solidFill>
                    <w14:srgbClr w14:val="000000">
                      <w14:alpha w14:val="100000"/>
                    </w14:srgbClr>
                  </w14:solidFill>
                </w14:textFill>
              </w:rPr>
              <w:t xml:space="preserve">　</w:t>
            </w:r>
            <w:r w:rsidRPr="008C30A7">
              <w:rPr>
                <w:color w:val="000000"/>
                <w:w w:val="28"/>
                <w:shd w:val="solid" w:color="000000" w:fill="000000"/>
                <w:fitText w:val="125" w:id="-694445558"/>
                <w14:textFill>
                  <w14:solidFill>
                    <w14:srgbClr w14:val="000000">
                      <w14:alpha w14:val="100000"/>
                    </w14:srgbClr>
                  </w14:solidFill>
                </w14:textFill>
              </w:rPr>
              <w:t>|</w:t>
            </w:r>
            <w:r w:rsidRPr="008C30A7">
              <w:rPr>
                <w:rFonts w:hint="eastAsia"/>
                <w:color w:val="000000"/>
                <w:spacing w:val="3"/>
                <w:w w:val="28"/>
                <w:shd w:val="solid" w:color="000000" w:fill="000000"/>
                <w:fitText w:val="125" w:id="-694445558"/>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5F93932A" w14:textId="10EC9135"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7"/>
                <w14:textFill>
                  <w14:solidFill>
                    <w14:srgbClr w14:val="000000">
                      <w14:alpha w14:val="100000"/>
                    </w14:srgbClr>
                  </w14:solidFill>
                </w14:textFill>
              </w:rPr>
              <w:t xml:space="preserve">　</w:t>
            </w:r>
            <w:r w:rsidRPr="008C30A7">
              <w:rPr>
                <w:color w:val="000000"/>
                <w:w w:val="28"/>
                <w:shd w:val="solid" w:color="000000" w:fill="000000"/>
                <w:fitText w:val="125" w:id="-694445557"/>
                <w14:textFill>
                  <w14:solidFill>
                    <w14:srgbClr w14:val="000000">
                      <w14:alpha w14:val="100000"/>
                    </w14:srgbClr>
                  </w14:solidFill>
                </w14:textFill>
              </w:rPr>
              <w:t>|</w:t>
            </w:r>
            <w:r w:rsidRPr="008C30A7">
              <w:rPr>
                <w:rFonts w:hint="eastAsia"/>
                <w:color w:val="000000"/>
                <w:spacing w:val="3"/>
                <w:w w:val="28"/>
                <w:shd w:val="solid" w:color="000000" w:fill="000000"/>
                <w:fitText w:val="125" w:id="-694445557"/>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3B81A220" w14:textId="2A7C8CF3"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6"/>
                <w14:textFill>
                  <w14:solidFill>
                    <w14:srgbClr w14:val="000000">
                      <w14:alpha w14:val="100000"/>
                    </w14:srgbClr>
                  </w14:solidFill>
                </w14:textFill>
              </w:rPr>
              <w:t xml:space="preserve">　</w:t>
            </w:r>
            <w:r w:rsidRPr="008C30A7">
              <w:rPr>
                <w:color w:val="000000"/>
                <w:w w:val="28"/>
                <w:shd w:val="solid" w:color="000000" w:fill="000000"/>
                <w:fitText w:val="125" w:id="-694445556"/>
                <w14:textFill>
                  <w14:solidFill>
                    <w14:srgbClr w14:val="000000">
                      <w14:alpha w14:val="100000"/>
                    </w14:srgbClr>
                  </w14:solidFill>
                </w14:textFill>
              </w:rPr>
              <w:t>|</w:t>
            </w:r>
            <w:r w:rsidRPr="008C30A7">
              <w:rPr>
                <w:rFonts w:hint="eastAsia"/>
                <w:color w:val="000000"/>
                <w:spacing w:val="3"/>
                <w:w w:val="28"/>
                <w:shd w:val="solid" w:color="000000" w:fill="000000"/>
                <w:fitText w:val="125" w:id="-694445556"/>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773586BB" w14:textId="66F0C8C6"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5"/>
                <w14:textFill>
                  <w14:solidFill>
                    <w14:srgbClr w14:val="000000">
                      <w14:alpha w14:val="100000"/>
                    </w14:srgbClr>
                  </w14:solidFill>
                </w14:textFill>
              </w:rPr>
              <w:t xml:space="preserve">　</w:t>
            </w:r>
            <w:r w:rsidRPr="008C30A7">
              <w:rPr>
                <w:color w:val="000000"/>
                <w:w w:val="28"/>
                <w:shd w:val="solid" w:color="000000" w:fill="000000"/>
                <w:fitText w:val="125" w:id="-694445555"/>
                <w14:textFill>
                  <w14:solidFill>
                    <w14:srgbClr w14:val="000000">
                      <w14:alpha w14:val="100000"/>
                    </w14:srgbClr>
                  </w14:solidFill>
                </w14:textFill>
              </w:rPr>
              <w:t>|</w:t>
            </w:r>
            <w:r w:rsidRPr="008C30A7">
              <w:rPr>
                <w:rFonts w:hint="eastAsia"/>
                <w:color w:val="000000"/>
                <w:spacing w:val="3"/>
                <w:w w:val="28"/>
                <w:shd w:val="solid" w:color="000000" w:fill="000000"/>
                <w:fitText w:val="125" w:id="-694445555"/>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5B7E9D5B" w14:textId="18DD9C14"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4"/>
                <w14:textFill>
                  <w14:solidFill>
                    <w14:srgbClr w14:val="000000">
                      <w14:alpha w14:val="100000"/>
                    </w14:srgbClr>
                  </w14:solidFill>
                </w14:textFill>
              </w:rPr>
              <w:t xml:space="preserve">　</w:t>
            </w:r>
            <w:r w:rsidRPr="008C30A7">
              <w:rPr>
                <w:color w:val="000000"/>
                <w:w w:val="28"/>
                <w:shd w:val="solid" w:color="000000" w:fill="000000"/>
                <w:fitText w:val="125" w:id="-694445554"/>
                <w14:textFill>
                  <w14:solidFill>
                    <w14:srgbClr w14:val="000000">
                      <w14:alpha w14:val="100000"/>
                    </w14:srgbClr>
                  </w14:solidFill>
                </w14:textFill>
              </w:rPr>
              <w:t>|</w:t>
            </w:r>
            <w:r w:rsidRPr="008C30A7">
              <w:rPr>
                <w:rFonts w:hint="eastAsia"/>
                <w:color w:val="000000"/>
                <w:spacing w:val="3"/>
                <w:w w:val="28"/>
                <w:shd w:val="solid" w:color="000000" w:fill="000000"/>
                <w:fitText w:val="125" w:id="-694445554"/>
                <w14:textFill>
                  <w14:solidFill>
                    <w14:srgbClr w14:val="000000">
                      <w14:alpha w14:val="100000"/>
                    </w14:srgbClr>
                  </w14:solidFill>
                </w14:textFill>
              </w:rPr>
              <w:t xml:space="preserve">　</w:t>
            </w:r>
            <w:r w:rsidR="001E7C4E" w:rsidRPr="001E7C4E">
              <w:rPr>
                <w:vertAlign w:val="superscript"/>
              </w:rPr>
              <w:t>1</w:t>
            </w:r>
          </w:p>
        </w:tc>
        <w:tc>
          <w:tcPr>
            <w:tcW w:w="688" w:type="pct"/>
            <w:vAlign w:val="center"/>
          </w:tcPr>
          <w:p w14:paraId="23679BC7" w14:textId="74223EC2"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1E7C4E" w:rsidRPr="001E7C4E">
              <w:rPr>
                <w:vertAlign w:val="superscript"/>
              </w:rPr>
              <w:t>1</w:t>
            </w:r>
          </w:p>
        </w:tc>
      </w:tr>
      <w:tr w:rsidR="0031567A" w:rsidRPr="0031567A" w14:paraId="3FE0E0F3" w14:textId="77777777" w:rsidTr="00562818">
        <w:tc>
          <w:tcPr>
            <w:tcW w:w="1625" w:type="pct"/>
            <w:vAlign w:val="center"/>
          </w:tcPr>
          <w:p w14:paraId="3CE24489" w14:textId="77777777"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Pts grandfathered</w:t>
            </w:r>
          </w:p>
        </w:tc>
        <w:tc>
          <w:tcPr>
            <w:tcW w:w="537" w:type="pct"/>
            <w:vAlign w:val="center"/>
          </w:tcPr>
          <w:p w14:paraId="4F6C044D" w14:textId="0CA7849C"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3"/>
                <w14:textFill>
                  <w14:solidFill>
                    <w14:srgbClr w14:val="000000">
                      <w14:alpha w14:val="100000"/>
                    </w14:srgbClr>
                  </w14:solidFill>
                </w14:textFill>
              </w:rPr>
              <w:t xml:space="preserve">　</w:t>
            </w:r>
            <w:r w:rsidRPr="008C30A7">
              <w:rPr>
                <w:color w:val="000000"/>
                <w:w w:val="28"/>
                <w:shd w:val="solid" w:color="000000" w:fill="000000"/>
                <w:fitText w:val="125" w:id="-694445553"/>
                <w14:textFill>
                  <w14:solidFill>
                    <w14:srgbClr w14:val="000000">
                      <w14:alpha w14:val="100000"/>
                    </w14:srgbClr>
                  </w14:solidFill>
                </w14:textFill>
              </w:rPr>
              <w:t>|</w:t>
            </w:r>
            <w:r w:rsidRPr="008C30A7">
              <w:rPr>
                <w:rFonts w:hint="eastAsia"/>
                <w:color w:val="000000"/>
                <w:spacing w:val="3"/>
                <w:w w:val="28"/>
                <w:shd w:val="solid" w:color="000000" w:fill="000000"/>
                <w:fitText w:val="125" w:id="-694445553"/>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7DEDD137" w14:textId="1C9348AD"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52"/>
                <w14:textFill>
                  <w14:solidFill>
                    <w14:srgbClr w14:val="000000">
                      <w14:alpha w14:val="100000"/>
                    </w14:srgbClr>
                  </w14:solidFill>
                </w14:textFill>
              </w:rPr>
              <w:t xml:space="preserve">　</w:t>
            </w:r>
            <w:r w:rsidRPr="008C30A7">
              <w:rPr>
                <w:color w:val="000000"/>
                <w:w w:val="28"/>
                <w:shd w:val="solid" w:color="000000" w:fill="000000"/>
                <w:fitText w:val="125" w:id="-694445552"/>
                <w14:textFill>
                  <w14:solidFill>
                    <w14:srgbClr w14:val="000000">
                      <w14:alpha w14:val="100000"/>
                    </w14:srgbClr>
                  </w14:solidFill>
                </w14:textFill>
              </w:rPr>
              <w:t>|</w:t>
            </w:r>
            <w:r w:rsidRPr="008C30A7">
              <w:rPr>
                <w:rFonts w:hint="eastAsia"/>
                <w:color w:val="000000"/>
                <w:spacing w:val="3"/>
                <w:w w:val="28"/>
                <w:shd w:val="solid" w:color="000000" w:fill="000000"/>
                <w:fitText w:val="125" w:id="-694445552"/>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2780239E" w14:textId="6A7007FB"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8"/>
                <w14:textFill>
                  <w14:solidFill>
                    <w14:srgbClr w14:val="000000">
                      <w14:alpha w14:val="100000"/>
                    </w14:srgbClr>
                  </w14:solidFill>
                </w14:textFill>
              </w:rPr>
              <w:t xml:space="preserve">　</w:t>
            </w:r>
            <w:r w:rsidRPr="008C30A7">
              <w:rPr>
                <w:color w:val="000000"/>
                <w:w w:val="28"/>
                <w:shd w:val="solid" w:color="000000" w:fill="000000"/>
                <w:fitText w:val="125" w:id="-694445568"/>
                <w14:textFill>
                  <w14:solidFill>
                    <w14:srgbClr w14:val="000000">
                      <w14:alpha w14:val="100000"/>
                    </w14:srgbClr>
                  </w14:solidFill>
                </w14:textFill>
              </w:rPr>
              <w:t>|</w:t>
            </w:r>
            <w:r w:rsidRPr="008C30A7">
              <w:rPr>
                <w:rFonts w:hint="eastAsia"/>
                <w:color w:val="000000"/>
                <w:spacing w:val="3"/>
                <w:w w:val="28"/>
                <w:shd w:val="solid" w:color="000000" w:fill="000000"/>
                <w:fitText w:val="125" w:id="-694445568"/>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79E328F4" w14:textId="71B2DD1E"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7"/>
                <w14:textFill>
                  <w14:solidFill>
                    <w14:srgbClr w14:val="000000">
                      <w14:alpha w14:val="100000"/>
                    </w14:srgbClr>
                  </w14:solidFill>
                </w14:textFill>
              </w:rPr>
              <w:t xml:space="preserve">　</w:t>
            </w:r>
            <w:r w:rsidRPr="008C30A7">
              <w:rPr>
                <w:color w:val="000000"/>
                <w:w w:val="28"/>
                <w:shd w:val="solid" w:color="000000" w:fill="000000"/>
                <w:fitText w:val="125" w:id="-694445567"/>
                <w14:textFill>
                  <w14:solidFill>
                    <w14:srgbClr w14:val="000000">
                      <w14:alpha w14:val="100000"/>
                    </w14:srgbClr>
                  </w14:solidFill>
                </w14:textFill>
              </w:rPr>
              <w:t>|</w:t>
            </w:r>
            <w:r w:rsidRPr="008C30A7">
              <w:rPr>
                <w:rFonts w:hint="eastAsia"/>
                <w:color w:val="000000"/>
                <w:spacing w:val="3"/>
                <w:w w:val="28"/>
                <w:shd w:val="solid" w:color="000000" w:fill="000000"/>
                <w:fitText w:val="125" w:id="-694445567"/>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1AA72090" w14:textId="0076564C"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6"/>
                <w14:textFill>
                  <w14:solidFill>
                    <w14:srgbClr w14:val="000000">
                      <w14:alpha w14:val="100000"/>
                    </w14:srgbClr>
                  </w14:solidFill>
                </w14:textFill>
              </w:rPr>
              <w:t xml:space="preserve">　</w:t>
            </w:r>
            <w:r w:rsidRPr="008C30A7">
              <w:rPr>
                <w:color w:val="000000"/>
                <w:w w:val="28"/>
                <w:shd w:val="solid" w:color="000000" w:fill="000000"/>
                <w:fitText w:val="125" w:id="-694445566"/>
                <w14:textFill>
                  <w14:solidFill>
                    <w14:srgbClr w14:val="000000">
                      <w14:alpha w14:val="100000"/>
                    </w14:srgbClr>
                  </w14:solidFill>
                </w14:textFill>
              </w:rPr>
              <w:t>|</w:t>
            </w:r>
            <w:r w:rsidRPr="008C30A7">
              <w:rPr>
                <w:rFonts w:hint="eastAsia"/>
                <w:color w:val="000000"/>
                <w:spacing w:val="3"/>
                <w:w w:val="28"/>
                <w:shd w:val="solid" w:color="000000" w:fill="000000"/>
                <w:fitText w:val="125" w:id="-694445566"/>
                <w14:textFill>
                  <w14:solidFill>
                    <w14:srgbClr w14:val="000000">
                      <w14:alpha w14:val="100000"/>
                    </w14:srgbClr>
                  </w14:solidFill>
                </w14:textFill>
              </w:rPr>
              <w:t xml:space="preserve">　</w:t>
            </w:r>
            <w:r w:rsidR="001E7C4E" w:rsidRPr="001E7C4E">
              <w:rPr>
                <w:vertAlign w:val="superscript"/>
              </w:rPr>
              <w:t>1</w:t>
            </w:r>
          </w:p>
        </w:tc>
        <w:tc>
          <w:tcPr>
            <w:tcW w:w="688" w:type="pct"/>
            <w:vAlign w:val="center"/>
          </w:tcPr>
          <w:p w14:paraId="1898FAF9" w14:textId="19B656BF"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1E7C4E" w:rsidRPr="001E7C4E">
              <w:rPr>
                <w:vertAlign w:val="superscript"/>
              </w:rPr>
              <w:t>1</w:t>
            </w:r>
          </w:p>
        </w:tc>
      </w:tr>
      <w:tr w:rsidR="0031567A" w:rsidRPr="0031567A" w14:paraId="1D61EC04" w14:textId="77777777" w:rsidTr="00562818">
        <w:tc>
          <w:tcPr>
            <w:tcW w:w="1625" w:type="pct"/>
            <w:vAlign w:val="center"/>
          </w:tcPr>
          <w:p w14:paraId="3122907D" w14:textId="13ED0788" w:rsidR="0031567A" w:rsidRPr="0031567A" w:rsidRDefault="0031567A">
            <w:pPr>
              <w:jc w:val="left"/>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Total initial</w:t>
            </w:r>
            <w:r w:rsidR="004C1EEE">
              <w:rPr>
                <w:rFonts w:ascii="Arial Narrow" w:eastAsiaTheme="majorEastAsia" w:hAnsi="Arial Narrow" w:cstheme="majorBidi"/>
                <w:b/>
                <w:bCs/>
                <w:sz w:val="20"/>
                <w:szCs w:val="20"/>
              </w:rPr>
              <w:t xml:space="preserve"> incident</w:t>
            </w:r>
            <w:r w:rsidRPr="0031567A">
              <w:rPr>
                <w:rFonts w:ascii="Arial Narrow" w:eastAsiaTheme="majorEastAsia" w:hAnsi="Arial Narrow" w:cstheme="majorBidi"/>
                <w:b/>
                <w:bCs/>
                <w:sz w:val="20"/>
                <w:szCs w:val="20"/>
              </w:rPr>
              <w:t xml:space="preserve"> pts eflornithine</w:t>
            </w:r>
          </w:p>
        </w:tc>
        <w:tc>
          <w:tcPr>
            <w:tcW w:w="537" w:type="pct"/>
            <w:vAlign w:val="center"/>
          </w:tcPr>
          <w:p w14:paraId="160DC675" w14:textId="0330C483"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5"/>
                <w14:textFill>
                  <w14:solidFill>
                    <w14:srgbClr w14:val="000000">
                      <w14:alpha w14:val="100000"/>
                    </w14:srgbClr>
                  </w14:solidFill>
                </w14:textFill>
              </w:rPr>
              <w:t xml:space="preserve">　</w:t>
            </w:r>
            <w:r w:rsidRPr="008C30A7">
              <w:rPr>
                <w:color w:val="000000"/>
                <w:w w:val="28"/>
                <w:shd w:val="solid" w:color="000000" w:fill="000000"/>
                <w:fitText w:val="125" w:id="-694445565"/>
                <w14:textFill>
                  <w14:solidFill>
                    <w14:srgbClr w14:val="000000">
                      <w14:alpha w14:val="100000"/>
                    </w14:srgbClr>
                  </w14:solidFill>
                </w14:textFill>
              </w:rPr>
              <w:t>|</w:t>
            </w:r>
            <w:r w:rsidRPr="008C30A7">
              <w:rPr>
                <w:rFonts w:hint="eastAsia"/>
                <w:color w:val="000000"/>
                <w:spacing w:val="3"/>
                <w:w w:val="28"/>
                <w:shd w:val="solid" w:color="000000" w:fill="000000"/>
                <w:fitText w:val="125" w:id="-694445565"/>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29832F14" w14:textId="247F1073"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4"/>
                <w14:textFill>
                  <w14:solidFill>
                    <w14:srgbClr w14:val="000000">
                      <w14:alpha w14:val="100000"/>
                    </w14:srgbClr>
                  </w14:solidFill>
                </w14:textFill>
              </w:rPr>
              <w:t xml:space="preserve">　</w:t>
            </w:r>
            <w:r w:rsidRPr="008C30A7">
              <w:rPr>
                <w:color w:val="000000"/>
                <w:w w:val="28"/>
                <w:shd w:val="solid" w:color="000000" w:fill="000000"/>
                <w:fitText w:val="125" w:id="-694445564"/>
                <w14:textFill>
                  <w14:solidFill>
                    <w14:srgbClr w14:val="000000">
                      <w14:alpha w14:val="100000"/>
                    </w14:srgbClr>
                  </w14:solidFill>
                </w14:textFill>
              </w:rPr>
              <w:t>|</w:t>
            </w:r>
            <w:r w:rsidRPr="008C30A7">
              <w:rPr>
                <w:rFonts w:hint="eastAsia"/>
                <w:color w:val="000000"/>
                <w:spacing w:val="3"/>
                <w:w w:val="28"/>
                <w:shd w:val="solid" w:color="000000" w:fill="000000"/>
                <w:fitText w:val="125" w:id="-694445564"/>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28B1CB10" w14:textId="17CA755C"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3"/>
                <w14:textFill>
                  <w14:solidFill>
                    <w14:srgbClr w14:val="000000">
                      <w14:alpha w14:val="100000"/>
                    </w14:srgbClr>
                  </w14:solidFill>
                </w14:textFill>
              </w:rPr>
              <w:t xml:space="preserve">　</w:t>
            </w:r>
            <w:r w:rsidRPr="008C30A7">
              <w:rPr>
                <w:color w:val="000000"/>
                <w:w w:val="28"/>
                <w:shd w:val="solid" w:color="000000" w:fill="000000"/>
                <w:fitText w:val="125" w:id="-694445563"/>
                <w14:textFill>
                  <w14:solidFill>
                    <w14:srgbClr w14:val="000000">
                      <w14:alpha w14:val="100000"/>
                    </w14:srgbClr>
                  </w14:solidFill>
                </w14:textFill>
              </w:rPr>
              <w:t>|</w:t>
            </w:r>
            <w:r w:rsidRPr="008C30A7">
              <w:rPr>
                <w:rFonts w:hint="eastAsia"/>
                <w:color w:val="000000"/>
                <w:spacing w:val="3"/>
                <w:w w:val="28"/>
                <w:shd w:val="solid" w:color="000000" w:fill="000000"/>
                <w:fitText w:val="125" w:id="-694445563"/>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47C7F283" w14:textId="6A4701EA"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2"/>
                <w14:textFill>
                  <w14:solidFill>
                    <w14:srgbClr w14:val="000000">
                      <w14:alpha w14:val="100000"/>
                    </w14:srgbClr>
                  </w14:solidFill>
                </w14:textFill>
              </w:rPr>
              <w:t xml:space="preserve">　</w:t>
            </w:r>
            <w:r w:rsidRPr="008C30A7">
              <w:rPr>
                <w:color w:val="000000"/>
                <w:w w:val="28"/>
                <w:shd w:val="solid" w:color="000000" w:fill="000000"/>
                <w:fitText w:val="125" w:id="-694445562"/>
                <w14:textFill>
                  <w14:solidFill>
                    <w14:srgbClr w14:val="000000">
                      <w14:alpha w14:val="100000"/>
                    </w14:srgbClr>
                  </w14:solidFill>
                </w14:textFill>
              </w:rPr>
              <w:t>|</w:t>
            </w:r>
            <w:r w:rsidRPr="008C30A7">
              <w:rPr>
                <w:rFonts w:hint="eastAsia"/>
                <w:color w:val="000000"/>
                <w:spacing w:val="3"/>
                <w:w w:val="28"/>
                <w:shd w:val="solid" w:color="000000" w:fill="000000"/>
                <w:fitText w:val="125" w:id="-694445562"/>
                <w14:textFill>
                  <w14:solidFill>
                    <w14:srgbClr w14:val="000000">
                      <w14:alpha w14:val="100000"/>
                    </w14:srgbClr>
                  </w14:solidFill>
                </w14:textFill>
              </w:rPr>
              <w:t xml:space="preserve">　</w:t>
            </w:r>
            <w:r w:rsidR="001E7C4E" w:rsidRPr="001E7C4E">
              <w:rPr>
                <w:vertAlign w:val="superscript"/>
              </w:rPr>
              <w:t>1</w:t>
            </w:r>
          </w:p>
        </w:tc>
        <w:tc>
          <w:tcPr>
            <w:tcW w:w="537" w:type="pct"/>
            <w:vAlign w:val="center"/>
          </w:tcPr>
          <w:p w14:paraId="5CAF734A" w14:textId="0EE9B3D4" w:rsidR="0031567A" w:rsidRPr="00236702" w:rsidRDefault="008C30A7">
            <w:pPr>
              <w:pStyle w:val="TableText0"/>
              <w:keepNext w:val="0"/>
              <w:jc w:val="center"/>
              <w:rPr>
                <w:szCs w:val="20"/>
                <w:highlight w:val="darkGray"/>
              </w:rPr>
            </w:pPr>
            <w:r w:rsidRPr="008C30A7">
              <w:rPr>
                <w:rFonts w:hint="eastAsia"/>
                <w:color w:val="000000"/>
                <w:w w:val="28"/>
                <w:shd w:val="solid" w:color="000000" w:fill="000000"/>
                <w:fitText w:val="125" w:id="-694445561"/>
                <w14:textFill>
                  <w14:solidFill>
                    <w14:srgbClr w14:val="000000">
                      <w14:alpha w14:val="100000"/>
                    </w14:srgbClr>
                  </w14:solidFill>
                </w14:textFill>
              </w:rPr>
              <w:t xml:space="preserve">　</w:t>
            </w:r>
            <w:r w:rsidRPr="008C30A7">
              <w:rPr>
                <w:color w:val="000000"/>
                <w:w w:val="28"/>
                <w:shd w:val="solid" w:color="000000" w:fill="000000"/>
                <w:fitText w:val="125" w:id="-694445561"/>
                <w14:textFill>
                  <w14:solidFill>
                    <w14:srgbClr w14:val="000000">
                      <w14:alpha w14:val="100000"/>
                    </w14:srgbClr>
                  </w14:solidFill>
                </w14:textFill>
              </w:rPr>
              <w:t>|</w:t>
            </w:r>
            <w:r w:rsidRPr="008C30A7">
              <w:rPr>
                <w:rFonts w:hint="eastAsia"/>
                <w:color w:val="000000"/>
                <w:spacing w:val="3"/>
                <w:w w:val="28"/>
                <w:shd w:val="solid" w:color="000000" w:fill="000000"/>
                <w:fitText w:val="125" w:id="-694445561"/>
                <w14:textFill>
                  <w14:solidFill>
                    <w14:srgbClr w14:val="000000">
                      <w14:alpha w14:val="100000"/>
                    </w14:srgbClr>
                  </w14:solidFill>
                </w14:textFill>
              </w:rPr>
              <w:t xml:space="preserve">　</w:t>
            </w:r>
            <w:r w:rsidR="001E7C4E" w:rsidRPr="001E7C4E">
              <w:rPr>
                <w:vertAlign w:val="superscript"/>
              </w:rPr>
              <w:t>1</w:t>
            </w:r>
          </w:p>
        </w:tc>
        <w:tc>
          <w:tcPr>
            <w:tcW w:w="688" w:type="pct"/>
            <w:vAlign w:val="center"/>
          </w:tcPr>
          <w:p w14:paraId="51E6C6B5" w14:textId="5E9A70B7"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1E7C4E" w:rsidRPr="001E7C4E">
              <w:rPr>
                <w:vertAlign w:val="superscript"/>
              </w:rPr>
              <w:t>1</w:t>
            </w:r>
          </w:p>
        </w:tc>
      </w:tr>
      <w:tr w:rsidR="0031567A" w:rsidRPr="0031567A" w14:paraId="5C5102C4" w14:textId="77777777">
        <w:trPr>
          <w:trHeight w:val="56"/>
        </w:trPr>
        <w:tc>
          <w:tcPr>
            <w:tcW w:w="5000" w:type="pct"/>
            <w:gridSpan w:val="7"/>
            <w:vAlign w:val="center"/>
          </w:tcPr>
          <w:p w14:paraId="50A81C42" w14:textId="77777777" w:rsidR="0031567A" w:rsidRPr="0031567A" w:rsidRDefault="0031567A">
            <w:pPr>
              <w:jc w:val="left"/>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 xml:space="preserve">Estimated financial implications for the PBS/RPBS and the health budget </w:t>
            </w:r>
          </w:p>
        </w:tc>
      </w:tr>
      <w:tr w:rsidR="0031567A" w:rsidRPr="0031567A" w14:paraId="07822C91" w14:textId="77777777">
        <w:tc>
          <w:tcPr>
            <w:tcW w:w="5000" w:type="pct"/>
            <w:gridSpan w:val="7"/>
            <w:vAlign w:val="center"/>
          </w:tcPr>
          <w:p w14:paraId="2AE3FD89" w14:textId="77777777" w:rsidR="0031567A" w:rsidRPr="0031567A" w:rsidRDefault="0031567A">
            <w:pPr>
              <w:pStyle w:val="TableText0"/>
              <w:keepNext w:val="0"/>
              <w:rPr>
                <w:b/>
                <w:bCs w:val="0"/>
              </w:rPr>
            </w:pPr>
            <w:r w:rsidRPr="0031567A">
              <w:rPr>
                <w:b/>
                <w:bCs w:val="0"/>
                <w:szCs w:val="20"/>
              </w:rPr>
              <w:t>Net change in PBS/RPBS scripts</w:t>
            </w:r>
          </w:p>
        </w:tc>
      </w:tr>
      <w:tr w:rsidR="0031567A" w:rsidRPr="0031567A" w14:paraId="40A75B9B" w14:textId="77777777" w:rsidTr="00562818">
        <w:tc>
          <w:tcPr>
            <w:tcW w:w="1625" w:type="pct"/>
            <w:vAlign w:val="center"/>
          </w:tcPr>
          <w:p w14:paraId="27F46835" w14:textId="62A82B2B"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Stratum 1 (inc</w:t>
            </w:r>
            <w:r w:rsidR="004F3258">
              <w:rPr>
                <w:rFonts w:ascii="Arial Narrow" w:eastAsiaTheme="majorEastAsia" w:hAnsi="Arial Narrow" w:cstheme="majorBidi"/>
                <w:bCs/>
                <w:sz w:val="20"/>
                <w:szCs w:val="20"/>
              </w:rPr>
              <w:t>luding</w:t>
            </w:r>
            <w:r w:rsidRPr="0031567A">
              <w:rPr>
                <w:rFonts w:ascii="Arial Narrow" w:eastAsiaTheme="majorEastAsia" w:hAnsi="Arial Narrow" w:cstheme="majorBidi"/>
                <w:bCs/>
                <w:sz w:val="20"/>
                <w:szCs w:val="20"/>
              </w:rPr>
              <w:t xml:space="preserve"> grandfathered) </w:t>
            </w:r>
          </w:p>
        </w:tc>
        <w:tc>
          <w:tcPr>
            <w:tcW w:w="537" w:type="pct"/>
          </w:tcPr>
          <w:p w14:paraId="664E6F33" w14:textId="6BAC2471"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0"/>
                <w14:textFill>
                  <w14:solidFill>
                    <w14:srgbClr w14:val="000000">
                      <w14:alpha w14:val="100000"/>
                    </w14:srgbClr>
                  </w14:solidFill>
                </w14:textFill>
              </w:rPr>
              <w:t xml:space="preserve">　</w:t>
            </w:r>
            <w:r w:rsidRPr="008C30A7">
              <w:rPr>
                <w:color w:val="000000"/>
                <w:w w:val="28"/>
                <w:shd w:val="solid" w:color="000000" w:fill="000000"/>
                <w:fitText w:val="125" w:id="-694445560"/>
                <w14:textFill>
                  <w14:solidFill>
                    <w14:srgbClr w14:val="000000">
                      <w14:alpha w14:val="100000"/>
                    </w14:srgbClr>
                  </w14:solidFill>
                </w14:textFill>
              </w:rPr>
              <w:t>|</w:t>
            </w:r>
            <w:r w:rsidRPr="008C30A7">
              <w:rPr>
                <w:rFonts w:hint="eastAsia"/>
                <w:color w:val="000000"/>
                <w:spacing w:val="3"/>
                <w:w w:val="28"/>
                <w:shd w:val="solid" w:color="000000" w:fill="000000"/>
                <w:fitText w:val="125" w:id="-694445560"/>
                <w14:textFill>
                  <w14:solidFill>
                    <w14:srgbClr w14:val="000000">
                      <w14:alpha w14:val="100000"/>
                    </w14:srgbClr>
                  </w14:solidFill>
                </w14:textFill>
              </w:rPr>
              <w:t xml:space="preserve">　</w:t>
            </w:r>
            <w:r w:rsidR="004750B8" w:rsidRPr="004750B8">
              <w:rPr>
                <w:vertAlign w:val="superscript"/>
              </w:rPr>
              <w:t>2</w:t>
            </w:r>
          </w:p>
        </w:tc>
        <w:tc>
          <w:tcPr>
            <w:tcW w:w="537" w:type="pct"/>
          </w:tcPr>
          <w:p w14:paraId="6A0CEF56" w14:textId="1B51D295"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9"/>
                <w14:textFill>
                  <w14:solidFill>
                    <w14:srgbClr w14:val="000000">
                      <w14:alpha w14:val="100000"/>
                    </w14:srgbClr>
                  </w14:solidFill>
                </w14:textFill>
              </w:rPr>
              <w:t xml:space="preserve">　</w:t>
            </w:r>
            <w:r w:rsidRPr="008C30A7">
              <w:rPr>
                <w:color w:val="000000"/>
                <w:w w:val="28"/>
                <w:shd w:val="solid" w:color="000000" w:fill="000000"/>
                <w:fitText w:val="125" w:id="-694445559"/>
                <w14:textFill>
                  <w14:solidFill>
                    <w14:srgbClr w14:val="000000">
                      <w14:alpha w14:val="100000"/>
                    </w14:srgbClr>
                  </w14:solidFill>
                </w14:textFill>
              </w:rPr>
              <w:t>|</w:t>
            </w:r>
            <w:r w:rsidRPr="008C30A7">
              <w:rPr>
                <w:rFonts w:hint="eastAsia"/>
                <w:color w:val="000000"/>
                <w:spacing w:val="3"/>
                <w:w w:val="28"/>
                <w:shd w:val="solid" w:color="000000" w:fill="000000"/>
                <w:fitText w:val="125" w:id="-694445559"/>
                <w14:textFill>
                  <w14:solidFill>
                    <w14:srgbClr w14:val="000000">
                      <w14:alpha w14:val="100000"/>
                    </w14:srgbClr>
                  </w14:solidFill>
                </w14:textFill>
              </w:rPr>
              <w:t xml:space="preserve">　</w:t>
            </w:r>
            <w:r w:rsidR="004750B8" w:rsidRPr="004750B8">
              <w:rPr>
                <w:vertAlign w:val="superscript"/>
              </w:rPr>
              <w:t>2</w:t>
            </w:r>
          </w:p>
        </w:tc>
        <w:tc>
          <w:tcPr>
            <w:tcW w:w="537" w:type="pct"/>
          </w:tcPr>
          <w:p w14:paraId="0D46A118" w14:textId="1E70F8B8"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8"/>
                <w14:textFill>
                  <w14:solidFill>
                    <w14:srgbClr w14:val="000000">
                      <w14:alpha w14:val="100000"/>
                    </w14:srgbClr>
                  </w14:solidFill>
                </w14:textFill>
              </w:rPr>
              <w:t xml:space="preserve">　</w:t>
            </w:r>
            <w:r w:rsidRPr="008C30A7">
              <w:rPr>
                <w:color w:val="000000"/>
                <w:w w:val="28"/>
                <w:shd w:val="solid" w:color="000000" w:fill="000000"/>
                <w:fitText w:val="125" w:id="-694445558"/>
                <w14:textFill>
                  <w14:solidFill>
                    <w14:srgbClr w14:val="000000">
                      <w14:alpha w14:val="100000"/>
                    </w14:srgbClr>
                  </w14:solidFill>
                </w14:textFill>
              </w:rPr>
              <w:t>|</w:t>
            </w:r>
            <w:r w:rsidRPr="008C30A7">
              <w:rPr>
                <w:rFonts w:hint="eastAsia"/>
                <w:color w:val="000000"/>
                <w:spacing w:val="3"/>
                <w:w w:val="28"/>
                <w:shd w:val="solid" w:color="000000" w:fill="000000"/>
                <w:fitText w:val="125" w:id="-694445558"/>
                <w14:textFill>
                  <w14:solidFill>
                    <w14:srgbClr w14:val="000000">
                      <w14:alpha w14:val="100000"/>
                    </w14:srgbClr>
                  </w14:solidFill>
                </w14:textFill>
              </w:rPr>
              <w:t xml:space="preserve">　</w:t>
            </w:r>
            <w:r w:rsidR="004750B8" w:rsidRPr="004750B8">
              <w:rPr>
                <w:vertAlign w:val="superscript"/>
              </w:rPr>
              <w:t>2</w:t>
            </w:r>
            <w:r w:rsidRPr="008C30A7">
              <w:t xml:space="preserve"> </w:t>
            </w:r>
          </w:p>
        </w:tc>
        <w:tc>
          <w:tcPr>
            <w:tcW w:w="537" w:type="pct"/>
          </w:tcPr>
          <w:p w14:paraId="699EC9F1" w14:textId="764AB882"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7"/>
                <w14:textFill>
                  <w14:solidFill>
                    <w14:srgbClr w14:val="000000">
                      <w14:alpha w14:val="100000"/>
                    </w14:srgbClr>
                  </w14:solidFill>
                </w14:textFill>
              </w:rPr>
              <w:t xml:space="preserve">　</w:t>
            </w:r>
            <w:r w:rsidRPr="008C30A7">
              <w:rPr>
                <w:color w:val="000000"/>
                <w:w w:val="28"/>
                <w:shd w:val="solid" w:color="000000" w:fill="000000"/>
                <w:fitText w:val="125" w:id="-694445557"/>
                <w14:textFill>
                  <w14:solidFill>
                    <w14:srgbClr w14:val="000000">
                      <w14:alpha w14:val="100000"/>
                    </w14:srgbClr>
                  </w14:solidFill>
                </w14:textFill>
              </w:rPr>
              <w:t>|</w:t>
            </w:r>
            <w:r w:rsidRPr="008C30A7">
              <w:rPr>
                <w:rFonts w:hint="eastAsia"/>
                <w:color w:val="000000"/>
                <w:spacing w:val="3"/>
                <w:w w:val="28"/>
                <w:shd w:val="solid" w:color="000000" w:fill="000000"/>
                <w:fitText w:val="125" w:id="-694445557"/>
                <w14:textFill>
                  <w14:solidFill>
                    <w14:srgbClr w14:val="000000">
                      <w14:alpha w14:val="100000"/>
                    </w14:srgbClr>
                  </w14:solidFill>
                </w14:textFill>
              </w:rPr>
              <w:t xml:space="preserve">　</w:t>
            </w:r>
            <w:r w:rsidR="004750B8" w:rsidRPr="004750B8">
              <w:rPr>
                <w:vertAlign w:val="superscript"/>
              </w:rPr>
              <w:t>2</w:t>
            </w:r>
            <w:r w:rsidRPr="008C30A7">
              <w:t xml:space="preserve"> </w:t>
            </w:r>
          </w:p>
        </w:tc>
        <w:tc>
          <w:tcPr>
            <w:tcW w:w="537" w:type="pct"/>
          </w:tcPr>
          <w:p w14:paraId="0BB6138C" w14:textId="2C2BAF2D"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6"/>
                <w14:textFill>
                  <w14:solidFill>
                    <w14:srgbClr w14:val="000000">
                      <w14:alpha w14:val="100000"/>
                    </w14:srgbClr>
                  </w14:solidFill>
                </w14:textFill>
              </w:rPr>
              <w:t xml:space="preserve">　</w:t>
            </w:r>
            <w:r w:rsidRPr="008C30A7">
              <w:rPr>
                <w:color w:val="000000"/>
                <w:w w:val="28"/>
                <w:shd w:val="solid" w:color="000000" w:fill="000000"/>
                <w:fitText w:val="125" w:id="-694445556"/>
                <w14:textFill>
                  <w14:solidFill>
                    <w14:srgbClr w14:val="000000">
                      <w14:alpha w14:val="100000"/>
                    </w14:srgbClr>
                  </w14:solidFill>
                </w14:textFill>
              </w:rPr>
              <w:t>|</w:t>
            </w:r>
            <w:r w:rsidRPr="008C30A7">
              <w:rPr>
                <w:rFonts w:hint="eastAsia"/>
                <w:color w:val="000000"/>
                <w:spacing w:val="3"/>
                <w:w w:val="28"/>
                <w:shd w:val="solid" w:color="000000" w:fill="000000"/>
                <w:fitText w:val="125" w:id="-694445556"/>
                <w14:textFill>
                  <w14:solidFill>
                    <w14:srgbClr w14:val="000000">
                      <w14:alpha w14:val="100000"/>
                    </w14:srgbClr>
                  </w14:solidFill>
                </w14:textFill>
              </w:rPr>
              <w:t xml:space="preserve">　</w:t>
            </w:r>
            <w:r w:rsidR="004750B8" w:rsidRPr="004750B8">
              <w:rPr>
                <w:vertAlign w:val="superscript"/>
              </w:rPr>
              <w:t>2</w:t>
            </w:r>
            <w:r w:rsidRPr="008C30A7">
              <w:t xml:space="preserve"> </w:t>
            </w:r>
          </w:p>
        </w:tc>
        <w:tc>
          <w:tcPr>
            <w:tcW w:w="688" w:type="pct"/>
          </w:tcPr>
          <w:p w14:paraId="63189209" w14:textId="4215DF67"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4750B8" w:rsidRPr="004750B8">
              <w:rPr>
                <w:vertAlign w:val="superscript"/>
              </w:rPr>
              <w:t>2</w:t>
            </w:r>
          </w:p>
        </w:tc>
      </w:tr>
      <w:tr w:rsidR="0031567A" w:rsidRPr="0031567A" w14:paraId="11352AC1" w14:textId="77777777" w:rsidTr="00562818">
        <w:tc>
          <w:tcPr>
            <w:tcW w:w="1625" w:type="pct"/>
            <w:vAlign w:val="center"/>
          </w:tcPr>
          <w:p w14:paraId="6F721835" w14:textId="77777777"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Stratum 2 only</w:t>
            </w:r>
          </w:p>
        </w:tc>
        <w:tc>
          <w:tcPr>
            <w:tcW w:w="537" w:type="pct"/>
          </w:tcPr>
          <w:p w14:paraId="07178D5D" w14:textId="58668727"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5"/>
                <w14:textFill>
                  <w14:solidFill>
                    <w14:srgbClr w14:val="000000">
                      <w14:alpha w14:val="100000"/>
                    </w14:srgbClr>
                  </w14:solidFill>
                </w14:textFill>
              </w:rPr>
              <w:t xml:space="preserve">　</w:t>
            </w:r>
            <w:r w:rsidRPr="008C30A7">
              <w:rPr>
                <w:color w:val="000000"/>
                <w:w w:val="28"/>
                <w:shd w:val="solid" w:color="000000" w:fill="000000"/>
                <w:fitText w:val="125" w:id="-694445555"/>
                <w14:textFill>
                  <w14:solidFill>
                    <w14:srgbClr w14:val="000000">
                      <w14:alpha w14:val="100000"/>
                    </w14:srgbClr>
                  </w14:solidFill>
                </w14:textFill>
              </w:rPr>
              <w:t>|</w:t>
            </w:r>
            <w:r w:rsidRPr="008C30A7">
              <w:rPr>
                <w:rFonts w:hint="eastAsia"/>
                <w:color w:val="000000"/>
                <w:spacing w:val="3"/>
                <w:w w:val="28"/>
                <w:shd w:val="solid" w:color="000000" w:fill="000000"/>
                <w:fitText w:val="125" w:id="-694445555"/>
                <w14:textFill>
                  <w14:solidFill>
                    <w14:srgbClr w14:val="000000">
                      <w14:alpha w14:val="100000"/>
                    </w14:srgbClr>
                  </w14:solidFill>
                </w14:textFill>
              </w:rPr>
              <w:t xml:space="preserve">　</w:t>
            </w:r>
            <w:r w:rsidR="001E7C4E" w:rsidRPr="001E7C4E">
              <w:rPr>
                <w:vertAlign w:val="superscript"/>
              </w:rPr>
              <w:t>1</w:t>
            </w:r>
            <w:r w:rsidRPr="008C30A7">
              <w:t xml:space="preserve"> </w:t>
            </w:r>
          </w:p>
        </w:tc>
        <w:tc>
          <w:tcPr>
            <w:tcW w:w="537" w:type="pct"/>
          </w:tcPr>
          <w:p w14:paraId="2D96CFAD" w14:textId="39B7A190"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4"/>
                <w14:textFill>
                  <w14:solidFill>
                    <w14:srgbClr w14:val="000000">
                      <w14:alpha w14:val="100000"/>
                    </w14:srgbClr>
                  </w14:solidFill>
                </w14:textFill>
              </w:rPr>
              <w:t xml:space="preserve">　</w:t>
            </w:r>
            <w:r w:rsidRPr="008C30A7">
              <w:rPr>
                <w:color w:val="000000"/>
                <w:w w:val="28"/>
                <w:shd w:val="solid" w:color="000000" w:fill="000000"/>
                <w:fitText w:val="125" w:id="-694445554"/>
                <w14:textFill>
                  <w14:solidFill>
                    <w14:srgbClr w14:val="000000">
                      <w14:alpha w14:val="100000"/>
                    </w14:srgbClr>
                  </w14:solidFill>
                </w14:textFill>
              </w:rPr>
              <w:t>|</w:t>
            </w:r>
            <w:r w:rsidRPr="008C30A7">
              <w:rPr>
                <w:rFonts w:hint="eastAsia"/>
                <w:color w:val="000000"/>
                <w:spacing w:val="3"/>
                <w:w w:val="28"/>
                <w:shd w:val="solid" w:color="000000" w:fill="000000"/>
                <w:fitText w:val="125" w:id="-694445554"/>
                <w14:textFill>
                  <w14:solidFill>
                    <w14:srgbClr w14:val="000000">
                      <w14:alpha w14:val="100000"/>
                    </w14:srgbClr>
                  </w14:solidFill>
                </w14:textFill>
              </w:rPr>
              <w:t xml:space="preserve">　</w:t>
            </w:r>
            <w:r w:rsidR="00221671" w:rsidRPr="001E7C4E">
              <w:rPr>
                <w:vertAlign w:val="superscript"/>
              </w:rPr>
              <w:t>1</w:t>
            </w:r>
          </w:p>
        </w:tc>
        <w:tc>
          <w:tcPr>
            <w:tcW w:w="537" w:type="pct"/>
          </w:tcPr>
          <w:p w14:paraId="0DA9DDBE" w14:textId="5027ACE9"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3"/>
                <w14:textFill>
                  <w14:solidFill>
                    <w14:srgbClr w14:val="000000">
                      <w14:alpha w14:val="100000"/>
                    </w14:srgbClr>
                  </w14:solidFill>
                </w14:textFill>
              </w:rPr>
              <w:t xml:space="preserve">　</w:t>
            </w:r>
            <w:r w:rsidRPr="008C30A7">
              <w:rPr>
                <w:color w:val="000000"/>
                <w:w w:val="28"/>
                <w:shd w:val="solid" w:color="000000" w:fill="000000"/>
                <w:fitText w:val="125" w:id="-694445553"/>
                <w14:textFill>
                  <w14:solidFill>
                    <w14:srgbClr w14:val="000000">
                      <w14:alpha w14:val="100000"/>
                    </w14:srgbClr>
                  </w14:solidFill>
                </w14:textFill>
              </w:rPr>
              <w:t>|</w:t>
            </w:r>
            <w:r w:rsidRPr="008C30A7">
              <w:rPr>
                <w:rFonts w:hint="eastAsia"/>
                <w:color w:val="000000"/>
                <w:spacing w:val="3"/>
                <w:w w:val="28"/>
                <w:shd w:val="solid" w:color="000000" w:fill="000000"/>
                <w:fitText w:val="125" w:id="-694445553"/>
                <w14:textFill>
                  <w14:solidFill>
                    <w14:srgbClr w14:val="000000">
                      <w14:alpha w14:val="100000"/>
                    </w14:srgbClr>
                  </w14:solidFill>
                </w14:textFill>
              </w:rPr>
              <w:t xml:space="preserve">　</w:t>
            </w:r>
            <w:r w:rsidR="00221671" w:rsidRPr="001E7C4E">
              <w:rPr>
                <w:vertAlign w:val="superscript"/>
              </w:rPr>
              <w:t>1</w:t>
            </w:r>
          </w:p>
        </w:tc>
        <w:tc>
          <w:tcPr>
            <w:tcW w:w="537" w:type="pct"/>
          </w:tcPr>
          <w:p w14:paraId="48AC76D9" w14:textId="5367C03F"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52"/>
                <w14:textFill>
                  <w14:solidFill>
                    <w14:srgbClr w14:val="000000">
                      <w14:alpha w14:val="100000"/>
                    </w14:srgbClr>
                  </w14:solidFill>
                </w14:textFill>
              </w:rPr>
              <w:t xml:space="preserve">　</w:t>
            </w:r>
            <w:r w:rsidRPr="008C30A7">
              <w:rPr>
                <w:color w:val="000000"/>
                <w:w w:val="28"/>
                <w:shd w:val="solid" w:color="000000" w:fill="000000"/>
                <w:fitText w:val="125" w:id="-694445552"/>
                <w14:textFill>
                  <w14:solidFill>
                    <w14:srgbClr w14:val="000000">
                      <w14:alpha w14:val="100000"/>
                    </w14:srgbClr>
                  </w14:solidFill>
                </w14:textFill>
              </w:rPr>
              <w:t>|</w:t>
            </w:r>
            <w:r w:rsidRPr="008C30A7">
              <w:rPr>
                <w:rFonts w:hint="eastAsia"/>
                <w:color w:val="000000"/>
                <w:spacing w:val="3"/>
                <w:w w:val="28"/>
                <w:shd w:val="solid" w:color="000000" w:fill="000000"/>
                <w:fitText w:val="125" w:id="-694445552"/>
                <w14:textFill>
                  <w14:solidFill>
                    <w14:srgbClr w14:val="000000">
                      <w14:alpha w14:val="100000"/>
                    </w14:srgbClr>
                  </w14:solidFill>
                </w14:textFill>
              </w:rPr>
              <w:t xml:space="preserve">　</w:t>
            </w:r>
            <w:r w:rsidR="00221671" w:rsidRPr="001E7C4E">
              <w:rPr>
                <w:vertAlign w:val="superscript"/>
              </w:rPr>
              <w:t>1</w:t>
            </w:r>
          </w:p>
        </w:tc>
        <w:tc>
          <w:tcPr>
            <w:tcW w:w="537" w:type="pct"/>
          </w:tcPr>
          <w:p w14:paraId="1B583ED9" w14:textId="65BA985A"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8"/>
                <w14:textFill>
                  <w14:solidFill>
                    <w14:srgbClr w14:val="000000">
                      <w14:alpha w14:val="100000"/>
                    </w14:srgbClr>
                  </w14:solidFill>
                </w14:textFill>
              </w:rPr>
              <w:t xml:space="preserve">　</w:t>
            </w:r>
            <w:r w:rsidRPr="008C30A7">
              <w:rPr>
                <w:color w:val="000000"/>
                <w:w w:val="28"/>
                <w:shd w:val="solid" w:color="000000" w:fill="000000"/>
                <w:fitText w:val="125" w:id="-694445568"/>
                <w14:textFill>
                  <w14:solidFill>
                    <w14:srgbClr w14:val="000000">
                      <w14:alpha w14:val="100000"/>
                    </w14:srgbClr>
                  </w14:solidFill>
                </w14:textFill>
              </w:rPr>
              <w:t>|</w:t>
            </w:r>
            <w:r w:rsidRPr="008C30A7">
              <w:rPr>
                <w:rFonts w:hint="eastAsia"/>
                <w:color w:val="000000"/>
                <w:spacing w:val="3"/>
                <w:w w:val="28"/>
                <w:shd w:val="solid" w:color="000000" w:fill="000000"/>
                <w:fitText w:val="125" w:id="-694445568"/>
                <w14:textFill>
                  <w14:solidFill>
                    <w14:srgbClr w14:val="000000">
                      <w14:alpha w14:val="100000"/>
                    </w14:srgbClr>
                  </w14:solidFill>
                </w14:textFill>
              </w:rPr>
              <w:t xml:space="preserve">　</w:t>
            </w:r>
            <w:r w:rsidR="00221671" w:rsidRPr="001E7C4E">
              <w:rPr>
                <w:vertAlign w:val="superscript"/>
              </w:rPr>
              <w:t>1</w:t>
            </w:r>
          </w:p>
        </w:tc>
        <w:tc>
          <w:tcPr>
            <w:tcW w:w="688" w:type="pct"/>
          </w:tcPr>
          <w:p w14:paraId="236FC068" w14:textId="2E561723"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1E7C4E" w:rsidRPr="001E7C4E">
              <w:rPr>
                <w:vertAlign w:val="superscript"/>
              </w:rPr>
              <w:t>1</w:t>
            </w:r>
            <w:r w:rsidRPr="008C30A7">
              <w:t xml:space="preserve"> </w:t>
            </w:r>
          </w:p>
        </w:tc>
      </w:tr>
      <w:tr w:rsidR="0031567A" w:rsidRPr="0031567A" w14:paraId="405C8690" w14:textId="77777777" w:rsidTr="00562818">
        <w:tc>
          <w:tcPr>
            <w:tcW w:w="1625" w:type="pct"/>
            <w:vAlign w:val="center"/>
          </w:tcPr>
          <w:p w14:paraId="3FB5E0D7" w14:textId="77777777"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Total</w:t>
            </w:r>
          </w:p>
        </w:tc>
        <w:tc>
          <w:tcPr>
            <w:tcW w:w="537" w:type="pct"/>
            <w:vAlign w:val="center"/>
          </w:tcPr>
          <w:p w14:paraId="3F7F70D2" w14:textId="5CEB7A4F"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7"/>
                <w14:textFill>
                  <w14:solidFill>
                    <w14:srgbClr w14:val="000000">
                      <w14:alpha w14:val="100000"/>
                    </w14:srgbClr>
                  </w14:solidFill>
                </w14:textFill>
              </w:rPr>
              <w:t xml:space="preserve">　</w:t>
            </w:r>
            <w:r w:rsidRPr="008C30A7">
              <w:rPr>
                <w:color w:val="000000"/>
                <w:w w:val="28"/>
                <w:shd w:val="solid" w:color="000000" w:fill="000000"/>
                <w:fitText w:val="125" w:id="-694445567"/>
                <w14:textFill>
                  <w14:solidFill>
                    <w14:srgbClr w14:val="000000">
                      <w14:alpha w14:val="100000"/>
                    </w14:srgbClr>
                  </w14:solidFill>
                </w14:textFill>
              </w:rPr>
              <w:t>|</w:t>
            </w:r>
            <w:r w:rsidRPr="008C30A7">
              <w:rPr>
                <w:rFonts w:hint="eastAsia"/>
                <w:color w:val="000000"/>
                <w:spacing w:val="3"/>
                <w:w w:val="28"/>
                <w:shd w:val="solid" w:color="000000" w:fill="000000"/>
                <w:fitText w:val="125" w:id="-694445567"/>
                <w14:textFill>
                  <w14:solidFill>
                    <w14:srgbClr w14:val="000000">
                      <w14:alpha w14:val="100000"/>
                    </w14:srgbClr>
                  </w14:solidFill>
                </w14:textFill>
              </w:rPr>
              <w:t xml:space="preserve">　</w:t>
            </w:r>
            <w:r w:rsidR="004750B8" w:rsidRPr="004750B8">
              <w:rPr>
                <w:vertAlign w:val="superscript"/>
              </w:rPr>
              <w:t>2</w:t>
            </w:r>
          </w:p>
        </w:tc>
        <w:tc>
          <w:tcPr>
            <w:tcW w:w="537" w:type="pct"/>
            <w:vAlign w:val="center"/>
          </w:tcPr>
          <w:p w14:paraId="17180487" w14:textId="2922B1D1"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6"/>
                <w14:textFill>
                  <w14:solidFill>
                    <w14:srgbClr w14:val="000000">
                      <w14:alpha w14:val="100000"/>
                    </w14:srgbClr>
                  </w14:solidFill>
                </w14:textFill>
              </w:rPr>
              <w:t xml:space="preserve">　</w:t>
            </w:r>
            <w:r w:rsidRPr="008C30A7">
              <w:rPr>
                <w:color w:val="000000"/>
                <w:w w:val="28"/>
                <w:shd w:val="solid" w:color="000000" w:fill="000000"/>
                <w:fitText w:val="125" w:id="-694445566"/>
                <w14:textFill>
                  <w14:solidFill>
                    <w14:srgbClr w14:val="000000">
                      <w14:alpha w14:val="100000"/>
                    </w14:srgbClr>
                  </w14:solidFill>
                </w14:textFill>
              </w:rPr>
              <w:t>|</w:t>
            </w:r>
            <w:r w:rsidRPr="008C30A7">
              <w:rPr>
                <w:rFonts w:hint="eastAsia"/>
                <w:color w:val="000000"/>
                <w:spacing w:val="3"/>
                <w:w w:val="28"/>
                <w:shd w:val="solid" w:color="000000" w:fill="000000"/>
                <w:fitText w:val="125" w:id="-694445566"/>
                <w14:textFill>
                  <w14:solidFill>
                    <w14:srgbClr w14:val="000000">
                      <w14:alpha w14:val="100000"/>
                    </w14:srgbClr>
                  </w14:solidFill>
                </w14:textFill>
              </w:rPr>
              <w:t xml:space="preserve">　</w:t>
            </w:r>
            <w:r w:rsidR="004750B8" w:rsidRPr="004750B8">
              <w:rPr>
                <w:vertAlign w:val="superscript"/>
              </w:rPr>
              <w:t>2</w:t>
            </w:r>
          </w:p>
        </w:tc>
        <w:tc>
          <w:tcPr>
            <w:tcW w:w="537" w:type="pct"/>
            <w:vAlign w:val="center"/>
          </w:tcPr>
          <w:p w14:paraId="0F727986" w14:textId="364DD663"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5"/>
                <w14:textFill>
                  <w14:solidFill>
                    <w14:srgbClr w14:val="000000">
                      <w14:alpha w14:val="100000"/>
                    </w14:srgbClr>
                  </w14:solidFill>
                </w14:textFill>
              </w:rPr>
              <w:t xml:space="preserve">　</w:t>
            </w:r>
            <w:r w:rsidRPr="008C30A7">
              <w:rPr>
                <w:color w:val="000000"/>
                <w:w w:val="28"/>
                <w:shd w:val="solid" w:color="000000" w:fill="000000"/>
                <w:fitText w:val="125" w:id="-694445565"/>
                <w14:textFill>
                  <w14:solidFill>
                    <w14:srgbClr w14:val="000000">
                      <w14:alpha w14:val="100000"/>
                    </w14:srgbClr>
                  </w14:solidFill>
                </w14:textFill>
              </w:rPr>
              <w:t>|</w:t>
            </w:r>
            <w:r w:rsidRPr="008C30A7">
              <w:rPr>
                <w:rFonts w:hint="eastAsia"/>
                <w:color w:val="000000"/>
                <w:spacing w:val="3"/>
                <w:w w:val="28"/>
                <w:shd w:val="solid" w:color="000000" w:fill="000000"/>
                <w:fitText w:val="125" w:id="-694445565"/>
                <w14:textFill>
                  <w14:solidFill>
                    <w14:srgbClr w14:val="000000">
                      <w14:alpha w14:val="100000"/>
                    </w14:srgbClr>
                  </w14:solidFill>
                </w14:textFill>
              </w:rPr>
              <w:t xml:space="preserve">　</w:t>
            </w:r>
            <w:r w:rsidR="004750B8" w:rsidRPr="004750B8">
              <w:rPr>
                <w:vertAlign w:val="superscript"/>
              </w:rPr>
              <w:t>2</w:t>
            </w:r>
          </w:p>
        </w:tc>
        <w:tc>
          <w:tcPr>
            <w:tcW w:w="537" w:type="pct"/>
            <w:vAlign w:val="center"/>
          </w:tcPr>
          <w:p w14:paraId="35ACD249" w14:textId="09BFC0AF"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4"/>
                <w14:textFill>
                  <w14:solidFill>
                    <w14:srgbClr w14:val="000000">
                      <w14:alpha w14:val="100000"/>
                    </w14:srgbClr>
                  </w14:solidFill>
                </w14:textFill>
              </w:rPr>
              <w:t xml:space="preserve">　</w:t>
            </w:r>
            <w:r w:rsidRPr="008C30A7">
              <w:rPr>
                <w:color w:val="000000"/>
                <w:w w:val="28"/>
                <w:shd w:val="solid" w:color="000000" w:fill="000000"/>
                <w:fitText w:val="125" w:id="-694445564"/>
                <w14:textFill>
                  <w14:solidFill>
                    <w14:srgbClr w14:val="000000">
                      <w14:alpha w14:val="100000"/>
                    </w14:srgbClr>
                  </w14:solidFill>
                </w14:textFill>
              </w:rPr>
              <w:t>|</w:t>
            </w:r>
            <w:r w:rsidRPr="008C30A7">
              <w:rPr>
                <w:rFonts w:hint="eastAsia"/>
                <w:color w:val="000000"/>
                <w:spacing w:val="3"/>
                <w:w w:val="28"/>
                <w:shd w:val="solid" w:color="000000" w:fill="000000"/>
                <w:fitText w:val="125" w:id="-694445564"/>
                <w14:textFill>
                  <w14:solidFill>
                    <w14:srgbClr w14:val="000000">
                      <w14:alpha w14:val="100000"/>
                    </w14:srgbClr>
                  </w14:solidFill>
                </w14:textFill>
              </w:rPr>
              <w:t xml:space="preserve">　</w:t>
            </w:r>
            <w:r w:rsidR="004750B8" w:rsidRPr="004750B8">
              <w:rPr>
                <w:vertAlign w:val="superscript"/>
              </w:rPr>
              <w:t>2</w:t>
            </w:r>
          </w:p>
        </w:tc>
        <w:tc>
          <w:tcPr>
            <w:tcW w:w="537" w:type="pct"/>
            <w:vAlign w:val="center"/>
          </w:tcPr>
          <w:p w14:paraId="420C14BC" w14:textId="04F33F68" w:rsidR="0031567A" w:rsidRPr="00236702" w:rsidRDefault="008C30A7">
            <w:pPr>
              <w:pStyle w:val="TableText0"/>
              <w:keepNext w:val="0"/>
              <w:jc w:val="center"/>
              <w:rPr>
                <w:highlight w:val="darkGray"/>
              </w:rPr>
            </w:pPr>
            <w:r w:rsidRPr="008C30A7">
              <w:rPr>
                <w:rFonts w:hint="eastAsia"/>
                <w:color w:val="000000"/>
                <w:w w:val="28"/>
                <w:shd w:val="solid" w:color="000000" w:fill="000000"/>
                <w:fitText w:val="125" w:id="-694445563"/>
                <w14:textFill>
                  <w14:solidFill>
                    <w14:srgbClr w14:val="000000">
                      <w14:alpha w14:val="100000"/>
                    </w14:srgbClr>
                  </w14:solidFill>
                </w14:textFill>
              </w:rPr>
              <w:t xml:space="preserve">　</w:t>
            </w:r>
            <w:r w:rsidRPr="008C30A7">
              <w:rPr>
                <w:color w:val="000000"/>
                <w:w w:val="28"/>
                <w:shd w:val="solid" w:color="000000" w:fill="000000"/>
                <w:fitText w:val="125" w:id="-694445563"/>
                <w14:textFill>
                  <w14:solidFill>
                    <w14:srgbClr w14:val="000000">
                      <w14:alpha w14:val="100000"/>
                    </w14:srgbClr>
                  </w14:solidFill>
                </w14:textFill>
              </w:rPr>
              <w:t>|</w:t>
            </w:r>
            <w:r w:rsidRPr="008C30A7">
              <w:rPr>
                <w:rFonts w:hint="eastAsia"/>
                <w:color w:val="000000"/>
                <w:spacing w:val="3"/>
                <w:w w:val="28"/>
                <w:shd w:val="solid" w:color="000000" w:fill="000000"/>
                <w:fitText w:val="125" w:id="-694445563"/>
                <w14:textFill>
                  <w14:solidFill>
                    <w14:srgbClr w14:val="000000">
                      <w14:alpha w14:val="100000"/>
                    </w14:srgbClr>
                  </w14:solidFill>
                </w14:textFill>
              </w:rPr>
              <w:t xml:space="preserve">　</w:t>
            </w:r>
            <w:r w:rsidR="004750B8" w:rsidRPr="004750B8">
              <w:rPr>
                <w:vertAlign w:val="superscript"/>
              </w:rPr>
              <w:t>2</w:t>
            </w:r>
          </w:p>
        </w:tc>
        <w:tc>
          <w:tcPr>
            <w:tcW w:w="688" w:type="pct"/>
            <w:vAlign w:val="center"/>
          </w:tcPr>
          <w:p w14:paraId="64843E72" w14:textId="3E5933CE" w:rsidR="0031567A" w:rsidRPr="00236702" w:rsidRDefault="008C30A7">
            <w:pPr>
              <w:pStyle w:val="TableText0"/>
              <w:keepNext w:val="0"/>
              <w:jc w:val="center"/>
              <w:rPr>
                <w:highlight w:val="darkGray"/>
              </w:rPr>
            </w:pPr>
            <w:r w:rsidRPr="008C30A7">
              <w:rPr>
                <w:color w:val="000000"/>
                <w:shd w:val="solid" w:color="000000" w:fill="000000"/>
                <w14:textFill>
                  <w14:solidFill>
                    <w14:srgbClr w14:val="000000">
                      <w14:alpha w14:val="100000"/>
                    </w14:srgbClr>
                  </w14:solidFill>
                </w14:textFill>
              </w:rPr>
              <w:t>|</w:t>
            </w:r>
            <w:r w:rsidR="004750B8" w:rsidRPr="004750B8">
              <w:rPr>
                <w:vertAlign w:val="superscript"/>
              </w:rPr>
              <w:t>2</w:t>
            </w:r>
          </w:p>
        </w:tc>
      </w:tr>
      <w:tr w:rsidR="0031567A" w:rsidRPr="0031567A" w14:paraId="12C00ED5" w14:textId="77777777">
        <w:tc>
          <w:tcPr>
            <w:tcW w:w="5000" w:type="pct"/>
            <w:gridSpan w:val="7"/>
            <w:vAlign w:val="center"/>
          </w:tcPr>
          <w:p w14:paraId="4068E258" w14:textId="77777777" w:rsidR="0031567A" w:rsidRPr="0031567A" w:rsidRDefault="0031567A">
            <w:pPr>
              <w:pStyle w:val="TableText0"/>
              <w:keepNext w:val="0"/>
              <w:rPr>
                <w:b/>
              </w:rPr>
            </w:pPr>
            <w:r w:rsidRPr="0031567A">
              <w:rPr>
                <w:b/>
              </w:rPr>
              <w:t>Net cost PBS/RPBS (less copayments)</w:t>
            </w:r>
            <w:r w:rsidRPr="0031567A">
              <w:rPr>
                <w:b/>
                <w:vertAlign w:val="superscript"/>
              </w:rPr>
              <w:t xml:space="preserve">a </w:t>
            </w:r>
          </w:p>
        </w:tc>
      </w:tr>
      <w:tr w:rsidR="0031567A" w:rsidRPr="0031567A" w14:paraId="7DDF9CDC" w14:textId="77777777" w:rsidTr="00562818">
        <w:tc>
          <w:tcPr>
            <w:tcW w:w="1625" w:type="pct"/>
            <w:vAlign w:val="center"/>
          </w:tcPr>
          <w:p w14:paraId="6D05B214" w14:textId="77777777"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 xml:space="preserve">Stratum 1 (plus grandfathered) </w:t>
            </w:r>
          </w:p>
        </w:tc>
        <w:tc>
          <w:tcPr>
            <w:tcW w:w="537" w:type="pct"/>
          </w:tcPr>
          <w:p w14:paraId="0E8DAC05" w14:textId="4F92C1DE" w:rsidR="0031567A" w:rsidRPr="004E2443" w:rsidRDefault="0031567A">
            <w:pPr>
              <w:pStyle w:val="TableText0"/>
              <w:keepNext w:val="0"/>
              <w:jc w:val="center"/>
              <w:rPr>
                <w:vertAlign w:val="superscript"/>
              </w:rPr>
            </w:pPr>
            <w:r w:rsidRPr="0031567A">
              <w:t>$</w:t>
            </w:r>
            <w:r w:rsidR="008C30A7" w:rsidRPr="00FE32E3">
              <w:rPr>
                <w:color w:val="000000"/>
                <w:spacing w:val="77"/>
                <w:shd w:val="solid" w:color="000000" w:fill="000000"/>
                <w:fitText w:val="163" w:id="-694445562"/>
                <w14:textFill>
                  <w14:solidFill>
                    <w14:srgbClr w14:val="000000">
                      <w14:alpha w14:val="100000"/>
                    </w14:srgbClr>
                  </w14:solidFill>
                </w14:textFill>
              </w:rPr>
              <w:t>|</w:t>
            </w:r>
            <w:r w:rsidR="008C30A7" w:rsidRPr="00FE32E3">
              <w:rPr>
                <w:color w:val="000000"/>
                <w:spacing w:val="1"/>
                <w:shd w:val="solid" w:color="000000" w:fill="000000"/>
                <w:fitText w:val="163" w:id="-694445562"/>
                <w14:textFill>
                  <w14:solidFill>
                    <w14:srgbClr w14:val="000000">
                      <w14:alpha w14:val="100000"/>
                    </w14:srgbClr>
                  </w14:solidFill>
                </w14:textFill>
              </w:rPr>
              <w:t>|</w:t>
            </w:r>
            <w:r w:rsidR="004E2443">
              <w:rPr>
                <w:vertAlign w:val="superscript"/>
              </w:rPr>
              <w:t>3</w:t>
            </w:r>
          </w:p>
        </w:tc>
        <w:tc>
          <w:tcPr>
            <w:tcW w:w="537" w:type="pct"/>
          </w:tcPr>
          <w:p w14:paraId="6C0CEDF1" w14:textId="6D9ADEBA"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61"/>
                <w14:textFill>
                  <w14:solidFill>
                    <w14:srgbClr w14:val="000000">
                      <w14:alpha w14:val="100000"/>
                    </w14:srgbClr>
                  </w14:solidFill>
                </w14:textFill>
              </w:rPr>
              <w:t>|</w:t>
            </w:r>
            <w:r w:rsidR="008C30A7" w:rsidRPr="00FE32E3">
              <w:rPr>
                <w:color w:val="000000"/>
                <w:spacing w:val="1"/>
                <w:shd w:val="solid" w:color="000000" w:fill="000000"/>
                <w:fitText w:val="163" w:id="-694445561"/>
                <w14:textFill>
                  <w14:solidFill>
                    <w14:srgbClr w14:val="000000">
                      <w14:alpha w14:val="100000"/>
                    </w14:srgbClr>
                  </w14:solidFill>
                </w14:textFill>
              </w:rPr>
              <w:t>|</w:t>
            </w:r>
            <w:r w:rsidR="0035293D">
              <w:rPr>
                <w:vertAlign w:val="superscript"/>
              </w:rPr>
              <w:t>3</w:t>
            </w:r>
          </w:p>
        </w:tc>
        <w:tc>
          <w:tcPr>
            <w:tcW w:w="537" w:type="pct"/>
          </w:tcPr>
          <w:p w14:paraId="4711243F" w14:textId="589E7356"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60"/>
                <w14:textFill>
                  <w14:solidFill>
                    <w14:srgbClr w14:val="000000">
                      <w14:alpha w14:val="100000"/>
                    </w14:srgbClr>
                  </w14:solidFill>
                </w14:textFill>
              </w:rPr>
              <w:t>|</w:t>
            </w:r>
            <w:r w:rsidR="008C30A7" w:rsidRPr="00FE32E3">
              <w:rPr>
                <w:color w:val="000000"/>
                <w:spacing w:val="1"/>
                <w:shd w:val="solid" w:color="000000" w:fill="000000"/>
                <w:fitText w:val="163" w:id="-694445560"/>
                <w14:textFill>
                  <w14:solidFill>
                    <w14:srgbClr w14:val="000000">
                      <w14:alpha w14:val="100000"/>
                    </w14:srgbClr>
                  </w14:solidFill>
                </w14:textFill>
              </w:rPr>
              <w:t>|</w:t>
            </w:r>
            <w:r w:rsidR="0035293D">
              <w:rPr>
                <w:vertAlign w:val="superscript"/>
              </w:rPr>
              <w:t>3</w:t>
            </w:r>
          </w:p>
        </w:tc>
        <w:tc>
          <w:tcPr>
            <w:tcW w:w="537" w:type="pct"/>
          </w:tcPr>
          <w:p w14:paraId="77A85BBA" w14:textId="129AF11D"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59"/>
                <w14:textFill>
                  <w14:solidFill>
                    <w14:srgbClr w14:val="000000">
                      <w14:alpha w14:val="100000"/>
                    </w14:srgbClr>
                  </w14:solidFill>
                </w14:textFill>
              </w:rPr>
              <w:t>|</w:t>
            </w:r>
            <w:r w:rsidR="008C30A7" w:rsidRPr="00FE32E3">
              <w:rPr>
                <w:color w:val="000000"/>
                <w:spacing w:val="1"/>
                <w:shd w:val="solid" w:color="000000" w:fill="000000"/>
                <w:fitText w:val="163" w:id="-694445559"/>
                <w14:textFill>
                  <w14:solidFill>
                    <w14:srgbClr w14:val="000000">
                      <w14:alpha w14:val="100000"/>
                    </w14:srgbClr>
                  </w14:solidFill>
                </w14:textFill>
              </w:rPr>
              <w:t>|</w:t>
            </w:r>
            <w:r w:rsidR="0035293D">
              <w:rPr>
                <w:vertAlign w:val="superscript"/>
              </w:rPr>
              <w:t>3</w:t>
            </w:r>
          </w:p>
        </w:tc>
        <w:tc>
          <w:tcPr>
            <w:tcW w:w="537" w:type="pct"/>
          </w:tcPr>
          <w:p w14:paraId="10D3DC6B" w14:textId="698ADC7B"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58"/>
                <w14:textFill>
                  <w14:solidFill>
                    <w14:srgbClr w14:val="000000">
                      <w14:alpha w14:val="100000"/>
                    </w14:srgbClr>
                  </w14:solidFill>
                </w14:textFill>
              </w:rPr>
              <w:t>|</w:t>
            </w:r>
            <w:r w:rsidR="008C30A7" w:rsidRPr="00FE32E3">
              <w:rPr>
                <w:color w:val="000000"/>
                <w:spacing w:val="1"/>
                <w:shd w:val="solid" w:color="000000" w:fill="000000"/>
                <w:fitText w:val="163" w:id="-694445558"/>
                <w14:textFill>
                  <w14:solidFill>
                    <w14:srgbClr w14:val="000000">
                      <w14:alpha w14:val="100000"/>
                    </w14:srgbClr>
                  </w14:solidFill>
                </w14:textFill>
              </w:rPr>
              <w:t>|</w:t>
            </w:r>
            <w:r w:rsidR="0035293D">
              <w:rPr>
                <w:vertAlign w:val="superscript"/>
              </w:rPr>
              <w:t>3</w:t>
            </w:r>
          </w:p>
        </w:tc>
        <w:tc>
          <w:tcPr>
            <w:tcW w:w="688" w:type="pct"/>
          </w:tcPr>
          <w:p w14:paraId="2ABBB370" w14:textId="23B60389"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557"/>
                <w14:textFill>
                  <w14:solidFill>
                    <w14:srgbClr w14:val="000000">
                      <w14:alpha w14:val="100000"/>
                    </w14:srgbClr>
                  </w14:solidFill>
                </w14:textFill>
              </w:rPr>
              <w:t xml:space="preserve">　</w:t>
            </w:r>
            <w:r w:rsidR="008C30A7" w:rsidRPr="002409D6">
              <w:rPr>
                <w:color w:val="000000"/>
                <w:w w:val="15"/>
                <w:shd w:val="solid" w:color="000000" w:fill="000000"/>
                <w:fitText w:val="25" w:id="-694445557"/>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557"/>
                <w14:textFill>
                  <w14:solidFill>
                    <w14:srgbClr w14:val="000000">
                      <w14:alpha w14:val="100000"/>
                    </w14:srgbClr>
                  </w14:solidFill>
                </w14:textFill>
              </w:rPr>
              <w:t xml:space="preserve">　</w:t>
            </w:r>
            <w:r w:rsidR="0035293D">
              <w:rPr>
                <w:vertAlign w:val="superscript"/>
              </w:rPr>
              <w:t>3</w:t>
            </w:r>
          </w:p>
        </w:tc>
      </w:tr>
      <w:tr w:rsidR="0031567A" w:rsidRPr="0031567A" w14:paraId="7D6E56A5" w14:textId="77777777" w:rsidTr="00562818">
        <w:tc>
          <w:tcPr>
            <w:tcW w:w="1625" w:type="pct"/>
            <w:vAlign w:val="center"/>
          </w:tcPr>
          <w:p w14:paraId="0691A793" w14:textId="77777777"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Stratum 2 only</w:t>
            </w:r>
          </w:p>
        </w:tc>
        <w:tc>
          <w:tcPr>
            <w:tcW w:w="537" w:type="pct"/>
          </w:tcPr>
          <w:p w14:paraId="1CD66B6D" w14:textId="5E40A315" w:rsidR="0031567A" w:rsidRPr="00197779" w:rsidRDefault="0031567A">
            <w:pPr>
              <w:pStyle w:val="TableText0"/>
              <w:keepNext w:val="0"/>
              <w:jc w:val="center"/>
              <w:rPr>
                <w:vertAlign w:val="superscript"/>
              </w:rPr>
            </w:pPr>
            <w:r w:rsidRPr="0031567A">
              <w:t>$</w:t>
            </w:r>
            <w:r w:rsidR="008C30A7" w:rsidRPr="00FE32E3">
              <w:rPr>
                <w:color w:val="000000"/>
                <w:spacing w:val="77"/>
                <w:shd w:val="solid" w:color="000000" w:fill="000000"/>
                <w:fitText w:val="163" w:id="-694445556"/>
                <w14:textFill>
                  <w14:solidFill>
                    <w14:srgbClr w14:val="000000">
                      <w14:alpha w14:val="100000"/>
                    </w14:srgbClr>
                  </w14:solidFill>
                </w14:textFill>
              </w:rPr>
              <w:t>|</w:t>
            </w:r>
            <w:r w:rsidR="008C30A7" w:rsidRPr="00FE32E3">
              <w:rPr>
                <w:color w:val="000000"/>
                <w:spacing w:val="1"/>
                <w:shd w:val="solid" w:color="000000" w:fill="000000"/>
                <w:fitText w:val="163" w:id="-694445556"/>
                <w14:textFill>
                  <w14:solidFill>
                    <w14:srgbClr w14:val="000000">
                      <w14:alpha w14:val="100000"/>
                    </w14:srgbClr>
                  </w14:solidFill>
                </w14:textFill>
              </w:rPr>
              <w:t>|</w:t>
            </w:r>
            <w:r w:rsidR="00197779">
              <w:rPr>
                <w:vertAlign w:val="superscript"/>
              </w:rPr>
              <w:t>4</w:t>
            </w:r>
          </w:p>
        </w:tc>
        <w:tc>
          <w:tcPr>
            <w:tcW w:w="537" w:type="pct"/>
          </w:tcPr>
          <w:p w14:paraId="68E3F0D6" w14:textId="3E30394A"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55"/>
                <w14:textFill>
                  <w14:solidFill>
                    <w14:srgbClr w14:val="000000">
                      <w14:alpha w14:val="100000"/>
                    </w14:srgbClr>
                  </w14:solidFill>
                </w14:textFill>
              </w:rPr>
              <w:t>|</w:t>
            </w:r>
            <w:r w:rsidR="008C30A7" w:rsidRPr="00FE32E3">
              <w:rPr>
                <w:color w:val="000000"/>
                <w:spacing w:val="1"/>
                <w:shd w:val="solid" w:color="000000" w:fill="000000"/>
                <w:fitText w:val="163" w:id="-694445555"/>
                <w14:textFill>
                  <w14:solidFill>
                    <w14:srgbClr w14:val="000000">
                      <w14:alpha w14:val="100000"/>
                    </w14:srgbClr>
                  </w14:solidFill>
                </w14:textFill>
              </w:rPr>
              <w:t>|</w:t>
            </w:r>
            <w:r w:rsidR="00197779">
              <w:rPr>
                <w:vertAlign w:val="superscript"/>
              </w:rPr>
              <w:t>4</w:t>
            </w:r>
          </w:p>
        </w:tc>
        <w:tc>
          <w:tcPr>
            <w:tcW w:w="537" w:type="pct"/>
          </w:tcPr>
          <w:p w14:paraId="0B9B4372" w14:textId="27286FC9"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54"/>
                <w14:textFill>
                  <w14:solidFill>
                    <w14:srgbClr w14:val="000000">
                      <w14:alpha w14:val="100000"/>
                    </w14:srgbClr>
                  </w14:solidFill>
                </w14:textFill>
              </w:rPr>
              <w:t>|</w:t>
            </w:r>
            <w:r w:rsidR="008C30A7" w:rsidRPr="00FE32E3">
              <w:rPr>
                <w:color w:val="000000"/>
                <w:spacing w:val="1"/>
                <w:shd w:val="solid" w:color="000000" w:fill="000000"/>
                <w:fitText w:val="163" w:id="-694445554"/>
                <w14:textFill>
                  <w14:solidFill>
                    <w14:srgbClr w14:val="000000">
                      <w14:alpha w14:val="100000"/>
                    </w14:srgbClr>
                  </w14:solidFill>
                </w14:textFill>
              </w:rPr>
              <w:t>|</w:t>
            </w:r>
            <w:r w:rsidR="00197779">
              <w:rPr>
                <w:vertAlign w:val="superscript"/>
              </w:rPr>
              <w:t>4</w:t>
            </w:r>
          </w:p>
        </w:tc>
        <w:tc>
          <w:tcPr>
            <w:tcW w:w="537" w:type="pct"/>
          </w:tcPr>
          <w:p w14:paraId="5E772FFF" w14:textId="4E4005E3"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53"/>
                <w14:textFill>
                  <w14:solidFill>
                    <w14:srgbClr w14:val="000000">
                      <w14:alpha w14:val="100000"/>
                    </w14:srgbClr>
                  </w14:solidFill>
                </w14:textFill>
              </w:rPr>
              <w:t>|</w:t>
            </w:r>
            <w:r w:rsidR="008C30A7" w:rsidRPr="00FE32E3">
              <w:rPr>
                <w:color w:val="000000"/>
                <w:spacing w:val="1"/>
                <w:shd w:val="solid" w:color="000000" w:fill="000000"/>
                <w:fitText w:val="163" w:id="-694445553"/>
                <w14:textFill>
                  <w14:solidFill>
                    <w14:srgbClr w14:val="000000">
                      <w14:alpha w14:val="100000"/>
                    </w14:srgbClr>
                  </w14:solidFill>
                </w14:textFill>
              </w:rPr>
              <w:t>|</w:t>
            </w:r>
            <w:r w:rsidR="00197779">
              <w:rPr>
                <w:vertAlign w:val="superscript"/>
              </w:rPr>
              <w:t>4</w:t>
            </w:r>
          </w:p>
        </w:tc>
        <w:tc>
          <w:tcPr>
            <w:tcW w:w="537" w:type="pct"/>
          </w:tcPr>
          <w:p w14:paraId="1D7943B3" w14:textId="2A362899"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52"/>
                <w14:textFill>
                  <w14:solidFill>
                    <w14:srgbClr w14:val="000000">
                      <w14:alpha w14:val="100000"/>
                    </w14:srgbClr>
                  </w14:solidFill>
                </w14:textFill>
              </w:rPr>
              <w:t>|</w:t>
            </w:r>
            <w:r w:rsidR="008C30A7" w:rsidRPr="00FE32E3">
              <w:rPr>
                <w:color w:val="000000"/>
                <w:spacing w:val="1"/>
                <w:shd w:val="solid" w:color="000000" w:fill="000000"/>
                <w:fitText w:val="163" w:id="-694445552"/>
                <w14:textFill>
                  <w14:solidFill>
                    <w14:srgbClr w14:val="000000">
                      <w14:alpha w14:val="100000"/>
                    </w14:srgbClr>
                  </w14:solidFill>
                </w14:textFill>
              </w:rPr>
              <w:t>|</w:t>
            </w:r>
            <w:r w:rsidR="00197779">
              <w:rPr>
                <w:vertAlign w:val="superscript"/>
              </w:rPr>
              <w:t>4</w:t>
            </w:r>
          </w:p>
        </w:tc>
        <w:tc>
          <w:tcPr>
            <w:tcW w:w="688" w:type="pct"/>
          </w:tcPr>
          <w:p w14:paraId="5026D962" w14:textId="229402B3"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568"/>
                <w14:textFill>
                  <w14:solidFill>
                    <w14:srgbClr w14:val="000000">
                      <w14:alpha w14:val="100000"/>
                    </w14:srgbClr>
                  </w14:solidFill>
                </w14:textFill>
              </w:rPr>
              <w:t xml:space="preserve">　</w:t>
            </w:r>
            <w:r w:rsidR="008C30A7" w:rsidRPr="002409D6">
              <w:rPr>
                <w:color w:val="000000"/>
                <w:w w:val="15"/>
                <w:shd w:val="solid" w:color="000000" w:fill="000000"/>
                <w:fitText w:val="25" w:id="-694445568"/>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568"/>
                <w14:textFill>
                  <w14:solidFill>
                    <w14:srgbClr w14:val="000000">
                      <w14:alpha w14:val="100000"/>
                    </w14:srgbClr>
                  </w14:solidFill>
                </w14:textFill>
              </w:rPr>
              <w:t xml:space="preserve">　</w:t>
            </w:r>
            <w:r w:rsidR="00197779">
              <w:rPr>
                <w:vertAlign w:val="superscript"/>
              </w:rPr>
              <w:t>4</w:t>
            </w:r>
          </w:p>
        </w:tc>
      </w:tr>
      <w:tr w:rsidR="0031567A" w:rsidRPr="0031567A" w14:paraId="04D8A6D4" w14:textId="77777777" w:rsidTr="00562818">
        <w:tc>
          <w:tcPr>
            <w:tcW w:w="1625" w:type="pct"/>
            <w:vAlign w:val="center"/>
          </w:tcPr>
          <w:p w14:paraId="0CFEF42D" w14:textId="77777777" w:rsidR="0031567A" w:rsidRPr="00183BA0" w:rsidRDefault="0031567A">
            <w:pPr>
              <w:ind w:left="104"/>
              <w:jc w:val="left"/>
              <w:rPr>
                <w:rFonts w:ascii="Arial Narrow" w:eastAsiaTheme="majorEastAsia" w:hAnsi="Arial Narrow" w:cstheme="majorBidi"/>
                <w:b/>
                <w:sz w:val="20"/>
                <w:szCs w:val="20"/>
              </w:rPr>
            </w:pPr>
            <w:r w:rsidRPr="00183BA0">
              <w:rPr>
                <w:rFonts w:ascii="Arial Narrow" w:eastAsiaTheme="majorEastAsia" w:hAnsi="Arial Narrow" w:cstheme="majorBidi"/>
                <w:b/>
                <w:sz w:val="20"/>
                <w:szCs w:val="20"/>
              </w:rPr>
              <w:t>Total</w:t>
            </w:r>
          </w:p>
        </w:tc>
        <w:tc>
          <w:tcPr>
            <w:tcW w:w="537" w:type="pct"/>
            <w:vAlign w:val="center"/>
          </w:tcPr>
          <w:p w14:paraId="2BEA1C1E" w14:textId="30BE9F03" w:rsidR="0031567A" w:rsidRPr="00183BA0" w:rsidRDefault="0031567A">
            <w:pPr>
              <w:pStyle w:val="TableText0"/>
              <w:keepNext w:val="0"/>
              <w:jc w:val="center"/>
              <w:rPr>
                <w:b/>
                <w:bCs w:val="0"/>
              </w:rPr>
            </w:pPr>
            <w:r w:rsidRPr="00183BA0">
              <w:rPr>
                <w:b/>
                <w:bCs w:val="0"/>
              </w:rPr>
              <w:t>$</w:t>
            </w:r>
            <w:r w:rsidR="008C30A7" w:rsidRPr="00FE32E3">
              <w:rPr>
                <w:b/>
                <w:color w:val="000000"/>
                <w:spacing w:val="37"/>
                <w:shd w:val="solid" w:color="000000" w:fill="000000"/>
                <w:fitText w:val="213" w:id="-694445567"/>
                <w14:textFill>
                  <w14:solidFill>
                    <w14:srgbClr w14:val="000000">
                      <w14:alpha w14:val="100000"/>
                    </w14:srgbClr>
                  </w14:solidFill>
                </w14:textFill>
              </w:rPr>
              <w:t>||</w:t>
            </w:r>
            <w:r w:rsidR="008C30A7" w:rsidRPr="00FE32E3">
              <w:rPr>
                <w:b/>
                <w:bCs w:val="0"/>
                <w:color w:val="000000"/>
                <w:spacing w:val="2"/>
                <w:shd w:val="solid" w:color="000000" w:fill="000000"/>
                <w:fitText w:val="213" w:id="-694445567"/>
                <w14:textFill>
                  <w14:solidFill>
                    <w14:srgbClr w14:val="000000">
                      <w14:alpha w14:val="100000"/>
                    </w14:srgbClr>
                  </w14:solidFill>
                </w14:textFill>
              </w:rPr>
              <w:t>|</w:t>
            </w:r>
            <w:r w:rsidR="00161104" w:rsidRPr="00161104">
              <w:rPr>
                <w:b/>
                <w:bCs w:val="0"/>
                <w:vertAlign w:val="superscript"/>
              </w:rPr>
              <w:t>3</w:t>
            </w:r>
          </w:p>
        </w:tc>
        <w:tc>
          <w:tcPr>
            <w:tcW w:w="537" w:type="pct"/>
            <w:vAlign w:val="center"/>
          </w:tcPr>
          <w:p w14:paraId="4F458676" w14:textId="2CF7B0AD" w:rsidR="0031567A" w:rsidRPr="00183BA0" w:rsidRDefault="0031567A">
            <w:pPr>
              <w:pStyle w:val="TableText0"/>
              <w:keepNext w:val="0"/>
              <w:jc w:val="center"/>
              <w:rPr>
                <w:b/>
                <w:bCs w:val="0"/>
              </w:rPr>
            </w:pPr>
            <w:r w:rsidRPr="00183BA0">
              <w:rPr>
                <w:b/>
                <w:bCs w:val="0"/>
              </w:rPr>
              <w:t>$</w:t>
            </w:r>
            <w:r w:rsidR="008C30A7" w:rsidRPr="00FE32E3">
              <w:rPr>
                <w:b/>
                <w:color w:val="000000"/>
                <w:spacing w:val="37"/>
                <w:shd w:val="solid" w:color="000000" w:fill="000000"/>
                <w:fitText w:val="213" w:id="-694445566"/>
                <w14:textFill>
                  <w14:solidFill>
                    <w14:srgbClr w14:val="000000">
                      <w14:alpha w14:val="100000"/>
                    </w14:srgbClr>
                  </w14:solidFill>
                </w14:textFill>
              </w:rPr>
              <w:t>||</w:t>
            </w:r>
            <w:r w:rsidR="008C30A7" w:rsidRPr="00FE32E3">
              <w:rPr>
                <w:b/>
                <w:bCs w:val="0"/>
                <w:color w:val="000000"/>
                <w:spacing w:val="2"/>
                <w:shd w:val="solid" w:color="000000" w:fill="000000"/>
                <w:fitText w:val="213" w:id="-694445566"/>
                <w14:textFill>
                  <w14:solidFill>
                    <w14:srgbClr w14:val="000000">
                      <w14:alpha w14:val="100000"/>
                    </w14:srgbClr>
                  </w14:solidFill>
                </w14:textFill>
              </w:rPr>
              <w:t>|</w:t>
            </w:r>
            <w:r w:rsidR="00161104" w:rsidRPr="00161104">
              <w:rPr>
                <w:b/>
                <w:bCs w:val="0"/>
                <w:vertAlign w:val="superscript"/>
              </w:rPr>
              <w:t>3</w:t>
            </w:r>
          </w:p>
        </w:tc>
        <w:tc>
          <w:tcPr>
            <w:tcW w:w="537" w:type="pct"/>
            <w:vAlign w:val="center"/>
          </w:tcPr>
          <w:p w14:paraId="3944355C" w14:textId="039596F0" w:rsidR="0031567A" w:rsidRPr="00183BA0" w:rsidRDefault="0031567A">
            <w:pPr>
              <w:pStyle w:val="TableText0"/>
              <w:keepNext w:val="0"/>
              <w:jc w:val="center"/>
              <w:rPr>
                <w:b/>
                <w:bCs w:val="0"/>
              </w:rPr>
            </w:pPr>
            <w:r w:rsidRPr="00183BA0">
              <w:rPr>
                <w:b/>
                <w:bCs w:val="0"/>
              </w:rPr>
              <w:t>$</w:t>
            </w:r>
            <w:r w:rsidR="008C30A7" w:rsidRPr="00FE32E3">
              <w:rPr>
                <w:b/>
                <w:color w:val="000000"/>
                <w:spacing w:val="37"/>
                <w:shd w:val="solid" w:color="000000" w:fill="000000"/>
                <w:fitText w:val="212" w:id="-694445565"/>
                <w14:textFill>
                  <w14:solidFill>
                    <w14:srgbClr w14:val="000000">
                      <w14:alpha w14:val="100000"/>
                    </w14:srgbClr>
                  </w14:solidFill>
                </w14:textFill>
              </w:rPr>
              <w:t>||</w:t>
            </w:r>
            <w:r w:rsidR="008C30A7" w:rsidRPr="00FE32E3">
              <w:rPr>
                <w:b/>
                <w:bCs w:val="0"/>
                <w:color w:val="000000"/>
                <w:spacing w:val="1"/>
                <w:shd w:val="solid" w:color="000000" w:fill="000000"/>
                <w:fitText w:val="212" w:id="-694445565"/>
                <w14:textFill>
                  <w14:solidFill>
                    <w14:srgbClr w14:val="000000">
                      <w14:alpha w14:val="100000"/>
                    </w14:srgbClr>
                  </w14:solidFill>
                </w14:textFill>
              </w:rPr>
              <w:t>|</w:t>
            </w:r>
            <w:r w:rsidR="00161104" w:rsidRPr="00161104">
              <w:rPr>
                <w:b/>
                <w:bCs w:val="0"/>
                <w:vertAlign w:val="superscript"/>
              </w:rPr>
              <w:t>3</w:t>
            </w:r>
          </w:p>
        </w:tc>
        <w:tc>
          <w:tcPr>
            <w:tcW w:w="537" w:type="pct"/>
            <w:vAlign w:val="center"/>
          </w:tcPr>
          <w:p w14:paraId="08BFD1C2" w14:textId="71CBFE21" w:rsidR="0031567A" w:rsidRPr="00183BA0" w:rsidRDefault="0031567A">
            <w:pPr>
              <w:pStyle w:val="TableText0"/>
              <w:keepNext w:val="0"/>
              <w:jc w:val="center"/>
              <w:rPr>
                <w:b/>
                <w:bCs w:val="0"/>
              </w:rPr>
            </w:pPr>
            <w:r w:rsidRPr="00183BA0">
              <w:rPr>
                <w:b/>
                <w:bCs w:val="0"/>
              </w:rPr>
              <w:t>$</w:t>
            </w:r>
            <w:r w:rsidR="008C30A7" w:rsidRPr="00FE32E3">
              <w:rPr>
                <w:b/>
                <w:color w:val="000000"/>
                <w:spacing w:val="37"/>
                <w:shd w:val="solid" w:color="000000" w:fill="000000"/>
                <w:fitText w:val="213" w:id="-694445564"/>
                <w14:textFill>
                  <w14:solidFill>
                    <w14:srgbClr w14:val="000000">
                      <w14:alpha w14:val="100000"/>
                    </w14:srgbClr>
                  </w14:solidFill>
                </w14:textFill>
              </w:rPr>
              <w:t>||</w:t>
            </w:r>
            <w:r w:rsidR="008C30A7" w:rsidRPr="00FE32E3">
              <w:rPr>
                <w:b/>
                <w:bCs w:val="0"/>
                <w:color w:val="000000"/>
                <w:spacing w:val="2"/>
                <w:shd w:val="solid" w:color="000000" w:fill="000000"/>
                <w:fitText w:val="213" w:id="-694445564"/>
                <w14:textFill>
                  <w14:solidFill>
                    <w14:srgbClr w14:val="000000">
                      <w14:alpha w14:val="100000"/>
                    </w14:srgbClr>
                  </w14:solidFill>
                </w14:textFill>
              </w:rPr>
              <w:t>|</w:t>
            </w:r>
            <w:r w:rsidR="00161104" w:rsidRPr="00161104">
              <w:rPr>
                <w:b/>
                <w:bCs w:val="0"/>
                <w:vertAlign w:val="superscript"/>
              </w:rPr>
              <w:t>3</w:t>
            </w:r>
          </w:p>
        </w:tc>
        <w:tc>
          <w:tcPr>
            <w:tcW w:w="537" w:type="pct"/>
            <w:vAlign w:val="center"/>
          </w:tcPr>
          <w:p w14:paraId="41DEAFF5" w14:textId="13ACD49A" w:rsidR="0031567A" w:rsidRPr="00183BA0" w:rsidRDefault="0031567A">
            <w:pPr>
              <w:pStyle w:val="TableText0"/>
              <w:keepNext w:val="0"/>
              <w:jc w:val="center"/>
              <w:rPr>
                <w:b/>
                <w:bCs w:val="0"/>
              </w:rPr>
            </w:pPr>
            <w:r w:rsidRPr="00183BA0">
              <w:rPr>
                <w:b/>
                <w:bCs w:val="0"/>
              </w:rPr>
              <w:t>$</w:t>
            </w:r>
            <w:r w:rsidR="008C30A7" w:rsidRPr="00FE32E3">
              <w:rPr>
                <w:b/>
                <w:color w:val="000000"/>
                <w:spacing w:val="37"/>
                <w:shd w:val="solid" w:color="000000" w:fill="000000"/>
                <w:fitText w:val="213" w:id="-694445563"/>
                <w14:textFill>
                  <w14:solidFill>
                    <w14:srgbClr w14:val="000000">
                      <w14:alpha w14:val="100000"/>
                    </w14:srgbClr>
                  </w14:solidFill>
                </w14:textFill>
              </w:rPr>
              <w:t>||</w:t>
            </w:r>
            <w:r w:rsidR="008C30A7" w:rsidRPr="00FE32E3">
              <w:rPr>
                <w:b/>
                <w:bCs w:val="0"/>
                <w:color w:val="000000"/>
                <w:spacing w:val="2"/>
                <w:shd w:val="solid" w:color="000000" w:fill="000000"/>
                <w:fitText w:val="213" w:id="-694445563"/>
                <w14:textFill>
                  <w14:solidFill>
                    <w14:srgbClr w14:val="000000">
                      <w14:alpha w14:val="100000"/>
                    </w14:srgbClr>
                  </w14:solidFill>
                </w14:textFill>
              </w:rPr>
              <w:t>|</w:t>
            </w:r>
            <w:r w:rsidR="00161104" w:rsidRPr="00161104">
              <w:rPr>
                <w:b/>
                <w:bCs w:val="0"/>
                <w:vertAlign w:val="superscript"/>
              </w:rPr>
              <w:t>3</w:t>
            </w:r>
          </w:p>
        </w:tc>
        <w:tc>
          <w:tcPr>
            <w:tcW w:w="688" w:type="pct"/>
            <w:vAlign w:val="center"/>
          </w:tcPr>
          <w:p w14:paraId="1711117D" w14:textId="48038520" w:rsidR="0031567A" w:rsidRPr="00183BA0" w:rsidRDefault="0031567A">
            <w:pPr>
              <w:pStyle w:val="TableText0"/>
              <w:keepNext w:val="0"/>
              <w:jc w:val="center"/>
              <w:rPr>
                <w:b/>
                <w:bCs w:val="0"/>
              </w:rPr>
            </w:pPr>
            <w:r w:rsidRPr="00183BA0">
              <w:rPr>
                <w:b/>
                <w:bCs w:val="0"/>
              </w:rPr>
              <w:t>$</w:t>
            </w:r>
            <w:r w:rsidR="008C30A7" w:rsidRPr="008C30A7">
              <w:rPr>
                <w:rFonts w:hint="eastAsia"/>
                <w:b/>
                <w:bCs w:val="0"/>
                <w:color w:val="000000"/>
                <w:w w:val="16"/>
                <w:shd w:val="solid" w:color="000000" w:fill="000000"/>
                <w:fitText w:val="76" w:id="-694445562"/>
                <w14:textFill>
                  <w14:solidFill>
                    <w14:srgbClr w14:val="000000">
                      <w14:alpha w14:val="100000"/>
                    </w14:srgbClr>
                  </w14:solidFill>
                </w14:textFill>
              </w:rPr>
              <w:t xml:space="preserve">　</w:t>
            </w:r>
            <w:r w:rsidR="008C30A7" w:rsidRPr="008C30A7">
              <w:rPr>
                <w:b/>
                <w:bCs w:val="0"/>
                <w:color w:val="000000"/>
                <w:w w:val="16"/>
                <w:shd w:val="solid" w:color="000000" w:fill="000000"/>
                <w:fitText w:val="76" w:id="-694445562"/>
                <w14:textFill>
                  <w14:solidFill>
                    <w14:srgbClr w14:val="000000">
                      <w14:alpha w14:val="100000"/>
                    </w14:srgbClr>
                  </w14:solidFill>
                </w14:textFill>
              </w:rPr>
              <w:t>|</w:t>
            </w:r>
            <w:r w:rsidR="008C30A7" w:rsidRPr="008C30A7">
              <w:rPr>
                <w:rFonts w:hint="eastAsia"/>
                <w:b/>
                <w:bCs w:val="0"/>
                <w:color w:val="000000"/>
                <w:w w:val="16"/>
                <w:shd w:val="solid" w:color="000000" w:fill="000000"/>
                <w:fitText w:val="76" w:id="-694445562"/>
                <w14:textFill>
                  <w14:solidFill>
                    <w14:srgbClr w14:val="000000">
                      <w14:alpha w14:val="100000"/>
                    </w14:srgbClr>
                  </w14:solidFill>
                </w14:textFill>
              </w:rPr>
              <w:t xml:space="preserve">　</w:t>
            </w:r>
            <w:r w:rsidR="00161104" w:rsidRPr="00161104">
              <w:rPr>
                <w:b/>
                <w:bCs w:val="0"/>
                <w:vertAlign w:val="superscript"/>
              </w:rPr>
              <w:t>3</w:t>
            </w:r>
          </w:p>
        </w:tc>
      </w:tr>
      <w:tr w:rsidR="0031567A" w:rsidRPr="0031567A" w14:paraId="3082ED24" w14:textId="77777777">
        <w:tc>
          <w:tcPr>
            <w:tcW w:w="5000" w:type="pct"/>
            <w:gridSpan w:val="7"/>
            <w:vAlign w:val="center"/>
          </w:tcPr>
          <w:p w14:paraId="0684D242" w14:textId="77777777" w:rsidR="0031567A" w:rsidRPr="0031567A" w:rsidRDefault="0031567A">
            <w:pPr>
              <w:jc w:val="left"/>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Net cost to MBS</w:t>
            </w:r>
          </w:p>
        </w:tc>
      </w:tr>
      <w:tr w:rsidR="0031567A" w:rsidRPr="0031567A" w14:paraId="248476D7" w14:textId="77777777" w:rsidTr="00562818">
        <w:tc>
          <w:tcPr>
            <w:tcW w:w="1625" w:type="pct"/>
            <w:vAlign w:val="center"/>
          </w:tcPr>
          <w:p w14:paraId="29D05CA4" w14:textId="688CF5D9" w:rsidR="0031567A" w:rsidRPr="0031567A" w:rsidRDefault="0031567A">
            <w:pPr>
              <w:ind w:left="104"/>
              <w:jc w:val="left"/>
              <w:rPr>
                <w:rFonts w:ascii="Arial Narrow" w:eastAsiaTheme="majorEastAsia" w:hAnsi="Arial Narrow" w:cstheme="majorBidi"/>
                <w:bCs/>
                <w:sz w:val="20"/>
                <w:szCs w:val="20"/>
              </w:rPr>
            </w:pPr>
            <w:r w:rsidRPr="0031567A">
              <w:rPr>
                <w:rFonts w:ascii="Arial Narrow" w:eastAsiaTheme="majorEastAsia" w:hAnsi="Arial Narrow" w:cstheme="majorBidi"/>
                <w:bCs/>
                <w:sz w:val="20"/>
                <w:szCs w:val="20"/>
              </w:rPr>
              <w:t>Stratum 1 (inc</w:t>
            </w:r>
            <w:r w:rsidR="004F3258">
              <w:rPr>
                <w:rFonts w:ascii="Arial Narrow" w:eastAsiaTheme="majorEastAsia" w:hAnsi="Arial Narrow" w:cstheme="majorBidi"/>
                <w:bCs/>
                <w:sz w:val="20"/>
                <w:szCs w:val="20"/>
              </w:rPr>
              <w:t>luding</w:t>
            </w:r>
            <w:r w:rsidRPr="0031567A">
              <w:rPr>
                <w:rFonts w:ascii="Arial Narrow" w:eastAsiaTheme="majorEastAsia" w:hAnsi="Arial Narrow" w:cstheme="majorBidi"/>
                <w:bCs/>
                <w:sz w:val="20"/>
                <w:szCs w:val="20"/>
              </w:rPr>
              <w:t xml:space="preserve"> grandfathered) </w:t>
            </w:r>
          </w:p>
        </w:tc>
        <w:tc>
          <w:tcPr>
            <w:tcW w:w="537" w:type="pct"/>
          </w:tcPr>
          <w:p w14:paraId="397EBBE5" w14:textId="6F40849B"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61"/>
                <w14:textFill>
                  <w14:solidFill>
                    <w14:srgbClr w14:val="000000">
                      <w14:alpha w14:val="100000"/>
                    </w14:srgbClr>
                  </w14:solidFill>
                </w14:textFill>
              </w:rPr>
              <w:t>|</w:t>
            </w:r>
            <w:r w:rsidR="008C30A7" w:rsidRPr="00FE32E3">
              <w:rPr>
                <w:color w:val="000000"/>
                <w:spacing w:val="1"/>
                <w:shd w:val="solid" w:color="000000" w:fill="000000"/>
                <w:fitText w:val="163" w:id="-694445561"/>
                <w14:textFill>
                  <w14:solidFill>
                    <w14:srgbClr w14:val="000000">
                      <w14:alpha w14:val="100000"/>
                    </w14:srgbClr>
                  </w14:solidFill>
                </w14:textFill>
              </w:rPr>
              <w:t>|</w:t>
            </w:r>
            <w:r w:rsidR="001950C6">
              <w:rPr>
                <w:vertAlign w:val="superscript"/>
              </w:rPr>
              <w:t>4</w:t>
            </w:r>
          </w:p>
        </w:tc>
        <w:tc>
          <w:tcPr>
            <w:tcW w:w="537" w:type="pct"/>
          </w:tcPr>
          <w:p w14:paraId="4DFB227F" w14:textId="6918A9EC"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60"/>
                <w14:textFill>
                  <w14:solidFill>
                    <w14:srgbClr w14:val="000000">
                      <w14:alpha w14:val="100000"/>
                    </w14:srgbClr>
                  </w14:solidFill>
                </w14:textFill>
              </w:rPr>
              <w:t>|</w:t>
            </w:r>
            <w:r w:rsidR="008C30A7" w:rsidRPr="00FE32E3">
              <w:rPr>
                <w:color w:val="000000"/>
                <w:spacing w:val="1"/>
                <w:shd w:val="solid" w:color="000000" w:fill="000000"/>
                <w:fitText w:val="163" w:id="-694445560"/>
                <w14:textFill>
                  <w14:solidFill>
                    <w14:srgbClr w14:val="000000">
                      <w14:alpha w14:val="100000"/>
                    </w14:srgbClr>
                  </w14:solidFill>
                </w14:textFill>
              </w:rPr>
              <w:t>|</w:t>
            </w:r>
            <w:r w:rsidR="001950C6">
              <w:rPr>
                <w:vertAlign w:val="superscript"/>
              </w:rPr>
              <w:t>4</w:t>
            </w:r>
          </w:p>
        </w:tc>
        <w:tc>
          <w:tcPr>
            <w:tcW w:w="537" w:type="pct"/>
          </w:tcPr>
          <w:p w14:paraId="366747F7" w14:textId="2C5114F6"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559"/>
                <w14:textFill>
                  <w14:solidFill>
                    <w14:srgbClr w14:val="000000">
                      <w14:alpha w14:val="100000"/>
                    </w14:srgbClr>
                  </w14:solidFill>
                </w14:textFill>
              </w:rPr>
              <w:t>|</w:t>
            </w:r>
            <w:r w:rsidR="008C30A7" w:rsidRPr="00FE32E3">
              <w:rPr>
                <w:color w:val="000000"/>
                <w:spacing w:val="1"/>
                <w:shd w:val="solid" w:color="000000" w:fill="000000"/>
                <w:fitText w:val="163" w:id="-694445559"/>
                <w14:textFill>
                  <w14:solidFill>
                    <w14:srgbClr w14:val="000000">
                      <w14:alpha w14:val="100000"/>
                    </w14:srgbClr>
                  </w14:solidFill>
                </w14:textFill>
              </w:rPr>
              <w:t>|</w:t>
            </w:r>
            <w:r w:rsidR="001950C6">
              <w:rPr>
                <w:vertAlign w:val="superscript"/>
              </w:rPr>
              <w:t>4</w:t>
            </w:r>
          </w:p>
        </w:tc>
        <w:tc>
          <w:tcPr>
            <w:tcW w:w="537" w:type="pct"/>
          </w:tcPr>
          <w:p w14:paraId="3340A2CD" w14:textId="604664E1"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12"/>
                <w14:textFill>
                  <w14:solidFill>
                    <w14:srgbClr w14:val="000000">
                      <w14:alpha w14:val="100000"/>
                    </w14:srgbClr>
                  </w14:solidFill>
                </w14:textFill>
              </w:rPr>
              <w:t>|</w:t>
            </w:r>
            <w:r w:rsidR="008C30A7" w:rsidRPr="00FE32E3">
              <w:rPr>
                <w:color w:val="000000"/>
                <w:spacing w:val="1"/>
                <w:shd w:val="solid" w:color="000000" w:fill="000000"/>
                <w:fitText w:val="163" w:id="-694445312"/>
                <w14:textFill>
                  <w14:solidFill>
                    <w14:srgbClr w14:val="000000">
                      <w14:alpha w14:val="100000"/>
                    </w14:srgbClr>
                  </w14:solidFill>
                </w14:textFill>
              </w:rPr>
              <w:t>|</w:t>
            </w:r>
            <w:r w:rsidR="001950C6">
              <w:rPr>
                <w:vertAlign w:val="superscript"/>
              </w:rPr>
              <w:t>4</w:t>
            </w:r>
          </w:p>
        </w:tc>
        <w:tc>
          <w:tcPr>
            <w:tcW w:w="537" w:type="pct"/>
          </w:tcPr>
          <w:p w14:paraId="51B264AB" w14:textId="3D504E1E"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11"/>
                <w14:textFill>
                  <w14:solidFill>
                    <w14:srgbClr w14:val="000000">
                      <w14:alpha w14:val="100000"/>
                    </w14:srgbClr>
                  </w14:solidFill>
                </w14:textFill>
              </w:rPr>
              <w:t>|</w:t>
            </w:r>
            <w:r w:rsidR="008C30A7" w:rsidRPr="00FE32E3">
              <w:rPr>
                <w:color w:val="000000"/>
                <w:spacing w:val="1"/>
                <w:shd w:val="solid" w:color="000000" w:fill="000000"/>
                <w:fitText w:val="163" w:id="-694445311"/>
                <w14:textFill>
                  <w14:solidFill>
                    <w14:srgbClr w14:val="000000">
                      <w14:alpha w14:val="100000"/>
                    </w14:srgbClr>
                  </w14:solidFill>
                </w14:textFill>
              </w:rPr>
              <w:t>|</w:t>
            </w:r>
            <w:r w:rsidR="001950C6">
              <w:rPr>
                <w:vertAlign w:val="superscript"/>
              </w:rPr>
              <w:t>4</w:t>
            </w:r>
          </w:p>
        </w:tc>
        <w:tc>
          <w:tcPr>
            <w:tcW w:w="688" w:type="pct"/>
          </w:tcPr>
          <w:p w14:paraId="43CCD7ED" w14:textId="6FEB1F18"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310"/>
                <w14:textFill>
                  <w14:solidFill>
                    <w14:srgbClr w14:val="000000">
                      <w14:alpha w14:val="100000"/>
                    </w14:srgbClr>
                  </w14:solidFill>
                </w14:textFill>
              </w:rPr>
              <w:t xml:space="preserve">　</w:t>
            </w:r>
            <w:r w:rsidR="008C30A7" w:rsidRPr="002409D6">
              <w:rPr>
                <w:color w:val="000000"/>
                <w:w w:val="15"/>
                <w:shd w:val="solid" w:color="000000" w:fill="000000"/>
                <w:fitText w:val="25" w:id="-694445310"/>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310"/>
                <w14:textFill>
                  <w14:solidFill>
                    <w14:srgbClr w14:val="000000">
                      <w14:alpha w14:val="100000"/>
                    </w14:srgbClr>
                  </w14:solidFill>
                </w14:textFill>
              </w:rPr>
              <w:t xml:space="preserve">　</w:t>
            </w:r>
            <w:r w:rsidR="001950C6">
              <w:rPr>
                <w:vertAlign w:val="superscript"/>
              </w:rPr>
              <w:t>4</w:t>
            </w:r>
          </w:p>
        </w:tc>
      </w:tr>
      <w:tr w:rsidR="0031567A" w:rsidRPr="0031567A" w14:paraId="1CAC3106" w14:textId="77777777" w:rsidTr="00562818">
        <w:tc>
          <w:tcPr>
            <w:tcW w:w="1625" w:type="pct"/>
            <w:vAlign w:val="center"/>
          </w:tcPr>
          <w:p w14:paraId="08CFE47C" w14:textId="42007262" w:rsidR="0031567A" w:rsidRPr="0031567A" w:rsidRDefault="0031567A">
            <w:pPr>
              <w:ind w:left="104"/>
              <w:jc w:val="left"/>
              <w:rPr>
                <w:rFonts w:ascii="Arial Narrow" w:eastAsiaTheme="majorEastAsia" w:hAnsi="Arial Narrow" w:cstheme="majorBidi"/>
                <w:sz w:val="20"/>
                <w:szCs w:val="20"/>
              </w:rPr>
            </w:pPr>
            <w:r w:rsidRPr="0031567A">
              <w:rPr>
                <w:rFonts w:ascii="Arial Narrow" w:eastAsiaTheme="majorEastAsia" w:hAnsi="Arial Narrow" w:cstheme="majorBidi"/>
                <w:sz w:val="20"/>
                <w:szCs w:val="20"/>
              </w:rPr>
              <w:t>Stratum 2 only</w:t>
            </w:r>
            <w:r w:rsidR="000C4139">
              <w:rPr>
                <w:rFonts w:ascii="Arial Narrow" w:eastAsiaTheme="majorEastAsia" w:hAnsi="Arial Narrow" w:cstheme="majorBidi"/>
                <w:sz w:val="20"/>
                <w:szCs w:val="20"/>
              </w:rPr>
              <w:t xml:space="preserve"> </w:t>
            </w:r>
            <w:r w:rsidRPr="0031567A">
              <w:rPr>
                <w:rFonts w:ascii="Arial Narrow" w:eastAsiaTheme="majorEastAsia" w:hAnsi="Arial Narrow" w:cstheme="majorBidi"/>
                <w:sz w:val="20"/>
                <w:szCs w:val="20"/>
                <w:vertAlign w:val="superscript"/>
              </w:rPr>
              <w:t>b</w:t>
            </w:r>
          </w:p>
        </w:tc>
        <w:tc>
          <w:tcPr>
            <w:tcW w:w="537" w:type="pct"/>
          </w:tcPr>
          <w:p w14:paraId="2A7D1C60" w14:textId="5063A44D"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9"/>
                <w14:textFill>
                  <w14:solidFill>
                    <w14:srgbClr w14:val="000000">
                      <w14:alpha w14:val="100000"/>
                    </w14:srgbClr>
                  </w14:solidFill>
                </w14:textFill>
              </w:rPr>
              <w:t>|</w:t>
            </w:r>
            <w:r w:rsidR="008C30A7" w:rsidRPr="00FE32E3">
              <w:rPr>
                <w:color w:val="000000"/>
                <w:spacing w:val="1"/>
                <w:shd w:val="solid" w:color="000000" w:fill="000000"/>
                <w:fitText w:val="163" w:id="-694445309"/>
                <w14:textFill>
                  <w14:solidFill>
                    <w14:srgbClr w14:val="000000">
                      <w14:alpha w14:val="100000"/>
                    </w14:srgbClr>
                  </w14:solidFill>
                </w14:textFill>
              </w:rPr>
              <w:t>|</w:t>
            </w:r>
            <w:r w:rsidR="001950C6">
              <w:rPr>
                <w:vertAlign w:val="superscript"/>
              </w:rPr>
              <w:t>4</w:t>
            </w:r>
          </w:p>
        </w:tc>
        <w:tc>
          <w:tcPr>
            <w:tcW w:w="537" w:type="pct"/>
          </w:tcPr>
          <w:p w14:paraId="1CB6529D" w14:textId="7DA78E80"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8"/>
                <w14:textFill>
                  <w14:solidFill>
                    <w14:srgbClr w14:val="000000">
                      <w14:alpha w14:val="100000"/>
                    </w14:srgbClr>
                  </w14:solidFill>
                </w14:textFill>
              </w:rPr>
              <w:t>|</w:t>
            </w:r>
            <w:r w:rsidR="008C30A7" w:rsidRPr="00FE32E3">
              <w:rPr>
                <w:color w:val="000000"/>
                <w:spacing w:val="1"/>
                <w:shd w:val="solid" w:color="000000" w:fill="000000"/>
                <w:fitText w:val="163" w:id="-694445308"/>
                <w14:textFill>
                  <w14:solidFill>
                    <w14:srgbClr w14:val="000000">
                      <w14:alpha w14:val="100000"/>
                    </w14:srgbClr>
                  </w14:solidFill>
                </w14:textFill>
              </w:rPr>
              <w:t>|</w:t>
            </w:r>
            <w:r w:rsidR="001950C6">
              <w:rPr>
                <w:vertAlign w:val="superscript"/>
              </w:rPr>
              <w:t>4</w:t>
            </w:r>
          </w:p>
        </w:tc>
        <w:tc>
          <w:tcPr>
            <w:tcW w:w="537" w:type="pct"/>
          </w:tcPr>
          <w:p w14:paraId="198C0C4E" w14:textId="5DF4285E"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7"/>
                <w14:textFill>
                  <w14:solidFill>
                    <w14:srgbClr w14:val="000000">
                      <w14:alpha w14:val="100000"/>
                    </w14:srgbClr>
                  </w14:solidFill>
                </w14:textFill>
              </w:rPr>
              <w:t>|</w:t>
            </w:r>
            <w:r w:rsidR="008C30A7" w:rsidRPr="00FE32E3">
              <w:rPr>
                <w:color w:val="000000"/>
                <w:spacing w:val="1"/>
                <w:shd w:val="solid" w:color="000000" w:fill="000000"/>
                <w:fitText w:val="163" w:id="-694445307"/>
                <w14:textFill>
                  <w14:solidFill>
                    <w14:srgbClr w14:val="000000">
                      <w14:alpha w14:val="100000"/>
                    </w14:srgbClr>
                  </w14:solidFill>
                </w14:textFill>
              </w:rPr>
              <w:t>|</w:t>
            </w:r>
            <w:r w:rsidR="001950C6">
              <w:rPr>
                <w:vertAlign w:val="superscript"/>
              </w:rPr>
              <w:t>4</w:t>
            </w:r>
          </w:p>
        </w:tc>
        <w:tc>
          <w:tcPr>
            <w:tcW w:w="537" w:type="pct"/>
          </w:tcPr>
          <w:p w14:paraId="2CC0D9D0" w14:textId="3CA6519E"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6"/>
                <w14:textFill>
                  <w14:solidFill>
                    <w14:srgbClr w14:val="000000">
                      <w14:alpha w14:val="100000"/>
                    </w14:srgbClr>
                  </w14:solidFill>
                </w14:textFill>
              </w:rPr>
              <w:t>|</w:t>
            </w:r>
            <w:r w:rsidR="008C30A7" w:rsidRPr="00FE32E3">
              <w:rPr>
                <w:color w:val="000000"/>
                <w:spacing w:val="1"/>
                <w:shd w:val="solid" w:color="000000" w:fill="000000"/>
                <w:fitText w:val="163" w:id="-694445306"/>
                <w14:textFill>
                  <w14:solidFill>
                    <w14:srgbClr w14:val="000000">
                      <w14:alpha w14:val="100000"/>
                    </w14:srgbClr>
                  </w14:solidFill>
                </w14:textFill>
              </w:rPr>
              <w:t>|</w:t>
            </w:r>
            <w:r w:rsidR="001950C6">
              <w:rPr>
                <w:vertAlign w:val="superscript"/>
              </w:rPr>
              <w:t>4</w:t>
            </w:r>
          </w:p>
        </w:tc>
        <w:tc>
          <w:tcPr>
            <w:tcW w:w="537" w:type="pct"/>
          </w:tcPr>
          <w:p w14:paraId="7D70D35B" w14:textId="234FDD03"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5"/>
                <w14:textFill>
                  <w14:solidFill>
                    <w14:srgbClr w14:val="000000">
                      <w14:alpha w14:val="100000"/>
                    </w14:srgbClr>
                  </w14:solidFill>
                </w14:textFill>
              </w:rPr>
              <w:t>|</w:t>
            </w:r>
            <w:r w:rsidR="008C30A7" w:rsidRPr="00FE32E3">
              <w:rPr>
                <w:color w:val="000000"/>
                <w:spacing w:val="1"/>
                <w:shd w:val="solid" w:color="000000" w:fill="000000"/>
                <w:fitText w:val="163" w:id="-694445305"/>
                <w14:textFill>
                  <w14:solidFill>
                    <w14:srgbClr w14:val="000000">
                      <w14:alpha w14:val="100000"/>
                    </w14:srgbClr>
                  </w14:solidFill>
                </w14:textFill>
              </w:rPr>
              <w:t>|</w:t>
            </w:r>
            <w:r w:rsidR="001950C6">
              <w:rPr>
                <w:vertAlign w:val="superscript"/>
              </w:rPr>
              <w:t>4</w:t>
            </w:r>
          </w:p>
        </w:tc>
        <w:tc>
          <w:tcPr>
            <w:tcW w:w="688" w:type="pct"/>
          </w:tcPr>
          <w:p w14:paraId="6C693F3E" w14:textId="24A995D9"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304"/>
                <w14:textFill>
                  <w14:solidFill>
                    <w14:srgbClr w14:val="000000">
                      <w14:alpha w14:val="100000"/>
                    </w14:srgbClr>
                  </w14:solidFill>
                </w14:textFill>
              </w:rPr>
              <w:t xml:space="preserve">　</w:t>
            </w:r>
            <w:r w:rsidR="008C30A7" w:rsidRPr="002409D6">
              <w:rPr>
                <w:color w:val="000000"/>
                <w:w w:val="15"/>
                <w:shd w:val="solid" w:color="000000" w:fill="000000"/>
                <w:fitText w:val="25" w:id="-694445304"/>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304"/>
                <w14:textFill>
                  <w14:solidFill>
                    <w14:srgbClr w14:val="000000">
                      <w14:alpha w14:val="100000"/>
                    </w14:srgbClr>
                  </w14:solidFill>
                </w14:textFill>
              </w:rPr>
              <w:t xml:space="preserve">　</w:t>
            </w:r>
            <w:r w:rsidR="001950C6">
              <w:rPr>
                <w:vertAlign w:val="superscript"/>
              </w:rPr>
              <w:t>4</w:t>
            </w:r>
          </w:p>
        </w:tc>
      </w:tr>
      <w:tr w:rsidR="0031567A" w:rsidRPr="0031567A" w14:paraId="11E00C52" w14:textId="77777777" w:rsidTr="00562818">
        <w:tc>
          <w:tcPr>
            <w:tcW w:w="1625" w:type="pct"/>
            <w:vAlign w:val="center"/>
          </w:tcPr>
          <w:p w14:paraId="14E184A1" w14:textId="2630FC82" w:rsidR="0031567A" w:rsidRPr="0031567A" w:rsidRDefault="0031567A">
            <w:pPr>
              <w:ind w:left="104"/>
              <w:jc w:val="left"/>
              <w:rPr>
                <w:rFonts w:ascii="Arial Narrow" w:eastAsiaTheme="majorEastAsia" w:hAnsi="Arial Narrow" w:cstheme="majorBidi"/>
                <w:sz w:val="20"/>
                <w:szCs w:val="20"/>
              </w:rPr>
            </w:pPr>
            <w:r w:rsidRPr="0031567A">
              <w:rPr>
                <w:rFonts w:ascii="Arial Narrow" w:eastAsiaTheme="majorEastAsia" w:hAnsi="Arial Narrow" w:cstheme="majorBidi"/>
                <w:sz w:val="20"/>
                <w:szCs w:val="20"/>
              </w:rPr>
              <w:t>Total</w:t>
            </w:r>
            <w:r w:rsidR="000C4139">
              <w:rPr>
                <w:rFonts w:ascii="Arial Narrow" w:eastAsiaTheme="majorEastAsia" w:hAnsi="Arial Narrow" w:cstheme="majorBidi"/>
                <w:sz w:val="20"/>
                <w:szCs w:val="20"/>
              </w:rPr>
              <w:t xml:space="preserve"> </w:t>
            </w:r>
            <w:r w:rsidRPr="0031567A">
              <w:rPr>
                <w:rFonts w:ascii="Arial Narrow" w:eastAsiaTheme="majorEastAsia" w:hAnsi="Arial Narrow" w:cstheme="majorBidi"/>
                <w:sz w:val="20"/>
                <w:szCs w:val="20"/>
                <w:vertAlign w:val="superscript"/>
              </w:rPr>
              <w:t>b</w:t>
            </w:r>
          </w:p>
        </w:tc>
        <w:tc>
          <w:tcPr>
            <w:tcW w:w="537" w:type="pct"/>
            <w:vAlign w:val="center"/>
          </w:tcPr>
          <w:p w14:paraId="2AA9D8F9" w14:textId="32C4F79F"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3"/>
                <w14:textFill>
                  <w14:solidFill>
                    <w14:srgbClr w14:val="000000">
                      <w14:alpha w14:val="100000"/>
                    </w14:srgbClr>
                  </w14:solidFill>
                </w14:textFill>
              </w:rPr>
              <w:t>|</w:t>
            </w:r>
            <w:r w:rsidR="008C30A7" w:rsidRPr="00FE32E3">
              <w:rPr>
                <w:color w:val="000000"/>
                <w:spacing w:val="1"/>
                <w:shd w:val="solid" w:color="000000" w:fill="000000"/>
                <w:fitText w:val="163" w:id="-694445303"/>
                <w14:textFill>
                  <w14:solidFill>
                    <w14:srgbClr w14:val="000000">
                      <w14:alpha w14:val="100000"/>
                    </w14:srgbClr>
                  </w14:solidFill>
                </w14:textFill>
              </w:rPr>
              <w:t>|</w:t>
            </w:r>
            <w:r w:rsidR="001950C6">
              <w:rPr>
                <w:vertAlign w:val="superscript"/>
              </w:rPr>
              <w:t>4</w:t>
            </w:r>
          </w:p>
        </w:tc>
        <w:tc>
          <w:tcPr>
            <w:tcW w:w="537" w:type="pct"/>
            <w:vAlign w:val="center"/>
          </w:tcPr>
          <w:p w14:paraId="50F5A30B" w14:textId="54D4B02B"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2"/>
                <w14:textFill>
                  <w14:solidFill>
                    <w14:srgbClr w14:val="000000">
                      <w14:alpha w14:val="100000"/>
                    </w14:srgbClr>
                  </w14:solidFill>
                </w14:textFill>
              </w:rPr>
              <w:t>|</w:t>
            </w:r>
            <w:r w:rsidR="008C30A7" w:rsidRPr="00FE32E3">
              <w:rPr>
                <w:color w:val="000000"/>
                <w:spacing w:val="1"/>
                <w:shd w:val="solid" w:color="000000" w:fill="000000"/>
                <w:fitText w:val="163" w:id="-694445302"/>
                <w14:textFill>
                  <w14:solidFill>
                    <w14:srgbClr w14:val="000000">
                      <w14:alpha w14:val="100000"/>
                    </w14:srgbClr>
                  </w14:solidFill>
                </w14:textFill>
              </w:rPr>
              <w:t>|</w:t>
            </w:r>
            <w:r w:rsidR="001950C6">
              <w:rPr>
                <w:vertAlign w:val="superscript"/>
              </w:rPr>
              <w:t>4</w:t>
            </w:r>
          </w:p>
        </w:tc>
        <w:tc>
          <w:tcPr>
            <w:tcW w:w="537" w:type="pct"/>
            <w:vAlign w:val="center"/>
          </w:tcPr>
          <w:p w14:paraId="7A7CCDFC" w14:textId="2D4F3C5C"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1"/>
                <w14:textFill>
                  <w14:solidFill>
                    <w14:srgbClr w14:val="000000">
                      <w14:alpha w14:val="100000"/>
                    </w14:srgbClr>
                  </w14:solidFill>
                </w14:textFill>
              </w:rPr>
              <w:t>|</w:t>
            </w:r>
            <w:r w:rsidR="008C30A7" w:rsidRPr="00FE32E3">
              <w:rPr>
                <w:color w:val="000000"/>
                <w:spacing w:val="1"/>
                <w:shd w:val="solid" w:color="000000" w:fill="000000"/>
                <w:fitText w:val="163" w:id="-694445301"/>
                <w14:textFill>
                  <w14:solidFill>
                    <w14:srgbClr w14:val="000000">
                      <w14:alpha w14:val="100000"/>
                    </w14:srgbClr>
                  </w14:solidFill>
                </w14:textFill>
              </w:rPr>
              <w:t>|</w:t>
            </w:r>
            <w:r w:rsidR="001950C6">
              <w:rPr>
                <w:vertAlign w:val="superscript"/>
              </w:rPr>
              <w:t>4</w:t>
            </w:r>
          </w:p>
        </w:tc>
        <w:tc>
          <w:tcPr>
            <w:tcW w:w="537" w:type="pct"/>
            <w:vAlign w:val="center"/>
          </w:tcPr>
          <w:p w14:paraId="20F73974" w14:textId="51F191EE"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0"/>
                <w14:textFill>
                  <w14:solidFill>
                    <w14:srgbClr w14:val="000000">
                      <w14:alpha w14:val="100000"/>
                    </w14:srgbClr>
                  </w14:solidFill>
                </w14:textFill>
              </w:rPr>
              <w:t>|</w:t>
            </w:r>
            <w:r w:rsidR="008C30A7" w:rsidRPr="00FE32E3">
              <w:rPr>
                <w:color w:val="000000"/>
                <w:spacing w:val="1"/>
                <w:shd w:val="solid" w:color="000000" w:fill="000000"/>
                <w:fitText w:val="163" w:id="-694445300"/>
                <w14:textFill>
                  <w14:solidFill>
                    <w14:srgbClr w14:val="000000">
                      <w14:alpha w14:val="100000"/>
                    </w14:srgbClr>
                  </w14:solidFill>
                </w14:textFill>
              </w:rPr>
              <w:t>|</w:t>
            </w:r>
            <w:r w:rsidR="001950C6">
              <w:rPr>
                <w:vertAlign w:val="superscript"/>
              </w:rPr>
              <w:t>4</w:t>
            </w:r>
          </w:p>
        </w:tc>
        <w:tc>
          <w:tcPr>
            <w:tcW w:w="537" w:type="pct"/>
            <w:vAlign w:val="center"/>
          </w:tcPr>
          <w:p w14:paraId="4763E930" w14:textId="4D6C4778"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299"/>
                <w14:textFill>
                  <w14:solidFill>
                    <w14:srgbClr w14:val="000000">
                      <w14:alpha w14:val="100000"/>
                    </w14:srgbClr>
                  </w14:solidFill>
                </w14:textFill>
              </w:rPr>
              <w:t>|</w:t>
            </w:r>
            <w:r w:rsidR="008C30A7" w:rsidRPr="00FE32E3">
              <w:rPr>
                <w:color w:val="000000"/>
                <w:spacing w:val="1"/>
                <w:shd w:val="solid" w:color="000000" w:fill="000000"/>
                <w:fitText w:val="163" w:id="-694445299"/>
                <w14:textFill>
                  <w14:solidFill>
                    <w14:srgbClr w14:val="000000">
                      <w14:alpha w14:val="100000"/>
                    </w14:srgbClr>
                  </w14:solidFill>
                </w14:textFill>
              </w:rPr>
              <w:t>|</w:t>
            </w:r>
            <w:r w:rsidR="001950C6">
              <w:rPr>
                <w:vertAlign w:val="superscript"/>
              </w:rPr>
              <w:t>4</w:t>
            </w:r>
          </w:p>
        </w:tc>
        <w:tc>
          <w:tcPr>
            <w:tcW w:w="688" w:type="pct"/>
            <w:vAlign w:val="center"/>
          </w:tcPr>
          <w:p w14:paraId="5EF5AC4E" w14:textId="420FF90F"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298"/>
                <w14:textFill>
                  <w14:solidFill>
                    <w14:srgbClr w14:val="000000">
                      <w14:alpha w14:val="100000"/>
                    </w14:srgbClr>
                  </w14:solidFill>
                </w14:textFill>
              </w:rPr>
              <w:t xml:space="preserve">　</w:t>
            </w:r>
            <w:r w:rsidR="008C30A7" w:rsidRPr="002409D6">
              <w:rPr>
                <w:color w:val="000000"/>
                <w:w w:val="15"/>
                <w:shd w:val="solid" w:color="000000" w:fill="000000"/>
                <w:fitText w:val="25" w:id="-694445298"/>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298"/>
                <w14:textFill>
                  <w14:solidFill>
                    <w14:srgbClr w14:val="000000">
                      <w14:alpha w14:val="100000"/>
                    </w14:srgbClr>
                  </w14:solidFill>
                </w14:textFill>
              </w:rPr>
              <w:t xml:space="preserve">　</w:t>
            </w:r>
            <w:r w:rsidR="001950C6">
              <w:rPr>
                <w:vertAlign w:val="superscript"/>
              </w:rPr>
              <w:t>4</w:t>
            </w:r>
          </w:p>
        </w:tc>
      </w:tr>
      <w:tr w:rsidR="0031567A" w:rsidRPr="0031567A" w14:paraId="12698A3E" w14:textId="77777777">
        <w:tc>
          <w:tcPr>
            <w:tcW w:w="5000" w:type="pct"/>
            <w:gridSpan w:val="7"/>
            <w:vAlign w:val="center"/>
          </w:tcPr>
          <w:p w14:paraId="5B45736A" w14:textId="4053D813" w:rsidR="0031567A" w:rsidRPr="0031567A" w:rsidRDefault="0031567A">
            <w:pPr>
              <w:jc w:val="left"/>
              <w:rPr>
                <w:rFonts w:ascii="Arial Narrow" w:eastAsiaTheme="majorEastAsia" w:hAnsi="Arial Narrow" w:cstheme="majorBidi"/>
                <w:b/>
                <w:bCs/>
                <w:sz w:val="20"/>
                <w:szCs w:val="20"/>
              </w:rPr>
            </w:pPr>
            <w:r w:rsidRPr="0031567A">
              <w:rPr>
                <w:rFonts w:ascii="Arial Narrow" w:eastAsiaTheme="majorEastAsia" w:hAnsi="Arial Narrow" w:cstheme="majorBidi"/>
                <w:b/>
                <w:bCs/>
                <w:sz w:val="20"/>
                <w:szCs w:val="20"/>
              </w:rPr>
              <w:t>Net change to government budget</w:t>
            </w:r>
            <w:r w:rsidR="000C4139">
              <w:rPr>
                <w:rFonts w:ascii="Arial Narrow" w:eastAsiaTheme="majorEastAsia" w:hAnsi="Arial Narrow" w:cstheme="majorBidi"/>
                <w:b/>
                <w:bCs/>
                <w:sz w:val="20"/>
                <w:szCs w:val="20"/>
              </w:rPr>
              <w:t xml:space="preserve"> </w:t>
            </w:r>
            <w:r w:rsidRPr="0031567A">
              <w:rPr>
                <w:rFonts w:ascii="Arial Narrow" w:eastAsiaTheme="majorEastAsia" w:hAnsi="Arial Narrow" w:cstheme="majorBidi"/>
                <w:b/>
                <w:bCs/>
                <w:sz w:val="20"/>
                <w:szCs w:val="20"/>
                <w:vertAlign w:val="superscript"/>
              </w:rPr>
              <w:t xml:space="preserve">a </w:t>
            </w:r>
          </w:p>
        </w:tc>
      </w:tr>
      <w:tr w:rsidR="0031567A" w:rsidRPr="0031567A" w14:paraId="7239B997" w14:textId="77777777" w:rsidTr="00562818">
        <w:tc>
          <w:tcPr>
            <w:tcW w:w="1625" w:type="pct"/>
            <w:vAlign w:val="center"/>
          </w:tcPr>
          <w:p w14:paraId="75E9331A" w14:textId="02C06EE3" w:rsidR="0031567A" w:rsidRPr="0031567A" w:rsidRDefault="0031567A">
            <w:pPr>
              <w:ind w:left="104"/>
              <w:jc w:val="left"/>
              <w:rPr>
                <w:rFonts w:ascii="Arial Narrow" w:eastAsiaTheme="majorEastAsia" w:hAnsi="Arial Narrow" w:cstheme="majorBidi"/>
                <w:sz w:val="20"/>
                <w:szCs w:val="20"/>
              </w:rPr>
            </w:pPr>
            <w:r w:rsidRPr="0031567A">
              <w:rPr>
                <w:rFonts w:ascii="Arial Narrow" w:eastAsiaTheme="majorEastAsia" w:hAnsi="Arial Narrow" w:cstheme="majorBidi"/>
                <w:sz w:val="20"/>
                <w:szCs w:val="20"/>
              </w:rPr>
              <w:t>Stratum 1 (inc</w:t>
            </w:r>
            <w:r w:rsidR="00EA3A6F">
              <w:rPr>
                <w:rFonts w:ascii="Arial Narrow" w:eastAsiaTheme="majorEastAsia" w:hAnsi="Arial Narrow" w:cstheme="majorBidi"/>
                <w:sz w:val="20"/>
                <w:szCs w:val="20"/>
              </w:rPr>
              <w:t>luding</w:t>
            </w:r>
            <w:r w:rsidRPr="0031567A">
              <w:rPr>
                <w:rFonts w:ascii="Arial Narrow" w:eastAsiaTheme="majorEastAsia" w:hAnsi="Arial Narrow" w:cstheme="majorBidi"/>
                <w:sz w:val="20"/>
                <w:szCs w:val="20"/>
              </w:rPr>
              <w:t xml:space="preserve"> grandfathered)</w:t>
            </w:r>
            <w:r w:rsidRPr="0031567A">
              <w:rPr>
                <w:rFonts w:ascii="Arial Narrow" w:eastAsiaTheme="majorEastAsia" w:hAnsi="Arial Narrow" w:cstheme="majorBidi"/>
                <w:sz w:val="20"/>
                <w:szCs w:val="20"/>
                <w:vertAlign w:val="superscript"/>
              </w:rPr>
              <w:t>c</w:t>
            </w:r>
          </w:p>
        </w:tc>
        <w:tc>
          <w:tcPr>
            <w:tcW w:w="537" w:type="pct"/>
          </w:tcPr>
          <w:p w14:paraId="0E5A70B2" w14:textId="0081EA92" w:rsidR="0031567A" w:rsidRPr="004A0CDC" w:rsidRDefault="0031567A">
            <w:pPr>
              <w:pStyle w:val="TableText0"/>
              <w:keepNext w:val="0"/>
              <w:jc w:val="center"/>
              <w:rPr>
                <w:vertAlign w:val="superscript"/>
              </w:rPr>
            </w:pPr>
            <w:r w:rsidRPr="0031567A">
              <w:t>$</w:t>
            </w:r>
            <w:r w:rsidR="008C30A7" w:rsidRPr="00FE32E3">
              <w:rPr>
                <w:color w:val="000000"/>
                <w:spacing w:val="77"/>
                <w:shd w:val="solid" w:color="000000" w:fill="000000"/>
                <w:fitText w:val="163" w:id="-694445297"/>
                <w14:textFill>
                  <w14:solidFill>
                    <w14:srgbClr w14:val="000000">
                      <w14:alpha w14:val="100000"/>
                    </w14:srgbClr>
                  </w14:solidFill>
                </w14:textFill>
              </w:rPr>
              <w:t>|</w:t>
            </w:r>
            <w:r w:rsidR="008C30A7" w:rsidRPr="00FE32E3">
              <w:rPr>
                <w:color w:val="000000"/>
                <w:spacing w:val="1"/>
                <w:shd w:val="solid" w:color="000000" w:fill="000000"/>
                <w:fitText w:val="163" w:id="-694445297"/>
                <w14:textFill>
                  <w14:solidFill>
                    <w14:srgbClr w14:val="000000">
                      <w14:alpha w14:val="100000"/>
                    </w14:srgbClr>
                  </w14:solidFill>
                </w14:textFill>
              </w:rPr>
              <w:t>|</w:t>
            </w:r>
            <w:r w:rsidR="004A0CDC">
              <w:rPr>
                <w:vertAlign w:val="superscript"/>
              </w:rPr>
              <w:t>3</w:t>
            </w:r>
          </w:p>
        </w:tc>
        <w:tc>
          <w:tcPr>
            <w:tcW w:w="537" w:type="pct"/>
          </w:tcPr>
          <w:p w14:paraId="3EA22711" w14:textId="46FA30D2" w:rsidR="0031567A" w:rsidRPr="004A0CDC" w:rsidRDefault="0031567A">
            <w:pPr>
              <w:pStyle w:val="TableText0"/>
              <w:keepNext w:val="0"/>
              <w:jc w:val="center"/>
              <w:rPr>
                <w:vertAlign w:val="superscript"/>
              </w:rPr>
            </w:pPr>
            <w:r w:rsidRPr="0031567A">
              <w:t>$</w:t>
            </w:r>
            <w:r w:rsidR="008C30A7" w:rsidRPr="00FE32E3">
              <w:rPr>
                <w:color w:val="000000"/>
                <w:spacing w:val="77"/>
                <w:shd w:val="solid" w:color="000000" w:fill="000000"/>
                <w:fitText w:val="163" w:id="-694445296"/>
                <w14:textFill>
                  <w14:solidFill>
                    <w14:srgbClr w14:val="000000">
                      <w14:alpha w14:val="100000"/>
                    </w14:srgbClr>
                  </w14:solidFill>
                </w14:textFill>
              </w:rPr>
              <w:t>|</w:t>
            </w:r>
            <w:r w:rsidR="008C30A7" w:rsidRPr="00FE32E3">
              <w:rPr>
                <w:color w:val="000000"/>
                <w:spacing w:val="1"/>
                <w:shd w:val="solid" w:color="000000" w:fill="000000"/>
                <w:fitText w:val="163" w:id="-694445296"/>
                <w14:textFill>
                  <w14:solidFill>
                    <w14:srgbClr w14:val="000000">
                      <w14:alpha w14:val="100000"/>
                    </w14:srgbClr>
                  </w14:solidFill>
                </w14:textFill>
              </w:rPr>
              <w:t>|</w:t>
            </w:r>
            <w:r w:rsidR="004A0CDC">
              <w:rPr>
                <w:vertAlign w:val="superscript"/>
              </w:rPr>
              <w:t>3</w:t>
            </w:r>
          </w:p>
        </w:tc>
        <w:tc>
          <w:tcPr>
            <w:tcW w:w="537" w:type="pct"/>
          </w:tcPr>
          <w:p w14:paraId="6DC19F2C" w14:textId="7D01927A"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12"/>
                <w14:textFill>
                  <w14:solidFill>
                    <w14:srgbClr w14:val="000000">
                      <w14:alpha w14:val="100000"/>
                    </w14:srgbClr>
                  </w14:solidFill>
                </w14:textFill>
              </w:rPr>
              <w:t>|</w:t>
            </w:r>
            <w:r w:rsidR="008C30A7" w:rsidRPr="00FE32E3">
              <w:rPr>
                <w:color w:val="000000"/>
                <w:spacing w:val="1"/>
                <w:shd w:val="solid" w:color="000000" w:fill="000000"/>
                <w:fitText w:val="163" w:id="-694445312"/>
                <w14:textFill>
                  <w14:solidFill>
                    <w14:srgbClr w14:val="000000">
                      <w14:alpha w14:val="100000"/>
                    </w14:srgbClr>
                  </w14:solidFill>
                </w14:textFill>
              </w:rPr>
              <w:t>|</w:t>
            </w:r>
            <w:r w:rsidR="004A0CDC">
              <w:rPr>
                <w:vertAlign w:val="superscript"/>
              </w:rPr>
              <w:t>3</w:t>
            </w:r>
          </w:p>
        </w:tc>
        <w:tc>
          <w:tcPr>
            <w:tcW w:w="537" w:type="pct"/>
          </w:tcPr>
          <w:p w14:paraId="38045FAF" w14:textId="682F1B02"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11"/>
                <w14:textFill>
                  <w14:solidFill>
                    <w14:srgbClr w14:val="000000">
                      <w14:alpha w14:val="100000"/>
                    </w14:srgbClr>
                  </w14:solidFill>
                </w14:textFill>
              </w:rPr>
              <w:t>|</w:t>
            </w:r>
            <w:r w:rsidR="008C30A7" w:rsidRPr="00FE32E3">
              <w:rPr>
                <w:color w:val="000000"/>
                <w:spacing w:val="1"/>
                <w:shd w:val="solid" w:color="000000" w:fill="000000"/>
                <w:fitText w:val="163" w:id="-694445311"/>
                <w14:textFill>
                  <w14:solidFill>
                    <w14:srgbClr w14:val="000000">
                      <w14:alpha w14:val="100000"/>
                    </w14:srgbClr>
                  </w14:solidFill>
                </w14:textFill>
              </w:rPr>
              <w:t>|</w:t>
            </w:r>
            <w:r w:rsidR="004A0CDC">
              <w:rPr>
                <w:vertAlign w:val="superscript"/>
              </w:rPr>
              <w:t>3</w:t>
            </w:r>
          </w:p>
        </w:tc>
        <w:tc>
          <w:tcPr>
            <w:tcW w:w="537" w:type="pct"/>
          </w:tcPr>
          <w:p w14:paraId="1AD78A6D" w14:textId="06321A22"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10"/>
                <w14:textFill>
                  <w14:solidFill>
                    <w14:srgbClr w14:val="000000">
                      <w14:alpha w14:val="100000"/>
                    </w14:srgbClr>
                  </w14:solidFill>
                </w14:textFill>
              </w:rPr>
              <w:t>|</w:t>
            </w:r>
            <w:r w:rsidR="008C30A7" w:rsidRPr="00FE32E3">
              <w:rPr>
                <w:color w:val="000000"/>
                <w:spacing w:val="1"/>
                <w:shd w:val="solid" w:color="000000" w:fill="000000"/>
                <w:fitText w:val="163" w:id="-694445310"/>
                <w14:textFill>
                  <w14:solidFill>
                    <w14:srgbClr w14:val="000000">
                      <w14:alpha w14:val="100000"/>
                    </w14:srgbClr>
                  </w14:solidFill>
                </w14:textFill>
              </w:rPr>
              <w:t>|</w:t>
            </w:r>
            <w:r w:rsidR="004A0CDC">
              <w:rPr>
                <w:vertAlign w:val="superscript"/>
              </w:rPr>
              <w:t>3</w:t>
            </w:r>
          </w:p>
        </w:tc>
        <w:tc>
          <w:tcPr>
            <w:tcW w:w="688" w:type="pct"/>
          </w:tcPr>
          <w:p w14:paraId="59E646DF" w14:textId="7C50A5A3"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309"/>
                <w14:textFill>
                  <w14:solidFill>
                    <w14:srgbClr w14:val="000000">
                      <w14:alpha w14:val="100000"/>
                    </w14:srgbClr>
                  </w14:solidFill>
                </w14:textFill>
              </w:rPr>
              <w:t xml:space="preserve">　</w:t>
            </w:r>
            <w:r w:rsidR="008C30A7" w:rsidRPr="002409D6">
              <w:rPr>
                <w:color w:val="000000"/>
                <w:w w:val="15"/>
                <w:shd w:val="solid" w:color="000000" w:fill="000000"/>
                <w:fitText w:val="25" w:id="-694445309"/>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309"/>
                <w14:textFill>
                  <w14:solidFill>
                    <w14:srgbClr w14:val="000000">
                      <w14:alpha w14:val="100000"/>
                    </w14:srgbClr>
                  </w14:solidFill>
                </w14:textFill>
              </w:rPr>
              <w:t xml:space="preserve">　</w:t>
            </w:r>
            <w:r w:rsidR="004A0CDC">
              <w:rPr>
                <w:vertAlign w:val="superscript"/>
              </w:rPr>
              <w:t>3</w:t>
            </w:r>
          </w:p>
        </w:tc>
      </w:tr>
      <w:tr w:rsidR="0031567A" w:rsidRPr="0031567A" w14:paraId="1AFB4989" w14:textId="77777777" w:rsidTr="00562818">
        <w:tc>
          <w:tcPr>
            <w:tcW w:w="1625" w:type="pct"/>
            <w:vAlign w:val="center"/>
          </w:tcPr>
          <w:p w14:paraId="2B91DB3B" w14:textId="6B952A5D" w:rsidR="0031567A" w:rsidRPr="0031567A" w:rsidRDefault="0031567A">
            <w:pPr>
              <w:ind w:left="104"/>
              <w:jc w:val="left"/>
              <w:rPr>
                <w:rFonts w:ascii="Arial Narrow" w:eastAsiaTheme="majorEastAsia" w:hAnsi="Arial Narrow" w:cstheme="majorBidi"/>
                <w:sz w:val="20"/>
                <w:szCs w:val="20"/>
              </w:rPr>
            </w:pPr>
            <w:r w:rsidRPr="0031567A">
              <w:rPr>
                <w:rFonts w:ascii="Arial Narrow" w:eastAsiaTheme="majorEastAsia" w:hAnsi="Arial Narrow" w:cstheme="majorBidi"/>
                <w:sz w:val="20"/>
                <w:szCs w:val="20"/>
              </w:rPr>
              <w:t>Stratum 2 only</w:t>
            </w:r>
            <w:r w:rsidR="000C4139">
              <w:rPr>
                <w:rFonts w:ascii="Arial Narrow" w:eastAsiaTheme="majorEastAsia" w:hAnsi="Arial Narrow" w:cstheme="majorBidi"/>
                <w:sz w:val="20"/>
                <w:szCs w:val="20"/>
              </w:rPr>
              <w:t xml:space="preserve"> </w:t>
            </w:r>
            <w:r w:rsidRPr="0031567A">
              <w:rPr>
                <w:rFonts w:ascii="Arial Narrow" w:eastAsiaTheme="majorEastAsia" w:hAnsi="Arial Narrow" w:cstheme="majorBidi"/>
                <w:sz w:val="20"/>
                <w:szCs w:val="20"/>
                <w:vertAlign w:val="superscript"/>
              </w:rPr>
              <w:t>b</w:t>
            </w:r>
          </w:p>
        </w:tc>
        <w:tc>
          <w:tcPr>
            <w:tcW w:w="537" w:type="pct"/>
          </w:tcPr>
          <w:p w14:paraId="15942633" w14:textId="71342D11" w:rsidR="0031567A" w:rsidRPr="004A0CDC" w:rsidRDefault="0031567A">
            <w:pPr>
              <w:pStyle w:val="TableText0"/>
              <w:keepNext w:val="0"/>
              <w:jc w:val="center"/>
            </w:pPr>
            <w:r w:rsidRPr="0031567A">
              <w:t>$</w:t>
            </w:r>
            <w:r w:rsidR="008C30A7" w:rsidRPr="00FE32E3">
              <w:rPr>
                <w:color w:val="000000"/>
                <w:spacing w:val="77"/>
                <w:shd w:val="solid" w:color="000000" w:fill="000000"/>
                <w:fitText w:val="163" w:id="-694445308"/>
                <w14:textFill>
                  <w14:solidFill>
                    <w14:srgbClr w14:val="000000">
                      <w14:alpha w14:val="100000"/>
                    </w14:srgbClr>
                  </w14:solidFill>
                </w14:textFill>
              </w:rPr>
              <w:t>|</w:t>
            </w:r>
            <w:r w:rsidR="008C30A7" w:rsidRPr="00FE32E3">
              <w:rPr>
                <w:color w:val="000000"/>
                <w:spacing w:val="1"/>
                <w:shd w:val="solid" w:color="000000" w:fill="000000"/>
                <w:fitText w:val="163" w:id="-694445308"/>
                <w14:textFill>
                  <w14:solidFill>
                    <w14:srgbClr w14:val="000000">
                      <w14:alpha w14:val="100000"/>
                    </w14:srgbClr>
                  </w14:solidFill>
                </w14:textFill>
              </w:rPr>
              <w:t>|</w:t>
            </w:r>
            <w:r w:rsidR="004A0CDC">
              <w:rPr>
                <w:vertAlign w:val="superscript"/>
              </w:rPr>
              <w:t>4</w:t>
            </w:r>
          </w:p>
        </w:tc>
        <w:tc>
          <w:tcPr>
            <w:tcW w:w="537" w:type="pct"/>
          </w:tcPr>
          <w:p w14:paraId="6F8A3C1B" w14:textId="29EEDA2B"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7"/>
                <w14:textFill>
                  <w14:solidFill>
                    <w14:srgbClr w14:val="000000">
                      <w14:alpha w14:val="100000"/>
                    </w14:srgbClr>
                  </w14:solidFill>
                </w14:textFill>
              </w:rPr>
              <w:t>|</w:t>
            </w:r>
            <w:r w:rsidR="008C30A7" w:rsidRPr="00FE32E3">
              <w:rPr>
                <w:color w:val="000000"/>
                <w:spacing w:val="1"/>
                <w:shd w:val="solid" w:color="000000" w:fill="000000"/>
                <w:fitText w:val="163" w:id="-694445307"/>
                <w14:textFill>
                  <w14:solidFill>
                    <w14:srgbClr w14:val="000000">
                      <w14:alpha w14:val="100000"/>
                    </w14:srgbClr>
                  </w14:solidFill>
                </w14:textFill>
              </w:rPr>
              <w:t>|</w:t>
            </w:r>
            <w:r w:rsidR="004A0CDC">
              <w:rPr>
                <w:vertAlign w:val="superscript"/>
              </w:rPr>
              <w:t>4</w:t>
            </w:r>
          </w:p>
        </w:tc>
        <w:tc>
          <w:tcPr>
            <w:tcW w:w="537" w:type="pct"/>
          </w:tcPr>
          <w:p w14:paraId="2530BFE3" w14:textId="65B3CC06"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6"/>
                <w14:textFill>
                  <w14:solidFill>
                    <w14:srgbClr w14:val="000000">
                      <w14:alpha w14:val="100000"/>
                    </w14:srgbClr>
                  </w14:solidFill>
                </w14:textFill>
              </w:rPr>
              <w:t>|</w:t>
            </w:r>
            <w:r w:rsidR="008C30A7" w:rsidRPr="00FE32E3">
              <w:rPr>
                <w:color w:val="000000"/>
                <w:spacing w:val="1"/>
                <w:shd w:val="solid" w:color="000000" w:fill="000000"/>
                <w:fitText w:val="163" w:id="-694445306"/>
                <w14:textFill>
                  <w14:solidFill>
                    <w14:srgbClr w14:val="000000">
                      <w14:alpha w14:val="100000"/>
                    </w14:srgbClr>
                  </w14:solidFill>
                </w14:textFill>
              </w:rPr>
              <w:t>|</w:t>
            </w:r>
            <w:r w:rsidR="004A0CDC">
              <w:rPr>
                <w:vertAlign w:val="superscript"/>
              </w:rPr>
              <w:t>4</w:t>
            </w:r>
          </w:p>
        </w:tc>
        <w:tc>
          <w:tcPr>
            <w:tcW w:w="537" w:type="pct"/>
          </w:tcPr>
          <w:p w14:paraId="5A3E267A" w14:textId="29C5CAA8"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5"/>
                <w14:textFill>
                  <w14:solidFill>
                    <w14:srgbClr w14:val="000000">
                      <w14:alpha w14:val="100000"/>
                    </w14:srgbClr>
                  </w14:solidFill>
                </w14:textFill>
              </w:rPr>
              <w:t>|</w:t>
            </w:r>
            <w:r w:rsidR="008C30A7" w:rsidRPr="00FE32E3">
              <w:rPr>
                <w:color w:val="000000"/>
                <w:spacing w:val="1"/>
                <w:shd w:val="solid" w:color="000000" w:fill="000000"/>
                <w:fitText w:val="163" w:id="-694445305"/>
                <w14:textFill>
                  <w14:solidFill>
                    <w14:srgbClr w14:val="000000">
                      <w14:alpha w14:val="100000"/>
                    </w14:srgbClr>
                  </w14:solidFill>
                </w14:textFill>
              </w:rPr>
              <w:t>|</w:t>
            </w:r>
            <w:r w:rsidR="004A0CDC">
              <w:rPr>
                <w:vertAlign w:val="superscript"/>
              </w:rPr>
              <w:t>4</w:t>
            </w:r>
          </w:p>
        </w:tc>
        <w:tc>
          <w:tcPr>
            <w:tcW w:w="537" w:type="pct"/>
          </w:tcPr>
          <w:p w14:paraId="1D570D4F" w14:textId="39BD500A"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4"/>
                <w14:textFill>
                  <w14:solidFill>
                    <w14:srgbClr w14:val="000000">
                      <w14:alpha w14:val="100000"/>
                    </w14:srgbClr>
                  </w14:solidFill>
                </w14:textFill>
              </w:rPr>
              <w:t>|</w:t>
            </w:r>
            <w:r w:rsidR="008C30A7" w:rsidRPr="00FE32E3">
              <w:rPr>
                <w:color w:val="000000"/>
                <w:spacing w:val="1"/>
                <w:shd w:val="solid" w:color="000000" w:fill="000000"/>
                <w:fitText w:val="163" w:id="-694445304"/>
                <w14:textFill>
                  <w14:solidFill>
                    <w14:srgbClr w14:val="000000">
                      <w14:alpha w14:val="100000"/>
                    </w14:srgbClr>
                  </w14:solidFill>
                </w14:textFill>
              </w:rPr>
              <w:t>|</w:t>
            </w:r>
            <w:r w:rsidR="004A0CDC">
              <w:rPr>
                <w:vertAlign w:val="superscript"/>
              </w:rPr>
              <w:t>4</w:t>
            </w:r>
          </w:p>
        </w:tc>
        <w:tc>
          <w:tcPr>
            <w:tcW w:w="688" w:type="pct"/>
          </w:tcPr>
          <w:p w14:paraId="2FA65443" w14:textId="1D45FB54"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303"/>
                <w14:textFill>
                  <w14:solidFill>
                    <w14:srgbClr w14:val="000000">
                      <w14:alpha w14:val="100000"/>
                    </w14:srgbClr>
                  </w14:solidFill>
                </w14:textFill>
              </w:rPr>
              <w:t xml:space="preserve">　</w:t>
            </w:r>
            <w:r w:rsidR="008C30A7" w:rsidRPr="002409D6">
              <w:rPr>
                <w:color w:val="000000"/>
                <w:w w:val="15"/>
                <w:shd w:val="solid" w:color="000000" w:fill="000000"/>
                <w:fitText w:val="25" w:id="-694445303"/>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303"/>
                <w14:textFill>
                  <w14:solidFill>
                    <w14:srgbClr w14:val="000000">
                      <w14:alpha w14:val="100000"/>
                    </w14:srgbClr>
                  </w14:solidFill>
                </w14:textFill>
              </w:rPr>
              <w:t xml:space="preserve">　</w:t>
            </w:r>
            <w:r w:rsidR="004A0CDC">
              <w:rPr>
                <w:vertAlign w:val="superscript"/>
              </w:rPr>
              <w:t>4</w:t>
            </w:r>
          </w:p>
        </w:tc>
      </w:tr>
      <w:tr w:rsidR="0031567A" w:rsidRPr="0031567A" w14:paraId="63A0F60A" w14:textId="77777777" w:rsidTr="00562818">
        <w:tc>
          <w:tcPr>
            <w:tcW w:w="1625" w:type="pct"/>
            <w:vAlign w:val="center"/>
          </w:tcPr>
          <w:p w14:paraId="3540D347" w14:textId="54872D57" w:rsidR="0031567A" w:rsidRPr="0031567A" w:rsidRDefault="0031567A">
            <w:pPr>
              <w:ind w:left="104"/>
              <w:jc w:val="left"/>
              <w:rPr>
                <w:rFonts w:ascii="Arial Narrow" w:eastAsiaTheme="majorEastAsia" w:hAnsi="Arial Narrow" w:cstheme="majorBidi"/>
                <w:sz w:val="20"/>
                <w:szCs w:val="20"/>
              </w:rPr>
            </w:pPr>
            <w:r w:rsidRPr="0031567A">
              <w:rPr>
                <w:rFonts w:ascii="Arial Narrow" w:eastAsiaTheme="majorEastAsia" w:hAnsi="Arial Narrow" w:cstheme="majorBidi"/>
                <w:sz w:val="20"/>
                <w:szCs w:val="20"/>
              </w:rPr>
              <w:t>Total</w:t>
            </w:r>
            <w:r w:rsidR="000C4139">
              <w:rPr>
                <w:rFonts w:ascii="Arial Narrow" w:eastAsiaTheme="majorEastAsia" w:hAnsi="Arial Narrow" w:cstheme="majorBidi"/>
                <w:sz w:val="20"/>
                <w:szCs w:val="20"/>
              </w:rPr>
              <w:t xml:space="preserve"> </w:t>
            </w:r>
            <w:r w:rsidRPr="0031567A">
              <w:rPr>
                <w:rFonts w:ascii="Arial Narrow" w:eastAsiaTheme="majorEastAsia" w:hAnsi="Arial Narrow" w:cstheme="majorBidi"/>
                <w:sz w:val="20"/>
                <w:szCs w:val="20"/>
                <w:vertAlign w:val="superscript"/>
              </w:rPr>
              <w:t>b</w:t>
            </w:r>
          </w:p>
        </w:tc>
        <w:tc>
          <w:tcPr>
            <w:tcW w:w="537" w:type="pct"/>
            <w:vAlign w:val="center"/>
          </w:tcPr>
          <w:p w14:paraId="12F621B6" w14:textId="34BBC036"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2"/>
                <w14:textFill>
                  <w14:solidFill>
                    <w14:srgbClr w14:val="000000">
                      <w14:alpha w14:val="100000"/>
                    </w14:srgbClr>
                  </w14:solidFill>
                </w14:textFill>
              </w:rPr>
              <w:t>|</w:t>
            </w:r>
            <w:r w:rsidR="008C30A7" w:rsidRPr="00FE32E3">
              <w:rPr>
                <w:color w:val="000000"/>
                <w:spacing w:val="1"/>
                <w:shd w:val="solid" w:color="000000" w:fill="000000"/>
                <w:fitText w:val="163" w:id="-694445302"/>
                <w14:textFill>
                  <w14:solidFill>
                    <w14:srgbClr w14:val="000000">
                      <w14:alpha w14:val="100000"/>
                    </w14:srgbClr>
                  </w14:solidFill>
                </w14:textFill>
              </w:rPr>
              <w:t>|</w:t>
            </w:r>
            <w:r w:rsidR="004A0CDC">
              <w:rPr>
                <w:vertAlign w:val="superscript"/>
              </w:rPr>
              <w:t>3</w:t>
            </w:r>
          </w:p>
        </w:tc>
        <w:tc>
          <w:tcPr>
            <w:tcW w:w="537" w:type="pct"/>
            <w:vAlign w:val="center"/>
          </w:tcPr>
          <w:p w14:paraId="07781192" w14:textId="5F2E135D"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1"/>
                <w14:textFill>
                  <w14:solidFill>
                    <w14:srgbClr w14:val="000000">
                      <w14:alpha w14:val="100000"/>
                    </w14:srgbClr>
                  </w14:solidFill>
                </w14:textFill>
              </w:rPr>
              <w:t>|</w:t>
            </w:r>
            <w:r w:rsidR="008C30A7" w:rsidRPr="00FE32E3">
              <w:rPr>
                <w:color w:val="000000"/>
                <w:spacing w:val="1"/>
                <w:shd w:val="solid" w:color="000000" w:fill="000000"/>
                <w:fitText w:val="163" w:id="-694445301"/>
                <w14:textFill>
                  <w14:solidFill>
                    <w14:srgbClr w14:val="000000">
                      <w14:alpha w14:val="100000"/>
                    </w14:srgbClr>
                  </w14:solidFill>
                </w14:textFill>
              </w:rPr>
              <w:t>|</w:t>
            </w:r>
            <w:r w:rsidR="004A0CDC">
              <w:rPr>
                <w:vertAlign w:val="superscript"/>
              </w:rPr>
              <w:t>3</w:t>
            </w:r>
          </w:p>
        </w:tc>
        <w:tc>
          <w:tcPr>
            <w:tcW w:w="537" w:type="pct"/>
            <w:vAlign w:val="center"/>
          </w:tcPr>
          <w:p w14:paraId="2446C856" w14:textId="131B5EEB"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300"/>
                <w14:textFill>
                  <w14:solidFill>
                    <w14:srgbClr w14:val="000000">
                      <w14:alpha w14:val="100000"/>
                    </w14:srgbClr>
                  </w14:solidFill>
                </w14:textFill>
              </w:rPr>
              <w:t>|</w:t>
            </w:r>
            <w:r w:rsidR="008C30A7" w:rsidRPr="00FE32E3">
              <w:rPr>
                <w:color w:val="000000"/>
                <w:spacing w:val="1"/>
                <w:shd w:val="solid" w:color="000000" w:fill="000000"/>
                <w:fitText w:val="163" w:id="-694445300"/>
                <w14:textFill>
                  <w14:solidFill>
                    <w14:srgbClr w14:val="000000">
                      <w14:alpha w14:val="100000"/>
                    </w14:srgbClr>
                  </w14:solidFill>
                </w14:textFill>
              </w:rPr>
              <w:t>|</w:t>
            </w:r>
            <w:r w:rsidR="004A0CDC">
              <w:rPr>
                <w:vertAlign w:val="superscript"/>
              </w:rPr>
              <w:t>3</w:t>
            </w:r>
          </w:p>
        </w:tc>
        <w:tc>
          <w:tcPr>
            <w:tcW w:w="537" w:type="pct"/>
            <w:vAlign w:val="center"/>
          </w:tcPr>
          <w:p w14:paraId="4A804ADB" w14:textId="14939B9A"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299"/>
                <w14:textFill>
                  <w14:solidFill>
                    <w14:srgbClr w14:val="000000">
                      <w14:alpha w14:val="100000"/>
                    </w14:srgbClr>
                  </w14:solidFill>
                </w14:textFill>
              </w:rPr>
              <w:t>|</w:t>
            </w:r>
            <w:r w:rsidR="008C30A7" w:rsidRPr="00FE32E3">
              <w:rPr>
                <w:color w:val="000000"/>
                <w:spacing w:val="1"/>
                <w:shd w:val="solid" w:color="000000" w:fill="000000"/>
                <w:fitText w:val="163" w:id="-694445299"/>
                <w14:textFill>
                  <w14:solidFill>
                    <w14:srgbClr w14:val="000000">
                      <w14:alpha w14:val="100000"/>
                    </w14:srgbClr>
                  </w14:solidFill>
                </w14:textFill>
              </w:rPr>
              <w:t>|</w:t>
            </w:r>
            <w:r w:rsidR="004A0CDC">
              <w:rPr>
                <w:vertAlign w:val="superscript"/>
              </w:rPr>
              <w:t>3</w:t>
            </w:r>
          </w:p>
        </w:tc>
        <w:tc>
          <w:tcPr>
            <w:tcW w:w="537" w:type="pct"/>
            <w:vAlign w:val="center"/>
          </w:tcPr>
          <w:p w14:paraId="36C49591" w14:textId="0683461E" w:rsidR="0031567A" w:rsidRPr="0031567A" w:rsidRDefault="0031567A">
            <w:pPr>
              <w:pStyle w:val="TableText0"/>
              <w:keepNext w:val="0"/>
              <w:jc w:val="center"/>
            </w:pPr>
            <w:r w:rsidRPr="0031567A">
              <w:t>$</w:t>
            </w:r>
            <w:r w:rsidR="008C30A7" w:rsidRPr="00FE32E3">
              <w:rPr>
                <w:color w:val="000000"/>
                <w:spacing w:val="77"/>
                <w:shd w:val="solid" w:color="000000" w:fill="000000"/>
                <w:fitText w:val="163" w:id="-694445298"/>
                <w14:textFill>
                  <w14:solidFill>
                    <w14:srgbClr w14:val="000000">
                      <w14:alpha w14:val="100000"/>
                    </w14:srgbClr>
                  </w14:solidFill>
                </w14:textFill>
              </w:rPr>
              <w:t>|</w:t>
            </w:r>
            <w:r w:rsidR="008C30A7" w:rsidRPr="00FE32E3">
              <w:rPr>
                <w:color w:val="000000"/>
                <w:spacing w:val="1"/>
                <w:shd w:val="solid" w:color="000000" w:fill="000000"/>
                <w:fitText w:val="163" w:id="-694445298"/>
                <w14:textFill>
                  <w14:solidFill>
                    <w14:srgbClr w14:val="000000">
                      <w14:alpha w14:val="100000"/>
                    </w14:srgbClr>
                  </w14:solidFill>
                </w14:textFill>
              </w:rPr>
              <w:t>|</w:t>
            </w:r>
            <w:r w:rsidR="004A0CDC">
              <w:rPr>
                <w:vertAlign w:val="superscript"/>
              </w:rPr>
              <w:t>3</w:t>
            </w:r>
          </w:p>
        </w:tc>
        <w:tc>
          <w:tcPr>
            <w:tcW w:w="688" w:type="pct"/>
            <w:vAlign w:val="center"/>
          </w:tcPr>
          <w:p w14:paraId="2EAAA5A2" w14:textId="449F2768" w:rsidR="0031567A" w:rsidRPr="0031567A" w:rsidRDefault="0031567A">
            <w:pPr>
              <w:pStyle w:val="TableText0"/>
              <w:keepNext w:val="0"/>
              <w:jc w:val="center"/>
            </w:pPr>
            <w:r w:rsidRPr="0031567A">
              <w:t>$</w:t>
            </w:r>
            <w:r w:rsidR="008C30A7" w:rsidRPr="002409D6">
              <w:rPr>
                <w:rFonts w:hint="eastAsia"/>
                <w:color w:val="000000"/>
                <w:w w:val="15"/>
                <w:shd w:val="solid" w:color="000000" w:fill="000000"/>
                <w:fitText w:val="25" w:id="-694445297"/>
                <w14:textFill>
                  <w14:solidFill>
                    <w14:srgbClr w14:val="000000">
                      <w14:alpha w14:val="100000"/>
                    </w14:srgbClr>
                  </w14:solidFill>
                </w14:textFill>
              </w:rPr>
              <w:t xml:space="preserve">　</w:t>
            </w:r>
            <w:r w:rsidR="008C30A7" w:rsidRPr="002409D6">
              <w:rPr>
                <w:color w:val="000000"/>
                <w:w w:val="15"/>
                <w:shd w:val="solid" w:color="000000" w:fill="000000"/>
                <w:fitText w:val="25" w:id="-694445297"/>
                <w14:textFill>
                  <w14:solidFill>
                    <w14:srgbClr w14:val="000000">
                      <w14:alpha w14:val="100000"/>
                    </w14:srgbClr>
                  </w14:solidFill>
                </w14:textFill>
              </w:rPr>
              <w:t>|</w:t>
            </w:r>
            <w:r w:rsidR="008C30A7" w:rsidRPr="002409D6">
              <w:rPr>
                <w:rFonts w:hint="eastAsia"/>
                <w:color w:val="000000"/>
                <w:spacing w:val="-40"/>
                <w:w w:val="15"/>
                <w:shd w:val="solid" w:color="000000" w:fill="000000"/>
                <w:fitText w:val="25" w:id="-694445297"/>
                <w14:textFill>
                  <w14:solidFill>
                    <w14:srgbClr w14:val="000000">
                      <w14:alpha w14:val="100000"/>
                    </w14:srgbClr>
                  </w14:solidFill>
                </w14:textFill>
              </w:rPr>
              <w:t xml:space="preserve">　</w:t>
            </w:r>
            <w:r w:rsidR="004A0CDC">
              <w:rPr>
                <w:vertAlign w:val="superscript"/>
              </w:rPr>
              <w:t>3</w:t>
            </w:r>
          </w:p>
        </w:tc>
      </w:tr>
    </w:tbl>
    <w:p w14:paraId="310BD4B2" w14:textId="77777777" w:rsidR="0031567A" w:rsidRDefault="0031567A" w:rsidP="0031567A">
      <w:pPr>
        <w:pStyle w:val="TableFigureFooter"/>
        <w:rPr>
          <w:i/>
          <w:iCs/>
        </w:rPr>
      </w:pPr>
      <w:r>
        <w:t xml:space="preserve">Source: Tables 4-5, 4-12, 4-18, 4-21 of the submission and </w:t>
      </w:r>
      <w:r>
        <w:rPr>
          <w:i/>
          <w:iCs/>
        </w:rPr>
        <w:t xml:space="preserve">compiled during the evaluation. </w:t>
      </w:r>
      <w:r>
        <w:t>Numbers rounded to nearest whole number.</w:t>
      </w:r>
    </w:p>
    <w:p w14:paraId="2DEB7C31" w14:textId="77777777" w:rsidR="0031567A" w:rsidRDefault="0031567A" w:rsidP="0031567A">
      <w:pPr>
        <w:pStyle w:val="TableFigureFooter"/>
      </w:pPr>
      <w:r>
        <w:t xml:space="preserve">inc.=including, </w:t>
      </w:r>
      <w:r w:rsidRPr="00443926">
        <w:t>NBL=neuroblastoma, HRNB=high</w:t>
      </w:r>
      <w:r>
        <w:t>-</w:t>
      </w:r>
      <w:r w:rsidRPr="00443926">
        <w:t>ris</w:t>
      </w:r>
      <w:r>
        <w:t>k</w:t>
      </w:r>
      <w:r w:rsidRPr="00443926">
        <w:t xml:space="preserve"> neuroblastoma, pt=patient, yrs=years</w:t>
      </w:r>
    </w:p>
    <w:p w14:paraId="3E08413D" w14:textId="6874B336" w:rsidR="0031567A" w:rsidRPr="0031567A" w:rsidRDefault="0031567A" w:rsidP="0031567A">
      <w:pPr>
        <w:pStyle w:val="TableFigureFooter"/>
        <w:tabs>
          <w:tab w:val="left" w:pos="142"/>
        </w:tabs>
      </w:pPr>
      <w:r w:rsidRPr="0031567A">
        <w:rPr>
          <w:vertAlign w:val="superscript"/>
        </w:rPr>
        <w:t>a</w:t>
      </w:r>
      <w:r w:rsidRPr="0031567A">
        <w:tab/>
        <w:t>DPMQ corrected to $</w:t>
      </w:r>
      <w:r w:rsidR="008C30A7" w:rsidRPr="00F6759F">
        <w:rPr>
          <w:color w:val="000000"/>
          <w:spacing w:val="96"/>
          <w:w w:val="74"/>
          <w:shd w:val="solid" w:color="000000" w:fill="000000"/>
          <w:fitText w:val="280" w:id="-694445296"/>
          <w14:textFill>
            <w14:solidFill>
              <w14:srgbClr w14:val="000000">
                <w14:alpha w14:val="100000"/>
              </w14:srgbClr>
            </w14:solidFill>
          </w14:textFill>
        </w:rPr>
        <w:t>|</w:t>
      </w:r>
      <w:r w:rsidR="00F6759F" w:rsidRPr="00F6759F">
        <w:rPr>
          <w:color w:val="000000"/>
          <w:spacing w:val="96"/>
          <w:w w:val="74"/>
          <w:shd w:val="solid" w:color="000000" w:fill="000000"/>
          <w:fitText w:val="280" w:id="-694445296"/>
          <w14:textFill>
            <w14:solidFill>
              <w14:srgbClr w14:val="000000">
                <w14:alpha w14:val="100000"/>
              </w14:srgbClr>
            </w14:solidFill>
          </w14:textFill>
        </w:rPr>
        <w:t xml:space="preserve"> </w:t>
      </w:r>
      <w:r w:rsidR="008C30A7" w:rsidRPr="00F6759F">
        <w:rPr>
          <w:color w:val="000000"/>
          <w:spacing w:val="2"/>
          <w:w w:val="74"/>
          <w:shd w:val="solid" w:color="000000" w:fill="000000"/>
          <w:fitText w:val="280" w:id="-694445296"/>
          <w14:textFill>
            <w14:solidFill>
              <w14:srgbClr w14:val="000000">
                <w14:alpha w14:val="100000"/>
              </w14:srgbClr>
            </w14:solidFill>
          </w14:textFill>
        </w:rPr>
        <w:t>|</w:t>
      </w:r>
      <w:r w:rsidRPr="0031567A">
        <w:t xml:space="preserve"> per 100 tablets ($</w:t>
      </w:r>
      <w:r w:rsidR="008C30A7" w:rsidRPr="00F6759F">
        <w:rPr>
          <w:color w:val="000000"/>
          <w:spacing w:val="96"/>
          <w:w w:val="74"/>
          <w:shd w:val="solid" w:color="000000" w:fill="000000"/>
          <w:fitText w:val="280" w:id="-694445312"/>
          <w14:textFill>
            <w14:solidFill>
              <w14:srgbClr w14:val="000000">
                <w14:alpha w14:val="100000"/>
              </w14:srgbClr>
            </w14:solidFill>
          </w14:textFill>
        </w:rPr>
        <w:t>|</w:t>
      </w:r>
      <w:r w:rsidR="00F6759F" w:rsidRPr="00F6759F">
        <w:rPr>
          <w:color w:val="000000"/>
          <w:spacing w:val="96"/>
          <w:w w:val="74"/>
          <w:shd w:val="solid" w:color="000000" w:fill="000000"/>
          <w:fitText w:val="280" w:id="-694445312"/>
          <w14:textFill>
            <w14:solidFill>
              <w14:srgbClr w14:val="000000">
                <w14:alpha w14:val="100000"/>
              </w14:srgbClr>
            </w14:solidFill>
          </w14:textFill>
        </w:rPr>
        <w:t xml:space="preserve"> </w:t>
      </w:r>
      <w:r w:rsidR="008C30A7" w:rsidRPr="00F6759F">
        <w:rPr>
          <w:color w:val="000000"/>
          <w:spacing w:val="2"/>
          <w:w w:val="74"/>
          <w:shd w:val="solid" w:color="000000" w:fill="000000"/>
          <w:fitText w:val="280" w:id="-694445312"/>
          <w14:textFill>
            <w14:solidFill>
              <w14:srgbClr w14:val="000000">
                <w14:alpha w14:val="100000"/>
              </w14:srgbClr>
            </w14:solidFill>
          </w14:textFill>
        </w:rPr>
        <w:t>|</w:t>
      </w:r>
      <w:r w:rsidRPr="0031567A">
        <w:t xml:space="preserve"> per 100 tablets in the submission)</w:t>
      </w:r>
    </w:p>
    <w:p w14:paraId="5DBB880A" w14:textId="77777777" w:rsidR="0031567A" w:rsidRPr="0031567A" w:rsidRDefault="0031567A" w:rsidP="0031567A">
      <w:pPr>
        <w:pStyle w:val="TableFigureFooter"/>
        <w:tabs>
          <w:tab w:val="left" w:pos="142"/>
        </w:tabs>
        <w:ind w:left="135" w:hanging="135"/>
      </w:pPr>
      <w:r w:rsidRPr="0031567A">
        <w:rPr>
          <w:vertAlign w:val="superscript"/>
        </w:rPr>
        <w:t>b</w:t>
      </w:r>
      <w:r w:rsidRPr="0031567A">
        <w:tab/>
        <w:t>Corrected additional MBS costs for Stratum 2 (Stratum 2 MBS costs were not included in Table 4-22 and 4-23, pp 231-232 of the submission)</w:t>
      </w:r>
    </w:p>
    <w:p w14:paraId="7E5EE163" w14:textId="77777777" w:rsidR="0031567A" w:rsidRDefault="0031567A" w:rsidP="0031567A">
      <w:pPr>
        <w:pStyle w:val="TableFigureFooter"/>
        <w:tabs>
          <w:tab w:val="left" w:pos="142"/>
        </w:tabs>
      </w:pPr>
      <w:r w:rsidRPr="0031567A">
        <w:rPr>
          <w:vertAlign w:val="superscript"/>
        </w:rPr>
        <w:t>c</w:t>
      </w:r>
      <w:r w:rsidRPr="0031567A">
        <w:tab/>
        <w:t>Corrected additional MBS costs (MBS costs were deducted in Table 4-14, p224 of the submission)</w:t>
      </w:r>
    </w:p>
    <w:p w14:paraId="457808D1" w14:textId="637836CA" w:rsidR="00575912" w:rsidRPr="001950C6" w:rsidRDefault="00575912" w:rsidP="0031567A">
      <w:pPr>
        <w:pStyle w:val="TableFigureFooter"/>
        <w:tabs>
          <w:tab w:val="left" w:pos="142"/>
        </w:tabs>
        <w:rPr>
          <w:i/>
          <w:iCs/>
        </w:rPr>
      </w:pPr>
      <w:r w:rsidRPr="001950C6">
        <w:rPr>
          <w:i/>
          <w:iCs/>
        </w:rPr>
        <w:t>The redacted values correspond to the following ranges:</w:t>
      </w:r>
    </w:p>
    <w:p w14:paraId="0E5E9938" w14:textId="0C0DF8A8" w:rsidR="00575912" w:rsidRPr="001950C6" w:rsidRDefault="00575912" w:rsidP="0031567A">
      <w:pPr>
        <w:pStyle w:val="TableFigureFooter"/>
        <w:tabs>
          <w:tab w:val="left" w:pos="142"/>
        </w:tabs>
        <w:rPr>
          <w:i/>
          <w:iCs/>
        </w:rPr>
      </w:pPr>
      <w:r w:rsidRPr="001950C6">
        <w:rPr>
          <w:i/>
          <w:iCs/>
          <w:vertAlign w:val="superscript"/>
        </w:rPr>
        <w:t>1</w:t>
      </w:r>
      <w:r w:rsidR="00BB1CB4" w:rsidRPr="001950C6">
        <w:rPr>
          <w:i/>
          <w:iCs/>
        </w:rPr>
        <w:t>&lt; 500</w:t>
      </w:r>
    </w:p>
    <w:p w14:paraId="0D7FF020" w14:textId="6D8F5339" w:rsidR="004750B8" w:rsidRPr="001950C6" w:rsidRDefault="004750B8" w:rsidP="0031567A">
      <w:pPr>
        <w:pStyle w:val="TableFigureFooter"/>
        <w:tabs>
          <w:tab w:val="left" w:pos="142"/>
        </w:tabs>
        <w:rPr>
          <w:i/>
          <w:iCs/>
        </w:rPr>
      </w:pPr>
      <w:r w:rsidRPr="001950C6">
        <w:rPr>
          <w:i/>
          <w:iCs/>
          <w:vertAlign w:val="superscript"/>
        </w:rPr>
        <w:t>2</w:t>
      </w:r>
      <w:r w:rsidR="007F3CB3" w:rsidRPr="001950C6">
        <w:rPr>
          <w:i/>
          <w:iCs/>
          <w:vertAlign w:val="superscript"/>
        </w:rPr>
        <w:t xml:space="preserve"> </w:t>
      </w:r>
      <w:r w:rsidRPr="001950C6">
        <w:rPr>
          <w:i/>
          <w:iCs/>
        </w:rPr>
        <w:t>500 to &lt; 5,000</w:t>
      </w:r>
    </w:p>
    <w:p w14:paraId="266DCABE" w14:textId="163DBB66" w:rsidR="004E2443" w:rsidRPr="001950C6" w:rsidRDefault="004E2443" w:rsidP="0031567A">
      <w:pPr>
        <w:pStyle w:val="TableFigureFooter"/>
        <w:tabs>
          <w:tab w:val="left" w:pos="142"/>
        </w:tabs>
        <w:rPr>
          <w:i/>
          <w:iCs/>
        </w:rPr>
      </w:pPr>
      <w:r w:rsidRPr="001950C6">
        <w:rPr>
          <w:i/>
          <w:iCs/>
          <w:vertAlign w:val="superscript"/>
        </w:rPr>
        <w:t>3</w:t>
      </w:r>
      <w:r w:rsidR="007F3CB3" w:rsidRPr="001950C6">
        <w:rPr>
          <w:i/>
          <w:iCs/>
          <w:vertAlign w:val="superscript"/>
        </w:rPr>
        <w:t xml:space="preserve"> </w:t>
      </w:r>
      <w:r w:rsidRPr="001950C6">
        <w:rPr>
          <w:i/>
          <w:iCs/>
        </w:rPr>
        <w:t>$10 million to &lt; $20 million</w:t>
      </w:r>
    </w:p>
    <w:p w14:paraId="05830458" w14:textId="753B4E4A" w:rsidR="00197779" w:rsidRPr="001950C6" w:rsidRDefault="00197779" w:rsidP="0031567A">
      <w:pPr>
        <w:pStyle w:val="TableFigureFooter"/>
        <w:tabs>
          <w:tab w:val="left" w:pos="142"/>
        </w:tabs>
        <w:rPr>
          <w:i/>
          <w:iCs/>
        </w:rPr>
      </w:pPr>
      <w:r w:rsidRPr="001950C6">
        <w:rPr>
          <w:i/>
          <w:iCs/>
          <w:vertAlign w:val="superscript"/>
        </w:rPr>
        <w:t>4</w:t>
      </w:r>
      <w:r w:rsidR="007F3CB3" w:rsidRPr="001950C6">
        <w:rPr>
          <w:i/>
          <w:iCs/>
          <w:vertAlign w:val="superscript"/>
        </w:rPr>
        <w:t xml:space="preserve"> </w:t>
      </w:r>
      <w:r w:rsidRPr="001950C6">
        <w:rPr>
          <w:i/>
          <w:iCs/>
        </w:rPr>
        <w:t>$0 to &lt; $10 million</w:t>
      </w:r>
    </w:p>
    <w:p w14:paraId="18F9998A" w14:textId="0EEB523C" w:rsidR="0031567A" w:rsidRPr="0031567A" w:rsidRDefault="0031567A" w:rsidP="0031567A">
      <w:pPr>
        <w:pStyle w:val="3-BodyText"/>
      </w:pPr>
      <w:r w:rsidRPr="0031567A">
        <w:t>The corrected total net cost to government over the first six years of listing was $</w:t>
      </w:r>
      <w:r w:rsidR="00E6652A">
        <w:t xml:space="preserve">80 million to &lt; 90 million </w:t>
      </w:r>
      <w:r w:rsidRPr="0031567A">
        <w:t>for combined Stratum 1 and Stratum 2 populations</w:t>
      </w:r>
      <w:r w:rsidR="00A509FC">
        <w:t xml:space="preserve"> </w:t>
      </w:r>
      <w:r w:rsidRPr="0031567A">
        <w:t>and $</w:t>
      </w:r>
      <w:r w:rsidR="00E6652A">
        <w:t xml:space="preserve">70 million to &lt; $80 million </w:t>
      </w:r>
      <w:r w:rsidRPr="0031567A">
        <w:t xml:space="preserve">for Stratum 1 only population. </w:t>
      </w:r>
    </w:p>
    <w:p w14:paraId="3A83FF4D" w14:textId="49781538" w:rsidR="0031567A" w:rsidRPr="0031567A" w:rsidRDefault="0031567A" w:rsidP="0031567A">
      <w:pPr>
        <w:pStyle w:val="3-BodyText"/>
      </w:pPr>
      <w:bookmarkStart w:id="78" w:name="_Ref194666001"/>
      <w:r w:rsidRPr="0031567A">
        <w:t>The</w:t>
      </w:r>
      <w:r w:rsidR="0007749B">
        <w:t xml:space="preserve"> evaluation considered </w:t>
      </w:r>
      <w:r w:rsidR="00A802AD">
        <w:t xml:space="preserve">that </w:t>
      </w:r>
      <w:r w:rsidR="0007749B">
        <w:t>the</w:t>
      </w:r>
      <w:r w:rsidRPr="0031567A">
        <w:t xml:space="preserve"> financial estimates were uncertain due to:</w:t>
      </w:r>
      <w:bookmarkEnd w:id="78"/>
    </w:p>
    <w:p w14:paraId="74E60157" w14:textId="61E0D30A" w:rsidR="0031567A" w:rsidRPr="006F08D8" w:rsidRDefault="00A802AD" w:rsidP="0031567A">
      <w:pPr>
        <w:pStyle w:val="ListParagraph"/>
        <w:ind w:left="1134"/>
      </w:pPr>
      <w:r w:rsidRPr="006F08D8">
        <w:t>The i</w:t>
      </w:r>
      <w:r w:rsidR="0031567A" w:rsidRPr="006F08D8">
        <w:t xml:space="preserve">ncidence of neuroblastoma ranged from </w:t>
      </w:r>
      <w:r w:rsidR="00F53FD1">
        <w:t>&lt; 500</w:t>
      </w:r>
      <w:r w:rsidR="0031567A" w:rsidRPr="006F08D8">
        <w:t xml:space="preserve"> to </w:t>
      </w:r>
      <w:r w:rsidR="00F53FD1">
        <w:t>&lt; 500</w:t>
      </w:r>
      <w:r w:rsidR="0031567A" w:rsidRPr="006F08D8">
        <w:t xml:space="preserve"> patients per year in the submission (based on an ABS population 0-21 years (2025-2030) and </w:t>
      </w:r>
      <w:r w:rsidR="0031567A" w:rsidRPr="006F08D8">
        <w:lastRenderedPageBreak/>
        <w:t xml:space="preserve">neuroblastoma incidence trend in children 0-14 years old from Youlden 2020). This exceeded previous clinical opinion and the report from the ANZCHOG (with estimates of 40-50 patients per year) and the dinutuximab beta MSAC submission which estimated 50-59 patients per year. </w:t>
      </w:r>
    </w:p>
    <w:p w14:paraId="36CE54AD" w14:textId="5B306CAE" w:rsidR="0031567A" w:rsidRPr="006F08D8" w:rsidRDefault="0031567A" w:rsidP="0031567A">
      <w:pPr>
        <w:pStyle w:val="ListParagraph"/>
        <w:ind w:left="1134"/>
      </w:pPr>
      <w:r w:rsidRPr="006F08D8">
        <w:t>Time on treatment was based on the proposed maximum time on treatment of 2</w:t>
      </w:r>
      <w:r w:rsidR="00F53FD1">
        <w:t> </w:t>
      </w:r>
      <w:r w:rsidRPr="006F08D8">
        <w:t>years. The time on treatment for Stratum 2 and grandfathered patients may be overestimated, given the lower EFS rate and lower remaining treatment time for Stratum 2 and grandfathered patients, respectively, compared to Stratum 1 patients. Mean time on treatment in the economic analysis was 627.1</w:t>
      </w:r>
      <w:r w:rsidR="00F53FD1">
        <w:t> </w:t>
      </w:r>
      <w:r w:rsidRPr="006F08D8">
        <w:t xml:space="preserve">days compared to 730.5 days in the financial estimates. </w:t>
      </w:r>
      <w:r w:rsidR="00CA63E3" w:rsidRPr="006F08D8">
        <w:t>The PBAC noted reducing the time on treatment to 627.1 days, consistent with the economic model, decreased the cost to the government budget by 13%.</w:t>
      </w:r>
    </w:p>
    <w:p w14:paraId="2493443F" w14:textId="77777777" w:rsidR="0031567A" w:rsidRPr="006F08D8" w:rsidRDefault="0031567A" w:rsidP="0031567A">
      <w:pPr>
        <w:pStyle w:val="ListParagraph"/>
        <w:ind w:left="1134"/>
      </w:pPr>
      <w:r w:rsidRPr="006F08D8">
        <w:t>The rate of responding to consolidation therapy did not include the probability of completing consolidation therapy, likely overestimating the number of patients in Stratum 1. However, the sources for Stratum 1 eligibility are generally uncertain; the proposed sources and Study 3b reported different response rates for all stages of treatment (induction, consolidation, maintenance). Therefore, it is unclear whether the combined proportion of eligible patients was likely over or underestimated.</w:t>
      </w:r>
    </w:p>
    <w:p w14:paraId="40ADDEBB" w14:textId="77777777" w:rsidR="0031567A" w:rsidRPr="0031567A" w:rsidRDefault="0031567A" w:rsidP="0031567A">
      <w:pPr>
        <w:pStyle w:val="ListParagraph"/>
        <w:numPr>
          <w:ilvl w:val="0"/>
          <w:numId w:val="32"/>
        </w:numPr>
        <w:ind w:left="1134"/>
      </w:pPr>
      <w:r w:rsidRPr="0031567A">
        <w:t xml:space="preserve">The proportion of HRNB patients expected to ever experience relapse was 50% in the financial estimates from the </w:t>
      </w:r>
      <w:r w:rsidRPr="0031567A">
        <w:rPr>
          <w:lang w:val="en-US"/>
        </w:rPr>
        <w:t>ANZCHOG</w:t>
      </w:r>
      <w:r w:rsidRPr="0031567A">
        <w:t>, compared to 30.8% in the SOC arm of the Stratum 1 economic analysis. This may reflect a fitter population in the PSM adjusted Study ANBL0032 population compared to all HRNB patients, however it demonstrates there is uncertainty in the estimate of relapsed patients.</w:t>
      </w:r>
    </w:p>
    <w:p w14:paraId="69468E76" w14:textId="13AC2A2C" w:rsidR="0031567A" w:rsidRPr="0031567A" w:rsidRDefault="0031567A" w:rsidP="0031567A">
      <w:pPr>
        <w:pStyle w:val="ListParagraph"/>
        <w:ind w:left="1134"/>
      </w:pPr>
      <w:r w:rsidRPr="0031567A">
        <w:t xml:space="preserve">The proportion of relapsed patients responding to initial relapse therapy was based on response to dinutuximab beta in combination with irinotecan plus </w:t>
      </w:r>
      <w:r w:rsidR="002C6C6B" w:rsidRPr="002C6C6B">
        <w:t>temozolomide</w:t>
      </w:r>
      <w:r w:rsidRPr="0031567A">
        <w:t xml:space="preserve"> (CADTH 2021). Currently this is not funded in Australia, although is being considered by MSAC (</w:t>
      </w:r>
      <w:hyperlink r:id="rId19">
        <w:r w:rsidRPr="0031567A">
          <w:rPr>
            <w:rStyle w:val="Hyperlink"/>
          </w:rPr>
          <w:t>https://www.msac.gov.au/applications/1791</w:t>
        </w:r>
      </w:hyperlink>
      <w:r w:rsidRPr="0031567A">
        <w:t xml:space="preserve">). </w:t>
      </w:r>
    </w:p>
    <w:p w14:paraId="52D43F99" w14:textId="77777777" w:rsidR="0031567A" w:rsidRPr="0031567A" w:rsidRDefault="0031567A" w:rsidP="0031567A">
      <w:pPr>
        <w:pStyle w:val="ListParagraph"/>
        <w:ind w:left="1134"/>
      </w:pPr>
      <w:r w:rsidRPr="0031567A">
        <w:t xml:space="preserve">The proportion of relapsed patients who were eligible to receive eflornithine after responding to initial relapse therapy was 30%, based on time between completing treatment and starting eflornithine in Study 3b (i.e., the probability of an enduring response). In practice, with eflornithine available on the PBS, this time may reduce, and more patients post relapse may have access to eflornithine upon completion of their therapy. </w:t>
      </w:r>
    </w:p>
    <w:p w14:paraId="3398BEA7" w14:textId="1C77E2AF" w:rsidR="002C6C6B" w:rsidRDefault="0031567A" w:rsidP="0031567A">
      <w:pPr>
        <w:pStyle w:val="ListParagraph"/>
        <w:ind w:left="1134"/>
      </w:pPr>
      <w:r w:rsidRPr="0031567A">
        <w:t>The dose was based on the weighted number of tablets per person from Study 3b Stratum 1, and it appeared to be estimated according to expected BSA for patients (as per the economic analysis), and not on reported numbers of tablets</w:t>
      </w:r>
      <w:r w:rsidR="00D25D57">
        <w:t xml:space="preserve"> taken</w:t>
      </w:r>
      <w:r w:rsidRPr="0031567A">
        <w:t>. As such there</w:t>
      </w:r>
      <w:r w:rsidR="008F0BD0">
        <w:t xml:space="preserve"> may be</w:t>
      </w:r>
      <w:r w:rsidRPr="0031567A">
        <w:t xml:space="preserve"> uncertainty in the dose</w:t>
      </w:r>
      <w:r w:rsidR="001A7ACA">
        <w:t xml:space="preserve"> </w:t>
      </w:r>
      <w:r w:rsidR="00AD1682">
        <w:t>if</w:t>
      </w:r>
      <w:r w:rsidR="001A7ACA">
        <w:t xml:space="preserve"> treatment breaks occurred</w:t>
      </w:r>
      <w:r w:rsidRPr="0031567A">
        <w:t>.</w:t>
      </w:r>
    </w:p>
    <w:p w14:paraId="735CFA3D" w14:textId="77777777" w:rsidR="002C6C6B" w:rsidRDefault="002C6C6B">
      <w:pPr>
        <w:jc w:val="left"/>
        <w:rPr>
          <w:rFonts w:asciiTheme="minorHAnsi" w:hAnsiTheme="minorHAnsi"/>
          <w:snapToGrid w:val="0"/>
        </w:rPr>
      </w:pPr>
      <w:r>
        <w:br w:type="page"/>
      </w:r>
    </w:p>
    <w:p w14:paraId="74380B57" w14:textId="71B03646" w:rsidR="001F60AA" w:rsidRPr="00612002" w:rsidRDefault="00EE7AA8" w:rsidP="001F60AA">
      <w:pPr>
        <w:pStyle w:val="3-BodyText"/>
      </w:pPr>
      <w:bookmarkStart w:id="79" w:name="_Ref194493290"/>
      <w:r>
        <w:lastRenderedPageBreak/>
        <w:t xml:space="preserve">The </w:t>
      </w:r>
      <w:r w:rsidR="001F60AA" w:rsidRPr="005A4E8E">
        <w:t>DUSC consider</w:t>
      </w:r>
      <w:r w:rsidR="005A4E8E">
        <w:t>ed</w:t>
      </w:r>
      <w:r w:rsidR="001F60AA" w:rsidRPr="005A4E8E">
        <w:t xml:space="preserve"> the estimates presented in the submission to be overestimated. The main issues </w:t>
      </w:r>
      <w:r w:rsidR="003E1CFC">
        <w:t>were</w:t>
      </w:r>
      <w:r w:rsidR="001F60AA" w:rsidRPr="005A4E8E">
        <w:t>:</w:t>
      </w:r>
      <w:bookmarkEnd w:id="79"/>
    </w:p>
    <w:p w14:paraId="2517F0E8" w14:textId="06E02B07" w:rsidR="001F60AA" w:rsidRPr="001F60AA" w:rsidRDefault="001F60AA" w:rsidP="00C365B8">
      <w:pPr>
        <w:pStyle w:val="ListParagraph"/>
        <w:numPr>
          <w:ilvl w:val="0"/>
          <w:numId w:val="33"/>
        </w:numPr>
        <w:ind w:left="1134" w:hanging="283"/>
        <w:rPr>
          <w:rFonts w:eastAsia="SimSun"/>
          <w:b/>
        </w:rPr>
      </w:pPr>
      <w:r w:rsidRPr="001F60AA">
        <w:t>The proportion of incident neuroblastoma patients was overestimated and DUSC agreed with</w:t>
      </w:r>
      <w:r w:rsidR="003E1CFC">
        <w:t xml:space="preserve"> the</w:t>
      </w:r>
      <w:r w:rsidRPr="001F60AA">
        <w:t xml:space="preserve"> commentary that it is not appropriate to apply the same incidence rate to 15-21 year olds who have a much lower incidence than ages 0-14 years. </w:t>
      </w:r>
      <w:r w:rsidR="002715D3">
        <w:t xml:space="preserve">The </w:t>
      </w:r>
      <w:r w:rsidR="00B83422">
        <w:t xml:space="preserve">DUSC </w:t>
      </w:r>
      <w:r w:rsidR="0006598D">
        <w:t>considered</w:t>
      </w:r>
      <w:r w:rsidR="00B83422">
        <w:t xml:space="preserve"> </w:t>
      </w:r>
      <w:r w:rsidR="0006598D">
        <w:t>a</w:t>
      </w:r>
      <w:r w:rsidR="0006598D" w:rsidRPr="0006598D">
        <w:t xml:space="preserve"> more reasonable estimate would be in the range of </w:t>
      </w:r>
      <w:r w:rsidR="00982BB9">
        <w:t>&lt; 500</w:t>
      </w:r>
      <w:r w:rsidR="00ED753D">
        <w:t xml:space="preserve"> to </w:t>
      </w:r>
      <w:r w:rsidR="00982BB9">
        <w:t>&lt; </w:t>
      </w:r>
      <w:r w:rsidR="0006598D" w:rsidRPr="0006598D">
        <w:t>50</w:t>
      </w:r>
      <w:r w:rsidR="00982BB9">
        <w:t>0</w:t>
      </w:r>
      <w:r w:rsidR="0006598D" w:rsidRPr="0006598D">
        <w:t xml:space="preserve"> incident patients</w:t>
      </w:r>
      <w:r w:rsidR="00126FF1">
        <w:t xml:space="preserve"> and noted the </w:t>
      </w:r>
      <w:r w:rsidR="00E53850">
        <w:t>PSCR agreed with this revision</w:t>
      </w:r>
      <w:r w:rsidR="005536A3">
        <w:t>.</w:t>
      </w:r>
      <w:r w:rsidR="00D2461D">
        <w:t xml:space="preserve"> The PBAC noted this resulted in a reduction in </w:t>
      </w:r>
      <w:r w:rsidR="00696E21">
        <w:t xml:space="preserve">net </w:t>
      </w:r>
      <w:r w:rsidR="00D2461D">
        <w:t xml:space="preserve">cost of </w:t>
      </w:r>
      <w:r w:rsidR="00696E21">
        <w:t xml:space="preserve">47% over 6 years. </w:t>
      </w:r>
    </w:p>
    <w:p w14:paraId="2281C821" w14:textId="2473CE70" w:rsidR="001F60AA" w:rsidRPr="001F60AA" w:rsidRDefault="00830E8C" w:rsidP="00C365B8">
      <w:pPr>
        <w:pStyle w:val="ListParagraph"/>
        <w:numPr>
          <w:ilvl w:val="0"/>
          <w:numId w:val="33"/>
        </w:numPr>
        <w:ind w:left="1134" w:hanging="283"/>
      </w:pPr>
      <w:r>
        <w:t xml:space="preserve">The </w:t>
      </w:r>
      <w:r w:rsidR="001F60AA" w:rsidRPr="001F60AA">
        <w:t>DUSC agreed with the commentary and considered the incidence rate of 10.6</w:t>
      </w:r>
      <w:r w:rsidR="005D74BD">
        <w:t> </w:t>
      </w:r>
      <w:r w:rsidR="001F60AA" w:rsidRPr="001F60AA">
        <w:t>patients per million children to be high and unverified. DUSC considered 9.5</w:t>
      </w:r>
      <w:r w:rsidR="005D74BD">
        <w:t> </w:t>
      </w:r>
      <w:r w:rsidR="001F60AA" w:rsidRPr="001F60AA">
        <w:t xml:space="preserve">patients per million children </w:t>
      </w:r>
      <w:r w:rsidR="00333326">
        <w:t>(</w:t>
      </w:r>
      <w:r w:rsidR="001F60AA" w:rsidRPr="001F60AA">
        <w:t>as reported in Youlden 2020</w:t>
      </w:r>
      <w:r w:rsidR="00333326">
        <w:t>)</w:t>
      </w:r>
      <w:r w:rsidR="001F60AA" w:rsidRPr="001F60AA">
        <w:t xml:space="preserve"> was a more reasonable estimate. </w:t>
      </w:r>
    </w:p>
    <w:p w14:paraId="67E75747" w14:textId="639AB323" w:rsidR="001F60AA" w:rsidRPr="001F60AA" w:rsidRDefault="00D22B10" w:rsidP="00C365B8">
      <w:pPr>
        <w:pStyle w:val="ListParagraph"/>
        <w:numPr>
          <w:ilvl w:val="0"/>
          <w:numId w:val="33"/>
        </w:numPr>
        <w:ind w:left="1134" w:hanging="283"/>
      </w:pPr>
      <w:r>
        <w:t xml:space="preserve">The </w:t>
      </w:r>
      <w:r w:rsidR="001F60AA" w:rsidRPr="001F60AA">
        <w:t xml:space="preserve">DUSC considered that response rates for induction and consolidation were potentially overestimated. </w:t>
      </w:r>
    </w:p>
    <w:p w14:paraId="2F58C17D" w14:textId="7FA2505D" w:rsidR="001F60AA" w:rsidRPr="001F60AA" w:rsidRDefault="00EE7AA8" w:rsidP="00C365B8">
      <w:pPr>
        <w:pStyle w:val="ListParagraph"/>
        <w:ind w:left="1134" w:hanging="283"/>
        <w:rPr>
          <w:b/>
        </w:rPr>
      </w:pPr>
      <w:r>
        <w:t xml:space="preserve">The </w:t>
      </w:r>
      <w:r w:rsidR="001F60AA" w:rsidRPr="001F60AA">
        <w:t>DUSC considered</w:t>
      </w:r>
      <w:r w:rsidR="00AA1D9F">
        <w:t xml:space="preserve"> that</w:t>
      </w:r>
      <w:r w:rsidR="001F60AA" w:rsidRPr="001F60AA">
        <w:t xml:space="preserve"> time on treatment (2 years) was likely overestimated due to potential for relapse</w:t>
      </w:r>
      <w:r w:rsidR="00060402">
        <w:t xml:space="preserve"> and</w:t>
      </w:r>
      <w:r w:rsidR="001F60AA" w:rsidRPr="001F60AA">
        <w:t xml:space="preserve"> adverse events</w:t>
      </w:r>
      <w:r w:rsidR="00060402">
        <w:t>,</w:t>
      </w:r>
      <w:r w:rsidR="001F60AA" w:rsidRPr="001F60AA">
        <w:t xml:space="preserve"> and that children grandfathered from the Federally funded</w:t>
      </w:r>
      <w:r w:rsidR="00417EFF">
        <w:t xml:space="preserve"> and EAP</w:t>
      </w:r>
      <w:r w:rsidR="001F60AA" w:rsidRPr="001F60AA">
        <w:t xml:space="preserve"> program</w:t>
      </w:r>
      <w:r w:rsidR="00417EFF">
        <w:t>s</w:t>
      </w:r>
      <w:r w:rsidR="001F60AA" w:rsidRPr="001F60AA">
        <w:t xml:space="preserve"> may not require the full two-year duration of treatment. However, DUSC considered this overestimate may be balanced by </w:t>
      </w:r>
      <w:r w:rsidR="00BF6DF5">
        <w:t xml:space="preserve">use in </w:t>
      </w:r>
      <w:r w:rsidR="001F60AA" w:rsidRPr="001F60AA">
        <w:t>patients/families wishing to continue treatment beyond 2</w:t>
      </w:r>
      <w:r w:rsidR="00982BB9">
        <w:t> </w:t>
      </w:r>
      <w:r w:rsidR="001F60AA" w:rsidRPr="001F60AA">
        <w:t xml:space="preserve">years. </w:t>
      </w:r>
      <w:r w:rsidR="00977885">
        <w:t xml:space="preserve">The PBAC noted that the restriction for eflornithine </w:t>
      </w:r>
      <w:r w:rsidR="006A2046">
        <w:t>should specify</w:t>
      </w:r>
      <w:r w:rsidR="00625C3A">
        <w:t xml:space="preserve"> treatment for</w:t>
      </w:r>
      <w:r w:rsidR="00C607BF">
        <w:t xml:space="preserve"> no longer than</w:t>
      </w:r>
      <w:r w:rsidR="006A2046">
        <w:t xml:space="preserve"> </w:t>
      </w:r>
      <w:r w:rsidR="00804F01">
        <w:t>27 cycles</w:t>
      </w:r>
      <w:r w:rsidR="00625C3A">
        <w:t xml:space="preserve"> [equivalent to 2 years]</w:t>
      </w:r>
      <w:r w:rsidR="00804F01">
        <w:t xml:space="preserve"> from the first dose (excluding treatment breaks)</w:t>
      </w:r>
      <w:r w:rsidR="008D6488">
        <w:t xml:space="preserve">; therefore, </w:t>
      </w:r>
      <w:r w:rsidR="00B517EF">
        <w:t>treatment</w:t>
      </w:r>
      <w:r w:rsidR="008B0411">
        <w:t xml:space="preserve"> beyond the intended </w:t>
      </w:r>
      <w:r w:rsidR="00B517EF">
        <w:t>duration</w:t>
      </w:r>
      <w:r w:rsidR="008B0411">
        <w:t xml:space="preserve"> would be unlikely.</w:t>
      </w:r>
    </w:p>
    <w:p w14:paraId="7B03A32F" w14:textId="1B983301" w:rsidR="001F60AA" w:rsidRPr="00352BCB" w:rsidRDefault="00352BCB" w:rsidP="007A721A">
      <w:pPr>
        <w:pStyle w:val="3-BodyText"/>
        <w:keepNext/>
        <w:keepLines/>
      </w:pPr>
      <w:r w:rsidRPr="00352BCB">
        <w:rPr>
          <w:rStyle w:val="3-BodyTextChar"/>
        </w:rPr>
        <w:t xml:space="preserve">Quality </w:t>
      </w:r>
      <w:r w:rsidR="00FB7734">
        <w:rPr>
          <w:rStyle w:val="3-BodyTextChar"/>
        </w:rPr>
        <w:t>U</w:t>
      </w:r>
      <w:r w:rsidRPr="00352BCB">
        <w:rPr>
          <w:rStyle w:val="3-BodyTextChar"/>
        </w:rPr>
        <w:t>se of Medicines</w:t>
      </w:r>
      <w:r>
        <w:rPr>
          <w:rStyle w:val="3-BodyTextChar"/>
        </w:rPr>
        <w:t xml:space="preserve"> informatio</w:t>
      </w:r>
      <w:r w:rsidR="00FB7734">
        <w:rPr>
          <w:rStyle w:val="3-BodyTextChar"/>
        </w:rPr>
        <w:t>n</w:t>
      </w:r>
      <w:r>
        <w:t>:</w:t>
      </w:r>
    </w:p>
    <w:p w14:paraId="55984CEA" w14:textId="23F8FA8E" w:rsidR="001F60AA" w:rsidRPr="001F60AA" w:rsidRDefault="00EE7AA8" w:rsidP="00AB12E4">
      <w:pPr>
        <w:pStyle w:val="ListParagraph"/>
        <w:keepNext/>
        <w:keepLines/>
        <w:numPr>
          <w:ilvl w:val="0"/>
          <w:numId w:val="33"/>
        </w:numPr>
        <w:ind w:left="1134" w:hanging="283"/>
        <w:rPr>
          <w:b/>
        </w:rPr>
      </w:pPr>
      <w:r>
        <w:t xml:space="preserve">The </w:t>
      </w:r>
      <w:r w:rsidR="001F60AA" w:rsidRPr="001F60AA">
        <w:t xml:space="preserve">DUSC noted the submission did not present any factors for quality use of medicines though advised that the requirement for 3-monthly reassessments of BSA should be reinforced. </w:t>
      </w:r>
      <w:r w:rsidR="00934CF8">
        <w:t>The Secretariat</w:t>
      </w:r>
      <w:r w:rsidR="00356BD7">
        <w:t xml:space="preserve"> commented that a</w:t>
      </w:r>
      <w:r w:rsidR="00262207">
        <w:t xml:space="preserve">t the time of the authority application, </w:t>
      </w:r>
      <w:r w:rsidR="00473ED9" w:rsidRPr="00473ED9">
        <w:t>the prescriber should request an appropriate number of packs and repeats based on the patients’ BSA</w:t>
      </w:r>
      <w:r w:rsidR="00C7371D">
        <w:t xml:space="preserve"> and only 3 months of therapy will be provided with each script.</w:t>
      </w:r>
      <w:r w:rsidR="00374DDA">
        <w:t xml:space="preserve"> The written authority must include </w:t>
      </w:r>
      <w:r w:rsidR="00CF3DC9">
        <w:t>the patient’s BSA measurement.</w:t>
      </w:r>
    </w:p>
    <w:p w14:paraId="4ECB9D2D" w14:textId="64C716D9" w:rsidR="001F60AA" w:rsidRPr="001F60AA" w:rsidRDefault="00EE7AA8" w:rsidP="00AB12E4">
      <w:pPr>
        <w:pStyle w:val="ListParagraph"/>
        <w:numPr>
          <w:ilvl w:val="0"/>
          <w:numId w:val="33"/>
        </w:numPr>
        <w:ind w:left="1134" w:hanging="283"/>
        <w:rPr>
          <w:b/>
        </w:rPr>
      </w:pPr>
      <w:r>
        <w:t xml:space="preserve">The </w:t>
      </w:r>
      <w:r w:rsidR="001F60AA" w:rsidRPr="001F60AA">
        <w:t xml:space="preserve">DUSC advised that safety and monitoring of adverse effects such as audiology tests will be required. </w:t>
      </w:r>
    </w:p>
    <w:p w14:paraId="74599DF6" w14:textId="770A2E1D" w:rsidR="001F60AA" w:rsidRPr="001F60AA" w:rsidRDefault="00EE7AA8" w:rsidP="00AB12E4">
      <w:pPr>
        <w:pStyle w:val="ListParagraph"/>
        <w:numPr>
          <w:ilvl w:val="0"/>
          <w:numId w:val="33"/>
        </w:numPr>
        <w:ind w:left="1134" w:hanging="283"/>
        <w:rPr>
          <w:b/>
        </w:rPr>
      </w:pPr>
      <w:r>
        <w:t xml:space="preserve">The </w:t>
      </w:r>
      <w:r w:rsidR="001F60AA" w:rsidRPr="001F60AA">
        <w:t xml:space="preserve">DUSC considered that eflornithine will be used mainly in highly specialised settings, but there may be some instances where less specialised practitioners may use this medicine in regional or rural areas. </w:t>
      </w:r>
      <w:r w:rsidR="00356BD7">
        <w:t>The Secretariat commented that p</w:t>
      </w:r>
      <w:r w:rsidR="00886016">
        <w:t>atients</w:t>
      </w:r>
      <w:r w:rsidR="00DC0049">
        <w:t xml:space="preserve"> must be initially treated in </w:t>
      </w:r>
      <w:r w:rsidR="008A2D21" w:rsidRPr="008A2D21">
        <w:t>a hospital/cancer centre by either a paediatric oncologist</w:t>
      </w:r>
      <w:r w:rsidR="00520A38">
        <w:t xml:space="preserve"> or</w:t>
      </w:r>
      <w:r w:rsidR="00E60EC5">
        <w:t xml:space="preserve"> </w:t>
      </w:r>
      <w:r w:rsidR="008A2D21" w:rsidRPr="008A2D21">
        <w:t>haematologist</w:t>
      </w:r>
      <w:r w:rsidR="00934CF8">
        <w:t xml:space="preserve">, and continuing treatment </w:t>
      </w:r>
      <w:r w:rsidR="00636067">
        <w:t xml:space="preserve">must occur at least under direct supervision of </w:t>
      </w:r>
      <w:r w:rsidR="00520A38">
        <w:t>a</w:t>
      </w:r>
      <w:r w:rsidR="00183B37">
        <w:t xml:space="preserve"> </w:t>
      </w:r>
      <w:r w:rsidR="00636067" w:rsidRPr="00636067">
        <w:t xml:space="preserve">paediatric oncologist </w:t>
      </w:r>
      <w:r w:rsidR="00183B37">
        <w:t xml:space="preserve">or </w:t>
      </w:r>
      <w:r w:rsidR="00636067" w:rsidRPr="00636067">
        <w:t>haematologist</w:t>
      </w:r>
      <w:r w:rsidR="00886016">
        <w:t xml:space="preserve">. </w:t>
      </w:r>
    </w:p>
    <w:p w14:paraId="2D0DE5AC" w14:textId="1E88AA05" w:rsidR="001F60AA" w:rsidRPr="001F60AA" w:rsidRDefault="00EE7AA8" w:rsidP="00AB12E4">
      <w:pPr>
        <w:pStyle w:val="ListParagraph"/>
        <w:numPr>
          <w:ilvl w:val="0"/>
          <w:numId w:val="33"/>
        </w:numPr>
        <w:spacing w:after="0"/>
        <w:ind w:left="1134" w:hanging="283"/>
        <w:contextualSpacing/>
        <w:rPr>
          <w:b/>
        </w:rPr>
      </w:pPr>
      <w:r>
        <w:lastRenderedPageBreak/>
        <w:t xml:space="preserve">The </w:t>
      </w:r>
      <w:r w:rsidR="001F60AA" w:rsidRPr="001F60AA">
        <w:t xml:space="preserve">DUSC advised that specific advice around administering crushed tablets to children will be required. </w:t>
      </w:r>
    </w:p>
    <w:p w14:paraId="145057F5" w14:textId="77777777" w:rsidR="00DC51C1" w:rsidRPr="00C9624D" w:rsidRDefault="00DC51C1" w:rsidP="00DC51C1">
      <w:pPr>
        <w:pStyle w:val="4-SubsectionHeading"/>
      </w:pPr>
      <w:bookmarkStart w:id="80" w:name="_Toc22897649"/>
      <w:bookmarkStart w:id="81" w:name="_Toc107927635"/>
      <w:bookmarkStart w:id="82" w:name="_Toc188441775"/>
      <w:r w:rsidRPr="00C9624D">
        <w:t>Financial Management – Risk Sharing Arrangements</w:t>
      </w:r>
      <w:bookmarkEnd w:id="80"/>
      <w:bookmarkEnd w:id="81"/>
      <w:bookmarkEnd w:id="82"/>
    </w:p>
    <w:p w14:paraId="06707DEE" w14:textId="0F1C1237" w:rsidR="00565792" w:rsidRPr="003760F8" w:rsidRDefault="00DC51C1" w:rsidP="00E7376A">
      <w:pPr>
        <w:pStyle w:val="3-BodyText"/>
      </w:pPr>
      <w:r w:rsidRPr="00925C2B">
        <w:t>No risk shar</w:t>
      </w:r>
      <w:r w:rsidR="00306D86">
        <w:t>ing</w:t>
      </w:r>
      <w:r w:rsidRPr="00925C2B">
        <w:t xml:space="preserve"> arrangement</w:t>
      </w:r>
      <w:r w:rsidR="00775418">
        <w:t xml:space="preserve"> (RSA)</w:t>
      </w:r>
      <w:r w:rsidRPr="00925C2B">
        <w:t xml:space="preserve"> was presented in the submission.</w:t>
      </w:r>
      <w:r w:rsidR="001F440A">
        <w:t xml:space="preserve"> </w:t>
      </w:r>
      <w:r w:rsidR="001F440A" w:rsidRPr="00457C3F">
        <w:t xml:space="preserve">However, the PSCR </w:t>
      </w:r>
      <w:r w:rsidR="00B72865" w:rsidRPr="00457C3F">
        <w:t>stated</w:t>
      </w:r>
      <w:r w:rsidR="001F440A" w:rsidRPr="00457C3F">
        <w:t xml:space="preserve"> that</w:t>
      </w:r>
      <w:r w:rsidR="000329DD" w:rsidRPr="00457C3F">
        <w:t xml:space="preserve"> </w:t>
      </w:r>
      <w:r w:rsidR="00F948E5" w:rsidRPr="00457C3F">
        <w:t xml:space="preserve">the Sponsor is open to a </w:t>
      </w:r>
      <w:r w:rsidR="00CB2E55">
        <w:t>RSA</w:t>
      </w:r>
      <w:r w:rsidR="00A329EF" w:rsidRPr="00457C3F">
        <w:t xml:space="preserve"> to ensure access to therapy</w:t>
      </w:r>
      <w:r w:rsidR="00F948E5" w:rsidRPr="00457C3F">
        <w:t>.</w:t>
      </w:r>
      <w:r w:rsidR="00C4052E">
        <w:rPr>
          <w:i/>
          <w:iCs/>
        </w:rPr>
        <w:t xml:space="preserve"> </w:t>
      </w:r>
    </w:p>
    <w:p w14:paraId="0A809E8C" w14:textId="7F69D517" w:rsidR="003D692E" w:rsidRPr="00097723" w:rsidRDefault="003760F8" w:rsidP="00097723">
      <w:pPr>
        <w:pStyle w:val="3-BodyText"/>
        <w:numPr>
          <w:ilvl w:val="0"/>
          <w:numId w:val="0"/>
        </w:numPr>
        <w:ind w:left="720"/>
      </w:pPr>
      <w:r w:rsidRPr="00C33D30">
        <w:rPr>
          <w:i/>
        </w:rPr>
        <w:t>For more detail on PBAC’s view, see section 7 PBAC outcome.</w:t>
      </w:r>
    </w:p>
    <w:p w14:paraId="4A885348" w14:textId="77777777" w:rsidR="00DC5C35" w:rsidRPr="00A71CA3" w:rsidRDefault="00DC5C35" w:rsidP="00DC5C35">
      <w:pPr>
        <w:pStyle w:val="2-SectionHeading"/>
        <w:numPr>
          <w:ilvl w:val="0"/>
          <w:numId w:val="1"/>
        </w:numPr>
      </w:pPr>
      <w:bookmarkStart w:id="83" w:name="_Hlk76381249"/>
      <w:r w:rsidRPr="00A71CA3">
        <w:t>PBAC Outcome</w:t>
      </w:r>
    </w:p>
    <w:p w14:paraId="2C114139" w14:textId="4AB6DF17" w:rsidR="00DC5C35" w:rsidRPr="009206C1" w:rsidRDefault="0009241D" w:rsidP="002547CF">
      <w:pPr>
        <w:widowControl w:val="0"/>
        <w:numPr>
          <w:ilvl w:val="1"/>
          <w:numId w:val="1"/>
        </w:numPr>
        <w:spacing w:after="120"/>
        <w:rPr>
          <w:rFonts w:asciiTheme="minorHAnsi" w:hAnsiTheme="minorHAnsi"/>
          <w:snapToGrid w:val="0"/>
          <w:lang w:val="en-GB"/>
        </w:rPr>
      </w:pPr>
      <w:r w:rsidRPr="0009241D">
        <w:rPr>
          <w:rFonts w:asciiTheme="minorHAnsi" w:hAnsiTheme="minorHAnsi"/>
          <w:snapToGrid w:val="0"/>
        </w:rPr>
        <w:t xml:space="preserve">The PBAC recommended the </w:t>
      </w:r>
      <w:r w:rsidRPr="00BC1A6A">
        <w:rPr>
          <w:rFonts w:asciiTheme="minorHAnsi" w:hAnsiTheme="minorHAnsi"/>
          <w:snapToGrid w:val="0"/>
        </w:rPr>
        <w:t>Section 100</w:t>
      </w:r>
      <w:r w:rsidRPr="0009241D">
        <w:rPr>
          <w:rFonts w:asciiTheme="minorHAnsi" w:hAnsiTheme="minorHAnsi"/>
          <w:snapToGrid w:val="0"/>
        </w:rPr>
        <w:t xml:space="preserve"> </w:t>
      </w:r>
      <w:r w:rsidR="00427DAB">
        <w:rPr>
          <w:rFonts w:asciiTheme="minorHAnsi" w:hAnsiTheme="minorHAnsi"/>
          <w:snapToGrid w:val="0"/>
        </w:rPr>
        <w:t xml:space="preserve">(Highly Specialised Drugs Program) </w:t>
      </w:r>
      <w:r w:rsidRPr="0009241D">
        <w:rPr>
          <w:rFonts w:asciiTheme="minorHAnsi" w:hAnsiTheme="minorHAnsi"/>
          <w:snapToGrid w:val="0"/>
        </w:rPr>
        <w:t>listing of eflornithine for post-maintenance treatment to prevent relapse in patients with high-risk neuroblastoma (HRNB) who are in remission</w:t>
      </w:r>
      <w:r w:rsidR="00AF7538">
        <w:rPr>
          <w:rFonts w:asciiTheme="minorHAnsi" w:hAnsiTheme="minorHAnsi"/>
          <w:snapToGrid w:val="0"/>
        </w:rPr>
        <w:t xml:space="preserve"> after receiving </w:t>
      </w:r>
      <w:r w:rsidR="0002504A">
        <w:rPr>
          <w:rFonts w:asciiTheme="minorHAnsi" w:hAnsiTheme="minorHAnsi"/>
          <w:snapToGrid w:val="0"/>
        </w:rPr>
        <w:t xml:space="preserve">multiagent, multimodality therapy. </w:t>
      </w:r>
      <w:r w:rsidRPr="0009241D">
        <w:rPr>
          <w:rFonts w:asciiTheme="minorHAnsi" w:hAnsiTheme="minorHAnsi"/>
          <w:snapToGrid w:val="0"/>
        </w:rPr>
        <w:t>The PBAC acknowledged the high clinical need for a post-maintenance treatment to prevent relapse of this condition. The PBAC considered that eflornithine provide</w:t>
      </w:r>
      <w:r w:rsidR="002F1825">
        <w:rPr>
          <w:rFonts w:asciiTheme="minorHAnsi" w:hAnsiTheme="minorHAnsi"/>
          <w:snapToGrid w:val="0"/>
        </w:rPr>
        <w:t>s</w:t>
      </w:r>
      <w:r w:rsidRPr="0009241D">
        <w:rPr>
          <w:rFonts w:asciiTheme="minorHAnsi" w:hAnsiTheme="minorHAnsi"/>
          <w:snapToGrid w:val="0"/>
        </w:rPr>
        <w:t xml:space="preserve"> a clinical benefit for patients compared to standard of care</w:t>
      </w:r>
      <w:r w:rsidR="003923F3">
        <w:rPr>
          <w:rFonts w:asciiTheme="minorHAnsi" w:hAnsiTheme="minorHAnsi"/>
          <w:snapToGrid w:val="0"/>
        </w:rPr>
        <w:t xml:space="preserve"> (SOC)</w:t>
      </w:r>
      <w:r w:rsidRPr="0009241D">
        <w:rPr>
          <w:rFonts w:asciiTheme="minorHAnsi" w:hAnsiTheme="minorHAnsi"/>
          <w:snapToGrid w:val="0"/>
        </w:rPr>
        <w:t>, and while the magnitude of benefit was uncertain, the PBAC acknowledged the difficulty of obtaining high quality clinical evidence in this patient group. The PBAC considered that the ICER was high and uncertain,</w:t>
      </w:r>
      <w:r w:rsidR="001260F9">
        <w:rPr>
          <w:rFonts w:asciiTheme="minorHAnsi" w:hAnsiTheme="minorHAnsi"/>
          <w:snapToGrid w:val="0"/>
        </w:rPr>
        <w:t xml:space="preserve"> </w:t>
      </w:r>
      <w:r w:rsidR="00DD119A" w:rsidRPr="00DD119A">
        <w:rPr>
          <w:rFonts w:asciiTheme="minorHAnsi" w:hAnsiTheme="minorHAnsi"/>
          <w:snapToGrid w:val="0"/>
        </w:rPr>
        <w:t>partly because the</w:t>
      </w:r>
      <w:r w:rsidR="00427DAB">
        <w:rPr>
          <w:rFonts w:asciiTheme="minorHAnsi" w:hAnsiTheme="minorHAnsi"/>
          <w:snapToGrid w:val="0"/>
        </w:rPr>
        <w:t xml:space="preserve"> submission’s</w:t>
      </w:r>
      <w:r w:rsidR="00F6759F">
        <w:rPr>
          <w:rFonts w:asciiTheme="minorHAnsi" w:hAnsiTheme="minorHAnsi"/>
          <w:snapToGrid w:val="0"/>
        </w:rPr>
        <w:t xml:space="preserve"> </w:t>
      </w:r>
      <w:r w:rsidR="00DD119A" w:rsidRPr="00DD119A">
        <w:rPr>
          <w:rFonts w:asciiTheme="minorHAnsi" w:hAnsiTheme="minorHAnsi"/>
          <w:snapToGrid w:val="0"/>
        </w:rPr>
        <w:t xml:space="preserve">assumptions about the duration of benefit </w:t>
      </w:r>
      <w:r w:rsidR="00DD119A" w:rsidRPr="009206C1">
        <w:rPr>
          <w:rFonts w:asciiTheme="minorHAnsi" w:hAnsiTheme="minorHAnsi"/>
          <w:snapToGrid w:val="0"/>
        </w:rPr>
        <w:t>(</w:t>
      </w:r>
      <w:r w:rsidR="001E0FED">
        <w:rPr>
          <w:rFonts w:asciiTheme="minorHAnsi" w:hAnsiTheme="minorHAnsi"/>
          <w:snapToGrid w:val="0"/>
        </w:rPr>
        <w:t xml:space="preserve">extrapolation and </w:t>
      </w:r>
      <w:r w:rsidR="00DD119A" w:rsidRPr="009206C1">
        <w:rPr>
          <w:rFonts w:asciiTheme="minorHAnsi" w:hAnsiTheme="minorHAnsi"/>
          <w:snapToGrid w:val="0"/>
        </w:rPr>
        <w:t>time horizon) were optimistic</w:t>
      </w:r>
      <w:r w:rsidR="00546149" w:rsidRPr="009206C1">
        <w:rPr>
          <w:rFonts w:asciiTheme="minorHAnsi" w:hAnsiTheme="minorHAnsi"/>
          <w:snapToGrid w:val="0"/>
        </w:rPr>
        <w:t xml:space="preserve">. The PBAC considered that </w:t>
      </w:r>
      <w:r w:rsidRPr="009206C1">
        <w:rPr>
          <w:rFonts w:asciiTheme="minorHAnsi" w:hAnsiTheme="minorHAnsi"/>
          <w:snapToGrid w:val="0"/>
        </w:rPr>
        <w:t xml:space="preserve">a more conservative time horizon would be required along with a price reduction to achieve an acceptable ICER. </w:t>
      </w:r>
      <w:r w:rsidR="009206C1" w:rsidRPr="009206C1">
        <w:rPr>
          <w:rFonts w:asciiTheme="minorHAnsi" w:hAnsiTheme="minorHAnsi"/>
          <w:snapToGrid w:val="0"/>
          <w:lang w:val="en-GB"/>
        </w:rPr>
        <w:t xml:space="preserve">The PBAC considered the estimated number of </w:t>
      </w:r>
      <w:r w:rsidR="00F41C3B">
        <w:rPr>
          <w:rFonts w:asciiTheme="minorHAnsi" w:hAnsiTheme="minorHAnsi"/>
          <w:snapToGrid w:val="0"/>
          <w:lang w:val="en-GB"/>
        </w:rPr>
        <w:t xml:space="preserve">incident neuroblastoma </w:t>
      </w:r>
      <w:r w:rsidR="009206C1" w:rsidRPr="009206C1">
        <w:rPr>
          <w:rFonts w:asciiTheme="minorHAnsi" w:hAnsiTheme="minorHAnsi"/>
          <w:snapToGrid w:val="0"/>
          <w:lang w:val="en-GB"/>
        </w:rPr>
        <w:t xml:space="preserve">patients </w:t>
      </w:r>
      <w:r w:rsidR="00F41C3B">
        <w:rPr>
          <w:rFonts w:asciiTheme="minorHAnsi" w:hAnsiTheme="minorHAnsi"/>
          <w:snapToGrid w:val="0"/>
          <w:lang w:val="en-GB"/>
        </w:rPr>
        <w:t xml:space="preserve">was </w:t>
      </w:r>
      <w:r w:rsidR="009206C1" w:rsidRPr="009206C1">
        <w:rPr>
          <w:rFonts w:asciiTheme="minorHAnsi" w:hAnsiTheme="minorHAnsi"/>
          <w:snapToGrid w:val="0"/>
          <w:lang w:val="en-GB"/>
        </w:rPr>
        <w:t>overestimated</w:t>
      </w:r>
      <w:r w:rsidR="00AF1FCC">
        <w:rPr>
          <w:rFonts w:asciiTheme="minorHAnsi" w:hAnsiTheme="minorHAnsi"/>
          <w:snapToGrid w:val="0"/>
          <w:lang w:val="en-GB"/>
        </w:rPr>
        <w:t xml:space="preserve"> and should be reduced to </w:t>
      </w:r>
      <w:r w:rsidR="009D72A3">
        <w:rPr>
          <w:rFonts w:asciiTheme="minorHAnsi" w:hAnsiTheme="minorHAnsi"/>
          <w:snapToGrid w:val="0"/>
          <w:lang w:val="en-GB"/>
        </w:rPr>
        <w:t>&lt; 500</w:t>
      </w:r>
      <w:r w:rsidR="00AF1FCC">
        <w:rPr>
          <w:rFonts w:asciiTheme="minorHAnsi" w:hAnsiTheme="minorHAnsi"/>
          <w:snapToGrid w:val="0"/>
          <w:lang w:val="en-GB"/>
        </w:rPr>
        <w:t xml:space="preserve"> to </w:t>
      </w:r>
      <w:r w:rsidR="009D72A3">
        <w:rPr>
          <w:rFonts w:asciiTheme="minorHAnsi" w:hAnsiTheme="minorHAnsi"/>
          <w:snapToGrid w:val="0"/>
          <w:lang w:val="en-GB"/>
        </w:rPr>
        <w:t>&lt; </w:t>
      </w:r>
      <w:r w:rsidR="00AF1FCC">
        <w:rPr>
          <w:rFonts w:asciiTheme="minorHAnsi" w:hAnsiTheme="minorHAnsi"/>
          <w:snapToGrid w:val="0"/>
          <w:lang w:val="en-GB"/>
        </w:rPr>
        <w:t>50</w:t>
      </w:r>
      <w:r w:rsidR="009D72A3">
        <w:rPr>
          <w:rFonts w:asciiTheme="minorHAnsi" w:hAnsiTheme="minorHAnsi"/>
          <w:snapToGrid w:val="0"/>
          <w:lang w:val="en-GB"/>
        </w:rPr>
        <w:t>0</w:t>
      </w:r>
      <w:r w:rsidR="00AF1FCC">
        <w:rPr>
          <w:rFonts w:asciiTheme="minorHAnsi" w:hAnsiTheme="minorHAnsi"/>
          <w:snapToGrid w:val="0"/>
          <w:lang w:val="en-GB"/>
        </w:rPr>
        <w:t xml:space="preserve"> patients year</w:t>
      </w:r>
      <w:r w:rsidR="009206C1">
        <w:rPr>
          <w:rFonts w:asciiTheme="minorHAnsi" w:hAnsiTheme="minorHAnsi"/>
          <w:snapToGrid w:val="0"/>
          <w:lang w:val="en-GB"/>
        </w:rPr>
        <w:t>.</w:t>
      </w:r>
    </w:p>
    <w:p w14:paraId="33394E61" w14:textId="56D8B0A1" w:rsidR="00DC5C35" w:rsidRPr="00576FBD" w:rsidRDefault="00C87BAB" w:rsidP="00486A05">
      <w:pPr>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is satisfied that </w:t>
      </w:r>
      <w:r>
        <w:rPr>
          <w:rFonts w:asciiTheme="minorHAnsi" w:hAnsiTheme="minorHAnsi"/>
          <w:snapToGrid w:val="0"/>
          <w:lang w:val="en-GB"/>
        </w:rPr>
        <w:t>eflornithine</w:t>
      </w:r>
      <w:r w:rsidRPr="00CE42B4">
        <w:rPr>
          <w:rFonts w:asciiTheme="minorHAnsi" w:hAnsiTheme="minorHAnsi"/>
          <w:snapToGrid w:val="0"/>
          <w:lang w:val="en-GB"/>
        </w:rPr>
        <w:t xml:space="preserve"> provides, for some patients, a significant improvement in efficacy over </w:t>
      </w:r>
      <w:r w:rsidR="00594BEF">
        <w:rPr>
          <w:rFonts w:asciiTheme="minorHAnsi" w:hAnsiTheme="minorHAnsi"/>
          <w:snapToGrid w:val="0"/>
          <w:lang w:val="en-GB"/>
        </w:rPr>
        <w:t>the main comparator, SOC</w:t>
      </w:r>
      <w:r w:rsidR="00CD1BDC">
        <w:rPr>
          <w:rFonts w:asciiTheme="minorHAnsi" w:hAnsiTheme="minorHAnsi"/>
          <w:snapToGrid w:val="0"/>
          <w:lang w:val="en-GB"/>
        </w:rPr>
        <w:t>, in the post-maintenance treatment of HRNB</w:t>
      </w:r>
      <w:r w:rsidR="00E21F74">
        <w:rPr>
          <w:rFonts w:asciiTheme="minorHAnsi" w:hAnsiTheme="minorHAnsi"/>
          <w:snapToGrid w:val="0"/>
          <w:lang w:val="en-GB"/>
        </w:rPr>
        <w:t>, albeit with inferior safety</w:t>
      </w:r>
      <w:r w:rsidRPr="00CE42B4">
        <w:rPr>
          <w:rFonts w:asciiTheme="minorHAnsi" w:hAnsiTheme="minorHAnsi"/>
          <w:snapToGrid w:val="0"/>
          <w:lang w:val="en-GB"/>
        </w:rPr>
        <w:t>.</w:t>
      </w:r>
    </w:p>
    <w:p w14:paraId="3880B136" w14:textId="309DED5F" w:rsidR="00DC5C35" w:rsidRPr="009501C9" w:rsidRDefault="00BB6C76" w:rsidP="00DC5C3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high clinical need for a post-maintenance treatment in HRNB</w:t>
      </w:r>
      <w:r w:rsidR="00D50789">
        <w:rPr>
          <w:rFonts w:asciiTheme="minorHAnsi" w:hAnsiTheme="minorHAnsi"/>
          <w:snapToGrid w:val="0"/>
          <w:lang w:val="en-GB"/>
        </w:rPr>
        <w:t xml:space="preserve">, commenting that </w:t>
      </w:r>
      <w:r w:rsidR="007C7942">
        <w:rPr>
          <w:rFonts w:asciiTheme="minorHAnsi" w:hAnsiTheme="minorHAnsi"/>
          <w:snapToGrid w:val="0"/>
          <w:lang w:val="en-GB"/>
        </w:rPr>
        <w:t>there is a high rate of relapse</w:t>
      </w:r>
      <w:r w:rsidR="00DA385B">
        <w:rPr>
          <w:rFonts w:asciiTheme="minorHAnsi" w:hAnsiTheme="minorHAnsi"/>
          <w:snapToGrid w:val="0"/>
          <w:lang w:val="en-GB"/>
        </w:rPr>
        <w:t xml:space="preserve"> following upfront therapy</w:t>
      </w:r>
      <w:r w:rsidR="001A3C5C">
        <w:rPr>
          <w:rFonts w:asciiTheme="minorHAnsi" w:hAnsiTheme="minorHAnsi"/>
          <w:snapToGrid w:val="0"/>
          <w:lang w:val="en-GB"/>
        </w:rPr>
        <w:t xml:space="preserve"> and that current sal</w:t>
      </w:r>
      <w:r w:rsidR="00F52285">
        <w:rPr>
          <w:rFonts w:asciiTheme="minorHAnsi" w:hAnsiTheme="minorHAnsi"/>
          <w:snapToGrid w:val="0"/>
          <w:lang w:val="en-GB"/>
        </w:rPr>
        <w:t>vage treatments are toxic with low efficacy.</w:t>
      </w:r>
      <w:r w:rsidR="009C176E">
        <w:rPr>
          <w:rFonts w:asciiTheme="minorHAnsi" w:hAnsiTheme="minorHAnsi"/>
          <w:snapToGrid w:val="0"/>
          <w:lang w:val="en-GB"/>
        </w:rPr>
        <w:t xml:space="preserve"> The PBAC noted the high number of consumer comments detailing the </w:t>
      </w:r>
      <w:r w:rsidR="00174FE4" w:rsidRPr="00FF5BF2">
        <w:rPr>
          <w:rFonts w:asciiTheme="minorHAnsi" w:hAnsiTheme="minorHAnsi"/>
          <w:bCs/>
          <w:snapToGrid w:val="0"/>
        </w:rPr>
        <w:t>high burden of disease and suffering associated with HRNB</w:t>
      </w:r>
      <w:r w:rsidR="00174FE4">
        <w:rPr>
          <w:rFonts w:asciiTheme="minorHAnsi" w:hAnsiTheme="minorHAnsi"/>
          <w:bCs/>
          <w:snapToGrid w:val="0"/>
        </w:rPr>
        <w:t>, as well as the prohibitive cost of eflornithine</w:t>
      </w:r>
      <w:r w:rsidR="00C4001D">
        <w:rPr>
          <w:rFonts w:asciiTheme="minorHAnsi" w:hAnsiTheme="minorHAnsi"/>
          <w:bCs/>
          <w:snapToGrid w:val="0"/>
        </w:rPr>
        <w:t>.</w:t>
      </w:r>
    </w:p>
    <w:p w14:paraId="3AF079AF" w14:textId="122CB0D7" w:rsidR="009501C9" w:rsidRPr="00CE42B4" w:rsidRDefault="009501C9" w:rsidP="00DC5C35">
      <w:pPr>
        <w:widowControl w:val="0"/>
        <w:numPr>
          <w:ilvl w:val="1"/>
          <w:numId w:val="1"/>
        </w:numPr>
        <w:spacing w:after="120"/>
        <w:rPr>
          <w:rFonts w:asciiTheme="minorHAnsi" w:hAnsiTheme="minorHAnsi"/>
          <w:snapToGrid w:val="0"/>
          <w:lang w:val="en-GB"/>
        </w:rPr>
      </w:pPr>
      <w:r>
        <w:rPr>
          <w:rFonts w:asciiTheme="minorHAnsi" w:hAnsiTheme="minorHAnsi"/>
          <w:bCs/>
          <w:snapToGrid w:val="0"/>
        </w:rPr>
        <w:t xml:space="preserve">The PBAC noted the proposed listing was for patients </w:t>
      </w:r>
      <w:r w:rsidRPr="009501C9">
        <w:rPr>
          <w:rFonts w:asciiTheme="minorHAnsi" w:hAnsiTheme="minorHAnsi"/>
          <w:bCs/>
          <w:snapToGrid w:val="0"/>
        </w:rPr>
        <w:t>with HRNB who are in remission (i) at the end of upfront therapy; or (ii) after any previous treatment for relapsed or refractory disease.</w:t>
      </w:r>
      <w:r>
        <w:rPr>
          <w:rFonts w:asciiTheme="minorHAnsi" w:hAnsiTheme="minorHAnsi"/>
          <w:bCs/>
          <w:snapToGrid w:val="0"/>
        </w:rPr>
        <w:t xml:space="preserve"> The PBAC considered it would be </w:t>
      </w:r>
      <w:r w:rsidR="0061153E">
        <w:rPr>
          <w:rFonts w:asciiTheme="minorHAnsi" w:hAnsiTheme="minorHAnsi"/>
          <w:bCs/>
          <w:snapToGrid w:val="0"/>
        </w:rPr>
        <w:t>appropriate to not differentiate the populations in the listing and make eflornithine available for patients in remission</w:t>
      </w:r>
      <w:r w:rsidR="0061153E" w:rsidRPr="0061153E">
        <w:rPr>
          <w:rFonts w:asciiTheme="minorHAnsi" w:hAnsiTheme="minorHAnsi"/>
          <w:bCs/>
          <w:snapToGrid w:val="0"/>
        </w:rPr>
        <w:t xml:space="preserve"> after receiving multiagent, multimodality therapy</w:t>
      </w:r>
      <w:r w:rsidR="00B306C4">
        <w:rPr>
          <w:rFonts w:asciiTheme="minorHAnsi" w:hAnsiTheme="minorHAnsi"/>
          <w:bCs/>
          <w:snapToGrid w:val="0"/>
        </w:rPr>
        <w:t>, consistent with the proposed TGA indication.</w:t>
      </w:r>
      <w:r w:rsidR="008A2BE3">
        <w:rPr>
          <w:rFonts w:asciiTheme="minorHAnsi" w:hAnsiTheme="minorHAnsi"/>
          <w:bCs/>
          <w:snapToGrid w:val="0"/>
        </w:rPr>
        <w:t xml:space="preserve"> The PBAC noted this use of eflornithine </w:t>
      </w:r>
      <w:r w:rsidR="008E20B4">
        <w:rPr>
          <w:rFonts w:asciiTheme="minorHAnsi" w:hAnsiTheme="minorHAnsi"/>
          <w:bCs/>
          <w:snapToGrid w:val="0"/>
        </w:rPr>
        <w:t xml:space="preserve">(i.e., following multiagent, multimodality therapy) </w:t>
      </w:r>
      <w:r w:rsidR="008A2BE3">
        <w:rPr>
          <w:rFonts w:asciiTheme="minorHAnsi" w:hAnsiTheme="minorHAnsi"/>
          <w:bCs/>
          <w:snapToGrid w:val="0"/>
        </w:rPr>
        <w:t xml:space="preserve">is referred to as post-maintenance </w:t>
      </w:r>
      <w:r w:rsidR="008E20B4">
        <w:rPr>
          <w:rFonts w:asciiTheme="minorHAnsi" w:hAnsiTheme="minorHAnsi"/>
          <w:bCs/>
          <w:snapToGrid w:val="0"/>
        </w:rPr>
        <w:t>treatment.</w:t>
      </w:r>
      <w:r w:rsidR="00F6759F">
        <w:rPr>
          <w:rFonts w:asciiTheme="minorHAnsi" w:hAnsiTheme="minorHAnsi"/>
          <w:bCs/>
          <w:snapToGrid w:val="0"/>
        </w:rPr>
        <w:t xml:space="preserve"> </w:t>
      </w:r>
    </w:p>
    <w:p w14:paraId="689C7631" w14:textId="2EE3E6E7" w:rsidR="00545FD9" w:rsidRDefault="00545FD9" w:rsidP="008D2B60">
      <w:pPr>
        <w:widowControl w:val="0"/>
        <w:numPr>
          <w:ilvl w:val="1"/>
          <w:numId w:val="1"/>
        </w:numPr>
        <w:spacing w:before="120" w:after="120"/>
        <w:rPr>
          <w:rFonts w:asciiTheme="minorHAnsi" w:hAnsiTheme="minorHAnsi"/>
          <w:snapToGrid w:val="0"/>
          <w:lang w:val="en-GB"/>
        </w:rPr>
      </w:pPr>
      <w:bookmarkStart w:id="84" w:name="_Ref194920907"/>
      <w:r>
        <w:rPr>
          <w:rFonts w:asciiTheme="minorHAnsi" w:hAnsiTheme="minorHAnsi"/>
          <w:snapToGrid w:val="0"/>
          <w:lang w:val="en-GB"/>
        </w:rPr>
        <w:t>The PBAC noted</w:t>
      </w:r>
      <w:r w:rsidR="008B4698">
        <w:rPr>
          <w:rFonts w:asciiTheme="minorHAnsi" w:hAnsiTheme="minorHAnsi"/>
          <w:snapToGrid w:val="0"/>
          <w:lang w:val="en-GB"/>
        </w:rPr>
        <w:t xml:space="preserve"> the following points</w:t>
      </w:r>
      <w:r w:rsidR="004C580E">
        <w:rPr>
          <w:rFonts w:asciiTheme="minorHAnsi" w:hAnsiTheme="minorHAnsi"/>
          <w:snapToGrid w:val="0"/>
          <w:lang w:val="en-GB"/>
        </w:rPr>
        <w:t xml:space="preserve"> regarding the</w:t>
      </w:r>
      <w:r>
        <w:rPr>
          <w:rFonts w:asciiTheme="minorHAnsi" w:hAnsiTheme="minorHAnsi"/>
          <w:snapToGrid w:val="0"/>
          <w:lang w:val="en-GB"/>
        </w:rPr>
        <w:t xml:space="preserve"> restriction</w:t>
      </w:r>
      <w:r w:rsidR="00A13471">
        <w:rPr>
          <w:rFonts w:asciiTheme="minorHAnsi" w:hAnsiTheme="minorHAnsi"/>
          <w:snapToGrid w:val="0"/>
          <w:lang w:val="en-GB"/>
        </w:rPr>
        <w:t xml:space="preserve"> </w:t>
      </w:r>
      <w:r w:rsidR="004C580E">
        <w:rPr>
          <w:rFonts w:asciiTheme="minorHAnsi" w:hAnsiTheme="minorHAnsi"/>
          <w:snapToGrid w:val="0"/>
          <w:lang w:val="en-GB"/>
        </w:rPr>
        <w:t>for eflornithine</w:t>
      </w:r>
      <w:r w:rsidR="002D4044">
        <w:rPr>
          <w:rFonts w:asciiTheme="minorHAnsi" w:hAnsiTheme="minorHAnsi"/>
          <w:snapToGrid w:val="0"/>
          <w:lang w:val="en-GB"/>
        </w:rPr>
        <w:t xml:space="preserve">. </w:t>
      </w:r>
      <w:r w:rsidR="00F05F75">
        <w:rPr>
          <w:rFonts w:asciiTheme="minorHAnsi" w:hAnsiTheme="minorHAnsi"/>
          <w:snapToGrid w:val="0"/>
          <w:lang w:val="en-GB"/>
        </w:rPr>
        <w:t>The reasoning behind each point is</w:t>
      </w:r>
      <w:r w:rsidR="00BE3322">
        <w:rPr>
          <w:rFonts w:asciiTheme="minorHAnsi" w:hAnsiTheme="minorHAnsi"/>
          <w:snapToGrid w:val="0"/>
          <w:lang w:val="en-GB"/>
        </w:rPr>
        <w:t xml:space="preserve"> discussed in </w:t>
      </w:r>
      <w:r w:rsidR="00BE3322" w:rsidRPr="001447B2">
        <w:rPr>
          <w:rFonts w:asciiTheme="minorHAnsi" w:hAnsiTheme="minorHAnsi"/>
          <w:snapToGrid w:val="0"/>
          <w:lang w:val="en-GB"/>
        </w:rPr>
        <w:t>paragraph</w:t>
      </w:r>
      <w:r w:rsidR="000D106D" w:rsidRPr="001447B2">
        <w:rPr>
          <w:rFonts w:asciiTheme="minorHAnsi" w:hAnsiTheme="minorHAnsi"/>
          <w:snapToGrid w:val="0"/>
          <w:lang w:val="en-GB"/>
        </w:rPr>
        <w:t>s</w:t>
      </w:r>
      <w:r w:rsidR="00BE3322" w:rsidRPr="001447B2">
        <w:rPr>
          <w:rFonts w:asciiTheme="minorHAnsi" w:hAnsiTheme="minorHAnsi"/>
          <w:snapToGrid w:val="0"/>
          <w:lang w:val="en-GB"/>
        </w:rPr>
        <w:t xml:space="preserve"> </w:t>
      </w:r>
      <w:r w:rsidR="00BE75FC" w:rsidRPr="001447B2">
        <w:rPr>
          <w:rFonts w:asciiTheme="minorHAnsi" w:hAnsiTheme="minorHAnsi"/>
          <w:snapToGrid w:val="0"/>
          <w:lang w:val="en-GB"/>
        </w:rPr>
        <w:fldChar w:fldCharType="begin" w:fldLock="1"/>
      </w:r>
      <w:r w:rsidR="00BE75FC" w:rsidRPr="001447B2">
        <w:rPr>
          <w:rFonts w:asciiTheme="minorHAnsi" w:hAnsiTheme="minorHAnsi"/>
          <w:snapToGrid w:val="0"/>
          <w:lang w:val="en-GB"/>
        </w:rPr>
        <w:instrText xml:space="preserve"> REF _Ref193379506 \r \h  \* MERGEFORMAT </w:instrText>
      </w:r>
      <w:r w:rsidR="00BE75FC" w:rsidRPr="001447B2">
        <w:rPr>
          <w:rFonts w:asciiTheme="minorHAnsi" w:hAnsiTheme="minorHAnsi"/>
          <w:snapToGrid w:val="0"/>
          <w:lang w:val="en-GB"/>
        </w:rPr>
      </w:r>
      <w:r w:rsidR="00BE75FC" w:rsidRPr="001447B2">
        <w:rPr>
          <w:rFonts w:asciiTheme="minorHAnsi" w:hAnsiTheme="minorHAnsi"/>
          <w:snapToGrid w:val="0"/>
          <w:lang w:val="en-GB"/>
        </w:rPr>
        <w:fldChar w:fldCharType="separate"/>
      </w:r>
      <w:r w:rsidR="009C567C">
        <w:rPr>
          <w:rFonts w:asciiTheme="minorHAnsi" w:hAnsiTheme="minorHAnsi"/>
          <w:snapToGrid w:val="0"/>
          <w:lang w:val="en-GB"/>
        </w:rPr>
        <w:t>3.2</w:t>
      </w:r>
      <w:r w:rsidR="00BE75FC" w:rsidRPr="001447B2">
        <w:rPr>
          <w:rFonts w:asciiTheme="minorHAnsi" w:hAnsiTheme="minorHAnsi"/>
          <w:snapToGrid w:val="0"/>
          <w:lang w:val="en-GB"/>
        </w:rPr>
        <w:fldChar w:fldCharType="end"/>
      </w:r>
      <w:r w:rsidR="000D106D" w:rsidRPr="001447B2">
        <w:rPr>
          <w:rFonts w:asciiTheme="minorHAnsi" w:hAnsiTheme="minorHAnsi"/>
          <w:snapToGrid w:val="0"/>
          <w:lang w:val="en-GB"/>
        </w:rPr>
        <w:t xml:space="preserve"> to</w:t>
      </w:r>
      <w:r w:rsidR="00BE75FC" w:rsidRPr="001447B2">
        <w:rPr>
          <w:rFonts w:asciiTheme="minorHAnsi" w:hAnsiTheme="minorHAnsi"/>
          <w:snapToGrid w:val="0"/>
          <w:lang w:val="en-GB"/>
        </w:rPr>
        <w:t xml:space="preserve"> </w:t>
      </w:r>
      <w:r w:rsidR="00BE75FC" w:rsidRPr="001447B2">
        <w:rPr>
          <w:rFonts w:asciiTheme="minorHAnsi" w:hAnsiTheme="minorHAnsi"/>
          <w:snapToGrid w:val="0"/>
          <w:lang w:val="en-GB"/>
        </w:rPr>
        <w:fldChar w:fldCharType="begin" w:fldLock="1"/>
      </w:r>
      <w:r w:rsidR="00BE75FC" w:rsidRPr="001447B2">
        <w:rPr>
          <w:rFonts w:asciiTheme="minorHAnsi" w:hAnsiTheme="minorHAnsi"/>
          <w:snapToGrid w:val="0"/>
          <w:lang w:val="en-GB"/>
        </w:rPr>
        <w:instrText xml:space="preserve"> REF _Ref193379518 \r \h  \* MERGEFORMAT </w:instrText>
      </w:r>
      <w:r w:rsidR="00BE75FC" w:rsidRPr="001447B2">
        <w:rPr>
          <w:rFonts w:asciiTheme="minorHAnsi" w:hAnsiTheme="minorHAnsi"/>
          <w:snapToGrid w:val="0"/>
          <w:lang w:val="en-GB"/>
        </w:rPr>
      </w:r>
      <w:r w:rsidR="00BE75FC" w:rsidRPr="001447B2">
        <w:rPr>
          <w:rFonts w:asciiTheme="minorHAnsi" w:hAnsiTheme="minorHAnsi"/>
          <w:snapToGrid w:val="0"/>
          <w:lang w:val="en-GB"/>
        </w:rPr>
        <w:fldChar w:fldCharType="separate"/>
      </w:r>
      <w:r w:rsidR="009C567C">
        <w:rPr>
          <w:rFonts w:asciiTheme="minorHAnsi" w:hAnsiTheme="minorHAnsi"/>
          <w:snapToGrid w:val="0"/>
          <w:lang w:val="en-GB"/>
        </w:rPr>
        <w:t>3.12</w:t>
      </w:r>
      <w:r w:rsidR="00BE75FC" w:rsidRPr="001447B2">
        <w:rPr>
          <w:rFonts w:asciiTheme="minorHAnsi" w:hAnsiTheme="minorHAnsi"/>
          <w:snapToGrid w:val="0"/>
          <w:lang w:val="en-GB"/>
        </w:rPr>
        <w:fldChar w:fldCharType="end"/>
      </w:r>
      <w:r w:rsidR="00F05F75">
        <w:rPr>
          <w:rFonts w:asciiTheme="minorHAnsi" w:hAnsiTheme="minorHAnsi"/>
          <w:snapToGrid w:val="0"/>
          <w:lang w:val="en-GB"/>
        </w:rPr>
        <w:t>.</w:t>
      </w:r>
      <w:bookmarkEnd w:id="84"/>
    </w:p>
    <w:p w14:paraId="7812EA75" w14:textId="57187C51" w:rsidR="00425617" w:rsidRPr="00E16458" w:rsidRDefault="004D6309" w:rsidP="008D2B60">
      <w:pPr>
        <w:pStyle w:val="ListParagraph"/>
        <w:widowControl w:val="0"/>
        <w:numPr>
          <w:ilvl w:val="0"/>
          <w:numId w:val="37"/>
        </w:numPr>
        <w:spacing w:before="120"/>
        <w:ind w:left="1434" w:hanging="357"/>
        <w:rPr>
          <w:lang w:val="en-GB"/>
        </w:rPr>
      </w:pPr>
      <w:r>
        <w:rPr>
          <w:lang w:val="en-GB"/>
        </w:rPr>
        <w:lastRenderedPageBreak/>
        <w:t>That</w:t>
      </w:r>
      <w:r w:rsidR="001B67B8">
        <w:rPr>
          <w:lang w:val="en-GB"/>
        </w:rPr>
        <w:t xml:space="preserve"> patients </w:t>
      </w:r>
      <w:r w:rsidR="001B67B8" w:rsidRPr="00C36A40">
        <w:rPr>
          <w:lang w:val="en-GB"/>
        </w:rPr>
        <w:t>in remission</w:t>
      </w:r>
      <w:r w:rsidR="00D311FB">
        <w:rPr>
          <w:lang w:val="en-GB"/>
        </w:rPr>
        <w:t xml:space="preserve"> </w:t>
      </w:r>
      <w:r w:rsidR="001B67B8" w:rsidRPr="0009241D">
        <w:t>at the end of</w:t>
      </w:r>
      <w:r w:rsidR="003F6D6B">
        <w:t xml:space="preserve"> multiagent, multimodality therapy</w:t>
      </w:r>
      <w:r>
        <w:rPr>
          <w:lang w:val="en-GB"/>
        </w:rPr>
        <w:t xml:space="preserve"> </w:t>
      </w:r>
      <w:r w:rsidR="001B67B8">
        <w:rPr>
          <w:lang w:val="en-GB"/>
        </w:rPr>
        <w:t>should have access to eflornithine</w:t>
      </w:r>
      <w:r w:rsidR="003F613F">
        <w:rPr>
          <w:lang w:val="en-GB"/>
        </w:rPr>
        <w:t xml:space="preserve"> via the PBS</w:t>
      </w:r>
      <w:r w:rsidR="001B67B8">
        <w:rPr>
          <w:lang w:val="en-GB"/>
        </w:rPr>
        <w:t>;</w:t>
      </w:r>
    </w:p>
    <w:p w14:paraId="28FE2B68" w14:textId="4812D37D" w:rsidR="00E16458" w:rsidRDefault="00E16458" w:rsidP="008D2B60">
      <w:pPr>
        <w:pStyle w:val="ListParagraph"/>
        <w:widowControl w:val="0"/>
        <w:numPr>
          <w:ilvl w:val="0"/>
          <w:numId w:val="37"/>
        </w:numPr>
        <w:spacing w:before="120"/>
        <w:ind w:left="1434" w:hanging="357"/>
        <w:rPr>
          <w:lang w:val="en-GB"/>
        </w:rPr>
      </w:pPr>
      <w:r>
        <w:rPr>
          <w:lang w:val="en-GB"/>
        </w:rPr>
        <w:t>That patients cannot be re-treated with eflornithine.</w:t>
      </w:r>
    </w:p>
    <w:p w14:paraId="692EAD64" w14:textId="28358A0F" w:rsidR="00A83D35" w:rsidRDefault="00990E6A" w:rsidP="008D2B60">
      <w:pPr>
        <w:pStyle w:val="ListParagraph"/>
        <w:widowControl w:val="0"/>
        <w:numPr>
          <w:ilvl w:val="0"/>
          <w:numId w:val="37"/>
        </w:numPr>
        <w:spacing w:before="120"/>
        <w:ind w:left="1434" w:hanging="357"/>
        <w:rPr>
          <w:lang w:val="en-GB"/>
        </w:rPr>
      </w:pPr>
      <w:r>
        <w:rPr>
          <w:lang w:val="en-GB"/>
        </w:rPr>
        <w:t xml:space="preserve">That </w:t>
      </w:r>
      <w:r w:rsidR="004A64D6">
        <w:rPr>
          <w:lang w:val="en-GB"/>
        </w:rPr>
        <w:t xml:space="preserve">eflornithine should be listed on the </w:t>
      </w:r>
      <w:r w:rsidR="00FB426D">
        <w:rPr>
          <w:lang w:val="en-GB"/>
        </w:rPr>
        <w:t>H</w:t>
      </w:r>
      <w:r w:rsidR="004A64D6">
        <w:rPr>
          <w:lang w:val="en-GB"/>
        </w:rPr>
        <w:t xml:space="preserve">ighly </w:t>
      </w:r>
      <w:r w:rsidR="00FB426D">
        <w:rPr>
          <w:lang w:val="en-GB"/>
        </w:rPr>
        <w:t>S</w:t>
      </w:r>
      <w:r w:rsidR="004A64D6">
        <w:rPr>
          <w:lang w:val="en-GB"/>
        </w:rPr>
        <w:t xml:space="preserve">pecialised </w:t>
      </w:r>
      <w:r w:rsidR="00FB426D">
        <w:rPr>
          <w:lang w:val="en-GB"/>
        </w:rPr>
        <w:t>D</w:t>
      </w:r>
      <w:r w:rsidR="004A64D6">
        <w:rPr>
          <w:lang w:val="en-GB"/>
        </w:rPr>
        <w:t>rug</w:t>
      </w:r>
      <w:r w:rsidR="00FB426D">
        <w:rPr>
          <w:lang w:val="en-GB"/>
        </w:rPr>
        <w:t>s</w:t>
      </w:r>
      <w:r w:rsidR="00162CB0">
        <w:rPr>
          <w:lang w:val="en-GB"/>
        </w:rPr>
        <w:t xml:space="preserve"> Section 100 schedule</w:t>
      </w:r>
      <w:r w:rsidR="00D72A0B">
        <w:rPr>
          <w:lang w:val="en-GB"/>
        </w:rPr>
        <w:t>;</w:t>
      </w:r>
    </w:p>
    <w:p w14:paraId="09A7ABDE" w14:textId="42AABA86" w:rsidR="00C40898" w:rsidRPr="00AF3EC6" w:rsidRDefault="00E87AB0" w:rsidP="008D2B60">
      <w:pPr>
        <w:pStyle w:val="ListBullet"/>
        <w:numPr>
          <w:ilvl w:val="0"/>
          <w:numId w:val="37"/>
        </w:numPr>
        <w:spacing w:before="120" w:after="120"/>
        <w:contextualSpacing w:val="0"/>
        <w:rPr>
          <w:lang w:val="en-GB"/>
        </w:rPr>
      </w:pPr>
      <w:r>
        <w:rPr>
          <w:lang w:val="en-GB"/>
        </w:rPr>
        <w:t xml:space="preserve">That </w:t>
      </w:r>
      <w:r w:rsidR="00456F27">
        <w:rPr>
          <w:lang w:val="en-GB"/>
        </w:rPr>
        <w:t>it is unnecessary to specify the</w:t>
      </w:r>
      <w:r w:rsidR="00681097">
        <w:rPr>
          <w:lang w:val="en-GB"/>
        </w:rPr>
        <w:t xml:space="preserve"> minimum</w:t>
      </w:r>
      <w:r w:rsidR="00456F27">
        <w:rPr>
          <w:lang w:val="en-GB"/>
        </w:rPr>
        <w:t xml:space="preserve"> age of patients</w:t>
      </w:r>
      <w:r w:rsidR="00681097">
        <w:rPr>
          <w:lang w:val="en-GB"/>
        </w:rPr>
        <w:t>;</w:t>
      </w:r>
    </w:p>
    <w:p w14:paraId="21FBE11E" w14:textId="2003DDD3" w:rsidR="00162CB0" w:rsidRDefault="005D1338" w:rsidP="008D2B60">
      <w:pPr>
        <w:pStyle w:val="ListBullet"/>
        <w:numPr>
          <w:ilvl w:val="0"/>
          <w:numId w:val="37"/>
        </w:numPr>
        <w:spacing w:before="120" w:after="120"/>
        <w:contextualSpacing w:val="0"/>
        <w:rPr>
          <w:lang w:val="en-GB"/>
        </w:rPr>
      </w:pPr>
      <w:r>
        <w:rPr>
          <w:lang w:val="en-GB"/>
        </w:rPr>
        <w:t>That initial</w:t>
      </w:r>
      <w:r w:rsidR="009E182D">
        <w:rPr>
          <w:lang w:val="en-GB"/>
        </w:rPr>
        <w:t xml:space="preserve"> and</w:t>
      </w:r>
      <w:r>
        <w:rPr>
          <w:lang w:val="en-GB"/>
        </w:rPr>
        <w:t xml:space="preserve"> continuing restrictions would be required</w:t>
      </w:r>
      <w:r w:rsidR="009E182D">
        <w:rPr>
          <w:lang w:val="en-GB"/>
        </w:rPr>
        <w:t xml:space="preserve">, with </w:t>
      </w:r>
      <w:r w:rsidR="00A129F9">
        <w:rPr>
          <w:lang w:val="en-GB"/>
        </w:rPr>
        <w:t xml:space="preserve">approximately </w:t>
      </w:r>
      <w:r w:rsidR="009D72A3">
        <w:rPr>
          <w:lang w:val="en-GB"/>
        </w:rPr>
        <w:t>&lt;</w:t>
      </w:r>
      <w:r w:rsidR="00C346AE">
        <w:rPr>
          <w:lang w:val="en-GB"/>
        </w:rPr>
        <w:t> </w:t>
      </w:r>
      <w:r w:rsidR="00A129F9">
        <w:rPr>
          <w:lang w:val="en-GB"/>
        </w:rPr>
        <w:t>5</w:t>
      </w:r>
      <w:r w:rsidR="00C346AE">
        <w:rPr>
          <w:lang w:val="en-GB"/>
        </w:rPr>
        <w:t>00</w:t>
      </w:r>
      <w:r w:rsidR="00A129F9">
        <w:rPr>
          <w:lang w:val="en-GB"/>
        </w:rPr>
        <w:t xml:space="preserve"> </w:t>
      </w:r>
      <w:r w:rsidR="009E182D">
        <w:rPr>
          <w:lang w:val="en-GB"/>
        </w:rPr>
        <w:t>grandfathered patients</w:t>
      </w:r>
      <w:r w:rsidR="00892C5A">
        <w:rPr>
          <w:lang w:val="en-GB"/>
        </w:rPr>
        <w:t xml:space="preserve"> from the Sponsor’s EAP</w:t>
      </w:r>
      <w:r w:rsidR="009E182D">
        <w:rPr>
          <w:lang w:val="en-GB"/>
        </w:rPr>
        <w:t xml:space="preserve"> able to enter PBS-treatment </w:t>
      </w:r>
      <w:r w:rsidR="00FF6FF9">
        <w:rPr>
          <w:lang w:val="en-GB"/>
        </w:rPr>
        <w:t>via</w:t>
      </w:r>
      <w:r w:rsidR="000B6A39">
        <w:rPr>
          <w:lang w:val="en-GB"/>
        </w:rPr>
        <w:t xml:space="preserve"> a</w:t>
      </w:r>
      <w:r w:rsidR="00FF6FF9">
        <w:rPr>
          <w:lang w:val="en-GB"/>
        </w:rPr>
        <w:t xml:space="preserve"> grandfather restriction</w:t>
      </w:r>
      <w:r>
        <w:rPr>
          <w:lang w:val="en-GB"/>
        </w:rPr>
        <w:t>;</w:t>
      </w:r>
    </w:p>
    <w:p w14:paraId="565A7D86" w14:textId="32309DA5" w:rsidR="00DF6495" w:rsidRDefault="00DF6495" w:rsidP="008D2B60">
      <w:pPr>
        <w:pStyle w:val="ListBullet"/>
        <w:numPr>
          <w:ilvl w:val="0"/>
          <w:numId w:val="37"/>
        </w:numPr>
        <w:spacing w:before="120" w:after="120"/>
        <w:contextualSpacing w:val="0"/>
        <w:rPr>
          <w:lang w:val="en-GB"/>
        </w:rPr>
      </w:pPr>
      <w:r>
        <w:t>The clinical criterion “</w:t>
      </w:r>
      <w:r w:rsidRPr="00DF6495">
        <w:t>Patient must not have developed disease progression while receiving treatment with this drug for this condition</w:t>
      </w:r>
      <w:r>
        <w:t>” is amended to “</w:t>
      </w:r>
      <w:r w:rsidRPr="00DF6495">
        <w:t>Patient must not have developed disease recurrence while receiving treatment with this drug for this condition</w:t>
      </w:r>
      <w:r>
        <w:t>”;</w:t>
      </w:r>
    </w:p>
    <w:p w14:paraId="18BAA72B" w14:textId="5CFD3580" w:rsidR="005D1338" w:rsidRDefault="00017BA4" w:rsidP="008D2B60">
      <w:pPr>
        <w:pStyle w:val="ListBullet"/>
        <w:numPr>
          <w:ilvl w:val="0"/>
          <w:numId w:val="37"/>
        </w:numPr>
        <w:spacing w:before="120" w:after="120"/>
        <w:contextualSpacing w:val="0"/>
        <w:rPr>
          <w:lang w:val="en-GB"/>
        </w:rPr>
      </w:pPr>
      <w:r>
        <w:rPr>
          <w:lang w:val="en-GB"/>
        </w:rPr>
        <w:t>That treatment interruptions should not be counted towards the maximum 2-year</w:t>
      </w:r>
      <w:r w:rsidR="00D72BCD">
        <w:rPr>
          <w:lang w:val="en-GB"/>
        </w:rPr>
        <w:t xml:space="preserve"> (27 cycles)</w:t>
      </w:r>
      <w:r>
        <w:rPr>
          <w:lang w:val="en-GB"/>
        </w:rPr>
        <w:t xml:space="preserve"> treatment timeframe</w:t>
      </w:r>
      <w:r w:rsidR="00D72BCD">
        <w:rPr>
          <w:lang w:val="en-GB"/>
        </w:rPr>
        <w:t>;</w:t>
      </w:r>
    </w:p>
    <w:p w14:paraId="471D6498" w14:textId="1ADFF4B1" w:rsidR="00D72BCD" w:rsidRDefault="008A2D31" w:rsidP="008D2B60">
      <w:pPr>
        <w:pStyle w:val="ListBullet"/>
        <w:numPr>
          <w:ilvl w:val="0"/>
          <w:numId w:val="37"/>
        </w:numPr>
        <w:spacing w:before="120" w:after="120"/>
        <w:contextualSpacing w:val="0"/>
        <w:rPr>
          <w:lang w:val="en-GB"/>
        </w:rPr>
      </w:pPr>
      <w:r>
        <w:rPr>
          <w:lang w:val="en-GB"/>
        </w:rPr>
        <w:t>That treatment must be initiated</w:t>
      </w:r>
      <w:r w:rsidR="003A1C5B">
        <w:rPr>
          <w:lang w:val="en-GB"/>
        </w:rPr>
        <w:t xml:space="preserve"> by a paediatric oncologist or </w:t>
      </w:r>
      <w:r w:rsidR="005C40C7">
        <w:rPr>
          <w:lang w:val="en-GB"/>
        </w:rPr>
        <w:t>haematologist</w:t>
      </w:r>
      <w:r w:rsidR="007D4985">
        <w:rPr>
          <w:lang w:val="en-GB"/>
        </w:rPr>
        <w:t xml:space="preserve"> and can be continued </w:t>
      </w:r>
      <w:r w:rsidR="00DD6281">
        <w:rPr>
          <w:lang w:val="en-GB"/>
        </w:rPr>
        <w:t>under direct supervision of a paediatric oncologist or haematologist;</w:t>
      </w:r>
    </w:p>
    <w:p w14:paraId="32A2CA38" w14:textId="676F8494" w:rsidR="00DD6281" w:rsidRPr="002A1C27" w:rsidRDefault="0004357B" w:rsidP="008D2B60">
      <w:pPr>
        <w:pStyle w:val="ListBullet"/>
        <w:tabs>
          <w:tab w:val="clear" w:pos="360"/>
        </w:tabs>
        <w:spacing w:before="120" w:after="120"/>
        <w:ind w:left="1134"/>
        <w:contextualSpacing w:val="0"/>
        <w:rPr>
          <w:lang w:val="en-GB"/>
        </w:rPr>
      </w:pPr>
      <w:r>
        <w:rPr>
          <w:lang w:val="en-GB"/>
        </w:rPr>
        <w:t xml:space="preserve">That </w:t>
      </w:r>
      <w:r w:rsidR="00AF3EC6">
        <w:t xml:space="preserve">there </w:t>
      </w:r>
      <w:r w:rsidR="003705CB">
        <w:t xml:space="preserve">should not be a requirement to </w:t>
      </w:r>
      <w:r w:rsidR="00184C92">
        <w:t xml:space="preserve">initiate </w:t>
      </w:r>
      <w:r w:rsidR="00067304">
        <w:t xml:space="preserve">eflornithine </w:t>
      </w:r>
      <w:r w:rsidR="00184C92">
        <w:t>therapy within 120</w:t>
      </w:r>
      <w:r w:rsidR="008D2B60">
        <w:t> </w:t>
      </w:r>
      <w:r w:rsidR="00184C92">
        <w:t>days</w:t>
      </w:r>
      <w:r w:rsidR="005E068B">
        <w:t xml:space="preserve"> after completing previous therapy</w:t>
      </w:r>
      <w:r w:rsidR="00311E8F">
        <w:t xml:space="preserve"> for HRNB</w:t>
      </w:r>
      <w:r>
        <w:t>;</w:t>
      </w:r>
      <w:r w:rsidR="00742DF6">
        <w:t xml:space="preserve"> and</w:t>
      </w:r>
    </w:p>
    <w:p w14:paraId="13D3DB67" w14:textId="30529ADB" w:rsidR="00213178" w:rsidRPr="00213178" w:rsidRDefault="00DF6495" w:rsidP="008D2B60">
      <w:pPr>
        <w:pStyle w:val="ListBullet"/>
        <w:numPr>
          <w:ilvl w:val="0"/>
          <w:numId w:val="37"/>
        </w:numPr>
        <w:spacing w:before="120" w:after="120"/>
        <w:ind w:left="1434" w:hanging="357"/>
        <w:contextualSpacing w:val="0"/>
        <w:rPr>
          <w:lang w:val="en-GB"/>
        </w:rPr>
      </w:pPr>
      <w:r>
        <w:t xml:space="preserve">That the date of commencement and duration of </w:t>
      </w:r>
      <w:r w:rsidRPr="00582107">
        <w:t>prior multiagent, multimodality therapy</w:t>
      </w:r>
      <w:r>
        <w:t xml:space="preserve"> is described in the initial application</w:t>
      </w:r>
      <w:r w:rsidR="00213178">
        <w:t>; and</w:t>
      </w:r>
    </w:p>
    <w:p w14:paraId="032BBA6C" w14:textId="15CE248C" w:rsidR="00213178" w:rsidRPr="00213178" w:rsidRDefault="007D0156" w:rsidP="008D2B60">
      <w:pPr>
        <w:pStyle w:val="ListBullet"/>
        <w:numPr>
          <w:ilvl w:val="0"/>
          <w:numId w:val="37"/>
        </w:numPr>
        <w:spacing w:before="120" w:after="120"/>
        <w:ind w:left="1434" w:hanging="357"/>
        <w:contextualSpacing w:val="0"/>
        <w:rPr>
          <w:lang w:val="en-GB"/>
        </w:rPr>
      </w:pPr>
      <w:r w:rsidRPr="00213178">
        <w:rPr>
          <w:lang w:val="en-GB"/>
        </w:rPr>
        <w:t>That particular risk classification system</w:t>
      </w:r>
      <w:r w:rsidR="00D56F2E" w:rsidRPr="00213178">
        <w:rPr>
          <w:lang w:val="en-GB"/>
        </w:rPr>
        <w:t>/s</w:t>
      </w:r>
      <w:r w:rsidR="002432CF" w:rsidRPr="00213178">
        <w:rPr>
          <w:lang w:val="en-GB"/>
        </w:rPr>
        <w:t xml:space="preserve"> for neuroblastoma</w:t>
      </w:r>
      <w:r w:rsidRPr="00213178">
        <w:rPr>
          <w:lang w:val="en-GB"/>
        </w:rPr>
        <w:t xml:space="preserve"> should not be specified</w:t>
      </w:r>
      <w:r w:rsidR="00213178">
        <w:rPr>
          <w:lang w:val="en-GB"/>
        </w:rPr>
        <w:t>.</w:t>
      </w:r>
    </w:p>
    <w:p w14:paraId="2D7AEB53" w14:textId="03FFB0BB" w:rsidR="00DC5C35" w:rsidRDefault="00AA543A" w:rsidP="0030086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accepted the proposed c</w:t>
      </w:r>
      <w:r w:rsidRPr="00CE42B4">
        <w:rPr>
          <w:rFonts w:asciiTheme="minorHAnsi" w:hAnsiTheme="minorHAnsi"/>
          <w:snapToGrid w:val="0"/>
          <w:lang w:val="en-GB"/>
        </w:rPr>
        <w:t xml:space="preserve">linical place for </w:t>
      </w:r>
      <w:r>
        <w:rPr>
          <w:rFonts w:asciiTheme="minorHAnsi" w:hAnsiTheme="minorHAnsi"/>
          <w:snapToGrid w:val="0"/>
          <w:lang w:val="en-GB"/>
        </w:rPr>
        <w:t xml:space="preserve">eflornithine as post-maintenance therapy </w:t>
      </w:r>
      <w:r w:rsidR="004B0190">
        <w:rPr>
          <w:rFonts w:asciiTheme="minorHAnsi" w:hAnsiTheme="minorHAnsi"/>
          <w:snapToGrid w:val="0"/>
          <w:lang w:val="en-GB"/>
        </w:rPr>
        <w:t xml:space="preserve">in HRNB </w:t>
      </w:r>
      <w:r>
        <w:rPr>
          <w:rFonts w:asciiTheme="minorHAnsi" w:hAnsiTheme="minorHAnsi"/>
          <w:snapToGrid w:val="0"/>
          <w:lang w:val="en-GB"/>
        </w:rPr>
        <w:t xml:space="preserve">and noted that there are no approved therapies designated for post-maintenance treatment. </w:t>
      </w:r>
      <w:r w:rsidR="00CA2903">
        <w:rPr>
          <w:rFonts w:asciiTheme="minorHAnsi" w:hAnsiTheme="minorHAnsi"/>
          <w:snapToGrid w:val="0"/>
          <w:lang w:val="en-GB"/>
        </w:rPr>
        <w:t>The PBAC accepted the</w:t>
      </w:r>
      <w:r w:rsidR="002410A1">
        <w:rPr>
          <w:rFonts w:asciiTheme="minorHAnsi" w:hAnsiTheme="minorHAnsi"/>
          <w:snapToGrid w:val="0"/>
          <w:lang w:val="en-GB"/>
        </w:rPr>
        <w:t xml:space="preserve"> nominated</w:t>
      </w:r>
      <w:r w:rsidR="00CA2903">
        <w:rPr>
          <w:rFonts w:asciiTheme="minorHAnsi" w:hAnsiTheme="minorHAnsi"/>
          <w:snapToGrid w:val="0"/>
          <w:lang w:val="en-GB"/>
        </w:rPr>
        <w:t xml:space="preserve"> comparator </w:t>
      </w:r>
      <w:r w:rsidR="002410A1">
        <w:rPr>
          <w:rFonts w:asciiTheme="minorHAnsi" w:hAnsiTheme="minorHAnsi"/>
          <w:snapToGrid w:val="0"/>
          <w:lang w:val="en-GB"/>
        </w:rPr>
        <w:t>of</w:t>
      </w:r>
      <w:r w:rsidR="00CA2903">
        <w:rPr>
          <w:rFonts w:asciiTheme="minorHAnsi" w:hAnsiTheme="minorHAnsi"/>
          <w:snapToGrid w:val="0"/>
          <w:lang w:val="en-GB"/>
        </w:rPr>
        <w:t xml:space="preserve"> SOC</w:t>
      </w:r>
      <w:r w:rsidR="005D4822">
        <w:rPr>
          <w:rFonts w:asciiTheme="minorHAnsi" w:hAnsiTheme="minorHAnsi"/>
          <w:snapToGrid w:val="0"/>
          <w:lang w:val="en-GB"/>
        </w:rPr>
        <w:t>, which is follow up and monitoring</w:t>
      </w:r>
      <w:r w:rsidR="006B7E93">
        <w:rPr>
          <w:rFonts w:asciiTheme="minorHAnsi" w:hAnsiTheme="minorHAnsi"/>
          <w:snapToGrid w:val="0"/>
          <w:lang w:val="en-GB"/>
        </w:rPr>
        <w:t>.</w:t>
      </w:r>
      <w:r w:rsidR="001D6892">
        <w:rPr>
          <w:rFonts w:asciiTheme="minorHAnsi" w:hAnsiTheme="minorHAnsi"/>
          <w:snapToGrid w:val="0"/>
          <w:lang w:val="en-GB"/>
        </w:rPr>
        <w:t xml:space="preserve"> The PBAC noted that eflornithine would not replace any medicine but be used in addition to current SOC</w:t>
      </w:r>
      <w:r w:rsidR="0084490E">
        <w:rPr>
          <w:rFonts w:asciiTheme="minorHAnsi" w:hAnsiTheme="minorHAnsi"/>
          <w:snapToGrid w:val="0"/>
          <w:lang w:val="en-GB"/>
        </w:rPr>
        <w:t>.</w:t>
      </w:r>
    </w:p>
    <w:p w14:paraId="0D60058C" w14:textId="3DBE9B8B" w:rsidR="00DC58CD" w:rsidRPr="00DC58CD" w:rsidRDefault="007B52FA" w:rsidP="001713A5">
      <w:pPr>
        <w:numPr>
          <w:ilvl w:val="1"/>
          <w:numId w:val="1"/>
        </w:numPr>
        <w:spacing w:after="120"/>
        <w:rPr>
          <w:rFonts w:asciiTheme="minorHAnsi" w:hAnsiTheme="minorHAnsi"/>
          <w:snapToGrid w:val="0"/>
          <w:lang w:val="en-GB"/>
        </w:rPr>
      </w:pPr>
      <w:r w:rsidRPr="00DC304D">
        <w:rPr>
          <w:rFonts w:asciiTheme="minorHAnsi" w:hAnsiTheme="minorHAnsi"/>
          <w:snapToGrid w:val="0"/>
          <w:lang w:val="en-GB"/>
        </w:rPr>
        <w:t>The PBAC noted that the pivotal trial evidence presented in the submission</w:t>
      </w:r>
      <w:r w:rsidR="00BD5831">
        <w:rPr>
          <w:rFonts w:asciiTheme="minorHAnsi" w:hAnsiTheme="minorHAnsi"/>
          <w:snapToGrid w:val="0"/>
          <w:lang w:val="en-GB"/>
        </w:rPr>
        <w:t xml:space="preserve"> (Study 3b)</w:t>
      </w:r>
      <w:r w:rsidRPr="00DC304D">
        <w:rPr>
          <w:rFonts w:asciiTheme="minorHAnsi" w:hAnsiTheme="minorHAnsi"/>
          <w:snapToGrid w:val="0"/>
          <w:lang w:val="en-GB"/>
        </w:rPr>
        <w:t xml:space="preserve">, was based on </w:t>
      </w:r>
      <w:r w:rsidR="00DC304D" w:rsidRPr="00DC304D">
        <w:rPr>
          <w:lang w:val="en-US"/>
        </w:rPr>
        <w:t xml:space="preserve">a single-arm </w:t>
      </w:r>
      <w:r w:rsidR="00502981">
        <w:rPr>
          <w:lang w:val="en-US"/>
        </w:rPr>
        <w:t>trial</w:t>
      </w:r>
      <w:r w:rsidR="00DC304D" w:rsidRPr="00DC304D">
        <w:rPr>
          <w:lang w:val="en-US"/>
        </w:rPr>
        <w:t xml:space="preserve"> of eflornithine in post-maintenance treatment of HRNB patients in remission at the end of upfront therapy (Stratum 1) or after therapy for refractory/relapsed disease (Stratum 2)</w:t>
      </w:r>
      <w:r w:rsidRPr="00DC304D">
        <w:rPr>
          <w:rFonts w:asciiTheme="minorHAnsi" w:hAnsiTheme="minorHAnsi"/>
          <w:snapToGrid w:val="0"/>
          <w:lang w:val="en-GB"/>
        </w:rPr>
        <w:t>.</w:t>
      </w:r>
      <w:r w:rsidR="003A2571">
        <w:rPr>
          <w:rFonts w:asciiTheme="minorHAnsi" w:hAnsiTheme="minorHAnsi"/>
          <w:snapToGrid w:val="0"/>
          <w:lang w:val="en-GB"/>
        </w:rPr>
        <w:t xml:space="preserve"> The single</w:t>
      </w:r>
      <w:r w:rsidR="001E301C">
        <w:rPr>
          <w:rFonts w:asciiTheme="minorHAnsi" w:hAnsiTheme="minorHAnsi"/>
          <w:snapToGrid w:val="0"/>
          <w:lang w:val="en-GB"/>
        </w:rPr>
        <w:t>-</w:t>
      </w:r>
      <w:r w:rsidR="003A2571">
        <w:rPr>
          <w:rFonts w:asciiTheme="minorHAnsi" w:hAnsiTheme="minorHAnsi"/>
          <w:snapToGrid w:val="0"/>
          <w:lang w:val="en-GB"/>
        </w:rPr>
        <w:t>arm</w:t>
      </w:r>
      <w:r w:rsidR="001E301C">
        <w:rPr>
          <w:rFonts w:asciiTheme="minorHAnsi" w:hAnsiTheme="minorHAnsi"/>
          <w:snapToGrid w:val="0"/>
          <w:lang w:val="en-GB"/>
        </w:rPr>
        <w:t xml:space="preserve"> eflornithine data were compared to historical controls from</w:t>
      </w:r>
      <w:r w:rsidR="006E6102">
        <w:rPr>
          <w:rFonts w:asciiTheme="minorHAnsi" w:hAnsiTheme="minorHAnsi"/>
          <w:snapToGrid w:val="0"/>
          <w:lang w:val="en-GB"/>
        </w:rPr>
        <w:t xml:space="preserve"> the </w:t>
      </w:r>
      <w:r w:rsidR="006E6102" w:rsidRPr="7F2A1B4F">
        <w:t>ANBL0032</w:t>
      </w:r>
      <w:r w:rsidR="001575E8">
        <w:t xml:space="preserve"> study (for</w:t>
      </w:r>
      <w:r w:rsidR="003C1CF2">
        <w:t xml:space="preserve"> </w:t>
      </w:r>
      <w:r w:rsidR="00652F7F">
        <w:t>Stratum 1</w:t>
      </w:r>
      <w:r w:rsidR="001575E8">
        <w:t>)</w:t>
      </w:r>
      <w:r w:rsidR="006E6102">
        <w:t xml:space="preserve"> and </w:t>
      </w:r>
      <w:r w:rsidR="00652F7F">
        <w:t>Santana 2008</w:t>
      </w:r>
      <w:r w:rsidR="003C1CF2">
        <w:t xml:space="preserve"> (for </w:t>
      </w:r>
      <w:r w:rsidR="00AC550A">
        <w:t>Stratum 2).</w:t>
      </w:r>
      <w:r w:rsidR="002A5DE5">
        <w:t xml:space="preserve"> A </w:t>
      </w:r>
      <w:r w:rsidR="00714F14">
        <w:t>propensity score matched (</w:t>
      </w:r>
      <w:r w:rsidR="002A5DE5">
        <w:t>PSM</w:t>
      </w:r>
      <w:r w:rsidR="00714F14">
        <w:t>)</w:t>
      </w:r>
      <w:r w:rsidR="002A5DE5">
        <w:t xml:space="preserve"> study involved </w:t>
      </w:r>
      <w:r w:rsidR="00BC0D0C">
        <w:t>Stratum 1 patients</w:t>
      </w:r>
      <w:r w:rsidR="00B10D01">
        <w:t xml:space="preserve"> from Study 3b</w:t>
      </w:r>
      <w:r w:rsidR="00D12ADA">
        <w:t>,</w:t>
      </w:r>
      <w:r w:rsidR="00B10D01">
        <w:t xml:space="preserve"> </w:t>
      </w:r>
      <w:r w:rsidR="00715428">
        <w:t xml:space="preserve">which compared </w:t>
      </w:r>
      <w:r w:rsidR="00B10D01">
        <w:t xml:space="preserve">eflornithine to historical controls from </w:t>
      </w:r>
      <w:r w:rsidR="00761AFC" w:rsidRPr="00894797">
        <w:rPr>
          <w:lang w:val="en-US"/>
        </w:rPr>
        <w:t>Study ANBL0032</w:t>
      </w:r>
      <w:r w:rsidR="00BC7752">
        <w:rPr>
          <w:lang w:val="en-US"/>
        </w:rPr>
        <w:t xml:space="preserve"> </w:t>
      </w:r>
      <w:r w:rsidR="00D12ADA">
        <w:rPr>
          <w:lang w:val="en-US"/>
        </w:rPr>
        <w:t xml:space="preserve">while </w:t>
      </w:r>
      <w:r w:rsidR="00E00701">
        <w:rPr>
          <w:lang w:val="en-US"/>
        </w:rPr>
        <w:t>controlling for baseline covariates.</w:t>
      </w:r>
    </w:p>
    <w:p w14:paraId="0E71BDB7" w14:textId="035B9C6C" w:rsidR="00C96E70" w:rsidRPr="007F5D34" w:rsidRDefault="00283468">
      <w:pPr>
        <w:widowControl w:val="0"/>
        <w:numPr>
          <w:ilvl w:val="1"/>
          <w:numId w:val="1"/>
        </w:numPr>
        <w:spacing w:after="120"/>
        <w:rPr>
          <w:rFonts w:asciiTheme="minorHAnsi" w:hAnsiTheme="minorHAnsi"/>
          <w:snapToGrid w:val="0"/>
          <w:lang w:val="en-GB"/>
        </w:rPr>
      </w:pPr>
      <w:r w:rsidRPr="007F5D34">
        <w:rPr>
          <w:rFonts w:asciiTheme="minorHAnsi" w:hAnsiTheme="minorHAnsi"/>
          <w:snapToGrid w:val="0"/>
          <w:lang w:val="en-GB"/>
        </w:rPr>
        <w:lastRenderedPageBreak/>
        <w:t>Results for</w:t>
      </w:r>
      <w:r w:rsidR="00DC58CD" w:rsidRPr="007F5D34">
        <w:rPr>
          <w:rFonts w:asciiTheme="minorHAnsi" w:hAnsiTheme="minorHAnsi"/>
          <w:snapToGrid w:val="0"/>
          <w:lang w:val="en-GB"/>
        </w:rPr>
        <w:t xml:space="preserve"> Stratum 1 patients</w:t>
      </w:r>
      <w:r w:rsidRPr="007F5D34">
        <w:rPr>
          <w:rFonts w:asciiTheme="minorHAnsi" w:hAnsiTheme="minorHAnsi"/>
          <w:snapToGrid w:val="0"/>
          <w:lang w:val="en-GB"/>
        </w:rPr>
        <w:t xml:space="preserve"> were informed by Study 3b and the </w:t>
      </w:r>
      <w:r w:rsidR="005961DE" w:rsidRPr="007F5D34">
        <w:rPr>
          <w:rFonts w:asciiTheme="minorHAnsi" w:hAnsiTheme="minorHAnsi"/>
          <w:snapToGrid w:val="0"/>
          <w:lang w:val="en-GB"/>
        </w:rPr>
        <w:t>PSM study. T</w:t>
      </w:r>
      <w:r w:rsidR="00DC58CD" w:rsidRPr="007F5D34">
        <w:rPr>
          <w:rFonts w:asciiTheme="minorHAnsi" w:hAnsiTheme="minorHAnsi"/>
          <w:snapToGrid w:val="0"/>
          <w:lang w:val="en-GB"/>
        </w:rPr>
        <w:t xml:space="preserve">he PBAC noted </w:t>
      </w:r>
      <w:r w:rsidR="000C33B7" w:rsidRPr="007F5D34">
        <w:rPr>
          <w:rFonts w:asciiTheme="minorHAnsi" w:hAnsiTheme="minorHAnsi"/>
          <w:snapToGrid w:val="0"/>
          <w:lang w:val="en-GB"/>
        </w:rPr>
        <w:t xml:space="preserve">that </w:t>
      </w:r>
      <w:r w:rsidR="000906D6" w:rsidRPr="00AA1240">
        <w:t xml:space="preserve">patients treated with eflornithine had </w:t>
      </w:r>
      <w:r w:rsidR="00FB1200">
        <w:t xml:space="preserve">numerically </w:t>
      </w:r>
      <w:r w:rsidR="000906D6" w:rsidRPr="00AA1240">
        <w:t>improved EFS and OS event rates</w:t>
      </w:r>
      <w:r w:rsidR="00BC7752" w:rsidRPr="007F5D34">
        <w:rPr>
          <w:lang w:val="en-US"/>
        </w:rPr>
        <w:t xml:space="preserve"> </w:t>
      </w:r>
      <w:r w:rsidR="00A853FA" w:rsidRPr="00AA1240">
        <w:t>compared to unadjusted historical control data from Study ANBL0032</w:t>
      </w:r>
      <w:r w:rsidR="00A853FA">
        <w:t>,</w:t>
      </w:r>
      <w:r w:rsidR="00903BC3">
        <w:t xml:space="preserve"> however considered that the comparison was</w:t>
      </w:r>
      <w:r w:rsidR="007F5D34">
        <w:t xml:space="preserve"> </w:t>
      </w:r>
      <w:r w:rsidR="00903BC3">
        <w:t>not informative</w:t>
      </w:r>
      <w:r w:rsidR="00CC54C5">
        <w:t xml:space="preserve">. The PBAC considered there was </w:t>
      </w:r>
      <w:r w:rsidR="000C4435">
        <w:t xml:space="preserve">a high risk of bias, given that the historical controls included patients not in remission and who </w:t>
      </w:r>
      <w:r w:rsidR="007F5D34">
        <w:t xml:space="preserve">were treated </w:t>
      </w:r>
      <w:r w:rsidR="00A27B8D">
        <w:t xml:space="preserve">up to </w:t>
      </w:r>
      <w:r w:rsidR="00CC54C5">
        <w:t>two</w:t>
      </w:r>
      <w:r w:rsidR="00A27B8D">
        <w:t xml:space="preserve"> decades </w:t>
      </w:r>
      <w:r w:rsidR="007F5D34">
        <w:t xml:space="preserve">prior to the patients in </w:t>
      </w:r>
      <w:r w:rsidR="00CC54C5">
        <w:t>S</w:t>
      </w:r>
      <w:r w:rsidR="007F5D34">
        <w:t>tudy 3b</w:t>
      </w:r>
      <w:r w:rsidR="00521073">
        <w:t xml:space="preserve">. The PBAC </w:t>
      </w:r>
      <w:r w:rsidR="00DF33BD">
        <w:t>noted</w:t>
      </w:r>
      <w:r w:rsidR="00A853FA">
        <w:t xml:space="preserve"> that the PSM study</w:t>
      </w:r>
      <w:r w:rsidR="00C91DA7">
        <w:t xml:space="preserve"> found </w:t>
      </w:r>
      <w:r w:rsidR="00952903">
        <w:t xml:space="preserve">a </w:t>
      </w:r>
      <w:r w:rsidR="00FD4844">
        <w:t>significant</w:t>
      </w:r>
      <w:r w:rsidR="00952903">
        <w:t xml:space="preserve"> treatment effect </w:t>
      </w:r>
      <w:r w:rsidR="009F70B9">
        <w:t xml:space="preserve">at a median follow-up of over 5 years </w:t>
      </w:r>
      <w:r w:rsidR="00952903">
        <w:t>for EFS</w:t>
      </w:r>
      <w:r w:rsidR="000211BC">
        <w:t xml:space="preserve"> (</w:t>
      </w:r>
      <w:r w:rsidR="00044064">
        <w:t>EFS at 48 months of 84% vs 72</w:t>
      </w:r>
      <w:r w:rsidR="00200982">
        <w:t>%</w:t>
      </w:r>
      <w:r w:rsidR="00044064">
        <w:t xml:space="preserve">, </w:t>
      </w:r>
      <w:r w:rsidR="00300EAE" w:rsidRPr="00AA1240">
        <w:t>HR 0.49</w:t>
      </w:r>
      <w:r w:rsidR="006313A1">
        <w:t>;</w:t>
      </w:r>
      <w:r w:rsidR="00300EAE" w:rsidRPr="00AA1240">
        <w:t xml:space="preserve"> 95%CI 0.28, 0.86</w:t>
      </w:r>
      <w:r w:rsidR="000211BC">
        <w:t>)</w:t>
      </w:r>
      <w:r w:rsidR="00952903">
        <w:t xml:space="preserve"> and OS</w:t>
      </w:r>
      <w:r w:rsidR="000211BC">
        <w:t xml:space="preserve"> (</w:t>
      </w:r>
      <w:r w:rsidR="00044064">
        <w:t xml:space="preserve">OS at 48 months of 96% vs 85%, </w:t>
      </w:r>
      <w:r w:rsidR="00300EAE" w:rsidRPr="00AA1240">
        <w:t>HR 0.33</w:t>
      </w:r>
      <w:r w:rsidR="006313A1">
        <w:t xml:space="preserve">; </w:t>
      </w:r>
      <w:r w:rsidR="00300EAE" w:rsidRPr="00AA1240">
        <w:t>95%CI 0.16, 0.70</w:t>
      </w:r>
      <w:r w:rsidR="000211BC">
        <w:t>)</w:t>
      </w:r>
      <w:r w:rsidR="000255CA">
        <w:t xml:space="preserve">, albeit with </w:t>
      </w:r>
      <w:r w:rsidR="00D21E50">
        <w:t xml:space="preserve">a moderate degree of potential bias due to residual confounding from unmeasured covariates, and </w:t>
      </w:r>
      <w:r w:rsidR="0065153F">
        <w:t xml:space="preserve">with </w:t>
      </w:r>
      <w:r w:rsidR="000255CA">
        <w:t>wide confidence intervals and sensitivity to study assumptions</w:t>
      </w:r>
      <w:r w:rsidR="00952903">
        <w:t>.</w:t>
      </w:r>
      <w:r w:rsidR="00D211C8">
        <w:t xml:space="preserve"> </w:t>
      </w:r>
      <w:r w:rsidR="001839F1">
        <w:t xml:space="preserve">However, on balance, </w:t>
      </w:r>
      <w:r w:rsidR="001839F1">
        <w:rPr>
          <w:rFonts w:asciiTheme="minorHAnsi" w:hAnsiTheme="minorHAnsi"/>
          <w:snapToGrid w:val="0"/>
          <w:lang w:val="en-GB"/>
        </w:rPr>
        <w:t>t</w:t>
      </w:r>
      <w:r w:rsidR="00D211C8" w:rsidRPr="007F5D34">
        <w:rPr>
          <w:rFonts w:asciiTheme="minorHAnsi" w:hAnsiTheme="minorHAnsi"/>
          <w:snapToGrid w:val="0"/>
          <w:lang w:val="en-GB"/>
        </w:rPr>
        <w:t xml:space="preserve">he PBAC was satisfied that </w:t>
      </w:r>
      <w:r w:rsidR="00105B4A" w:rsidRPr="007F5D34">
        <w:rPr>
          <w:rFonts w:asciiTheme="minorHAnsi" w:hAnsiTheme="minorHAnsi"/>
          <w:snapToGrid w:val="0"/>
          <w:lang w:val="en-GB"/>
        </w:rPr>
        <w:t xml:space="preserve">the claim of </w:t>
      </w:r>
      <w:r w:rsidR="00D211C8" w:rsidRPr="007F5D34">
        <w:rPr>
          <w:rFonts w:asciiTheme="minorHAnsi" w:hAnsiTheme="minorHAnsi"/>
          <w:snapToGrid w:val="0"/>
          <w:lang w:val="en-GB"/>
        </w:rPr>
        <w:t>superiority compared to SOC with respect to efficacy was reasonable for Stratum 1 patients.</w:t>
      </w:r>
      <w:r w:rsidR="003C4B6B" w:rsidRPr="007F5D34">
        <w:rPr>
          <w:rFonts w:asciiTheme="minorHAnsi" w:hAnsiTheme="minorHAnsi"/>
          <w:snapToGrid w:val="0"/>
          <w:lang w:val="en-GB"/>
        </w:rPr>
        <w:t xml:space="preserve"> </w:t>
      </w:r>
    </w:p>
    <w:p w14:paraId="5E8F047B" w14:textId="0BE1D5B8" w:rsidR="00814584" w:rsidRPr="003C4B6B" w:rsidRDefault="003C4B6B" w:rsidP="001012E1">
      <w:pPr>
        <w:widowControl w:val="0"/>
        <w:numPr>
          <w:ilvl w:val="1"/>
          <w:numId w:val="1"/>
        </w:numPr>
        <w:tabs>
          <w:tab w:val="left" w:pos="1418"/>
        </w:tabs>
        <w:spacing w:after="120"/>
        <w:rPr>
          <w:rFonts w:asciiTheme="minorHAnsi" w:hAnsiTheme="minorHAnsi"/>
          <w:snapToGrid w:val="0"/>
          <w:lang w:val="en-GB"/>
        </w:rPr>
      </w:pPr>
      <w:r w:rsidRPr="003C4B6B">
        <w:rPr>
          <w:rFonts w:asciiTheme="minorHAnsi" w:hAnsiTheme="minorHAnsi"/>
          <w:snapToGrid w:val="0"/>
          <w:lang w:val="en-GB"/>
        </w:rPr>
        <w:t>Results for Stratum 2 patients were informed by Study 3b; no</w:t>
      </w:r>
      <w:r w:rsidR="00F169F8">
        <w:rPr>
          <w:rFonts w:asciiTheme="minorHAnsi" w:hAnsiTheme="minorHAnsi"/>
          <w:snapToGrid w:val="0"/>
          <w:lang w:val="en-GB"/>
        </w:rPr>
        <w:t xml:space="preserve"> PSM analysis</w:t>
      </w:r>
      <w:r w:rsidRPr="003C4B6B">
        <w:rPr>
          <w:rFonts w:asciiTheme="minorHAnsi" w:hAnsiTheme="minorHAnsi"/>
          <w:snapToGrid w:val="0"/>
          <w:lang w:val="en-GB"/>
        </w:rPr>
        <w:t xml:space="preserve"> was available for this group. While the PBAC noted that patients treated with eflornithine had </w:t>
      </w:r>
      <w:r w:rsidR="004E39DE">
        <w:rPr>
          <w:rFonts w:asciiTheme="minorHAnsi" w:hAnsiTheme="minorHAnsi"/>
          <w:snapToGrid w:val="0"/>
          <w:lang w:val="en-GB"/>
        </w:rPr>
        <w:t xml:space="preserve">numerically </w:t>
      </w:r>
      <w:r w:rsidRPr="003C4B6B">
        <w:rPr>
          <w:rFonts w:asciiTheme="minorHAnsi" w:hAnsiTheme="minorHAnsi"/>
          <w:snapToGrid w:val="0"/>
          <w:lang w:val="en-GB"/>
        </w:rPr>
        <w:t>improved EFS event rates compared to unadjusted historical control data from Santana 2008, it considered the results to be associated with a high risk of bias and the claim of superiority</w:t>
      </w:r>
      <w:r w:rsidR="00A06DD4">
        <w:rPr>
          <w:rFonts w:asciiTheme="minorHAnsi" w:hAnsiTheme="minorHAnsi"/>
          <w:snapToGrid w:val="0"/>
          <w:lang w:val="en-GB"/>
        </w:rPr>
        <w:t xml:space="preserve"> over SOC</w:t>
      </w:r>
      <w:r w:rsidRPr="003C4B6B">
        <w:rPr>
          <w:rFonts w:asciiTheme="minorHAnsi" w:hAnsiTheme="minorHAnsi"/>
          <w:snapToGrid w:val="0"/>
          <w:lang w:val="en-GB"/>
        </w:rPr>
        <w:t xml:space="preserve"> to be uncertain.</w:t>
      </w:r>
      <w:r w:rsidR="0011018C">
        <w:t xml:space="preserve"> </w:t>
      </w:r>
    </w:p>
    <w:p w14:paraId="185CB118" w14:textId="52486AB4" w:rsidR="000857DE" w:rsidRDefault="000857DE" w:rsidP="00DC5C35">
      <w:pPr>
        <w:widowControl w:val="0"/>
        <w:numPr>
          <w:ilvl w:val="1"/>
          <w:numId w:val="1"/>
        </w:numPr>
        <w:spacing w:after="120"/>
        <w:rPr>
          <w:rFonts w:asciiTheme="minorHAnsi" w:hAnsiTheme="minorHAnsi"/>
          <w:snapToGrid w:val="0"/>
          <w:lang w:val="en-GB"/>
        </w:rPr>
      </w:pPr>
      <w:bookmarkStart w:id="85" w:name="_Ref193887554"/>
      <w:r>
        <w:rPr>
          <w:rFonts w:asciiTheme="minorHAnsi" w:hAnsiTheme="minorHAnsi"/>
          <w:snapToGrid w:val="0"/>
          <w:lang w:val="en-GB"/>
        </w:rPr>
        <w:t>Overall, the PBAC considered ef</w:t>
      </w:r>
      <w:r w:rsidR="004A1009">
        <w:rPr>
          <w:rFonts w:asciiTheme="minorHAnsi" w:hAnsiTheme="minorHAnsi"/>
          <w:snapToGrid w:val="0"/>
          <w:lang w:val="en-GB"/>
        </w:rPr>
        <w:t>l</w:t>
      </w:r>
      <w:r>
        <w:rPr>
          <w:rFonts w:asciiTheme="minorHAnsi" w:hAnsiTheme="minorHAnsi"/>
          <w:snapToGrid w:val="0"/>
          <w:lang w:val="en-GB"/>
        </w:rPr>
        <w:t xml:space="preserve">ornithine offered </w:t>
      </w:r>
      <w:r w:rsidR="00091EA2">
        <w:rPr>
          <w:rFonts w:asciiTheme="minorHAnsi" w:hAnsiTheme="minorHAnsi"/>
          <w:snapToGrid w:val="0"/>
          <w:lang w:val="en-GB"/>
        </w:rPr>
        <w:t xml:space="preserve">moderate clinical benefit for HRNB, with </w:t>
      </w:r>
      <w:r w:rsidR="001E4340">
        <w:rPr>
          <w:rFonts w:asciiTheme="minorHAnsi" w:hAnsiTheme="minorHAnsi"/>
          <w:snapToGrid w:val="0"/>
          <w:lang w:val="en-GB"/>
        </w:rPr>
        <w:t xml:space="preserve">moderate certainty for Stratum 1 patients </w:t>
      </w:r>
      <w:r w:rsidR="004504E1">
        <w:rPr>
          <w:rFonts w:asciiTheme="minorHAnsi" w:hAnsiTheme="minorHAnsi"/>
          <w:snapToGrid w:val="0"/>
          <w:lang w:val="en-GB"/>
        </w:rPr>
        <w:t>but</w:t>
      </w:r>
      <w:r w:rsidR="001E4340">
        <w:rPr>
          <w:rFonts w:asciiTheme="minorHAnsi" w:hAnsiTheme="minorHAnsi"/>
          <w:snapToGrid w:val="0"/>
          <w:lang w:val="en-GB"/>
        </w:rPr>
        <w:t xml:space="preserve"> low cert</w:t>
      </w:r>
      <w:r w:rsidR="0005586D">
        <w:rPr>
          <w:rFonts w:asciiTheme="minorHAnsi" w:hAnsiTheme="minorHAnsi"/>
          <w:snapToGrid w:val="0"/>
          <w:lang w:val="en-GB"/>
        </w:rPr>
        <w:t>ainty for Stratum 2 patients.</w:t>
      </w:r>
      <w:r w:rsidR="004521BE">
        <w:rPr>
          <w:rFonts w:asciiTheme="minorHAnsi" w:hAnsiTheme="minorHAnsi"/>
          <w:snapToGrid w:val="0"/>
          <w:lang w:val="en-GB"/>
        </w:rPr>
        <w:t xml:space="preserve"> </w:t>
      </w:r>
      <w:r w:rsidR="00796073">
        <w:t>T</w:t>
      </w:r>
      <w:r w:rsidR="000B0E0A">
        <w:t xml:space="preserve">he PBAC acknowledged the difficulty of obtaining high quality clinical evidence in </w:t>
      </w:r>
      <w:r w:rsidR="00DD5472">
        <w:t>HRNB</w:t>
      </w:r>
      <w:r w:rsidR="007A7924">
        <w:t xml:space="preserve"> and the lack of treatment options </w:t>
      </w:r>
      <w:r w:rsidR="00E1129A">
        <w:t>available, particularly for the relapsed/refractory</w:t>
      </w:r>
      <w:r w:rsidR="00DD5472">
        <w:t xml:space="preserve"> Stratum 2</w:t>
      </w:r>
      <w:r w:rsidR="00E1129A">
        <w:t xml:space="preserve"> patients</w:t>
      </w:r>
      <w:r w:rsidR="000B0E0A">
        <w:t>.</w:t>
      </w:r>
      <w:bookmarkEnd w:id="85"/>
    </w:p>
    <w:p w14:paraId="50026E8C" w14:textId="6925CF60" w:rsidR="00DC5C35" w:rsidRPr="0001097E" w:rsidRDefault="00E57A79" w:rsidP="0001097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agreed with the submission</w:t>
      </w:r>
      <w:r w:rsidR="00D349FD">
        <w:rPr>
          <w:rFonts w:asciiTheme="minorHAnsi" w:hAnsiTheme="minorHAnsi"/>
          <w:snapToGrid w:val="0"/>
          <w:lang w:val="en-GB"/>
        </w:rPr>
        <w:t xml:space="preserve"> that eflornithine has an inferior </w:t>
      </w:r>
      <w:r w:rsidR="000067C7">
        <w:rPr>
          <w:rFonts w:asciiTheme="minorHAnsi" w:hAnsiTheme="minorHAnsi"/>
          <w:snapToGrid w:val="0"/>
          <w:lang w:val="en-GB"/>
        </w:rPr>
        <w:t>safety profile compared to SOC</w:t>
      </w:r>
      <w:r w:rsidR="00D546C3">
        <w:rPr>
          <w:rFonts w:asciiTheme="minorHAnsi" w:hAnsiTheme="minorHAnsi"/>
          <w:snapToGrid w:val="0"/>
          <w:lang w:val="en-GB"/>
        </w:rPr>
        <w:t>,</w:t>
      </w:r>
      <w:r w:rsidR="00D008FD">
        <w:rPr>
          <w:rFonts w:asciiTheme="minorHAnsi" w:hAnsiTheme="minorHAnsi"/>
          <w:snapToGrid w:val="0"/>
          <w:lang w:val="en-GB"/>
        </w:rPr>
        <w:t xml:space="preserve"> given the warnings for </w:t>
      </w:r>
      <w:r w:rsidR="00F3219B" w:rsidRPr="00DD5186">
        <w:t>hepatotoxicity, myelosuppression, and hearing loss</w:t>
      </w:r>
      <w:r w:rsidR="00D546C3">
        <w:t>,</w:t>
      </w:r>
      <w:r w:rsidR="008537C5">
        <w:t xml:space="preserve"> and </w:t>
      </w:r>
      <w:r w:rsidR="00E4676C" w:rsidRPr="00DD5186">
        <w:t>not</w:t>
      </w:r>
      <w:r w:rsidR="00E4676C">
        <w:t>ing</w:t>
      </w:r>
      <w:r w:rsidR="00E4676C" w:rsidRPr="00DD5186">
        <w:t xml:space="preserve"> the registration requirements with respect to safety set out in the TGA Delegate’s Overview</w:t>
      </w:r>
      <w:r w:rsidR="00595FBA">
        <w:t>.</w:t>
      </w:r>
    </w:p>
    <w:p w14:paraId="6F342EAB" w14:textId="3B45334E" w:rsidR="00601000" w:rsidRDefault="00504A7A" w:rsidP="00DC5C35">
      <w:pPr>
        <w:widowControl w:val="0"/>
        <w:numPr>
          <w:ilvl w:val="1"/>
          <w:numId w:val="1"/>
        </w:numPr>
        <w:spacing w:after="120"/>
        <w:rPr>
          <w:rFonts w:asciiTheme="minorHAnsi" w:hAnsiTheme="minorHAnsi"/>
          <w:snapToGrid w:val="0"/>
          <w:lang w:val="en-GB"/>
        </w:rPr>
      </w:pPr>
      <w:bookmarkStart w:id="86" w:name="_Ref193887566"/>
      <w:r>
        <w:rPr>
          <w:rFonts w:asciiTheme="minorHAnsi" w:hAnsiTheme="minorHAnsi"/>
          <w:snapToGrid w:val="0"/>
          <w:lang w:val="en-GB"/>
        </w:rPr>
        <w:t>T</w:t>
      </w:r>
      <w:r w:rsidRPr="00F8592F">
        <w:rPr>
          <w:rFonts w:asciiTheme="minorHAnsi" w:hAnsiTheme="minorHAnsi"/>
          <w:snapToGrid w:val="0"/>
          <w:lang w:val="en-GB"/>
        </w:rPr>
        <w:t xml:space="preserve">he </w:t>
      </w:r>
      <w:r>
        <w:rPr>
          <w:rFonts w:asciiTheme="minorHAnsi" w:hAnsiTheme="minorHAnsi"/>
          <w:snapToGrid w:val="0"/>
          <w:lang w:val="en-GB"/>
        </w:rPr>
        <w:t>PBAC noted the corrected base case ICER</w:t>
      </w:r>
      <w:r w:rsidR="0077422E">
        <w:rPr>
          <w:rFonts w:asciiTheme="minorHAnsi" w:hAnsiTheme="minorHAnsi"/>
          <w:snapToGrid w:val="0"/>
          <w:lang w:val="en-GB"/>
        </w:rPr>
        <w:t xml:space="preserve"> for Stratum 1 patients</w:t>
      </w:r>
      <w:r>
        <w:rPr>
          <w:rFonts w:asciiTheme="minorHAnsi" w:hAnsiTheme="minorHAnsi"/>
          <w:snapToGrid w:val="0"/>
          <w:lang w:val="en-GB"/>
        </w:rPr>
        <w:t xml:space="preserve"> in the submission was $</w:t>
      </w:r>
      <w:r w:rsidR="001315DD" w:rsidRPr="001315DD">
        <w:rPr>
          <w:rFonts w:asciiTheme="minorHAnsi" w:hAnsiTheme="minorHAnsi"/>
          <w:snapToGrid w:val="0"/>
          <w:lang w:val="en-GB"/>
        </w:rPr>
        <w:t>155,000 to &lt; $255,000</w:t>
      </w:r>
      <w:r w:rsidR="00522A7A">
        <w:rPr>
          <w:rFonts w:asciiTheme="minorHAnsi" w:hAnsiTheme="minorHAnsi"/>
          <w:snapToGrid w:val="0"/>
          <w:lang w:val="en-GB"/>
        </w:rPr>
        <w:t xml:space="preserve"> </w:t>
      </w:r>
      <w:r>
        <w:rPr>
          <w:rFonts w:asciiTheme="minorHAnsi" w:hAnsiTheme="minorHAnsi"/>
          <w:snapToGrid w:val="0"/>
          <w:lang w:val="en-GB"/>
        </w:rPr>
        <w:t xml:space="preserve">per QALY gained. </w:t>
      </w:r>
      <w:r w:rsidR="002F357F">
        <w:rPr>
          <w:rFonts w:asciiTheme="minorHAnsi" w:hAnsiTheme="minorHAnsi"/>
          <w:snapToGrid w:val="0"/>
          <w:lang w:val="en-GB"/>
        </w:rPr>
        <w:t xml:space="preserve">While the PBAC considered that </w:t>
      </w:r>
      <w:r w:rsidR="002F357F" w:rsidRPr="002F357F">
        <w:rPr>
          <w:rFonts w:asciiTheme="minorHAnsi" w:hAnsiTheme="minorHAnsi"/>
          <w:snapToGrid w:val="0"/>
          <w:lang w:val="en-GB"/>
        </w:rPr>
        <w:t xml:space="preserve">the </w:t>
      </w:r>
      <w:r w:rsidR="002F357F">
        <w:rPr>
          <w:rFonts w:asciiTheme="minorHAnsi" w:hAnsiTheme="minorHAnsi"/>
          <w:snapToGrid w:val="0"/>
          <w:lang w:val="en-GB"/>
        </w:rPr>
        <w:t xml:space="preserve">economic </w:t>
      </w:r>
      <w:r w:rsidR="002F357F" w:rsidRPr="002F357F">
        <w:rPr>
          <w:rFonts w:asciiTheme="minorHAnsi" w:hAnsiTheme="minorHAnsi"/>
          <w:snapToGrid w:val="0"/>
          <w:lang w:val="en-GB"/>
        </w:rPr>
        <w:t>model</w:t>
      </w:r>
      <w:r w:rsidR="00155070">
        <w:rPr>
          <w:rFonts w:asciiTheme="minorHAnsi" w:hAnsiTheme="minorHAnsi"/>
          <w:snapToGrid w:val="0"/>
          <w:lang w:val="en-GB"/>
        </w:rPr>
        <w:t xml:space="preserve"> for Stratum 1</w:t>
      </w:r>
      <w:r w:rsidR="002F357F" w:rsidRPr="002F357F">
        <w:rPr>
          <w:rFonts w:asciiTheme="minorHAnsi" w:hAnsiTheme="minorHAnsi"/>
          <w:snapToGrid w:val="0"/>
          <w:lang w:val="en-GB"/>
        </w:rPr>
        <w:t xml:space="preserve"> w</w:t>
      </w:r>
      <w:r w:rsidR="004D6AEF">
        <w:rPr>
          <w:rFonts w:asciiTheme="minorHAnsi" w:hAnsiTheme="minorHAnsi"/>
          <w:snapToGrid w:val="0"/>
          <w:lang w:val="en-GB"/>
        </w:rPr>
        <w:t>as</w:t>
      </w:r>
      <w:r w:rsidR="002F357F" w:rsidRPr="002F357F">
        <w:rPr>
          <w:rFonts w:asciiTheme="minorHAnsi" w:hAnsiTheme="minorHAnsi"/>
          <w:snapToGrid w:val="0"/>
          <w:lang w:val="en-GB"/>
        </w:rPr>
        <w:t xml:space="preserve"> generally reliable for decision-making</w:t>
      </w:r>
      <w:r w:rsidR="00172184">
        <w:rPr>
          <w:rFonts w:asciiTheme="minorHAnsi" w:hAnsiTheme="minorHAnsi"/>
          <w:snapToGrid w:val="0"/>
          <w:lang w:val="en-GB"/>
        </w:rPr>
        <w:t>,</w:t>
      </w:r>
      <w:r>
        <w:rPr>
          <w:rFonts w:asciiTheme="minorHAnsi" w:hAnsiTheme="minorHAnsi"/>
          <w:snapToGrid w:val="0"/>
          <w:lang w:val="en-GB"/>
        </w:rPr>
        <w:t xml:space="preserve"> the </w:t>
      </w:r>
      <w:r w:rsidR="00025FAB" w:rsidRPr="00F8592F">
        <w:rPr>
          <w:rFonts w:asciiTheme="minorHAnsi" w:hAnsiTheme="minorHAnsi"/>
          <w:snapToGrid w:val="0"/>
          <w:lang w:val="en-GB"/>
        </w:rPr>
        <w:t xml:space="preserve">PBAC </w:t>
      </w:r>
      <w:r>
        <w:rPr>
          <w:rFonts w:asciiTheme="minorHAnsi" w:hAnsiTheme="minorHAnsi"/>
          <w:snapToGrid w:val="0"/>
          <w:lang w:val="en-GB"/>
        </w:rPr>
        <w:t xml:space="preserve">noted </w:t>
      </w:r>
      <w:r w:rsidR="00025FAB" w:rsidRPr="00F8592F">
        <w:rPr>
          <w:rFonts w:asciiTheme="minorHAnsi" w:hAnsiTheme="minorHAnsi"/>
          <w:snapToGrid w:val="0"/>
          <w:lang w:val="en-GB"/>
        </w:rPr>
        <w:t>that the ICER w</w:t>
      </w:r>
      <w:r w:rsidR="007E3B62">
        <w:rPr>
          <w:rFonts w:asciiTheme="minorHAnsi" w:hAnsiTheme="minorHAnsi"/>
          <w:snapToGrid w:val="0"/>
          <w:lang w:val="en-GB"/>
        </w:rPr>
        <w:t>as</w:t>
      </w:r>
      <w:r w:rsidR="00025FAB" w:rsidRPr="00F8592F">
        <w:rPr>
          <w:rFonts w:asciiTheme="minorHAnsi" w:hAnsiTheme="minorHAnsi"/>
          <w:snapToGrid w:val="0"/>
          <w:lang w:val="en-GB"/>
        </w:rPr>
        <w:t xml:space="preserve"> sensitive to inputs that affected EFS</w:t>
      </w:r>
      <w:r w:rsidR="00ED7B3C">
        <w:rPr>
          <w:rFonts w:asciiTheme="minorHAnsi" w:hAnsiTheme="minorHAnsi"/>
          <w:snapToGrid w:val="0"/>
          <w:lang w:val="en-GB"/>
        </w:rPr>
        <w:t xml:space="preserve"> and </w:t>
      </w:r>
      <w:r w:rsidR="00025FAB" w:rsidRPr="00F8592F">
        <w:rPr>
          <w:rFonts w:asciiTheme="minorHAnsi" w:hAnsiTheme="minorHAnsi"/>
          <w:snapToGrid w:val="0"/>
          <w:lang w:val="en-GB"/>
        </w:rPr>
        <w:t>OS</w:t>
      </w:r>
      <w:r w:rsidR="00ED7B3C">
        <w:rPr>
          <w:rFonts w:asciiTheme="minorHAnsi" w:hAnsiTheme="minorHAnsi"/>
          <w:snapToGrid w:val="0"/>
          <w:lang w:val="en-GB"/>
        </w:rPr>
        <w:t xml:space="preserve"> benefit </w:t>
      </w:r>
      <w:r w:rsidR="00827C09">
        <w:rPr>
          <w:rFonts w:asciiTheme="minorHAnsi" w:hAnsiTheme="minorHAnsi"/>
          <w:snapToGrid w:val="0"/>
          <w:lang w:val="en-GB"/>
        </w:rPr>
        <w:t>and considered it to be uncertain</w:t>
      </w:r>
      <w:r w:rsidR="00025FAB" w:rsidRPr="00F8592F">
        <w:rPr>
          <w:rFonts w:asciiTheme="minorHAnsi" w:hAnsiTheme="minorHAnsi"/>
          <w:snapToGrid w:val="0"/>
          <w:lang w:val="en-GB"/>
        </w:rPr>
        <w:t>.</w:t>
      </w:r>
      <w:r w:rsidR="006123CD" w:rsidRPr="00F8592F">
        <w:rPr>
          <w:rFonts w:asciiTheme="minorHAnsi" w:hAnsiTheme="minorHAnsi"/>
          <w:snapToGrid w:val="0"/>
          <w:lang w:val="en-GB"/>
        </w:rPr>
        <w:t xml:space="preserve"> The PBAC agreed with the ESC that </w:t>
      </w:r>
      <w:r w:rsidR="001E47FF" w:rsidRPr="00F8592F">
        <w:rPr>
          <w:rFonts w:asciiTheme="minorHAnsi" w:hAnsiTheme="minorHAnsi"/>
          <w:snapToGrid w:val="0"/>
          <w:lang w:val="en-GB"/>
        </w:rPr>
        <w:t>the uncertainty was largely driven by the</w:t>
      </w:r>
      <w:r w:rsidR="005E0A03" w:rsidRPr="00F8592F">
        <w:rPr>
          <w:rFonts w:asciiTheme="minorHAnsi" w:hAnsiTheme="minorHAnsi"/>
          <w:snapToGrid w:val="0"/>
          <w:lang w:val="en-GB"/>
        </w:rPr>
        <w:t xml:space="preserve"> quality of the</w:t>
      </w:r>
      <w:r w:rsidR="001E47FF" w:rsidRPr="00F8592F">
        <w:rPr>
          <w:rFonts w:asciiTheme="minorHAnsi" w:hAnsiTheme="minorHAnsi"/>
          <w:snapToGrid w:val="0"/>
          <w:lang w:val="en-GB"/>
        </w:rPr>
        <w:t xml:space="preserve"> available eflornithine clinical data</w:t>
      </w:r>
      <w:r w:rsidR="001F7CD8">
        <w:rPr>
          <w:rFonts w:asciiTheme="minorHAnsi" w:hAnsiTheme="minorHAnsi"/>
          <w:snapToGrid w:val="0"/>
          <w:lang w:val="en-GB"/>
        </w:rPr>
        <w:t>,</w:t>
      </w:r>
      <w:r w:rsidR="001C0A45" w:rsidRPr="00F8592F">
        <w:rPr>
          <w:rFonts w:asciiTheme="minorHAnsi" w:hAnsiTheme="minorHAnsi"/>
          <w:snapToGrid w:val="0"/>
          <w:lang w:val="en-GB"/>
        </w:rPr>
        <w:t xml:space="preserve"> </w:t>
      </w:r>
      <w:r w:rsidR="002D1ACE">
        <w:rPr>
          <w:rFonts w:asciiTheme="minorHAnsi" w:hAnsiTheme="minorHAnsi"/>
          <w:snapToGrid w:val="0"/>
          <w:lang w:val="en-GB"/>
        </w:rPr>
        <w:t>with</w:t>
      </w:r>
      <w:r w:rsidR="002D1ACE" w:rsidRPr="00F8592F">
        <w:rPr>
          <w:rFonts w:asciiTheme="minorHAnsi" w:hAnsiTheme="minorHAnsi"/>
          <w:snapToGrid w:val="0"/>
          <w:lang w:val="en-GB"/>
        </w:rPr>
        <w:t xml:space="preserve"> </w:t>
      </w:r>
      <w:r w:rsidR="001C0A45" w:rsidRPr="00F8592F">
        <w:rPr>
          <w:rFonts w:asciiTheme="minorHAnsi" w:hAnsiTheme="minorHAnsi"/>
          <w:snapToGrid w:val="0"/>
          <w:lang w:val="en-GB"/>
        </w:rPr>
        <w:t>the reliance on the PSM analysis</w:t>
      </w:r>
      <w:r w:rsidR="002921D1">
        <w:rPr>
          <w:rFonts w:asciiTheme="minorHAnsi" w:hAnsiTheme="minorHAnsi"/>
          <w:snapToGrid w:val="0"/>
          <w:lang w:val="en-GB"/>
        </w:rPr>
        <w:t xml:space="preserve"> </w:t>
      </w:r>
      <w:r w:rsidR="001C0A45" w:rsidRPr="00F8592F">
        <w:rPr>
          <w:rFonts w:asciiTheme="minorHAnsi" w:hAnsiTheme="minorHAnsi"/>
          <w:snapToGrid w:val="0"/>
          <w:lang w:val="en-GB"/>
        </w:rPr>
        <w:t>with small patient numbers</w:t>
      </w:r>
      <w:r w:rsidR="002D1ACE">
        <w:rPr>
          <w:rFonts w:asciiTheme="minorHAnsi" w:hAnsiTheme="minorHAnsi"/>
          <w:snapToGrid w:val="0"/>
          <w:lang w:val="en-GB"/>
        </w:rPr>
        <w:t xml:space="preserve">, </w:t>
      </w:r>
      <w:r w:rsidR="001F7CD8">
        <w:rPr>
          <w:rFonts w:asciiTheme="minorHAnsi" w:hAnsiTheme="minorHAnsi"/>
          <w:snapToGrid w:val="0"/>
          <w:lang w:val="en-GB"/>
        </w:rPr>
        <w:t>and relatively short follow-up</w:t>
      </w:r>
      <w:r w:rsidR="001C0A45" w:rsidRPr="00F8592F">
        <w:rPr>
          <w:rFonts w:asciiTheme="minorHAnsi" w:hAnsiTheme="minorHAnsi"/>
          <w:snapToGrid w:val="0"/>
          <w:lang w:val="en-GB"/>
        </w:rPr>
        <w:t>.</w:t>
      </w:r>
      <w:r w:rsidR="009D6262">
        <w:rPr>
          <w:rFonts w:asciiTheme="minorHAnsi" w:hAnsiTheme="minorHAnsi"/>
          <w:snapToGrid w:val="0"/>
          <w:lang w:val="en-GB"/>
        </w:rPr>
        <w:t xml:space="preserve"> </w:t>
      </w:r>
      <w:r w:rsidR="009D6262" w:rsidRPr="00F8592F">
        <w:rPr>
          <w:rFonts w:asciiTheme="minorHAnsi" w:hAnsiTheme="minorHAnsi"/>
          <w:snapToGrid w:val="0"/>
          <w:lang w:val="en-GB"/>
        </w:rPr>
        <w:t>The PBAC considered that the</w:t>
      </w:r>
      <w:r w:rsidR="009D6262">
        <w:rPr>
          <w:rFonts w:asciiTheme="minorHAnsi" w:hAnsiTheme="minorHAnsi"/>
          <w:snapToGrid w:val="0"/>
          <w:lang w:val="en-GB"/>
        </w:rPr>
        <w:t xml:space="preserve"> submission’s</w:t>
      </w:r>
      <w:r w:rsidR="009D6262" w:rsidRPr="00F8592F">
        <w:rPr>
          <w:rFonts w:asciiTheme="minorHAnsi" w:hAnsiTheme="minorHAnsi"/>
          <w:snapToGrid w:val="0"/>
          <w:lang w:val="en-GB"/>
        </w:rPr>
        <w:t xml:space="preserve"> time horizon of 100 years was unrealistic </w:t>
      </w:r>
      <w:r w:rsidR="009D6262" w:rsidRPr="00E44870">
        <w:t>compared to the length of the study data (7.21 years in Study 3b Stratum 1 and 5.85</w:t>
      </w:r>
      <w:r w:rsidR="005C33E6">
        <w:t> </w:t>
      </w:r>
      <w:r w:rsidR="009D6262" w:rsidRPr="00E44870">
        <w:t>years in Study ANBL0032)</w:t>
      </w:r>
      <w:r w:rsidR="006E7D42" w:rsidRPr="00E44870">
        <w:t>;</w:t>
      </w:r>
      <w:r w:rsidR="009D6262" w:rsidRPr="00E44870">
        <w:rPr>
          <w:rFonts w:asciiTheme="minorHAnsi" w:hAnsiTheme="minorHAnsi"/>
          <w:snapToGrid w:val="0"/>
          <w:lang w:val="en-GB"/>
        </w:rPr>
        <w:t xml:space="preserve"> </w:t>
      </w:r>
      <w:r w:rsidR="006E7D42" w:rsidRPr="00E44870">
        <w:rPr>
          <w:rFonts w:asciiTheme="minorHAnsi" w:hAnsiTheme="minorHAnsi"/>
          <w:snapToGrid w:val="0"/>
          <w:lang w:val="en-GB"/>
        </w:rPr>
        <w:t>t</w:t>
      </w:r>
      <w:r w:rsidR="009D6262" w:rsidRPr="00E44870">
        <w:rPr>
          <w:rFonts w:asciiTheme="minorHAnsi" w:hAnsiTheme="minorHAnsi"/>
          <w:snapToGrid w:val="0"/>
          <w:lang w:val="en-GB"/>
        </w:rPr>
        <w:t>he PBAC considered that a time horizon of 50 years would be appropriate.</w:t>
      </w:r>
      <w:r w:rsidR="008A1B41" w:rsidRPr="00E44870">
        <w:rPr>
          <w:rFonts w:asciiTheme="minorHAnsi" w:hAnsiTheme="minorHAnsi"/>
          <w:snapToGrid w:val="0"/>
          <w:lang w:val="en-GB"/>
        </w:rPr>
        <w:t xml:space="preserve"> </w:t>
      </w:r>
      <w:r w:rsidR="006A789A" w:rsidRPr="00E44870">
        <w:rPr>
          <w:rFonts w:asciiTheme="minorHAnsi" w:hAnsiTheme="minorHAnsi"/>
          <w:snapToGrid w:val="0"/>
          <w:lang w:val="en-GB"/>
        </w:rPr>
        <w:t xml:space="preserve">The PBAC advised that an ICER of </w:t>
      </w:r>
      <w:r w:rsidR="005613A5" w:rsidRPr="00E44870">
        <w:rPr>
          <w:rFonts w:asciiTheme="minorHAnsi" w:hAnsiTheme="minorHAnsi"/>
          <w:snapToGrid w:val="0"/>
          <w:lang w:val="en-GB"/>
        </w:rPr>
        <w:t>$</w:t>
      </w:r>
      <w:r w:rsidR="00393588" w:rsidRPr="00E44870">
        <w:rPr>
          <w:rFonts w:asciiTheme="minorHAnsi" w:hAnsiTheme="minorHAnsi"/>
          <w:snapToGrid w:val="0"/>
          <w:lang w:val="en-GB"/>
        </w:rPr>
        <w:t xml:space="preserve">95,000 to &lt; $115,000 </w:t>
      </w:r>
      <w:r w:rsidR="005613A5" w:rsidRPr="00E44870">
        <w:rPr>
          <w:rFonts w:asciiTheme="minorHAnsi" w:hAnsiTheme="minorHAnsi"/>
          <w:snapToGrid w:val="0"/>
          <w:lang w:val="en-GB"/>
        </w:rPr>
        <w:t xml:space="preserve">per </w:t>
      </w:r>
      <w:r w:rsidR="005030CF" w:rsidRPr="00E44870">
        <w:rPr>
          <w:rFonts w:asciiTheme="minorHAnsi" w:hAnsiTheme="minorHAnsi"/>
          <w:snapToGrid w:val="0"/>
          <w:lang w:val="en-GB"/>
        </w:rPr>
        <w:t xml:space="preserve">QALY </w:t>
      </w:r>
      <w:r w:rsidR="005613A5" w:rsidRPr="00E44870">
        <w:rPr>
          <w:rFonts w:asciiTheme="minorHAnsi" w:hAnsiTheme="minorHAnsi"/>
          <w:snapToGrid w:val="0"/>
          <w:lang w:val="en-GB"/>
        </w:rPr>
        <w:t>gained would be reasonable</w:t>
      </w:r>
      <w:r w:rsidR="005D0D8F" w:rsidRPr="00E44870">
        <w:rPr>
          <w:rFonts w:asciiTheme="minorHAnsi" w:hAnsiTheme="minorHAnsi"/>
          <w:snapToGrid w:val="0"/>
          <w:lang w:val="en-GB"/>
        </w:rPr>
        <w:t xml:space="preserve"> </w:t>
      </w:r>
      <w:r w:rsidR="00C73D9B" w:rsidRPr="00E44870">
        <w:rPr>
          <w:rFonts w:asciiTheme="minorHAnsi" w:hAnsiTheme="minorHAnsi"/>
          <w:snapToGrid w:val="0"/>
          <w:lang w:val="en-GB"/>
        </w:rPr>
        <w:t>considering</w:t>
      </w:r>
      <w:r w:rsidR="005D0D8F" w:rsidRPr="00E44870">
        <w:rPr>
          <w:rFonts w:asciiTheme="minorHAnsi" w:hAnsiTheme="minorHAnsi"/>
          <w:snapToGrid w:val="0"/>
          <w:lang w:val="en-GB"/>
        </w:rPr>
        <w:t xml:space="preserve"> th</w:t>
      </w:r>
      <w:r w:rsidR="00622313" w:rsidRPr="00E44870">
        <w:rPr>
          <w:rFonts w:asciiTheme="minorHAnsi" w:hAnsiTheme="minorHAnsi"/>
          <w:snapToGrid w:val="0"/>
          <w:lang w:val="en-GB"/>
        </w:rPr>
        <w:t>e</w:t>
      </w:r>
      <w:r w:rsidR="005D0D8F" w:rsidRPr="00E44870">
        <w:rPr>
          <w:rFonts w:asciiTheme="minorHAnsi" w:hAnsiTheme="minorHAnsi"/>
          <w:snapToGrid w:val="0"/>
          <w:lang w:val="en-GB"/>
        </w:rPr>
        <w:t xml:space="preserve"> uncertainty</w:t>
      </w:r>
      <w:r w:rsidR="00622313" w:rsidRPr="00E44870">
        <w:rPr>
          <w:rFonts w:asciiTheme="minorHAnsi" w:hAnsiTheme="minorHAnsi"/>
          <w:snapToGrid w:val="0"/>
          <w:lang w:val="en-GB"/>
        </w:rPr>
        <w:t xml:space="preserve"> associated with the issues described above</w:t>
      </w:r>
      <w:r w:rsidR="005D0D8F" w:rsidRPr="00E44870">
        <w:rPr>
          <w:rFonts w:asciiTheme="minorHAnsi" w:hAnsiTheme="minorHAnsi"/>
          <w:snapToGrid w:val="0"/>
          <w:lang w:val="en-GB"/>
        </w:rPr>
        <w:t>.</w:t>
      </w:r>
      <w:bookmarkEnd w:id="86"/>
      <w:r w:rsidR="00F6759F">
        <w:rPr>
          <w:rFonts w:asciiTheme="minorHAnsi" w:hAnsiTheme="minorHAnsi"/>
          <w:snapToGrid w:val="0"/>
          <w:lang w:val="en-GB"/>
        </w:rPr>
        <w:t xml:space="preserve"> </w:t>
      </w:r>
    </w:p>
    <w:p w14:paraId="7CD31900" w14:textId="6BB33DFA" w:rsidR="00597475" w:rsidRDefault="006728F8" w:rsidP="00B4417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T</w:t>
      </w:r>
      <w:r w:rsidR="00462574">
        <w:rPr>
          <w:rFonts w:asciiTheme="minorHAnsi" w:hAnsiTheme="minorHAnsi"/>
          <w:snapToGrid w:val="0"/>
          <w:lang w:val="en-GB"/>
        </w:rPr>
        <w:t>he PBAC considered the</w:t>
      </w:r>
      <w:r w:rsidR="002E2504">
        <w:rPr>
          <w:rFonts w:asciiTheme="minorHAnsi" w:hAnsiTheme="minorHAnsi"/>
          <w:snapToGrid w:val="0"/>
          <w:lang w:val="en-GB"/>
        </w:rPr>
        <w:t xml:space="preserve"> economic</w:t>
      </w:r>
      <w:r w:rsidR="00462574">
        <w:rPr>
          <w:rFonts w:asciiTheme="minorHAnsi" w:hAnsiTheme="minorHAnsi"/>
          <w:snapToGrid w:val="0"/>
          <w:lang w:val="en-GB"/>
        </w:rPr>
        <w:t xml:space="preserve"> model </w:t>
      </w:r>
      <w:r w:rsidR="00404C00">
        <w:rPr>
          <w:rFonts w:asciiTheme="minorHAnsi" w:hAnsiTheme="minorHAnsi"/>
          <w:snapToGrid w:val="0"/>
          <w:lang w:val="en-GB"/>
        </w:rPr>
        <w:t xml:space="preserve">to be unreliable </w:t>
      </w:r>
      <w:r>
        <w:rPr>
          <w:rFonts w:asciiTheme="minorHAnsi" w:hAnsiTheme="minorHAnsi"/>
          <w:snapToGrid w:val="0"/>
          <w:lang w:val="en-GB"/>
        </w:rPr>
        <w:t>for the small number of relapsed/refractory patients who achieved remission</w:t>
      </w:r>
      <w:r w:rsidR="00920E2B">
        <w:rPr>
          <w:rFonts w:asciiTheme="minorHAnsi" w:hAnsiTheme="minorHAnsi"/>
          <w:snapToGrid w:val="0"/>
          <w:lang w:val="en-GB"/>
        </w:rPr>
        <w:t xml:space="preserve"> prior to post-maintenance therapy</w:t>
      </w:r>
      <w:r>
        <w:rPr>
          <w:rFonts w:asciiTheme="minorHAnsi" w:hAnsiTheme="minorHAnsi"/>
          <w:snapToGrid w:val="0"/>
          <w:lang w:val="en-GB"/>
        </w:rPr>
        <w:t xml:space="preserve"> (Stratum 2)</w:t>
      </w:r>
      <w:r w:rsidR="00404C00">
        <w:rPr>
          <w:rFonts w:asciiTheme="minorHAnsi" w:hAnsiTheme="minorHAnsi"/>
          <w:snapToGrid w:val="0"/>
          <w:lang w:val="en-GB"/>
        </w:rPr>
        <w:t xml:space="preserve">. </w:t>
      </w:r>
      <w:r w:rsidR="00841604">
        <w:rPr>
          <w:rFonts w:asciiTheme="minorHAnsi" w:hAnsiTheme="minorHAnsi"/>
          <w:snapToGrid w:val="0"/>
          <w:lang w:val="en-GB"/>
        </w:rPr>
        <w:t>I</w:t>
      </w:r>
      <w:r w:rsidR="00150504">
        <w:rPr>
          <w:rFonts w:asciiTheme="minorHAnsi" w:hAnsiTheme="minorHAnsi"/>
          <w:snapToGrid w:val="0"/>
          <w:lang w:val="en-GB"/>
        </w:rPr>
        <w:t xml:space="preserve">n </w:t>
      </w:r>
      <w:r w:rsidR="00150504" w:rsidRPr="00B44171">
        <w:rPr>
          <w:rFonts w:asciiTheme="minorHAnsi" w:hAnsiTheme="minorHAnsi"/>
          <w:snapToGrid w:val="0"/>
          <w:lang w:val="en-GB"/>
        </w:rPr>
        <w:t xml:space="preserve">the absence of any </w:t>
      </w:r>
      <w:r w:rsidR="00841604" w:rsidRPr="00B44171">
        <w:rPr>
          <w:rFonts w:asciiTheme="minorHAnsi" w:hAnsiTheme="minorHAnsi"/>
          <w:snapToGrid w:val="0"/>
          <w:lang w:val="en-GB"/>
        </w:rPr>
        <w:t xml:space="preserve">likely </w:t>
      </w:r>
      <w:r w:rsidR="0047510A" w:rsidRPr="00B44171">
        <w:rPr>
          <w:rFonts w:asciiTheme="minorHAnsi" w:hAnsiTheme="minorHAnsi"/>
          <w:snapToGrid w:val="0"/>
          <w:lang w:val="en-GB"/>
        </w:rPr>
        <w:t xml:space="preserve">forthcoming clinical evidence for this </w:t>
      </w:r>
      <w:r w:rsidR="00D460D3" w:rsidRPr="00B44171">
        <w:rPr>
          <w:rFonts w:asciiTheme="minorHAnsi" w:hAnsiTheme="minorHAnsi"/>
          <w:snapToGrid w:val="0"/>
          <w:lang w:val="en-GB"/>
        </w:rPr>
        <w:t xml:space="preserve">small </w:t>
      </w:r>
      <w:r w:rsidR="0047510A" w:rsidRPr="00B44171">
        <w:rPr>
          <w:rFonts w:asciiTheme="minorHAnsi" w:hAnsiTheme="minorHAnsi"/>
          <w:snapToGrid w:val="0"/>
          <w:lang w:val="en-GB"/>
        </w:rPr>
        <w:t>patient group</w:t>
      </w:r>
      <w:r w:rsidR="00DB751E" w:rsidRPr="00B44171">
        <w:rPr>
          <w:rFonts w:asciiTheme="minorHAnsi" w:hAnsiTheme="minorHAnsi"/>
          <w:snapToGrid w:val="0"/>
          <w:lang w:val="en-GB"/>
        </w:rPr>
        <w:t xml:space="preserve"> with a high clinical need, </w:t>
      </w:r>
      <w:r w:rsidR="00C71DDC" w:rsidRPr="00B44171">
        <w:rPr>
          <w:rFonts w:asciiTheme="minorHAnsi" w:hAnsiTheme="minorHAnsi"/>
          <w:snapToGrid w:val="0"/>
          <w:lang w:val="en-GB"/>
        </w:rPr>
        <w:t>the PBAC</w:t>
      </w:r>
      <w:r w:rsidR="00A91965" w:rsidRPr="00B44171">
        <w:rPr>
          <w:rFonts w:asciiTheme="minorHAnsi" w:hAnsiTheme="minorHAnsi"/>
          <w:snapToGrid w:val="0"/>
          <w:lang w:val="en-GB"/>
        </w:rPr>
        <w:t xml:space="preserve"> accepted that </w:t>
      </w:r>
      <w:r w:rsidR="00DB751E" w:rsidRPr="00B44171">
        <w:rPr>
          <w:rFonts w:asciiTheme="minorHAnsi" w:hAnsiTheme="minorHAnsi"/>
          <w:snapToGrid w:val="0"/>
          <w:lang w:val="en-GB"/>
        </w:rPr>
        <w:t>the cost-effectiveness</w:t>
      </w:r>
      <w:r w:rsidR="00D460D3" w:rsidRPr="00B44171">
        <w:rPr>
          <w:rFonts w:asciiTheme="minorHAnsi" w:hAnsiTheme="minorHAnsi"/>
          <w:snapToGrid w:val="0"/>
          <w:lang w:val="en-GB"/>
        </w:rPr>
        <w:t xml:space="preserve"> of ef</w:t>
      </w:r>
      <w:r w:rsidR="00185505" w:rsidRPr="00B44171">
        <w:rPr>
          <w:rFonts w:asciiTheme="minorHAnsi" w:hAnsiTheme="minorHAnsi"/>
          <w:snapToGrid w:val="0"/>
          <w:lang w:val="en-GB"/>
        </w:rPr>
        <w:t>l</w:t>
      </w:r>
      <w:r w:rsidR="00D460D3" w:rsidRPr="00B44171">
        <w:rPr>
          <w:rFonts w:asciiTheme="minorHAnsi" w:hAnsiTheme="minorHAnsi"/>
          <w:snapToGrid w:val="0"/>
          <w:lang w:val="en-GB"/>
        </w:rPr>
        <w:t>ornithine</w:t>
      </w:r>
      <w:r w:rsidR="004C35B4" w:rsidRPr="00B44171">
        <w:rPr>
          <w:rFonts w:asciiTheme="minorHAnsi" w:hAnsiTheme="minorHAnsi"/>
          <w:snapToGrid w:val="0"/>
          <w:lang w:val="en-GB"/>
        </w:rPr>
        <w:t xml:space="preserve"> in Stratum 2</w:t>
      </w:r>
      <w:r w:rsidR="00A26227" w:rsidRPr="00B44171">
        <w:rPr>
          <w:rFonts w:asciiTheme="minorHAnsi" w:hAnsiTheme="minorHAnsi"/>
          <w:snapToGrid w:val="0"/>
          <w:lang w:val="en-GB"/>
        </w:rPr>
        <w:t xml:space="preserve"> was likely to be comparable to </w:t>
      </w:r>
      <w:r w:rsidR="001826E4" w:rsidRPr="00B44171">
        <w:rPr>
          <w:rFonts w:asciiTheme="minorHAnsi" w:hAnsiTheme="minorHAnsi"/>
          <w:snapToGrid w:val="0"/>
          <w:lang w:val="en-GB"/>
        </w:rPr>
        <w:t>patients</w:t>
      </w:r>
      <w:r w:rsidR="00A26227" w:rsidRPr="00B44171">
        <w:rPr>
          <w:rFonts w:asciiTheme="minorHAnsi" w:hAnsiTheme="minorHAnsi"/>
          <w:snapToGrid w:val="0"/>
          <w:lang w:val="en-GB"/>
        </w:rPr>
        <w:t xml:space="preserve"> in Stratum 1 given that patients</w:t>
      </w:r>
      <w:r w:rsidR="00185505" w:rsidRPr="00B44171">
        <w:rPr>
          <w:rFonts w:asciiTheme="minorHAnsi" w:hAnsiTheme="minorHAnsi"/>
          <w:snapToGrid w:val="0"/>
          <w:lang w:val="en-GB"/>
        </w:rPr>
        <w:t xml:space="preserve"> in both strata</w:t>
      </w:r>
      <w:r w:rsidR="00A26227" w:rsidRPr="00B44171">
        <w:rPr>
          <w:rFonts w:asciiTheme="minorHAnsi" w:hAnsiTheme="minorHAnsi"/>
          <w:snapToGrid w:val="0"/>
          <w:lang w:val="en-GB"/>
        </w:rPr>
        <w:t xml:space="preserve"> were in remission when eflornithine was commenced.</w:t>
      </w:r>
      <w:r w:rsidR="00F6759F">
        <w:rPr>
          <w:rFonts w:asciiTheme="minorHAnsi" w:hAnsiTheme="minorHAnsi"/>
          <w:snapToGrid w:val="0"/>
          <w:lang w:val="en-GB"/>
        </w:rPr>
        <w:t xml:space="preserve"> </w:t>
      </w:r>
    </w:p>
    <w:p w14:paraId="05A65FFC" w14:textId="5D362183" w:rsidR="009839F5" w:rsidRDefault="00D20734">
      <w:pPr>
        <w:widowControl w:val="0"/>
        <w:numPr>
          <w:ilvl w:val="1"/>
          <w:numId w:val="1"/>
        </w:numPr>
        <w:spacing w:after="120"/>
        <w:rPr>
          <w:rFonts w:asciiTheme="minorHAnsi" w:hAnsiTheme="minorHAnsi"/>
          <w:snapToGrid w:val="0"/>
          <w:lang w:val="en-GB"/>
        </w:rPr>
      </w:pPr>
      <w:r w:rsidRPr="00E44870">
        <w:rPr>
          <w:rFonts w:asciiTheme="minorHAnsi" w:hAnsiTheme="minorHAnsi"/>
          <w:snapToGrid w:val="0"/>
          <w:lang w:val="en-GB"/>
        </w:rPr>
        <w:t>The PBAC noted the submission used an epidemiological approach to estimate the financial impact of listing eflornithine.</w:t>
      </w:r>
      <w:r w:rsidR="00F837E7" w:rsidRPr="00E44870">
        <w:rPr>
          <w:rFonts w:asciiTheme="minorHAnsi" w:hAnsiTheme="minorHAnsi"/>
          <w:snapToGrid w:val="0"/>
          <w:lang w:val="en-GB"/>
        </w:rPr>
        <w:t xml:space="preserve"> </w:t>
      </w:r>
      <w:r w:rsidRPr="00E44870">
        <w:rPr>
          <w:rFonts w:asciiTheme="minorHAnsi" w:hAnsiTheme="minorHAnsi"/>
          <w:snapToGrid w:val="0"/>
          <w:lang w:val="en-GB"/>
        </w:rPr>
        <w:t>The PBAC</w:t>
      </w:r>
      <w:r w:rsidR="003B1591" w:rsidRPr="00E44870">
        <w:rPr>
          <w:rFonts w:asciiTheme="minorHAnsi" w:hAnsiTheme="minorHAnsi"/>
          <w:snapToGrid w:val="0"/>
          <w:lang w:val="en-GB"/>
        </w:rPr>
        <w:t xml:space="preserve"> noted</w:t>
      </w:r>
      <w:r w:rsidRPr="00E44870">
        <w:rPr>
          <w:rFonts w:asciiTheme="minorHAnsi" w:hAnsiTheme="minorHAnsi"/>
          <w:snapToGrid w:val="0"/>
          <w:lang w:val="en-GB"/>
        </w:rPr>
        <w:t xml:space="preserve"> the approach likely overestimated the </w:t>
      </w:r>
      <w:r w:rsidR="003B1591" w:rsidRPr="00E44870">
        <w:rPr>
          <w:rFonts w:asciiTheme="minorHAnsi" w:hAnsiTheme="minorHAnsi"/>
          <w:snapToGrid w:val="0"/>
          <w:lang w:val="en-GB"/>
        </w:rPr>
        <w:t xml:space="preserve">incidence of neuroblastoma (see paragraph </w:t>
      </w:r>
      <w:r w:rsidR="003B1591" w:rsidRPr="00E44870">
        <w:rPr>
          <w:rFonts w:asciiTheme="minorHAnsi" w:hAnsiTheme="minorHAnsi"/>
          <w:snapToGrid w:val="0"/>
          <w:lang w:val="en-GB"/>
        </w:rPr>
        <w:fldChar w:fldCharType="begin" w:fldLock="1"/>
      </w:r>
      <w:r w:rsidR="003B1591" w:rsidRPr="00E44870">
        <w:rPr>
          <w:rFonts w:asciiTheme="minorHAnsi" w:hAnsiTheme="minorHAnsi"/>
          <w:snapToGrid w:val="0"/>
          <w:lang w:val="en-GB"/>
        </w:rPr>
        <w:instrText xml:space="preserve"> REF _Ref194493290 \r \h </w:instrText>
      </w:r>
      <w:r w:rsidR="001E0EFB" w:rsidRPr="00E44870">
        <w:rPr>
          <w:rFonts w:asciiTheme="minorHAnsi" w:hAnsiTheme="minorHAnsi"/>
          <w:snapToGrid w:val="0"/>
          <w:lang w:val="en-GB"/>
        </w:rPr>
        <w:instrText xml:space="preserve"> \* MERGEFORMAT </w:instrText>
      </w:r>
      <w:r w:rsidR="003B1591" w:rsidRPr="00E44870">
        <w:rPr>
          <w:rFonts w:asciiTheme="minorHAnsi" w:hAnsiTheme="minorHAnsi"/>
          <w:snapToGrid w:val="0"/>
          <w:lang w:val="en-GB"/>
        </w:rPr>
      </w:r>
      <w:r w:rsidR="003B1591" w:rsidRPr="00E44870">
        <w:rPr>
          <w:rFonts w:asciiTheme="minorHAnsi" w:hAnsiTheme="minorHAnsi"/>
          <w:snapToGrid w:val="0"/>
          <w:lang w:val="en-GB"/>
        </w:rPr>
        <w:fldChar w:fldCharType="separate"/>
      </w:r>
      <w:r w:rsidR="00AF2AB7" w:rsidRPr="00E44870">
        <w:rPr>
          <w:rFonts w:asciiTheme="minorHAnsi" w:hAnsiTheme="minorHAnsi"/>
          <w:snapToGrid w:val="0"/>
          <w:lang w:val="en-GB"/>
        </w:rPr>
        <w:t>6.62</w:t>
      </w:r>
      <w:r w:rsidR="003B1591" w:rsidRPr="00E44870">
        <w:rPr>
          <w:rFonts w:asciiTheme="minorHAnsi" w:hAnsiTheme="minorHAnsi"/>
          <w:snapToGrid w:val="0"/>
          <w:lang w:val="en-GB"/>
        </w:rPr>
        <w:fldChar w:fldCharType="end"/>
      </w:r>
      <w:r w:rsidR="003B1591" w:rsidRPr="00E44870">
        <w:rPr>
          <w:rFonts w:asciiTheme="minorHAnsi" w:hAnsiTheme="minorHAnsi"/>
          <w:snapToGrid w:val="0"/>
          <w:lang w:val="en-GB"/>
        </w:rPr>
        <w:t>) and the</w:t>
      </w:r>
      <w:r w:rsidR="002A0B96" w:rsidRPr="00E44870">
        <w:rPr>
          <w:rFonts w:asciiTheme="minorHAnsi" w:hAnsiTheme="minorHAnsi"/>
          <w:snapToGrid w:val="0"/>
          <w:lang w:val="en-GB"/>
        </w:rPr>
        <w:t xml:space="preserve">refore the incidence of HRNB. </w:t>
      </w:r>
      <w:r w:rsidR="00314DC4" w:rsidRPr="00E44870">
        <w:rPr>
          <w:rFonts w:asciiTheme="minorHAnsi" w:hAnsiTheme="minorHAnsi"/>
          <w:snapToGrid w:val="0"/>
          <w:lang w:val="en-GB"/>
        </w:rPr>
        <w:t xml:space="preserve">The PBAC advised the incidence of neuroblastoma should be </w:t>
      </w:r>
      <w:r w:rsidR="00E44870">
        <w:rPr>
          <w:rFonts w:asciiTheme="minorHAnsi" w:hAnsiTheme="minorHAnsi"/>
          <w:snapToGrid w:val="0"/>
          <w:lang w:val="en-GB"/>
        </w:rPr>
        <w:t>&lt; 500</w:t>
      </w:r>
      <w:r w:rsidR="00E44870" w:rsidRPr="00E44870">
        <w:rPr>
          <w:rFonts w:asciiTheme="minorHAnsi" w:hAnsiTheme="minorHAnsi"/>
          <w:snapToGrid w:val="0"/>
          <w:lang w:val="en-GB"/>
        </w:rPr>
        <w:t xml:space="preserve"> </w:t>
      </w:r>
      <w:r w:rsidR="00314DC4" w:rsidRPr="00E44870">
        <w:rPr>
          <w:rFonts w:asciiTheme="minorHAnsi" w:hAnsiTheme="minorHAnsi"/>
          <w:snapToGrid w:val="0"/>
          <w:lang w:val="en-GB"/>
        </w:rPr>
        <w:t xml:space="preserve">to </w:t>
      </w:r>
      <w:r w:rsidR="00E44870">
        <w:rPr>
          <w:rFonts w:asciiTheme="minorHAnsi" w:hAnsiTheme="minorHAnsi"/>
          <w:snapToGrid w:val="0"/>
          <w:lang w:val="en-GB"/>
        </w:rPr>
        <w:t>&lt; </w:t>
      </w:r>
      <w:r w:rsidR="00314DC4" w:rsidRPr="00E44870">
        <w:rPr>
          <w:rFonts w:asciiTheme="minorHAnsi" w:hAnsiTheme="minorHAnsi"/>
          <w:snapToGrid w:val="0"/>
          <w:lang w:val="en-GB"/>
        </w:rPr>
        <w:t>5</w:t>
      </w:r>
      <w:r w:rsidR="00E44870">
        <w:rPr>
          <w:rFonts w:asciiTheme="minorHAnsi" w:hAnsiTheme="minorHAnsi"/>
          <w:snapToGrid w:val="0"/>
          <w:lang w:val="en-GB"/>
        </w:rPr>
        <w:t>0</w:t>
      </w:r>
      <w:r w:rsidR="00314DC4" w:rsidRPr="00E44870">
        <w:rPr>
          <w:rFonts w:asciiTheme="minorHAnsi" w:hAnsiTheme="minorHAnsi"/>
          <w:snapToGrid w:val="0"/>
          <w:lang w:val="en-GB"/>
        </w:rPr>
        <w:t>0 patients per year</w:t>
      </w:r>
      <w:r w:rsidR="008076DC" w:rsidRPr="00E44870">
        <w:rPr>
          <w:rFonts w:asciiTheme="minorHAnsi" w:hAnsiTheme="minorHAnsi"/>
          <w:snapToGrid w:val="0"/>
          <w:lang w:val="en-GB"/>
        </w:rPr>
        <w:t xml:space="preserve"> and this would result in approximately </w:t>
      </w:r>
      <w:r w:rsidR="00E44870">
        <w:rPr>
          <w:rFonts w:asciiTheme="minorHAnsi" w:hAnsiTheme="minorHAnsi"/>
          <w:snapToGrid w:val="0"/>
          <w:lang w:val="en-GB"/>
        </w:rPr>
        <w:t>&lt; </w:t>
      </w:r>
      <w:r w:rsidR="008076DC" w:rsidRPr="00E44870">
        <w:rPr>
          <w:rFonts w:asciiTheme="minorHAnsi" w:hAnsiTheme="minorHAnsi"/>
          <w:snapToGrid w:val="0"/>
          <w:lang w:val="en-GB"/>
        </w:rPr>
        <w:t>5</w:t>
      </w:r>
      <w:r w:rsidR="00E44870">
        <w:rPr>
          <w:rFonts w:asciiTheme="minorHAnsi" w:hAnsiTheme="minorHAnsi"/>
          <w:snapToGrid w:val="0"/>
          <w:lang w:val="en-GB"/>
        </w:rPr>
        <w:t>00</w:t>
      </w:r>
      <w:r w:rsidR="008076DC" w:rsidRPr="00E44870">
        <w:rPr>
          <w:rFonts w:asciiTheme="minorHAnsi" w:hAnsiTheme="minorHAnsi"/>
          <w:snapToGrid w:val="0"/>
          <w:lang w:val="en-GB"/>
        </w:rPr>
        <w:t xml:space="preserve"> to </w:t>
      </w:r>
      <w:r w:rsidR="00E44870">
        <w:rPr>
          <w:rFonts w:asciiTheme="minorHAnsi" w:hAnsiTheme="minorHAnsi"/>
          <w:snapToGrid w:val="0"/>
          <w:lang w:val="en-GB"/>
        </w:rPr>
        <w:t>&lt; 500</w:t>
      </w:r>
      <w:r w:rsidR="00E44870" w:rsidRPr="00E44870">
        <w:rPr>
          <w:rFonts w:asciiTheme="minorHAnsi" w:hAnsiTheme="minorHAnsi"/>
          <w:snapToGrid w:val="0"/>
          <w:lang w:val="en-GB"/>
        </w:rPr>
        <w:t xml:space="preserve"> </w:t>
      </w:r>
      <w:r w:rsidR="008076DC" w:rsidRPr="00E44870">
        <w:rPr>
          <w:rFonts w:asciiTheme="minorHAnsi" w:hAnsiTheme="minorHAnsi"/>
          <w:snapToGrid w:val="0"/>
          <w:lang w:val="en-GB"/>
        </w:rPr>
        <w:t xml:space="preserve">HRNB patients initiating treatment with eflornithine per </w:t>
      </w:r>
      <w:r w:rsidR="00522A7A" w:rsidRPr="00E44870">
        <w:rPr>
          <w:rFonts w:asciiTheme="minorHAnsi" w:hAnsiTheme="minorHAnsi"/>
          <w:snapToGrid w:val="0"/>
          <w:lang w:val="en-GB"/>
        </w:rPr>
        <w:t>year. The</w:t>
      </w:r>
      <w:r w:rsidR="000B748E" w:rsidRPr="00E44870">
        <w:rPr>
          <w:rFonts w:asciiTheme="minorHAnsi" w:hAnsiTheme="minorHAnsi"/>
          <w:snapToGrid w:val="0"/>
          <w:lang w:val="en-GB"/>
        </w:rPr>
        <w:t xml:space="preserve"> PBAC advised the average treatment duration should be reduced from 2 years to 1.72</w:t>
      </w:r>
      <w:r w:rsidR="005C33E6">
        <w:rPr>
          <w:rFonts w:asciiTheme="minorHAnsi" w:hAnsiTheme="minorHAnsi"/>
          <w:snapToGrid w:val="0"/>
          <w:lang w:val="en-GB"/>
        </w:rPr>
        <w:t> </w:t>
      </w:r>
      <w:r w:rsidR="000B748E" w:rsidRPr="00E44870">
        <w:rPr>
          <w:rFonts w:asciiTheme="minorHAnsi" w:hAnsiTheme="minorHAnsi"/>
          <w:snapToGrid w:val="0"/>
          <w:lang w:val="en-GB"/>
        </w:rPr>
        <w:t xml:space="preserve">years for consistency with the economic model (see paragraph </w:t>
      </w:r>
      <w:r w:rsidR="000B748E" w:rsidRPr="00E44870">
        <w:rPr>
          <w:rFonts w:asciiTheme="minorHAnsi" w:hAnsiTheme="minorHAnsi"/>
          <w:snapToGrid w:val="0"/>
          <w:lang w:val="en-GB"/>
        </w:rPr>
        <w:fldChar w:fldCharType="begin" w:fldLock="1"/>
      </w:r>
      <w:r w:rsidR="000B748E" w:rsidRPr="00E44870">
        <w:rPr>
          <w:rFonts w:asciiTheme="minorHAnsi" w:hAnsiTheme="minorHAnsi"/>
          <w:snapToGrid w:val="0"/>
          <w:lang w:val="en-GB"/>
        </w:rPr>
        <w:instrText xml:space="preserve"> REF _Ref194666001 \r \h </w:instrText>
      </w:r>
      <w:r w:rsidR="00E44870">
        <w:rPr>
          <w:rFonts w:asciiTheme="minorHAnsi" w:hAnsiTheme="minorHAnsi"/>
          <w:snapToGrid w:val="0"/>
          <w:lang w:val="en-GB"/>
        </w:rPr>
        <w:instrText xml:space="preserve"> \* MERGEFORMAT </w:instrText>
      </w:r>
      <w:r w:rsidR="000B748E" w:rsidRPr="00E44870">
        <w:rPr>
          <w:rFonts w:asciiTheme="minorHAnsi" w:hAnsiTheme="minorHAnsi"/>
          <w:snapToGrid w:val="0"/>
          <w:lang w:val="en-GB"/>
        </w:rPr>
      </w:r>
      <w:r w:rsidR="000B748E" w:rsidRPr="00E44870">
        <w:rPr>
          <w:rFonts w:asciiTheme="minorHAnsi" w:hAnsiTheme="minorHAnsi"/>
          <w:snapToGrid w:val="0"/>
          <w:lang w:val="en-GB"/>
        </w:rPr>
        <w:fldChar w:fldCharType="separate"/>
      </w:r>
      <w:r w:rsidR="000B748E" w:rsidRPr="00E44870">
        <w:rPr>
          <w:rFonts w:asciiTheme="minorHAnsi" w:hAnsiTheme="minorHAnsi"/>
          <w:snapToGrid w:val="0"/>
          <w:lang w:val="en-GB"/>
        </w:rPr>
        <w:t>6.61</w:t>
      </w:r>
      <w:r w:rsidR="000B748E" w:rsidRPr="00E44870">
        <w:rPr>
          <w:rFonts w:asciiTheme="minorHAnsi" w:hAnsiTheme="minorHAnsi"/>
          <w:snapToGrid w:val="0"/>
          <w:lang w:val="en-GB"/>
        </w:rPr>
        <w:fldChar w:fldCharType="end"/>
      </w:r>
      <w:r w:rsidR="000B748E" w:rsidRPr="00E44870">
        <w:rPr>
          <w:rFonts w:asciiTheme="minorHAnsi" w:hAnsiTheme="minorHAnsi"/>
          <w:snapToGrid w:val="0"/>
          <w:lang w:val="en-GB"/>
        </w:rPr>
        <w:t xml:space="preserve">). </w:t>
      </w:r>
      <w:r w:rsidR="005E5F21" w:rsidRPr="00E44870">
        <w:rPr>
          <w:rFonts w:asciiTheme="minorHAnsi" w:hAnsiTheme="minorHAnsi"/>
          <w:snapToGrid w:val="0"/>
          <w:lang w:val="en-GB"/>
        </w:rPr>
        <w:t xml:space="preserve">The PBAC advised the treatment duration for the </w:t>
      </w:r>
      <w:r w:rsidR="00E44870">
        <w:rPr>
          <w:rFonts w:asciiTheme="minorHAnsi" w:hAnsiTheme="minorHAnsi"/>
          <w:snapToGrid w:val="0"/>
          <w:lang w:val="en-GB"/>
        </w:rPr>
        <w:t>&lt; </w:t>
      </w:r>
      <w:r w:rsidR="005E5F21" w:rsidRPr="00E44870">
        <w:rPr>
          <w:rFonts w:asciiTheme="minorHAnsi" w:hAnsiTheme="minorHAnsi"/>
          <w:snapToGrid w:val="0"/>
          <w:lang w:val="en-GB"/>
        </w:rPr>
        <w:t>5</w:t>
      </w:r>
      <w:r w:rsidR="00E44870">
        <w:rPr>
          <w:rFonts w:asciiTheme="minorHAnsi" w:hAnsiTheme="minorHAnsi"/>
          <w:snapToGrid w:val="0"/>
          <w:lang w:val="en-GB"/>
        </w:rPr>
        <w:t>00</w:t>
      </w:r>
      <w:r w:rsidR="005E5F21" w:rsidRPr="00E44870">
        <w:rPr>
          <w:rFonts w:asciiTheme="minorHAnsi" w:hAnsiTheme="minorHAnsi"/>
          <w:snapToGrid w:val="0"/>
          <w:lang w:val="en-GB"/>
        </w:rPr>
        <w:t xml:space="preserve"> patients expected to transition to PBS subsidised treatment should be assumed to be </w:t>
      </w:r>
      <w:r w:rsidR="00A63105" w:rsidRPr="00E44870">
        <w:rPr>
          <w:rFonts w:asciiTheme="minorHAnsi" w:hAnsiTheme="minorHAnsi"/>
          <w:snapToGrid w:val="0"/>
          <w:lang w:val="en-GB"/>
        </w:rPr>
        <w:t xml:space="preserve">less than </w:t>
      </w:r>
      <w:r w:rsidR="0035420C" w:rsidRPr="00E44870">
        <w:rPr>
          <w:rFonts w:asciiTheme="minorHAnsi" w:hAnsiTheme="minorHAnsi"/>
          <w:snapToGrid w:val="0"/>
          <w:lang w:val="en-GB"/>
        </w:rPr>
        <w:t>1.72</w:t>
      </w:r>
      <w:r w:rsidR="00A63105" w:rsidRPr="00E44870">
        <w:rPr>
          <w:rFonts w:asciiTheme="minorHAnsi" w:hAnsiTheme="minorHAnsi"/>
          <w:snapToGrid w:val="0"/>
          <w:lang w:val="en-GB"/>
        </w:rPr>
        <w:t xml:space="preserve"> years to account for treatment</w:t>
      </w:r>
      <w:r w:rsidR="00A63105">
        <w:rPr>
          <w:rFonts w:asciiTheme="minorHAnsi" w:hAnsiTheme="minorHAnsi"/>
          <w:snapToGrid w:val="0"/>
          <w:lang w:val="en-GB"/>
        </w:rPr>
        <w:t xml:space="preserve"> already received.</w:t>
      </w:r>
      <w:r w:rsidR="00F6759F">
        <w:rPr>
          <w:rFonts w:asciiTheme="minorHAnsi" w:hAnsiTheme="minorHAnsi"/>
          <w:snapToGrid w:val="0"/>
          <w:lang w:val="en-GB"/>
        </w:rPr>
        <w:t xml:space="preserve"> </w:t>
      </w:r>
    </w:p>
    <w:p w14:paraId="181E918E" w14:textId="5C491EB6" w:rsidR="00E058E9" w:rsidRPr="00F7645D" w:rsidRDefault="00E058E9">
      <w:pPr>
        <w:widowControl w:val="0"/>
        <w:numPr>
          <w:ilvl w:val="1"/>
          <w:numId w:val="1"/>
        </w:numPr>
        <w:spacing w:after="120"/>
        <w:rPr>
          <w:rFonts w:asciiTheme="minorHAnsi" w:hAnsiTheme="minorHAnsi"/>
          <w:snapToGrid w:val="0"/>
        </w:rPr>
      </w:pPr>
      <w:r w:rsidRPr="01B20B80">
        <w:rPr>
          <w:rFonts w:asciiTheme="minorHAnsi" w:hAnsiTheme="minorHAnsi"/>
          <w:snapToGrid w:val="0"/>
        </w:rPr>
        <w:t>The PBAC considered</w:t>
      </w:r>
      <w:r w:rsidR="005C5CBB" w:rsidRPr="01B20B80">
        <w:rPr>
          <w:rFonts w:asciiTheme="minorHAnsi" w:hAnsiTheme="minorHAnsi"/>
          <w:snapToGrid w:val="0"/>
        </w:rPr>
        <w:t xml:space="preserve"> that</w:t>
      </w:r>
      <w:r w:rsidR="009F0666" w:rsidRPr="01B20B80">
        <w:rPr>
          <w:rFonts w:asciiTheme="minorHAnsi" w:hAnsiTheme="minorHAnsi"/>
          <w:snapToGrid w:val="0"/>
        </w:rPr>
        <w:t>,</w:t>
      </w:r>
      <w:r w:rsidR="005C5CBB" w:rsidRPr="01B20B80">
        <w:rPr>
          <w:rFonts w:asciiTheme="minorHAnsi" w:hAnsiTheme="minorHAnsi"/>
          <w:snapToGrid w:val="0"/>
        </w:rPr>
        <w:t xml:space="preserve"> with the amendments to the restriction criteria outlined in paragraph </w:t>
      </w:r>
      <w:r w:rsidR="005C5CBB">
        <w:rPr>
          <w:rFonts w:asciiTheme="minorHAnsi" w:hAnsiTheme="minorHAnsi"/>
          <w:snapToGrid w:val="0"/>
          <w:lang w:val="en-GB"/>
        </w:rPr>
        <w:fldChar w:fldCharType="begin" w:fldLock="1"/>
      </w:r>
      <w:r w:rsidR="005C5CBB">
        <w:rPr>
          <w:rFonts w:asciiTheme="minorHAnsi" w:hAnsiTheme="minorHAnsi"/>
          <w:snapToGrid w:val="0"/>
          <w:lang w:val="en-GB"/>
        </w:rPr>
        <w:instrText xml:space="preserve"> REF _Ref194920907 \r \h </w:instrText>
      </w:r>
      <w:r w:rsidR="005C5CBB">
        <w:rPr>
          <w:rFonts w:asciiTheme="minorHAnsi" w:hAnsiTheme="minorHAnsi"/>
          <w:snapToGrid w:val="0"/>
          <w:lang w:val="en-GB"/>
        </w:rPr>
      </w:r>
      <w:r w:rsidR="005C5CBB">
        <w:rPr>
          <w:rFonts w:asciiTheme="minorHAnsi" w:hAnsiTheme="minorHAnsi"/>
          <w:snapToGrid w:val="0"/>
          <w:lang w:val="en-GB"/>
        </w:rPr>
        <w:fldChar w:fldCharType="separate"/>
      </w:r>
      <w:r w:rsidR="005C5CBB" w:rsidRPr="01B20B80">
        <w:rPr>
          <w:rFonts w:asciiTheme="minorHAnsi" w:hAnsiTheme="minorHAnsi"/>
          <w:snapToGrid w:val="0"/>
        </w:rPr>
        <w:t>7.5</w:t>
      </w:r>
      <w:r w:rsidR="005C5CBB">
        <w:rPr>
          <w:rFonts w:asciiTheme="minorHAnsi" w:hAnsiTheme="minorHAnsi"/>
          <w:snapToGrid w:val="0"/>
          <w:lang w:val="en-GB"/>
        </w:rPr>
        <w:fldChar w:fldCharType="end"/>
      </w:r>
      <w:r w:rsidR="005C5CBB" w:rsidRPr="01B20B80">
        <w:rPr>
          <w:rFonts w:asciiTheme="minorHAnsi" w:hAnsiTheme="minorHAnsi"/>
          <w:snapToGrid w:val="0"/>
        </w:rPr>
        <w:t>,</w:t>
      </w:r>
      <w:r w:rsidRPr="01B20B80">
        <w:rPr>
          <w:rFonts w:asciiTheme="minorHAnsi" w:hAnsiTheme="minorHAnsi"/>
          <w:snapToGrid w:val="0"/>
        </w:rPr>
        <w:t xml:space="preserve"> there was minimal risk of use outside the proposed </w:t>
      </w:r>
      <w:r w:rsidR="00E056C2" w:rsidRPr="01B20B80">
        <w:rPr>
          <w:rFonts w:asciiTheme="minorHAnsi" w:hAnsiTheme="minorHAnsi"/>
          <w:snapToGrid w:val="0"/>
        </w:rPr>
        <w:t xml:space="preserve">patient </w:t>
      </w:r>
      <w:r w:rsidRPr="01B20B80">
        <w:rPr>
          <w:rFonts w:asciiTheme="minorHAnsi" w:hAnsiTheme="minorHAnsi"/>
          <w:snapToGrid w:val="0"/>
        </w:rPr>
        <w:t>population</w:t>
      </w:r>
      <w:r w:rsidR="00E056C2" w:rsidRPr="01B20B80">
        <w:rPr>
          <w:rFonts w:asciiTheme="minorHAnsi" w:hAnsiTheme="minorHAnsi"/>
          <w:snapToGrid w:val="0"/>
        </w:rPr>
        <w:t xml:space="preserve"> and a risk sharing arrangement was not required.</w:t>
      </w:r>
      <w:r w:rsidR="00F6759F">
        <w:rPr>
          <w:rFonts w:asciiTheme="minorHAnsi" w:hAnsiTheme="minorHAnsi"/>
          <w:snapToGrid w:val="0"/>
        </w:rPr>
        <w:t xml:space="preserve"> </w:t>
      </w:r>
    </w:p>
    <w:p w14:paraId="1A5A4F24" w14:textId="086C84FE" w:rsidR="00DC5C35" w:rsidRPr="001A5252" w:rsidRDefault="00240160" w:rsidP="001A5252">
      <w:pPr>
        <w:pStyle w:val="3-BodyText"/>
        <w:rPr>
          <w:lang w:val="en-GB"/>
        </w:rPr>
      </w:pPr>
      <w:r w:rsidRPr="00525B39">
        <w:rPr>
          <w:lang w:val="en-GB"/>
        </w:rPr>
        <w:t xml:space="preserve">The PBAC recommended that </w:t>
      </w:r>
      <w:r>
        <w:rPr>
          <w:lang w:val="en-GB"/>
        </w:rPr>
        <w:t>eflornithine</w:t>
      </w:r>
      <w:r w:rsidRPr="00525B39">
        <w:rPr>
          <w:lang w:val="en-GB"/>
        </w:rPr>
        <w:t xml:space="preserve"> should</w:t>
      </w:r>
      <w:r>
        <w:rPr>
          <w:lang w:val="en-GB"/>
        </w:rPr>
        <w:t xml:space="preserve"> not</w:t>
      </w:r>
      <w:r w:rsidRPr="00525B39">
        <w:rPr>
          <w:lang w:val="en-GB"/>
        </w:rPr>
        <w:t xml:space="preserve"> be treated as interchangeable with any other drugs</w:t>
      </w:r>
      <w:r w:rsidR="00650B58">
        <w:rPr>
          <w:lang w:val="en-GB"/>
        </w:rPr>
        <w:t xml:space="preserve"> </w:t>
      </w:r>
      <w:r w:rsidR="00650B58" w:rsidRPr="001C25C2">
        <w:rPr>
          <w:rFonts w:eastAsiaTheme="minorHAnsi" w:cstheme="minorBidi"/>
          <w:color w:val="000000" w:themeColor="text1"/>
        </w:rPr>
        <w:t xml:space="preserve">under Section 101 (3BA) of the </w:t>
      </w:r>
      <w:r w:rsidR="00650B58" w:rsidRPr="001C25C2">
        <w:rPr>
          <w:rFonts w:eastAsiaTheme="minorHAnsi" w:cstheme="minorBidi"/>
          <w:i/>
          <w:color w:val="000000" w:themeColor="text1"/>
        </w:rPr>
        <w:t>National Health Act 1953</w:t>
      </w:r>
      <w:r w:rsidR="00650B58" w:rsidRPr="006E0938">
        <w:rPr>
          <w:bCs/>
          <w:lang w:val="en-GB"/>
        </w:rPr>
        <w:t>.</w:t>
      </w:r>
    </w:p>
    <w:p w14:paraId="159AD346" w14:textId="0A76E14A" w:rsidR="00DC5C35" w:rsidRPr="00525B39" w:rsidRDefault="007A51E7" w:rsidP="00DC5C35">
      <w:pPr>
        <w:widowControl w:val="0"/>
        <w:numPr>
          <w:ilvl w:val="1"/>
          <w:numId w:val="1"/>
        </w:numPr>
        <w:spacing w:after="120"/>
        <w:rPr>
          <w:rFonts w:asciiTheme="minorHAnsi" w:hAnsiTheme="minorHAnsi"/>
          <w:bCs/>
          <w:snapToGrid w:val="0"/>
          <w:lang w:val="en-GB"/>
        </w:rPr>
      </w:pPr>
      <w:r w:rsidRPr="007A51E7">
        <w:rPr>
          <w:rFonts w:asciiTheme="minorHAnsi" w:hAnsiTheme="minorHAnsi"/>
          <w:bCs/>
          <w:snapToGrid w:val="0"/>
          <w:lang w:val="en-GB"/>
        </w:rPr>
        <w:t>The PBAC advised that eflornithine is not suitable for prescribing by nurse practitioners</w:t>
      </w:r>
      <w:r w:rsidR="00A241CE">
        <w:rPr>
          <w:rFonts w:asciiTheme="minorHAnsi" w:hAnsiTheme="minorHAnsi"/>
          <w:bCs/>
          <w:snapToGrid w:val="0"/>
          <w:lang w:val="en-GB"/>
        </w:rPr>
        <w:t>.</w:t>
      </w:r>
      <w:r w:rsidR="00F665A0">
        <w:rPr>
          <w:rFonts w:asciiTheme="minorHAnsi" w:hAnsiTheme="minorHAnsi"/>
          <w:bCs/>
          <w:snapToGrid w:val="0"/>
          <w:lang w:val="en-GB"/>
        </w:rPr>
        <w:t xml:space="preserve"> </w:t>
      </w:r>
      <w:r w:rsidR="00F665A0" w:rsidRPr="00D8553E">
        <w:rPr>
          <w:rFonts w:asciiTheme="minorHAnsi" w:hAnsiTheme="minorHAnsi"/>
          <w:bCs/>
          <w:snapToGrid w:val="0"/>
          <w:lang w:val="en-GB"/>
        </w:rPr>
        <w:t xml:space="preserve">The PBAC advised that </w:t>
      </w:r>
      <w:r w:rsidR="00F665A0">
        <w:rPr>
          <w:rFonts w:asciiTheme="minorHAnsi" w:hAnsiTheme="minorHAnsi"/>
          <w:bCs/>
          <w:snapToGrid w:val="0"/>
          <w:lang w:val="en-GB"/>
        </w:rPr>
        <w:t>eflornithine</w:t>
      </w:r>
      <w:r w:rsidR="00F665A0" w:rsidRPr="00D8553E">
        <w:rPr>
          <w:rFonts w:asciiTheme="minorHAnsi" w:hAnsiTheme="minorHAnsi"/>
          <w:bCs/>
          <w:snapToGrid w:val="0"/>
          <w:lang w:val="en-GB"/>
        </w:rPr>
        <w:t xml:space="preserve"> is suitable</w:t>
      </w:r>
      <w:r w:rsidR="00F665A0">
        <w:rPr>
          <w:rFonts w:asciiTheme="minorHAnsi" w:hAnsiTheme="minorHAnsi"/>
          <w:bCs/>
          <w:snapToGrid w:val="0"/>
          <w:lang w:val="en-GB"/>
        </w:rPr>
        <w:t xml:space="preserve"> for prescribing by medical practitioners only.</w:t>
      </w:r>
    </w:p>
    <w:p w14:paraId="1BA5F058" w14:textId="4BEBB54B" w:rsidR="00883F76" w:rsidRPr="00BA6327" w:rsidRDefault="002A109B" w:rsidP="00BA6327">
      <w:pPr>
        <w:widowControl w:val="0"/>
        <w:numPr>
          <w:ilvl w:val="1"/>
          <w:numId w:val="1"/>
        </w:numPr>
        <w:spacing w:after="120"/>
        <w:rPr>
          <w:rFonts w:asciiTheme="minorHAnsi" w:hAnsiTheme="minorHAnsi"/>
          <w:bCs/>
          <w:snapToGrid w:val="0"/>
          <w:lang w:val="en-GB"/>
        </w:rPr>
      </w:pPr>
      <w:r w:rsidRPr="002A109B">
        <w:rPr>
          <w:rFonts w:asciiTheme="minorHAnsi" w:hAnsiTheme="minorHAnsi"/>
          <w:bCs/>
          <w:snapToGrid w:val="0"/>
          <w:lang w:val="en-GB"/>
        </w:rPr>
        <w:t>The proposed dosing schedule is based on BSA</w:t>
      </w:r>
      <w:r w:rsidR="00CC1A1A">
        <w:rPr>
          <w:rFonts w:asciiTheme="minorHAnsi" w:hAnsiTheme="minorHAnsi"/>
          <w:bCs/>
          <w:snapToGrid w:val="0"/>
          <w:lang w:val="en-GB"/>
        </w:rPr>
        <w:t>,</w:t>
      </w:r>
      <w:r w:rsidRPr="002A109B">
        <w:rPr>
          <w:rFonts w:asciiTheme="minorHAnsi" w:hAnsiTheme="minorHAnsi"/>
          <w:bCs/>
          <w:snapToGrid w:val="0"/>
          <w:lang w:val="en-GB"/>
        </w:rPr>
        <w:t xml:space="preserve"> which is likely to change particularly in young children. Based on this</w:t>
      </w:r>
      <w:r w:rsidR="00CC1A1A">
        <w:rPr>
          <w:rFonts w:asciiTheme="minorHAnsi" w:hAnsiTheme="minorHAnsi"/>
          <w:bCs/>
          <w:snapToGrid w:val="0"/>
          <w:lang w:val="en-GB"/>
        </w:rPr>
        <w:t>,</w:t>
      </w:r>
      <w:r w:rsidRPr="002A109B">
        <w:rPr>
          <w:rFonts w:asciiTheme="minorHAnsi" w:hAnsiTheme="minorHAnsi"/>
          <w:bCs/>
          <w:snapToGrid w:val="0"/>
          <w:lang w:val="en-GB"/>
        </w:rPr>
        <w:t xml:space="preserve"> the </w:t>
      </w:r>
      <w:r w:rsidR="00832F8C">
        <w:rPr>
          <w:rFonts w:asciiTheme="minorHAnsi" w:hAnsiTheme="minorHAnsi"/>
          <w:bCs/>
          <w:snapToGrid w:val="0"/>
          <w:lang w:val="en-GB"/>
        </w:rPr>
        <w:t xml:space="preserve">PBAC advised the </w:t>
      </w:r>
      <w:r w:rsidRPr="002A109B">
        <w:rPr>
          <w:rFonts w:asciiTheme="minorHAnsi" w:hAnsiTheme="minorHAnsi"/>
          <w:bCs/>
          <w:snapToGrid w:val="0"/>
          <w:lang w:val="en-GB"/>
        </w:rPr>
        <w:t>Early Supply Rule should not apply.</w:t>
      </w:r>
    </w:p>
    <w:p w14:paraId="601CB9F7" w14:textId="019AA1C8" w:rsidR="00B86F6E" w:rsidRPr="003F563C" w:rsidRDefault="00B86F6E" w:rsidP="00B86F6E">
      <w:pPr>
        <w:widowControl w:val="0"/>
        <w:numPr>
          <w:ilvl w:val="1"/>
          <w:numId w:val="1"/>
        </w:numPr>
        <w:spacing w:after="120"/>
        <w:rPr>
          <w:rFonts w:asciiTheme="minorHAnsi" w:hAnsiTheme="minorHAnsi" w:cstheme="minorHAnsi"/>
        </w:rPr>
      </w:pPr>
      <w:r w:rsidRPr="003F563C">
        <w:rPr>
          <w:rFonts w:asciiTheme="minorHAnsi" w:hAnsiTheme="minorHAnsi" w:cstheme="minorHAnsi"/>
          <w:lang w:val="en-GB"/>
        </w:rPr>
        <w:t xml:space="preserve">The PBAC found that the criteria prescribed by the </w:t>
      </w:r>
      <w:r w:rsidRPr="003F563C">
        <w:rPr>
          <w:rFonts w:asciiTheme="minorHAnsi" w:hAnsiTheme="minorHAnsi" w:cstheme="minorHAnsi"/>
          <w:i/>
          <w:lang w:val="en-GB"/>
        </w:rPr>
        <w:t>National Health (Pharmaceuticals and Vaccines – Cost Recovery) Regulations 2022</w:t>
      </w:r>
      <w:r w:rsidRPr="003F563C">
        <w:rPr>
          <w:rFonts w:asciiTheme="minorHAnsi" w:hAnsiTheme="minorHAnsi" w:cstheme="minorHAnsi"/>
          <w:lang w:val="en-GB"/>
        </w:rPr>
        <w:t xml:space="preserve"> for Pricing Pathway A were met. Specifically</w:t>
      </w:r>
      <w:r>
        <w:rPr>
          <w:rFonts w:asciiTheme="minorHAnsi" w:hAnsiTheme="minorHAnsi" w:cstheme="minorHAnsi"/>
          <w:lang w:val="en-GB"/>
        </w:rPr>
        <w:t>,</w:t>
      </w:r>
      <w:r w:rsidRPr="003F563C">
        <w:rPr>
          <w:rFonts w:asciiTheme="minorHAnsi" w:hAnsiTheme="minorHAnsi" w:cstheme="minorHAnsi"/>
          <w:lang w:val="en-GB"/>
        </w:rPr>
        <w:t xml:space="preserve"> the PBAC found that in the circumstances of its recommendation for </w:t>
      </w:r>
      <w:r>
        <w:rPr>
          <w:rFonts w:asciiTheme="minorHAnsi" w:hAnsiTheme="minorHAnsi" w:cstheme="minorHAnsi"/>
          <w:lang w:val="en-GB"/>
        </w:rPr>
        <w:t>ef</w:t>
      </w:r>
      <w:r w:rsidR="00136C46">
        <w:rPr>
          <w:rFonts w:asciiTheme="minorHAnsi" w:hAnsiTheme="minorHAnsi" w:cstheme="minorHAnsi"/>
          <w:lang w:val="en-GB"/>
        </w:rPr>
        <w:t>l</w:t>
      </w:r>
      <w:r>
        <w:rPr>
          <w:rFonts w:asciiTheme="minorHAnsi" w:hAnsiTheme="minorHAnsi" w:cstheme="minorHAnsi"/>
          <w:lang w:val="en-GB"/>
        </w:rPr>
        <w:t>ornithine</w:t>
      </w:r>
      <w:r w:rsidRPr="003F563C">
        <w:rPr>
          <w:rFonts w:asciiTheme="minorHAnsi" w:hAnsiTheme="minorHAnsi" w:cstheme="minorHAnsi"/>
          <w:lang w:val="en-GB"/>
        </w:rPr>
        <w:t>:</w:t>
      </w:r>
    </w:p>
    <w:p w14:paraId="49172228" w14:textId="2E59F622" w:rsidR="00B86F6E" w:rsidRPr="00763DFB" w:rsidRDefault="00B86F6E" w:rsidP="00D01EE3">
      <w:pPr>
        <w:widowControl w:val="0"/>
        <w:numPr>
          <w:ilvl w:val="1"/>
          <w:numId w:val="31"/>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w:t>
      </w:r>
      <w:r>
        <w:rPr>
          <w:rFonts w:asciiTheme="minorHAnsi" w:hAnsiTheme="minorHAnsi" w:cstheme="minorHAnsi"/>
          <w:lang w:val="en-GB"/>
        </w:rPr>
        <w:t>is</w:t>
      </w:r>
      <w:r w:rsidRPr="00763DFB">
        <w:rPr>
          <w:rFonts w:asciiTheme="minorHAnsi" w:hAnsiTheme="minorHAnsi" w:cstheme="minorHAnsi"/>
          <w:lang w:val="en-GB"/>
        </w:rPr>
        <w:t xml:space="preserve"> expected to provide a substantial and clinically relevant improvement in efficacy over alternative therapies on the basis of</w:t>
      </w:r>
      <w:r>
        <w:rPr>
          <w:rFonts w:asciiTheme="minorHAnsi" w:hAnsiTheme="minorHAnsi" w:cstheme="minorHAnsi"/>
          <w:lang w:val="en-GB"/>
        </w:rPr>
        <w:t xml:space="preserve"> superior comparative effectiveness over SOC</w:t>
      </w:r>
      <w:r w:rsidRPr="00763DFB">
        <w:rPr>
          <w:rFonts w:asciiTheme="minorHAnsi" w:hAnsiTheme="minorHAnsi" w:cstheme="minorHAnsi"/>
          <w:lang w:val="en-GB"/>
        </w:rPr>
        <w:t xml:space="preserve">; </w:t>
      </w:r>
    </w:p>
    <w:p w14:paraId="178621D0" w14:textId="77777777" w:rsidR="00B86F6E" w:rsidRPr="008F1233" w:rsidRDefault="00B86F6E" w:rsidP="00D01EE3">
      <w:pPr>
        <w:widowControl w:val="0"/>
        <w:numPr>
          <w:ilvl w:val="1"/>
          <w:numId w:val="31"/>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Pr>
          <w:rFonts w:asciiTheme="minorHAnsi" w:hAnsiTheme="minorHAnsi" w:cstheme="minorHAnsi"/>
          <w:lang w:val="en-GB"/>
        </w:rPr>
        <w:t>due to the lack of any treatment options for relapse prevention of HRNB</w:t>
      </w:r>
      <w:r w:rsidRPr="00763DFB">
        <w:rPr>
          <w:rFonts w:asciiTheme="minorHAnsi" w:hAnsiTheme="minorHAnsi" w:cstheme="minorHAnsi"/>
          <w:lang w:val="en-GB"/>
        </w:rPr>
        <w:t>;</w:t>
      </w:r>
    </w:p>
    <w:p w14:paraId="3622E7D9" w14:textId="0FCBF4C5" w:rsidR="00DC5C35" w:rsidRPr="002E4AFF" w:rsidRDefault="00B86F6E" w:rsidP="00D01EE3">
      <w:pPr>
        <w:widowControl w:val="0"/>
        <w:numPr>
          <w:ilvl w:val="1"/>
          <w:numId w:val="31"/>
        </w:numPr>
        <w:spacing w:after="120"/>
        <w:ind w:left="1134"/>
        <w:rPr>
          <w:rFonts w:asciiTheme="minorHAnsi" w:hAnsiTheme="minorHAnsi" w:cstheme="minorHAnsi"/>
          <w:lang w:val="en-GB"/>
        </w:rPr>
      </w:pPr>
      <w:r w:rsidRPr="00763DFB">
        <w:rPr>
          <w:rFonts w:asciiTheme="minorHAnsi" w:hAnsiTheme="minorHAnsi" w:cstheme="minorHAnsi"/>
          <w:lang w:val="en-GB"/>
        </w:rPr>
        <w:t>It would be in the public interest for the subsequent pricing application to be progressed under Pricing Pathway A on the basis of the preceding findings</w:t>
      </w:r>
      <w:r>
        <w:rPr>
          <w:rFonts w:asciiTheme="minorHAnsi" w:hAnsiTheme="minorHAnsi" w:cstheme="minorHAnsi"/>
          <w:lang w:val="en-GB"/>
        </w:rPr>
        <w:t>.</w:t>
      </w:r>
    </w:p>
    <w:p w14:paraId="77A7A931" w14:textId="77777777" w:rsidR="00E32332" w:rsidRPr="00E32332" w:rsidRDefault="00E32332" w:rsidP="00E32332">
      <w:pPr>
        <w:pStyle w:val="3-BodyText"/>
        <w:rPr>
          <w:lang w:val="en-GB"/>
        </w:rPr>
      </w:pPr>
      <w:r w:rsidRPr="00525B39">
        <w:rPr>
          <w:lang w:val="en-GB"/>
        </w:rPr>
        <w:lastRenderedPageBreak/>
        <w:t>The PBAC noted that this submission is not eligible for an Independent Review</w:t>
      </w:r>
      <w:r>
        <w:rPr>
          <w:lang w:val="en-GB"/>
        </w:rPr>
        <w:t xml:space="preserve"> as it received a positive recommendation</w:t>
      </w:r>
      <w:r w:rsidRPr="00525B39">
        <w:rPr>
          <w:lang w:val="en-GB"/>
        </w:rPr>
        <w:t>.</w:t>
      </w:r>
    </w:p>
    <w:p w14:paraId="7612B0F0" w14:textId="77777777" w:rsidR="00E32332" w:rsidRPr="00525B39" w:rsidRDefault="00E32332" w:rsidP="00AC066D">
      <w:pPr>
        <w:keepNext/>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47474DB" w14:textId="4CBA8FC2" w:rsidR="00DC5C35" w:rsidRPr="00525B39" w:rsidRDefault="00E32332" w:rsidP="00D01EE3">
      <w:pPr>
        <w:keepNext/>
        <w:rPr>
          <w:rFonts w:asciiTheme="minorHAnsi" w:hAnsiTheme="minorHAnsi"/>
          <w:b/>
          <w:bCs/>
          <w:snapToGrid w:val="0"/>
        </w:rPr>
      </w:pPr>
      <w:r w:rsidRPr="00525B39">
        <w:rPr>
          <w:rFonts w:asciiTheme="minorHAnsi" w:hAnsiTheme="minorHAnsi"/>
          <w:bCs/>
          <w:snapToGrid w:val="0"/>
          <w:lang w:val="en-GB"/>
        </w:rPr>
        <w:t>Recommended</w:t>
      </w:r>
    </w:p>
    <w:bookmarkEnd w:id="83"/>
    <w:p w14:paraId="5CB7FE6E" w14:textId="77777777" w:rsidR="00DC5C35" w:rsidRPr="00907671" w:rsidRDefault="00DC5C35" w:rsidP="00636F83">
      <w:pPr>
        <w:pStyle w:val="2-SectionHeading"/>
        <w:keepLines/>
        <w:numPr>
          <w:ilvl w:val="0"/>
          <w:numId w:val="1"/>
        </w:numPr>
      </w:pPr>
      <w:r w:rsidRPr="00907671">
        <w:t>Recommended listing</w:t>
      </w:r>
    </w:p>
    <w:p w14:paraId="76118643" w14:textId="77777777" w:rsidR="00DC5C35" w:rsidRDefault="00DC5C35" w:rsidP="00636F83">
      <w:pPr>
        <w:keepNext/>
        <w:keepLines/>
        <w:widowControl w:val="0"/>
        <w:ind w:firstLine="720"/>
        <w:contextualSpacing/>
        <w:rPr>
          <w:rFonts w:asciiTheme="minorHAnsi" w:hAnsiTheme="minorHAnsi"/>
          <w:bCs/>
          <w:snapToGrid w:val="0"/>
        </w:rPr>
      </w:pPr>
      <w:r w:rsidRPr="00525B39">
        <w:rPr>
          <w:rFonts w:asciiTheme="minorHAnsi" w:hAnsiTheme="minorHAnsi"/>
          <w:bCs/>
          <w:snapToGrid w:val="0"/>
        </w:rPr>
        <w:t>Add new item:</w:t>
      </w:r>
    </w:p>
    <w:p w14:paraId="2F4971E8" w14:textId="77777777" w:rsidR="007E3BAE" w:rsidRDefault="007E3BAE" w:rsidP="00636F83">
      <w:pPr>
        <w:keepNext/>
        <w:keepLines/>
        <w:widowControl w:val="0"/>
        <w:ind w:firstLine="720"/>
        <w:contextualSpacing/>
        <w:rPr>
          <w:rFonts w:asciiTheme="minorHAnsi" w:hAnsiTheme="minorHAnsi"/>
          <w:bCs/>
          <w:snapToGrid w:val="0"/>
        </w:rPr>
      </w:pPr>
    </w:p>
    <w:p w14:paraId="0447F4C6" w14:textId="77777777" w:rsidR="00243DFF" w:rsidRPr="001A3534" w:rsidRDefault="00243DFF" w:rsidP="00636F83">
      <w:pPr>
        <w:pStyle w:val="3-BodyText"/>
        <w:keepNext/>
        <w:keepLines/>
        <w:numPr>
          <w:ilvl w:val="0"/>
          <w:numId w:val="0"/>
        </w:numPr>
        <w:spacing w:before="0" w:after="0"/>
        <w:ind w:left="720" w:hanging="720"/>
        <w:rPr>
          <w:b/>
          <w:bCs/>
        </w:rPr>
      </w:pPr>
      <w:r w:rsidRPr="001A3534">
        <w:rPr>
          <w:b/>
          <w:bCs/>
        </w:rPr>
        <w:t>Initial Restriction</w:t>
      </w:r>
    </w:p>
    <w:tbl>
      <w:tblPr>
        <w:tblW w:w="503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Initial restriction&#10;Treatment phase: initial treatment "/>
      </w:tblPr>
      <w:tblGrid>
        <w:gridCol w:w="3112"/>
        <w:gridCol w:w="1634"/>
        <w:gridCol w:w="812"/>
        <w:gridCol w:w="811"/>
        <w:gridCol w:w="812"/>
        <w:gridCol w:w="1894"/>
      </w:tblGrid>
      <w:tr w:rsidR="00243DFF" w:rsidRPr="009C3607" w14:paraId="42CEFE1B" w14:textId="77777777" w:rsidTr="00557331">
        <w:trPr>
          <w:cantSplit/>
          <w:trHeight w:val="20"/>
        </w:trPr>
        <w:tc>
          <w:tcPr>
            <w:tcW w:w="3112" w:type="dxa"/>
            <w:vAlign w:val="center"/>
          </w:tcPr>
          <w:p w14:paraId="57861576" w14:textId="77777777" w:rsidR="00243DFF" w:rsidRPr="009C3607" w:rsidRDefault="00243DFF" w:rsidP="00636F83">
            <w:pPr>
              <w:keepNext/>
              <w:keepLines/>
              <w:rPr>
                <w:rFonts w:ascii="Arial Narrow" w:hAnsi="Arial Narrow"/>
                <w:b/>
                <w:bCs/>
                <w:sz w:val="20"/>
                <w:szCs w:val="20"/>
              </w:rPr>
            </w:pPr>
            <w:r w:rsidRPr="009C3607">
              <w:rPr>
                <w:rFonts w:ascii="Arial Narrow" w:hAnsi="Arial Narrow"/>
                <w:b/>
                <w:bCs/>
                <w:sz w:val="20"/>
                <w:szCs w:val="20"/>
              </w:rPr>
              <w:t>MEDICINAL PRODUCT</w:t>
            </w:r>
          </w:p>
          <w:p w14:paraId="4DF23F49" w14:textId="77777777" w:rsidR="00243DFF" w:rsidRPr="009C3607" w:rsidRDefault="00243DFF" w:rsidP="00636F83">
            <w:pPr>
              <w:keepNext/>
              <w:keepLines/>
              <w:rPr>
                <w:rFonts w:ascii="Arial Narrow" w:hAnsi="Arial Narrow"/>
                <w:b/>
                <w:sz w:val="20"/>
                <w:szCs w:val="20"/>
              </w:rPr>
            </w:pPr>
            <w:r w:rsidRPr="009C3607">
              <w:rPr>
                <w:rFonts w:ascii="Arial Narrow" w:hAnsi="Arial Narrow"/>
                <w:b/>
                <w:bCs/>
                <w:sz w:val="20"/>
                <w:szCs w:val="20"/>
              </w:rPr>
              <w:t>medicinal product pack</w:t>
            </w:r>
          </w:p>
        </w:tc>
        <w:tc>
          <w:tcPr>
            <w:tcW w:w="1634" w:type="dxa"/>
            <w:vAlign w:val="center"/>
          </w:tcPr>
          <w:p w14:paraId="6172B12E" w14:textId="77777777" w:rsidR="00243DFF" w:rsidRPr="009C3607" w:rsidRDefault="00243DFF" w:rsidP="00636F83">
            <w:pPr>
              <w:keepNext/>
              <w:keepLines/>
              <w:jc w:val="center"/>
              <w:rPr>
                <w:rFonts w:ascii="Arial Narrow" w:hAnsi="Arial Narrow"/>
                <w:b/>
                <w:sz w:val="20"/>
                <w:szCs w:val="20"/>
              </w:rPr>
            </w:pPr>
            <w:r w:rsidRPr="009C3607">
              <w:rPr>
                <w:rFonts w:ascii="Arial Narrow" w:hAnsi="Arial Narrow"/>
                <w:b/>
                <w:sz w:val="20"/>
                <w:szCs w:val="20"/>
              </w:rPr>
              <w:t>PBS item code</w:t>
            </w:r>
          </w:p>
        </w:tc>
        <w:tc>
          <w:tcPr>
            <w:tcW w:w="812" w:type="dxa"/>
            <w:vAlign w:val="center"/>
          </w:tcPr>
          <w:p w14:paraId="08040D80" w14:textId="77777777" w:rsidR="00243DFF" w:rsidRPr="009C3607" w:rsidRDefault="00243DFF" w:rsidP="00636F83">
            <w:pPr>
              <w:keepNext/>
              <w:keepLines/>
              <w:jc w:val="center"/>
              <w:rPr>
                <w:rFonts w:ascii="Arial Narrow" w:hAnsi="Arial Narrow"/>
                <w:b/>
                <w:sz w:val="20"/>
                <w:szCs w:val="20"/>
              </w:rPr>
            </w:pPr>
            <w:r w:rsidRPr="009C3607">
              <w:rPr>
                <w:rFonts w:ascii="Arial Narrow" w:hAnsi="Arial Narrow"/>
                <w:b/>
                <w:sz w:val="20"/>
                <w:szCs w:val="20"/>
              </w:rPr>
              <w:t>Max. qty packs</w:t>
            </w:r>
          </w:p>
        </w:tc>
        <w:tc>
          <w:tcPr>
            <w:tcW w:w="811" w:type="dxa"/>
            <w:vAlign w:val="center"/>
          </w:tcPr>
          <w:p w14:paraId="1E86AE89" w14:textId="77777777" w:rsidR="00243DFF" w:rsidRPr="009C3607" w:rsidRDefault="00243DFF" w:rsidP="00636F83">
            <w:pPr>
              <w:keepNext/>
              <w:keepLines/>
              <w:jc w:val="center"/>
              <w:rPr>
                <w:rFonts w:ascii="Arial Narrow" w:hAnsi="Arial Narrow"/>
                <w:b/>
                <w:sz w:val="20"/>
                <w:szCs w:val="20"/>
              </w:rPr>
            </w:pPr>
            <w:r w:rsidRPr="009C3607">
              <w:rPr>
                <w:rFonts w:ascii="Arial Narrow" w:hAnsi="Arial Narrow"/>
                <w:b/>
                <w:sz w:val="20"/>
                <w:szCs w:val="20"/>
              </w:rPr>
              <w:t>Max. qty units</w:t>
            </w:r>
          </w:p>
        </w:tc>
        <w:tc>
          <w:tcPr>
            <w:tcW w:w="812" w:type="dxa"/>
            <w:vAlign w:val="center"/>
          </w:tcPr>
          <w:p w14:paraId="2FE278BD" w14:textId="77777777" w:rsidR="00243DFF" w:rsidRPr="009C3607" w:rsidRDefault="00243DFF" w:rsidP="00636F83">
            <w:pPr>
              <w:keepNext/>
              <w:keepLines/>
              <w:jc w:val="center"/>
              <w:rPr>
                <w:rFonts w:ascii="Arial Narrow" w:hAnsi="Arial Narrow"/>
                <w:b/>
                <w:sz w:val="20"/>
                <w:szCs w:val="20"/>
              </w:rPr>
            </w:pPr>
            <w:r w:rsidRPr="009C3607">
              <w:rPr>
                <w:rFonts w:ascii="Arial Narrow" w:hAnsi="Arial Narrow"/>
                <w:b/>
                <w:sz w:val="20"/>
                <w:szCs w:val="20"/>
              </w:rPr>
              <w:t>№.of</w:t>
            </w:r>
          </w:p>
          <w:p w14:paraId="1E3EC2A1" w14:textId="77777777" w:rsidR="00243DFF" w:rsidRPr="009C3607" w:rsidRDefault="00243DFF" w:rsidP="00636F83">
            <w:pPr>
              <w:keepNext/>
              <w:keepLines/>
              <w:jc w:val="center"/>
              <w:rPr>
                <w:rFonts w:ascii="Arial Narrow" w:hAnsi="Arial Narrow"/>
                <w:b/>
                <w:sz w:val="20"/>
                <w:szCs w:val="20"/>
              </w:rPr>
            </w:pPr>
            <w:r w:rsidRPr="009C3607">
              <w:rPr>
                <w:rFonts w:ascii="Arial Narrow" w:hAnsi="Arial Narrow"/>
                <w:b/>
                <w:sz w:val="20"/>
                <w:szCs w:val="20"/>
              </w:rPr>
              <w:t>Rpts</w:t>
            </w:r>
          </w:p>
        </w:tc>
        <w:tc>
          <w:tcPr>
            <w:tcW w:w="1894" w:type="dxa"/>
            <w:vAlign w:val="center"/>
          </w:tcPr>
          <w:p w14:paraId="68BD5767" w14:textId="77777777" w:rsidR="00243DFF" w:rsidRPr="009C3607" w:rsidRDefault="00243DFF" w:rsidP="00636F83">
            <w:pPr>
              <w:keepNext/>
              <w:keepLines/>
              <w:rPr>
                <w:rFonts w:ascii="Arial Narrow" w:hAnsi="Arial Narrow"/>
                <w:b/>
                <w:sz w:val="20"/>
                <w:szCs w:val="20"/>
                <w:lang w:val="fr-FR"/>
              </w:rPr>
            </w:pPr>
            <w:r w:rsidRPr="009C3607">
              <w:rPr>
                <w:rFonts w:ascii="Arial Narrow" w:hAnsi="Arial Narrow"/>
                <w:b/>
                <w:sz w:val="20"/>
                <w:szCs w:val="20"/>
              </w:rPr>
              <w:t>Available brands</w:t>
            </w:r>
          </w:p>
        </w:tc>
      </w:tr>
      <w:tr w:rsidR="00243DFF" w:rsidRPr="009C3607" w14:paraId="3CED32F9" w14:textId="77777777" w:rsidTr="00557331">
        <w:trPr>
          <w:cantSplit/>
          <w:trHeight w:val="20"/>
        </w:trPr>
        <w:tc>
          <w:tcPr>
            <w:tcW w:w="9075" w:type="dxa"/>
            <w:gridSpan w:val="6"/>
            <w:vAlign w:val="center"/>
          </w:tcPr>
          <w:p w14:paraId="19F73D09" w14:textId="77777777" w:rsidR="00243DFF" w:rsidRPr="009C3607" w:rsidRDefault="00243DFF" w:rsidP="00636F83">
            <w:pPr>
              <w:keepNext/>
              <w:keepLines/>
              <w:rPr>
                <w:rFonts w:ascii="Arial Narrow" w:hAnsi="Arial Narrow"/>
                <w:sz w:val="20"/>
                <w:szCs w:val="20"/>
              </w:rPr>
            </w:pPr>
            <w:r w:rsidRPr="7AC24291">
              <w:rPr>
                <w:rFonts w:ascii="Arial Narrow" w:hAnsi="Arial Narrow"/>
                <w:sz w:val="20"/>
                <w:szCs w:val="20"/>
              </w:rPr>
              <w:t xml:space="preserve">EFLORNITHINE </w:t>
            </w:r>
          </w:p>
        </w:tc>
      </w:tr>
      <w:tr w:rsidR="00243DFF" w:rsidRPr="009C3607" w14:paraId="2A3788EC" w14:textId="77777777" w:rsidTr="00557331">
        <w:trPr>
          <w:cantSplit/>
          <w:trHeight w:val="20"/>
        </w:trPr>
        <w:tc>
          <w:tcPr>
            <w:tcW w:w="3112" w:type="dxa"/>
            <w:vAlign w:val="center"/>
          </w:tcPr>
          <w:p w14:paraId="72C956D7" w14:textId="77777777" w:rsidR="00243DFF" w:rsidRPr="000E6627" w:rsidRDefault="00243DFF" w:rsidP="00636F83">
            <w:pPr>
              <w:keepNext/>
              <w:keepLines/>
              <w:rPr>
                <w:rFonts w:ascii="Arial Narrow" w:hAnsi="Arial Narrow"/>
                <w:sz w:val="20"/>
                <w:szCs w:val="20"/>
              </w:rPr>
            </w:pPr>
            <w:r w:rsidRPr="000E6627">
              <w:rPr>
                <w:rFonts w:ascii="Arial Narrow" w:hAnsi="Arial Narrow"/>
                <w:sz w:val="20"/>
                <w:szCs w:val="20"/>
              </w:rPr>
              <w:t>Eflornithine, 250 mg tablet, 100</w:t>
            </w:r>
          </w:p>
        </w:tc>
        <w:tc>
          <w:tcPr>
            <w:tcW w:w="1634" w:type="dxa"/>
            <w:vAlign w:val="center"/>
          </w:tcPr>
          <w:p w14:paraId="311574E3" w14:textId="77777777" w:rsidR="00243DFF" w:rsidRPr="000E6627" w:rsidRDefault="00243DFF" w:rsidP="00636F83">
            <w:pPr>
              <w:keepNext/>
              <w:keepLines/>
              <w:jc w:val="center"/>
              <w:rPr>
                <w:rFonts w:ascii="Arial Narrow" w:hAnsi="Arial Narrow"/>
                <w:sz w:val="20"/>
                <w:szCs w:val="20"/>
              </w:rPr>
            </w:pPr>
            <w:r w:rsidRPr="000E6627">
              <w:rPr>
                <w:rFonts w:ascii="Arial Narrow" w:hAnsi="Arial Narrow"/>
                <w:sz w:val="20"/>
                <w:szCs w:val="20"/>
              </w:rPr>
              <w:t xml:space="preserve">NEW </w:t>
            </w:r>
          </w:p>
        </w:tc>
        <w:tc>
          <w:tcPr>
            <w:tcW w:w="812" w:type="dxa"/>
            <w:vAlign w:val="center"/>
          </w:tcPr>
          <w:p w14:paraId="1F31E8D5" w14:textId="77777777" w:rsidR="00243DFF" w:rsidRPr="000E6627" w:rsidRDefault="00243DFF" w:rsidP="00636F83">
            <w:pPr>
              <w:keepNext/>
              <w:keepLines/>
              <w:jc w:val="center"/>
              <w:rPr>
                <w:rFonts w:ascii="Arial Narrow" w:hAnsi="Arial Narrow"/>
                <w:sz w:val="20"/>
                <w:szCs w:val="20"/>
              </w:rPr>
            </w:pPr>
            <w:r w:rsidRPr="000E6627">
              <w:rPr>
                <w:rFonts w:ascii="Arial Narrow" w:hAnsi="Arial Narrow"/>
                <w:sz w:val="20"/>
                <w:szCs w:val="20"/>
              </w:rPr>
              <w:t>3</w:t>
            </w:r>
          </w:p>
        </w:tc>
        <w:tc>
          <w:tcPr>
            <w:tcW w:w="811" w:type="dxa"/>
            <w:vAlign w:val="center"/>
          </w:tcPr>
          <w:p w14:paraId="58BDE7FA" w14:textId="77777777" w:rsidR="00243DFF" w:rsidRPr="000E6627" w:rsidRDefault="00243DFF" w:rsidP="00636F83">
            <w:pPr>
              <w:keepNext/>
              <w:keepLines/>
              <w:jc w:val="center"/>
              <w:rPr>
                <w:rFonts w:ascii="Arial Narrow" w:hAnsi="Arial Narrow"/>
                <w:sz w:val="20"/>
                <w:szCs w:val="20"/>
              </w:rPr>
            </w:pPr>
            <w:r w:rsidRPr="000E6627">
              <w:rPr>
                <w:rFonts w:ascii="Arial Narrow" w:hAnsi="Arial Narrow"/>
                <w:sz w:val="20"/>
                <w:szCs w:val="20"/>
              </w:rPr>
              <w:t>300</w:t>
            </w:r>
          </w:p>
        </w:tc>
        <w:tc>
          <w:tcPr>
            <w:tcW w:w="812" w:type="dxa"/>
            <w:vAlign w:val="center"/>
          </w:tcPr>
          <w:p w14:paraId="08794F4B" w14:textId="77777777" w:rsidR="00243DFF" w:rsidRPr="000E6627" w:rsidRDefault="00243DFF" w:rsidP="00636F83">
            <w:pPr>
              <w:keepNext/>
              <w:keepLines/>
              <w:jc w:val="center"/>
              <w:rPr>
                <w:rFonts w:ascii="Arial Narrow" w:hAnsi="Arial Narrow"/>
                <w:sz w:val="20"/>
                <w:szCs w:val="20"/>
              </w:rPr>
            </w:pPr>
            <w:r w:rsidRPr="000E6627">
              <w:rPr>
                <w:rFonts w:ascii="Arial Narrow" w:hAnsi="Arial Narrow"/>
                <w:sz w:val="20"/>
                <w:szCs w:val="20"/>
              </w:rPr>
              <w:t>2</w:t>
            </w:r>
          </w:p>
        </w:tc>
        <w:tc>
          <w:tcPr>
            <w:tcW w:w="1894" w:type="dxa"/>
            <w:vAlign w:val="center"/>
          </w:tcPr>
          <w:p w14:paraId="30E3B22F" w14:textId="77777777" w:rsidR="00243DFF" w:rsidRPr="000E6627" w:rsidRDefault="00243DFF" w:rsidP="00636F83">
            <w:pPr>
              <w:keepNext/>
              <w:keepLines/>
              <w:jc w:val="center"/>
              <w:rPr>
                <w:rFonts w:ascii="Arial Narrow" w:hAnsi="Arial Narrow"/>
                <w:sz w:val="20"/>
                <w:szCs w:val="20"/>
              </w:rPr>
            </w:pPr>
            <w:r w:rsidRPr="000E6627">
              <w:rPr>
                <w:rFonts w:ascii="Arial Narrow" w:hAnsi="Arial Narrow"/>
                <w:sz w:val="20"/>
                <w:szCs w:val="20"/>
              </w:rPr>
              <w:t>Ifinwil</w:t>
            </w:r>
          </w:p>
        </w:tc>
      </w:tr>
      <w:tr w:rsidR="00243DFF" w:rsidRPr="009C3607" w14:paraId="3C8B6D59" w14:textId="77777777" w:rsidTr="00557331">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vAlign w:val="center"/>
          </w:tcPr>
          <w:p w14:paraId="2F8C8307" w14:textId="77777777" w:rsidR="00243DFF" w:rsidRPr="009C3607" w:rsidRDefault="00243DFF" w:rsidP="00636F83">
            <w:pPr>
              <w:keepNext/>
              <w:keepLines/>
              <w:rPr>
                <w:rFonts w:ascii="Arial Narrow" w:hAnsi="Arial Narrow"/>
                <w:sz w:val="20"/>
                <w:szCs w:val="20"/>
              </w:rPr>
            </w:pPr>
          </w:p>
        </w:tc>
      </w:tr>
      <w:tr w:rsidR="00243DFF" w:rsidRPr="009C3607" w14:paraId="222CD438" w14:textId="77777777" w:rsidTr="00557331">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vAlign w:val="center"/>
          </w:tcPr>
          <w:p w14:paraId="4BEEC5F3" w14:textId="77777777" w:rsidR="00243DFF" w:rsidRPr="009C3607" w:rsidRDefault="00243DFF" w:rsidP="009E69C9">
            <w:pPr>
              <w:keepLines/>
              <w:rPr>
                <w:rFonts w:ascii="Arial Narrow" w:hAnsi="Arial Narrow"/>
                <w:b/>
                <w:sz w:val="20"/>
                <w:szCs w:val="20"/>
              </w:rPr>
            </w:pPr>
            <w:r w:rsidRPr="009C3607">
              <w:rPr>
                <w:rFonts w:ascii="Arial Narrow" w:hAnsi="Arial Narrow"/>
                <w:b/>
                <w:sz w:val="20"/>
                <w:szCs w:val="20"/>
              </w:rPr>
              <w:t>Restriction Summary [new] / Treatment of Concept: [new]</w:t>
            </w:r>
          </w:p>
        </w:tc>
      </w:tr>
      <w:tr w:rsidR="000A55CA" w:rsidRPr="009C3607" w14:paraId="6FB312C0" w14:textId="77777777">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tcBorders>
          </w:tcPr>
          <w:p w14:paraId="307410BE" w14:textId="77777777" w:rsidR="000A55CA" w:rsidRPr="000E6627" w:rsidRDefault="000A55CA" w:rsidP="009E69C9">
            <w:pPr>
              <w:keepLines/>
              <w:rPr>
                <w:rFonts w:ascii="Arial Narrow" w:eastAsia="Calibri" w:hAnsi="Arial Narrow"/>
                <w:strike/>
                <w:color w:val="FF0000"/>
                <w:sz w:val="20"/>
                <w:szCs w:val="20"/>
              </w:rPr>
            </w:pPr>
            <w:r w:rsidRPr="7AC24291">
              <w:rPr>
                <w:rFonts w:ascii="Arial Narrow" w:hAnsi="Arial Narrow"/>
                <w:b/>
                <w:bCs/>
                <w:sz w:val="20"/>
                <w:szCs w:val="20"/>
              </w:rPr>
              <w:t>Category / Program:</w:t>
            </w:r>
            <w:r w:rsidRPr="009C3607">
              <w:rPr>
                <w:rFonts w:ascii="Arial Narrow" w:hAnsi="Arial Narrow"/>
                <w:sz w:val="20"/>
                <w:szCs w:val="20"/>
              </w:rPr>
              <w:t xml:space="preserve"> </w:t>
            </w:r>
            <w:r w:rsidRPr="009C3607">
              <w:rPr>
                <w:rFonts w:ascii="Arial Narrow" w:eastAsia="Calibri" w:hAnsi="Arial Narrow"/>
                <w:sz w:val="20"/>
                <w:szCs w:val="20"/>
              </w:rPr>
              <w:fldChar w:fldCharType="begin" w:fldLock="1">
                <w:ffData>
                  <w:name w:val=""/>
                  <w:enabled/>
                  <w:calcOnExit w:val="0"/>
                  <w:checkBox>
                    <w:sizeAuto/>
                    <w:default w:val="1"/>
                  </w:checkBox>
                </w:ffData>
              </w:fldChar>
            </w:r>
            <w:r w:rsidRPr="009C3607">
              <w:rPr>
                <w:rFonts w:ascii="Arial Narrow" w:eastAsia="Calibri" w:hAnsi="Arial Narrow"/>
                <w:sz w:val="20"/>
                <w:szCs w:val="20"/>
              </w:rPr>
              <w:instrText xml:space="preserve"> FORMCHECKBOX </w:instrText>
            </w:r>
            <w:r w:rsidRPr="009C3607">
              <w:rPr>
                <w:rFonts w:ascii="Arial Narrow" w:eastAsia="Calibri" w:hAnsi="Arial Narrow"/>
                <w:sz w:val="20"/>
                <w:szCs w:val="20"/>
              </w:rPr>
            </w:r>
            <w:r w:rsidRPr="009C3607">
              <w:rPr>
                <w:rFonts w:ascii="Arial Narrow" w:eastAsia="Calibri" w:hAnsi="Arial Narrow"/>
                <w:sz w:val="20"/>
                <w:szCs w:val="20"/>
              </w:rPr>
              <w:fldChar w:fldCharType="separate"/>
            </w:r>
            <w:r w:rsidRPr="009C3607">
              <w:rPr>
                <w:rFonts w:ascii="Arial Narrow" w:eastAsia="Calibri" w:hAnsi="Arial Narrow"/>
                <w:sz w:val="20"/>
                <w:szCs w:val="20"/>
              </w:rPr>
              <w:fldChar w:fldCharType="end"/>
            </w:r>
            <w:r w:rsidRPr="009C3607">
              <w:rPr>
                <w:rFonts w:ascii="Arial Narrow" w:eastAsia="Calibri" w:hAnsi="Arial Narrow"/>
                <w:sz w:val="20"/>
                <w:szCs w:val="20"/>
              </w:rPr>
              <w:t xml:space="preserve"> </w:t>
            </w:r>
            <w:r w:rsidRPr="000E6627">
              <w:rPr>
                <w:rFonts w:ascii="Arial Narrow" w:eastAsia="Calibri" w:hAnsi="Arial Narrow"/>
                <w:sz w:val="20"/>
                <w:szCs w:val="20"/>
              </w:rPr>
              <w:t>Section 100 – Highly Specialised Drugs Program – Public (Code HB)</w:t>
            </w:r>
            <w:r w:rsidRPr="000E6627">
              <w:rPr>
                <w:rFonts w:ascii="Arial Narrow" w:eastAsia="Calibri" w:hAnsi="Arial Narrow"/>
                <w:color w:val="FF0000"/>
                <w:sz w:val="20"/>
                <w:szCs w:val="20"/>
              </w:rPr>
              <w:t xml:space="preserve"> </w:t>
            </w:r>
            <w:r w:rsidRPr="000E6627">
              <w:rPr>
                <w:rFonts w:ascii="Arial Narrow" w:eastAsia="Calibri" w:hAnsi="Arial Narrow"/>
                <w:sz w:val="20"/>
                <w:szCs w:val="20"/>
              </w:rPr>
              <w:t>/ Private (Code HS)</w:t>
            </w:r>
          </w:p>
        </w:tc>
      </w:tr>
      <w:tr w:rsidR="000A55CA" w:rsidRPr="009C3607" w14:paraId="4AFC1631" w14:textId="77777777">
        <w:tblPrEx>
          <w:tblCellMar>
            <w:top w:w="15" w:type="dxa"/>
            <w:bottom w:w="15" w:type="dxa"/>
          </w:tblCellMar>
          <w:tblLook w:val="04A0" w:firstRow="1" w:lastRow="0" w:firstColumn="1" w:lastColumn="0" w:noHBand="0" w:noVBand="1"/>
        </w:tblPrEx>
        <w:trPr>
          <w:trHeight w:val="20"/>
        </w:trPr>
        <w:tc>
          <w:tcPr>
            <w:tcW w:w="9075" w:type="dxa"/>
            <w:gridSpan w:val="6"/>
            <w:tcBorders>
              <w:right w:val="single" w:sz="4" w:space="0" w:color="auto"/>
            </w:tcBorders>
          </w:tcPr>
          <w:p w14:paraId="00F826FB" w14:textId="77777777" w:rsidR="000A55CA" w:rsidRPr="009C3607" w:rsidRDefault="000A55CA" w:rsidP="009E69C9">
            <w:pPr>
              <w:keepLines/>
              <w:rPr>
                <w:rFonts w:ascii="Arial Narrow" w:hAnsi="Arial Narrow"/>
                <w:b/>
                <w:sz w:val="20"/>
                <w:szCs w:val="20"/>
              </w:rPr>
            </w:pPr>
            <w:r w:rsidRPr="009C3607">
              <w:rPr>
                <w:rFonts w:ascii="Arial Narrow" w:hAnsi="Arial Narrow"/>
                <w:b/>
                <w:sz w:val="20"/>
                <w:szCs w:val="20"/>
              </w:rPr>
              <w:t xml:space="preserve">Prescriber type: </w:t>
            </w:r>
            <w:r w:rsidRPr="009C3607">
              <w:rPr>
                <w:rFonts w:ascii="Arial Narrow" w:hAnsi="Arial Narrow"/>
                <w:sz w:val="20"/>
                <w:szCs w:val="20"/>
              </w:rPr>
              <w:fldChar w:fldCharType="begin" w:fldLock="1">
                <w:ffData>
                  <w:name w:val=""/>
                  <w:enabled/>
                  <w:calcOnExit w:val="0"/>
                  <w:checkBox>
                    <w:sizeAuto/>
                    <w:default w:val="1"/>
                  </w:checkBox>
                </w:ffData>
              </w:fldChar>
            </w:r>
            <w:r w:rsidRPr="009C3607">
              <w:rPr>
                <w:rFonts w:ascii="Arial Narrow" w:hAnsi="Arial Narrow"/>
                <w:sz w:val="20"/>
                <w:szCs w:val="20"/>
              </w:rPr>
              <w:instrText xml:space="preserve"> FORMCHECKBOX </w:instrText>
            </w:r>
            <w:r w:rsidRPr="009C3607">
              <w:rPr>
                <w:rFonts w:ascii="Arial Narrow" w:hAnsi="Arial Narrow"/>
                <w:sz w:val="20"/>
                <w:szCs w:val="20"/>
              </w:rPr>
            </w:r>
            <w:r w:rsidRPr="009C3607">
              <w:rPr>
                <w:rFonts w:ascii="Arial Narrow" w:hAnsi="Arial Narrow"/>
                <w:sz w:val="20"/>
                <w:szCs w:val="20"/>
              </w:rPr>
              <w:fldChar w:fldCharType="separate"/>
            </w:r>
            <w:r w:rsidRPr="009C3607">
              <w:rPr>
                <w:rFonts w:ascii="Arial Narrow" w:hAnsi="Arial Narrow"/>
                <w:sz w:val="20"/>
                <w:szCs w:val="20"/>
              </w:rPr>
              <w:fldChar w:fldCharType="end"/>
            </w:r>
            <w:r w:rsidRPr="009C3607">
              <w:rPr>
                <w:rFonts w:ascii="Arial Narrow" w:hAnsi="Arial Narrow"/>
                <w:sz w:val="20"/>
                <w:szCs w:val="20"/>
              </w:rPr>
              <w:t xml:space="preserve">Medical Practitioners </w:t>
            </w:r>
          </w:p>
        </w:tc>
      </w:tr>
      <w:tr w:rsidR="000A55CA" w:rsidRPr="009C3607" w14:paraId="03614235" w14:textId="77777777">
        <w:tblPrEx>
          <w:tblCellMar>
            <w:top w:w="15" w:type="dxa"/>
            <w:bottom w:w="15" w:type="dxa"/>
          </w:tblCellMar>
          <w:tblLook w:val="04A0" w:firstRow="1" w:lastRow="0" w:firstColumn="1" w:lastColumn="0" w:noHBand="0" w:noVBand="1"/>
        </w:tblPrEx>
        <w:trPr>
          <w:trHeight w:val="20"/>
        </w:trPr>
        <w:tc>
          <w:tcPr>
            <w:tcW w:w="9075" w:type="dxa"/>
            <w:gridSpan w:val="6"/>
            <w:tcBorders>
              <w:right w:val="single" w:sz="4" w:space="0" w:color="auto"/>
            </w:tcBorders>
          </w:tcPr>
          <w:p w14:paraId="586DB262" w14:textId="77777777" w:rsidR="000A55CA" w:rsidRPr="009C3607" w:rsidRDefault="000A55CA" w:rsidP="009E69C9">
            <w:pPr>
              <w:keepLines/>
              <w:rPr>
                <w:rFonts w:ascii="Arial Narrow" w:eastAsia="Calibri" w:hAnsi="Arial Narrow"/>
                <w:sz w:val="20"/>
                <w:szCs w:val="20"/>
              </w:rPr>
            </w:pPr>
            <w:r w:rsidRPr="009C3607">
              <w:rPr>
                <w:rFonts w:ascii="Arial Narrow" w:hAnsi="Arial Narrow"/>
                <w:b/>
                <w:sz w:val="20"/>
                <w:szCs w:val="20"/>
              </w:rPr>
              <w:t xml:space="preserve">Restriction type: </w:t>
            </w:r>
            <w:r w:rsidRPr="009C3607">
              <w:rPr>
                <w:rFonts w:ascii="Arial Narrow" w:eastAsia="Calibri" w:hAnsi="Arial Narrow"/>
                <w:sz w:val="20"/>
                <w:szCs w:val="20"/>
              </w:rPr>
              <w:fldChar w:fldCharType="begin" w:fldLock="1">
                <w:ffData>
                  <w:name w:val="Check3"/>
                  <w:enabled/>
                  <w:calcOnExit w:val="0"/>
                  <w:checkBox>
                    <w:sizeAuto/>
                    <w:default w:val="1"/>
                  </w:checkBox>
                </w:ffData>
              </w:fldChar>
            </w:r>
            <w:r w:rsidRPr="009C3607">
              <w:rPr>
                <w:rFonts w:ascii="Arial Narrow" w:eastAsia="Calibri" w:hAnsi="Arial Narrow"/>
                <w:sz w:val="20"/>
                <w:szCs w:val="20"/>
              </w:rPr>
              <w:instrText xml:space="preserve"> FORMCHECKBOX </w:instrText>
            </w:r>
            <w:r w:rsidRPr="009C3607">
              <w:rPr>
                <w:rFonts w:ascii="Arial Narrow" w:eastAsia="Calibri" w:hAnsi="Arial Narrow"/>
                <w:sz w:val="20"/>
                <w:szCs w:val="20"/>
              </w:rPr>
            </w:r>
            <w:r w:rsidRPr="009C3607">
              <w:rPr>
                <w:rFonts w:ascii="Arial Narrow" w:eastAsia="Calibri" w:hAnsi="Arial Narrow"/>
                <w:sz w:val="20"/>
                <w:szCs w:val="20"/>
              </w:rPr>
              <w:fldChar w:fldCharType="separate"/>
            </w:r>
            <w:r w:rsidRPr="009C3607">
              <w:rPr>
                <w:rFonts w:ascii="Arial Narrow" w:eastAsia="Calibri" w:hAnsi="Arial Narrow"/>
                <w:sz w:val="20"/>
                <w:szCs w:val="20"/>
              </w:rPr>
              <w:fldChar w:fldCharType="end"/>
            </w:r>
            <w:r w:rsidRPr="009C3607">
              <w:rPr>
                <w:rFonts w:ascii="Arial Narrow" w:eastAsia="Calibri" w:hAnsi="Arial Narrow"/>
                <w:sz w:val="20"/>
                <w:szCs w:val="20"/>
              </w:rPr>
              <w:t>Authority Required (FULL assessment - written)</w:t>
            </w:r>
          </w:p>
        </w:tc>
      </w:tr>
      <w:tr w:rsidR="000A55CA" w14:paraId="13203CC1" w14:textId="77777777">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tcPr>
          <w:p w14:paraId="329EDA0F" w14:textId="438104B5" w:rsidR="000A55CA" w:rsidRDefault="000A55CA" w:rsidP="009E69C9">
            <w:r w:rsidRPr="6D882F34">
              <w:rPr>
                <w:rFonts w:ascii="Arial Narrow" w:eastAsia="Arial Narrow" w:hAnsi="Arial Narrow" w:cs="Arial Narrow"/>
                <w:b/>
                <w:bCs/>
                <w:sz w:val="20"/>
                <w:szCs w:val="20"/>
              </w:rPr>
              <w:t>Authority type:</w:t>
            </w:r>
            <w:r w:rsidR="00F6759F">
              <w:rPr>
                <w:rFonts w:ascii="Arial Narrow" w:eastAsia="Arial Narrow" w:hAnsi="Arial Narrow" w:cs="Arial Narrow"/>
                <w:b/>
                <w:bCs/>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 </w:t>
            </w:r>
          </w:p>
        </w:tc>
      </w:tr>
      <w:tr w:rsidR="006930D7" w:rsidRPr="001428E9" w14:paraId="34595687" w14:textId="77777777" w:rsidTr="006930D7">
        <w:tblPrEx>
          <w:tblCellMar>
            <w:top w:w="15" w:type="dxa"/>
            <w:bottom w:w="15" w:type="dxa"/>
          </w:tblCellMar>
          <w:tblLook w:val="04A0" w:firstRow="1" w:lastRow="0" w:firstColumn="1" w:lastColumn="0" w:noHBand="0" w:noVBand="1"/>
        </w:tblPrEx>
        <w:trPr>
          <w:cantSplit/>
          <w:trHeight w:val="107"/>
        </w:trPr>
        <w:tc>
          <w:tcPr>
            <w:tcW w:w="9075" w:type="dxa"/>
            <w:gridSpan w:val="6"/>
            <w:tcBorders>
              <w:left w:val="single" w:sz="4" w:space="0" w:color="auto"/>
            </w:tcBorders>
            <w:vAlign w:val="center"/>
          </w:tcPr>
          <w:p w14:paraId="76C9BCB5" w14:textId="77777777" w:rsidR="006930D7" w:rsidRPr="003E7242" w:rsidRDefault="006930D7" w:rsidP="009E69C9">
            <w:pPr>
              <w:rPr>
                <w:rFonts w:ascii="Arial Narrow" w:hAnsi="Arial Narrow"/>
                <w:sz w:val="20"/>
                <w:szCs w:val="20"/>
              </w:rPr>
            </w:pPr>
            <w:r w:rsidRPr="003E7242">
              <w:rPr>
                <w:rFonts w:ascii="Arial Narrow" w:hAnsi="Arial Narrow"/>
                <w:b/>
                <w:bCs/>
                <w:sz w:val="20"/>
                <w:szCs w:val="20"/>
              </w:rPr>
              <w:t xml:space="preserve">Administrative Advice: </w:t>
            </w:r>
            <w:r w:rsidRPr="003E7242">
              <w:rPr>
                <w:rFonts w:ascii="Arial Narrow" w:hAnsi="Arial Narrow"/>
                <w:sz w:val="20"/>
                <w:szCs w:val="20"/>
              </w:rPr>
              <w:t>No increase in the maximum quantity or number of units may be authorised.</w:t>
            </w:r>
          </w:p>
        </w:tc>
      </w:tr>
      <w:tr w:rsidR="006930D7" w:rsidRPr="001428E9" w14:paraId="6480B963" w14:textId="77777777" w:rsidTr="006930D7">
        <w:tblPrEx>
          <w:tblCellMar>
            <w:top w:w="15" w:type="dxa"/>
            <w:bottom w:w="15" w:type="dxa"/>
          </w:tblCellMar>
          <w:tblLook w:val="04A0" w:firstRow="1" w:lastRow="0" w:firstColumn="1" w:lastColumn="0" w:noHBand="0" w:noVBand="1"/>
        </w:tblPrEx>
        <w:trPr>
          <w:cantSplit/>
          <w:trHeight w:val="222"/>
        </w:trPr>
        <w:tc>
          <w:tcPr>
            <w:tcW w:w="9075" w:type="dxa"/>
            <w:gridSpan w:val="6"/>
          </w:tcPr>
          <w:p w14:paraId="6E378F48" w14:textId="77777777" w:rsidR="006930D7" w:rsidRPr="003E7242" w:rsidRDefault="006930D7" w:rsidP="009E69C9">
            <w:pPr>
              <w:rPr>
                <w:rFonts w:ascii="Arial Narrow" w:hAnsi="Arial Narrow"/>
                <w:b/>
                <w:bCs/>
                <w:sz w:val="20"/>
                <w:szCs w:val="20"/>
              </w:rPr>
            </w:pPr>
            <w:r w:rsidRPr="003E7242">
              <w:rPr>
                <w:rFonts w:ascii="Arial Narrow" w:hAnsi="Arial Narrow"/>
                <w:b/>
                <w:bCs/>
                <w:sz w:val="20"/>
                <w:szCs w:val="20"/>
              </w:rPr>
              <w:t>Administrative Advice:</w:t>
            </w:r>
            <w:r w:rsidRPr="003E7242">
              <w:t xml:space="preserve"> </w:t>
            </w:r>
            <w:r w:rsidRPr="003E7242">
              <w:rPr>
                <w:rFonts w:ascii="Arial Narrow" w:hAnsi="Arial Narrow"/>
                <w:sz w:val="20"/>
                <w:szCs w:val="20"/>
              </w:rPr>
              <w:t>No increase in the maximum number of repeats may be authorised.</w:t>
            </w:r>
          </w:p>
        </w:tc>
      </w:tr>
      <w:tr w:rsidR="006930D7" w:rsidRPr="001428E9" w14:paraId="1A6AF4A9" w14:textId="77777777" w:rsidTr="006930D7">
        <w:tblPrEx>
          <w:tblCellMar>
            <w:top w:w="15" w:type="dxa"/>
            <w:bottom w:w="15" w:type="dxa"/>
          </w:tblCellMar>
          <w:tblLook w:val="04A0" w:firstRow="1" w:lastRow="0" w:firstColumn="1" w:lastColumn="0" w:noHBand="0" w:noVBand="1"/>
        </w:tblPrEx>
        <w:trPr>
          <w:cantSplit/>
          <w:trHeight w:val="168"/>
        </w:trPr>
        <w:tc>
          <w:tcPr>
            <w:tcW w:w="9075" w:type="dxa"/>
            <w:gridSpan w:val="6"/>
          </w:tcPr>
          <w:p w14:paraId="7135076E" w14:textId="77777777" w:rsidR="006930D7" w:rsidRPr="003E7242" w:rsidRDefault="006930D7" w:rsidP="009E69C9">
            <w:pPr>
              <w:rPr>
                <w:rFonts w:ascii="Arial Narrow" w:hAnsi="Arial Narrow"/>
                <w:b/>
                <w:bCs/>
                <w:sz w:val="20"/>
                <w:szCs w:val="20"/>
              </w:rPr>
            </w:pPr>
            <w:r w:rsidRPr="003E7242">
              <w:rPr>
                <w:rFonts w:ascii="Arial Narrow" w:hAnsi="Arial Narrow"/>
                <w:b/>
                <w:bCs/>
                <w:sz w:val="20"/>
                <w:szCs w:val="20"/>
              </w:rPr>
              <w:t xml:space="preserve">Administrative Advice: </w:t>
            </w:r>
            <w:r w:rsidRPr="003E7242">
              <w:rPr>
                <w:rFonts w:ascii="Arial Narrow" w:hAnsi="Arial Narrow"/>
                <w:sz w:val="20"/>
                <w:szCs w:val="20"/>
              </w:rPr>
              <w:t>Special Pricing Arrangements apply</w:t>
            </w:r>
          </w:p>
        </w:tc>
      </w:tr>
      <w:tr w:rsidR="000A55CA" w:rsidRPr="009C3607" w14:paraId="28D9CD57"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5C8D03DB" w14:textId="77777777" w:rsidR="000A55CA" w:rsidRPr="009C3607" w:rsidRDefault="000A55CA" w:rsidP="009E69C9">
            <w:pPr>
              <w:keepLines/>
              <w:rPr>
                <w:rFonts w:ascii="Arial Narrow" w:hAnsi="Arial Narrow"/>
                <w:bCs/>
                <w:sz w:val="20"/>
                <w:szCs w:val="20"/>
              </w:rPr>
            </w:pPr>
            <w:r w:rsidRPr="009C3607">
              <w:rPr>
                <w:rFonts w:ascii="Arial Narrow" w:hAnsi="Arial Narrow"/>
                <w:b/>
                <w:bCs/>
                <w:color w:val="BFBFBF" w:themeColor="background1" w:themeShade="BF"/>
                <w:sz w:val="20"/>
                <w:szCs w:val="20"/>
              </w:rPr>
              <w:t xml:space="preserve">Episodicity: </w:t>
            </w:r>
            <w:r w:rsidRPr="009C3607">
              <w:rPr>
                <w:rFonts w:ascii="Arial Narrow" w:hAnsi="Arial Narrow"/>
                <w:bCs/>
                <w:color w:val="BFBFBF" w:themeColor="background1" w:themeShade="BF"/>
                <w:sz w:val="20"/>
                <w:szCs w:val="20"/>
              </w:rPr>
              <w:t>n/a</w:t>
            </w:r>
          </w:p>
        </w:tc>
      </w:tr>
      <w:tr w:rsidR="000A55CA" w:rsidRPr="009C3607" w14:paraId="25E57533"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1995E100" w14:textId="77777777" w:rsidR="000A55CA" w:rsidRPr="000E6627" w:rsidRDefault="000A55CA" w:rsidP="009E69C9">
            <w:pPr>
              <w:keepLines/>
              <w:rPr>
                <w:rFonts w:ascii="Arial Narrow" w:hAnsi="Arial Narrow"/>
                <w:b/>
                <w:bCs/>
                <w:sz w:val="20"/>
                <w:szCs w:val="20"/>
              </w:rPr>
            </w:pPr>
            <w:r w:rsidRPr="000E6627">
              <w:rPr>
                <w:rFonts w:ascii="Arial Narrow" w:hAnsi="Arial Narrow"/>
                <w:b/>
                <w:bCs/>
                <w:sz w:val="20"/>
                <w:szCs w:val="20"/>
              </w:rPr>
              <w:t xml:space="preserve">Severity: </w:t>
            </w:r>
            <w:r w:rsidRPr="000E6627">
              <w:rPr>
                <w:rFonts w:ascii="Arial Narrow" w:hAnsi="Arial Narrow"/>
                <w:bCs/>
                <w:sz w:val="20"/>
                <w:szCs w:val="20"/>
              </w:rPr>
              <w:t xml:space="preserve">High-risk </w:t>
            </w:r>
          </w:p>
        </w:tc>
      </w:tr>
      <w:tr w:rsidR="000A55CA" w:rsidRPr="009C3607" w14:paraId="0FDD7AC3"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6B5DFDC6" w14:textId="77777777" w:rsidR="000A55CA" w:rsidRPr="000E6627" w:rsidRDefault="000A55CA" w:rsidP="009E69C9">
            <w:pPr>
              <w:keepLines/>
              <w:rPr>
                <w:rFonts w:ascii="Arial Narrow" w:hAnsi="Arial Narrow"/>
                <w:b/>
                <w:bCs/>
                <w:sz w:val="20"/>
                <w:szCs w:val="20"/>
              </w:rPr>
            </w:pPr>
            <w:r w:rsidRPr="000E6627">
              <w:rPr>
                <w:rFonts w:ascii="Arial Narrow" w:hAnsi="Arial Narrow"/>
                <w:b/>
                <w:bCs/>
                <w:sz w:val="20"/>
                <w:szCs w:val="20"/>
              </w:rPr>
              <w:t xml:space="preserve">Condition: </w:t>
            </w:r>
            <w:r w:rsidRPr="000E6627">
              <w:rPr>
                <w:rFonts w:ascii="Arial Narrow" w:hAnsi="Arial Narrow"/>
                <w:bCs/>
                <w:sz w:val="20"/>
                <w:szCs w:val="20"/>
              </w:rPr>
              <w:t>Neuroblastoma</w:t>
            </w:r>
          </w:p>
        </w:tc>
      </w:tr>
      <w:tr w:rsidR="00DD1E98" w:rsidRPr="009C3607" w14:paraId="2A61D7C8"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F7804ED" w14:textId="77777777" w:rsidR="00DD1E98" w:rsidRPr="000E6627" w:rsidRDefault="00DD1E98" w:rsidP="009E69C9">
            <w:pPr>
              <w:keepLines/>
              <w:rPr>
                <w:rFonts w:ascii="Arial Narrow" w:hAnsi="Arial Narrow"/>
                <w:sz w:val="20"/>
                <w:szCs w:val="20"/>
              </w:rPr>
            </w:pPr>
            <w:r w:rsidRPr="000E6627">
              <w:rPr>
                <w:rFonts w:ascii="Arial Narrow" w:hAnsi="Arial Narrow"/>
                <w:b/>
                <w:bCs/>
                <w:sz w:val="20"/>
                <w:szCs w:val="20"/>
              </w:rPr>
              <w:t>Indication:</w:t>
            </w:r>
            <w:r w:rsidRPr="000E6627">
              <w:rPr>
                <w:rFonts w:ascii="Arial Narrow" w:hAnsi="Arial Narrow"/>
                <w:sz w:val="20"/>
                <w:szCs w:val="20"/>
              </w:rPr>
              <w:t xml:space="preserve"> High-risk neuroblastoma</w:t>
            </w:r>
          </w:p>
        </w:tc>
      </w:tr>
      <w:tr w:rsidR="00DD1E98" w:rsidRPr="009C3607" w14:paraId="602A451A"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4024D5C9" w14:textId="77777777" w:rsidR="00DD1E98" w:rsidRPr="009C3607" w:rsidRDefault="00DD1E98" w:rsidP="009E69C9">
            <w:pPr>
              <w:rPr>
                <w:rFonts w:ascii="Arial Narrow" w:hAnsi="Arial Narrow"/>
                <w:sz w:val="20"/>
                <w:szCs w:val="20"/>
              </w:rPr>
            </w:pPr>
            <w:r w:rsidRPr="009C3607">
              <w:rPr>
                <w:rFonts w:ascii="Arial Narrow" w:hAnsi="Arial Narrow"/>
                <w:b/>
                <w:bCs/>
                <w:sz w:val="20"/>
                <w:szCs w:val="20"/>
              </w:rPr>
              <w:t>Treatment Phase:</w:t>
            </w:r>
            <w:r w:rsidRPr="009C3607">
              <w:rPr>
                <w:rFonts w:ascii="Arial Narrow" w:hAnsi="Arial Narrow"/>
                <w:sz w:val="20"/>
                <w:szCs w:val="20"/>
              </w:rPr>
              <w:t xml:space="preserve"> Initial Treatment</w:t>
            </w:r>
            <w:r w:rsidRPr="009C3607">
              <w:rPr>
                <w:rFonts w:ascii="Arial Narrow" w:hAnsi="Arial Narrow"/>
                <w:strike/>
                <w:sz w:val="20"/>
                <w:szCs w:val="20"/>
              </w:rPr>
              <w:t xml:space="preserve"> </w:t>
            </w:r>
          </w:p>
        </w:tc>
      </w:tr>
      <w:tr w:rsidR="00DD1E98" w:rsidRPr="009C3607" w14:paraId="1BF614BC"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05FF2E6" w14:textId="77777777" w:rsidR="00DD1E98" w:rsidRPr="009C3607" w:rsidRDefault="00DD1E98" w:rsidP="009E69C9">
            <w:pPr>
              <w:rPr>
                <w:rFonts w:ascii="Arial Narrow" w:hAnsi="Arial Narrow"/>
                <w:sz w:val="20"/>
                <w:szCs w:val="20"/>
              </w:rPr>
            </w:pPr>
            <w:r w:rsidRPr="009C3607">
              <w:rPr>
                <w:rFonts w:ascii="Arial Narrow" w:hAnsi="Arial Narrow"/>
                <w:b/>
                <w:bCs/>
                <w:sz w:val="20"/>
                <w:szCs w:val="20"/>
              </w:rPr>
              <w:t xml:space="preserve">Clinical criteria: </w:t>
            </w:r>
          </w:p>
        </w:tc>
      </w:tr>
      <w:tr w:rsidR="00DD1E98" w:rsidRPr="009C3607" w14:paraId="4AD0A3F2"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17705098" w14:textId="77777777" w:rsidR="00DD1E98" w:rsidRPr="00DC7834" w:rsidRDefault="00DD1E98" w:rsidP="009E69C9">
            <w:pPr>
              <w:rPr>
                <w:rFonts w:ascii="Arial Narrow" w:hAnsi="Arial Narrow"/>
                <w:b/>
                <w:bCs/>
                <w:sz w:val="20"/>
                <w:szCs w:val="20"/>
              </w:rPr>
            </w:pPr>
            <w:r w:rsidRPr="00DC7834">
              <w:rPr>
                <w:rFonts w:ascii="Arial Narrow" w:hAnsi="Arial Narrow"/>
                <w:sz w:val="20"/>
                <w:szCs w:val="20"/>
              </w:rPr>
              <w:t xml:space="preserve">Patient must have high risk neuroblastoma according to a </w:t>
            </w:r>
            <w:r w:rsidRPr="00DC7834">
              <w:rPr>
                <w:rFonts w:ascii="Arial Narrow" w:eastAsia="Segoe UI" w:hAnsi="Arial Narrow" w:cs="Segoe UI"/>
                <w:sz w:val="20"/>
                <w:szCs w:val="20"/>
              </w:rPr>
              <w:t>validated risk classification system</w:t>
            </w:r>
            <w:r w:rsidRPr="00DC7834">
              <w:rPr>
                <w:rFonts w:ascii="Arial Narrow" w:hAnsi="Arial Narrow"/>
                <w:sz w:val="20"/>
                <w:szCs w:val="20"/>
              </w:rPr>
              <w:t xml:space="preserve"> </w:t>
            </w:r>
          </w:p>
        </w:tc>
      </w:tr>
      <w:tr w:rsidR="00DD1E98" w:rsidRPr="009C3607" w14:paraId="38C69569"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97641C9" w14:textId="77777777" w:rsidR="00DD1E98" w:rsidRPr="00DC7834" w:rsidRDefault="00DD1E98" w:rsidP="009E69C9">
            <w:pPr>
              <w:rPr>
                <w:rFonts w:ascii="Arial Narrow" w:hAnsi="Arial Narrow"/>
                <w:sz w:val="20"/>
                <w:szCs w:val="20"/>
              </w:rPr>
            </w:pPr>
            <w:r w:rsidRPr="00DC7834">
              <w:rPr>
                <w:rFonts w:ascii="Arial Narrow" w:hAnsi="Arial Narrow"/>
                <w:b/>
                <w:bCs/>
                <w:sz w:val="20"/>
                <w:szCs w:val="20"/>
              </w:rPr>
              <w:t>AND</w:t>
            </w:r>
          </w:p>
        </w:tc>
      </w:tr>
      <w:tr w:rsidR="00DD1E98" w:rsidRPr="009C3607" w14:paraId="57AC27AE"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0BE12745" w14:textId="77777777" w:rsidR="00DD1E98" w:rsidRPr="00DC7834" w:rsidRDefault="00DD1E98" w:rsidP="009E69C9">
            <w:pPr>
              <w:rPr>
                <w:rFonts w:ascii="Arial Narrow" w:hAnsi="Arial Narrow"/>
                <w:sz w:val="20"/>
                <w:szCs w:val="20"/>
              </w:rPr>
            </w:pPr>
            <w:r w:rsidRPr="00DC7834">
              <w:rPr>
                <w:rFonts w:ascii="Arial Narrow" w:hAnsi="Arial Narrow"/>
                <w:b/>
                <w:bCs/>
                <w:sz w:val="20"/>
                <w:szCs w:val="20"/>
              </w:rPr>
              <w:t>Clinical criteria:</w:t>
            </w:r>
          </w:p>
        </w:tc>
      </w:tr>
      <w:tr w:rsidR="00DD1E98" w:rsidRPr="009C3607" w14:paraId="59C9E9CE"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4864B03D" w14:textId="21B860A5" w:rsidR="00DD1E98" w:rsidRPr="00DC7834" w:rsidRDefault="00DD1E98" w:rsidP="009E69C9">
            <w:pPr>
              <w:rPr>
                <w:rFonts w:ascii="Arial Narrow" w:hAnsi="Arial Narrow"/>
                <w:sz w:val="20"/>
                <w:szCs w:val="20"/>
              </w:rPr>
            </w:pPr>
            <w:r w:rsidRPr="00DC7834">
              <w:rPr>
                <w:rFonts w:ascii="Arial Narrow" w:hAnsi="Arial Narrow"/>
                <w:sz w:val="20"/>
                <w:szCs w:val="20"/>
              </w:rPr>
              <w:t>Patient must be in remission, with at least a partial response, at the end of multiagent, multimodality therapy for high-risk neuroblastoma</w:t>
            </w:r>
          </w:p>
        </w:tc>
      </w:tr>
      <w:tr w:rsidR="00DD1E98" w:rsidRPr="009C3607" w14:paraId="0E0379F4"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898EE87" w14:textId="77777777" w:rsidR="00DD1E98" w:rsidRPr="009C3607" w:rsidRDefault="00DD1E98" w:rsidP="009E69C9">
            <w:pPr>
              <w:rPr>
                <w:rFonts w:ascii="Arial Narrow" w:hAnsi="Arial Narrow"/>
                <w:sz w:val="20"/>
                <w:szCs w:val="20"/>
              </w:rPr>
            </w:pPr>
            <w:r w:rsidRPr="009C3607">
              <w:rPr>
                <w:rFonts w:ascii="Arial Narrow" w:hAnsi="Arial Narrow"/>
                <w:b/>
                <w:bCs/>
                <w:sz w:val="20"/>
                <w:szCs w:val="20"/>
              </w:rPr>
              <w:t>AND</w:t>
            </w:r>
          </w:p>
        </w:tc>
      </w:tr>
      <w:tr w:rsidR="00DD1E98" w:rsidRPr="009C3607" w14:paraId="07A6B431"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299F708" w14:textId="77777777" w:rsidR="00DD1E98" w:rsidRPr="009C3607" w:rsidRDefault="00DD1E98" w:rsidP="009E69C9">
            <w:pPr>
              <w:rPr>
                <w:rFonts w:ascii="Arial Narrow" w:hAnsi="Arial Narrow"/>
                <w:sz w:val="20"/>
                <w:szCs w:val="20"/>
              </w:rPr>
            </w:pPr>
            <w:r w:rsidRPr="009C3607">
              <w:rPr>
                <w:rFonts w:ascii="Arial Narrow" w:hAnsi="Arial Narrow"/>
                <w:b/>
                <w:bCs/>
                <w:sz w:val="20"/>
                <w:szCs w:val="20"/>
              </w:rPr>
              <w:t>Clinical criteria:</w:t>
            </w:r>
          </w:p>
        </w:tc>
      </w:tr>
      <w:tr w:rsidR="00DD1E98" w:rsidRPr="009C3607" w14:paraId="021B956A"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4DF66F60" w14:textId="77777777" w:rsidR="00DD1E98" w:rsidRPr="009C3607" w:rsidRDefault="00DD1E98" w:rsidP="009E69C9">
            <w:pPr>
              <w:rPr>
                <w:rFonts w:ascii="Arial Narrow" w:hAnsi="Arial Narrow"/>
                <w:sz w:val="20"/>
                <w:szCs w:val="20"/>
              </w:rPr>
            </w:pPr>
            <w:r w:rsidRPr="009C3607">
              <w:rPr>
                <w:rFonts w:ascii="Arial Narrow" w:hAnsi="Arial Narrow"/>
                <w:sz w:val="20"/>
                <w:szCs w:val="20"/>
              </w:rPr>
              <w:t>The treatment must be initiated after completing previous therapy</w:t>
            </w:r>
          </w:p>
        </w:tc>
      </w:tr>
      <w:tr w:rsidR="00DD1E98" w:rsidRPr="009C3607" w14:paraId="0138A1D0"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6D661B77" w14:textId="39D99483" w:rsidR="00DD1E98" w:rsidRPr="009C3607" w:rsidRDefault="00DD1E98" w:rsidP="009E69C9">
            <w:pPr>
              <w:rPr>
                <w:rFonts w:ascii="Arial Narrow" w:hAnsi="Arial Narrow"/>
                <w:sz w:val="20"/>
                <w:szCs w:val="20"/>
              </w:rPr>
            </w:pPr>
            <w:r w:rsidRPr="009C3607">
              <w:rPr>
                <w:rFonts w:ascii="Arial Narrow" w:hAnsi="Arial Narrow"/>
                <w:b/>
                <w:bCs/>
                <w:sz w:val="20"/>
                <w:szCs w:val="20"/>
              </w:rPr>
              <w:t>AND</w:t>
            </w:r>
          </w:p>
        </w:tc>
      </w:tr>
      <w:tr w:rsidR="00DD1E98" w:rsidRPr="009C3607" w14:paraId="7A604133"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30D8707D" w14:textId="0F97FCF8" w:rsidR="00DD1E98" w:rsidRPr="00447F8E" w:rsidRDefault="00DD1E98" w:rsidP="00066ADD">
            <w:pPr>
              <w:rPr>
                <w:rFonts w:ascii="Arial Narrow" w:hAnsi="Arial Narrow"/>
                <w:sz w:val="20"/>
                <w:szCs w:val="20"/>
              </w:rPr>
            </w:pPr>
            <w:r w:rsidRPr="00447F8E">
              <w:rPr>
                <w:rStyle w:val="Strong"/>
                <w:rFonts w:ascii="Arial Narrow" w:hAnsi="Arial Narrow"/>
                <w:sz w:val="20"/>
                <w:szCs w:val="20"/>
              </w:rPr>
              <w:t>Clinical criteria:</w:t>
            </w:r>
          </w:p>
        </w:tc>
      </w:tr>
      <w:tr w:rsidR="00DD1E98" w:rsidRPr="009C3607" w14:paraId="6744F44E"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6DC2A06" w14:textId="58C84AB8" w:rsidR="00DD1E98" w:rsidRPr="00447F8E" w:rsidRDefault="00DD1E98" w:rsidP="00066ADD">
            <w:pPr>
              <w:rPr>
                <w:rFonts w:ascii="Arial Narrow" w:hAnsi="Arial Narrow"/>
                <w:sz w:val="20"/>
                <w:szCs w:val="20"/>
              </w:rPr>
            </w:pPr>
            <w:r w:rsidRPr="00447F8E">
              <w:rPr>
                <w:rFonts w:ascii="Arial Narrow" w:hAnsi="Arial Narrow"/>
                <w:sz w:val="20"/>
                <w:szCs w:val="20"/>
              </w:rPr>
              <w:t>Patient must not have previously received PBS-subsidised treatment with this drug for this condition</w:t>
            </w:r>
          </w:p>
        </w:tc>
      </w:tr>
      <w:tr w:rsidR="00DD1E98" w:rsidRPr="009C3607" w14:paraId="6B7AE896"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75" w:type="dxa"/>
            <w:gridSpan w:val="6"/>
            <w:tcBorders>
              <w:top w:val="single" w:sz="6" w:space="0" w:color="auto"/>
              <w:left w:val="single" w:sz="6" w:space="0" w:color="auto"/>
              <w:bottom w:val="single" w:sz="6" w:space="0" w:color="auto"/>
              <w:right w:val="single" w:sz="6" w:space="0" w:color="auto"/>
            </w:tcBorders>
            <w:vAlign w:val="center"/>
          </w:tcPr>
          <w:p w14:paraId="6002EE40" w14:textId="77777777" w:rsidR="00DD1E98" w:rsidRPr="00DC7834" w:rsidRDefault="00DD1E98" w:rsidP="009E69C9">
            <w:pPr>
              <w:ind w:left="57"/>
              <w:textAlignment w:val="baseline"/>
              <w:rPr>
                <w:rFonts w:ascii="Arial Narrow" w:hAnsi="Arial Narrow" w:cs="Segoe UI"/>
                <w:sz w:val="20"/>
                <w:szCs w:val="20"/>
              </w:rPr>
            </w:pPr>
            <w:r w:rsidRPr="00DC7834">
              <w:rPr>
                <w:rFonts w:ascii="Arial Narrow" w:hAnsi="Arial Narrow" w:cs="Segoe UI"/>
                <w:b/>
                <w:bCs/>
                <w:sz w:val="20"/>
                <w:szCs w:val="20"/>
              </w:rPr>
              <w:t>Treatment Criteria:</w:t>
            </w:r>
            <w:r w:rsidRPr="00DC7834">
              <w:rPr>
                <w:rFonts w:ascii="Arial Narrow" w:hAnsi="Arial Narrow" w:cs="Segoe UI"/>
                <w:sz w:val="20"/>
                <w:szCs w:val="20"/>
              </w:rPr>
              <w:t> </w:t>
            </w:r>
          </w:p>
        </w:tc>
      </w:tr>
      <w:tr w:rsidR="00DD1E98" w:rsidRPr="009C3607" w14:paraId="420EBAD9"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75" w:type="dxa"/>
            <w:gridSpan w:val="6"/>
            <w:tcBorders>
              <w:top w:val="single" w:sz="6" w:space="0" w:color="auto"/>
              <w:left w:val="single" w:sz="6" w:space="0" w:color="auto"/>
              <w:bottom w:val="single" w:sz="6" w:space="0" w:color="auto"/>
              <w:right w:val="single" w:sz="6" w:space="0" w:color="auto"/>
            </w:tcBorders>
            <w:vAlign w:val="center"/>
          </w:tcPr>
          <w:p w14:paraId="70993EE5" w14:textId="77777777" w:rsidR="00DD1E98" w:rsidRPr="00DC7834" w:rsidRDefault="00DD1E98" w:rsidP="009E69C9">
            <w:pPr>
              <w:ind w:left="57"/>
              <w:textAlignment w:val="baseline"/>
              <w:rPr>
                <w:rFonts w:ascii="Arial Narrow" w:hAnsi="Arial Narrow" w:cs="Segoe UI"/>
                <w:sz w:val="20"/>
                <w:szCs w:val="20"/>
              </w:rPr>
            </w:pPr>
            <w:r w:rsidRPr="00DC7834">
              <w:rPr>
                <w:rFonts w:ascii="Arial Narrow" w:hAnsi="Arial Narrow" w:cs="Segoe UI"/>
                <w:sz w:val="20"/>
                <w:szCs w:val="20"/>
              </w:rPr>
              <w:t xml:space="preserve">Must be treated in a hospital/cancer centre by either a: (i) paediatric oncologist (ii) haematologist; </w:t>
            </w:r>
          </w:p>
        </w:tc>
      </w:tr>
      <w:tr w:rsidR="00DD1E98" w:rsidRPr="009C3607" w14:paraId="70F6CF19"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top w:val="single" w:sz="4" w:space="0" w:color="auto"/>
              <w:left w:val="single" w:sz="4" w:space="0" w:color="auto"/>
              <w:bottom w:val="single" w:sz="4" w:space="0" w:color="auto"/>
              <w:right w:val="single" w:sz="4" w:space="0" w:color="auto"/>
            </w:tcBorders>
            <w:vAlign w:val="center"/>
          </w:tcPr>
          <w:p w14:paraId="37166393" w14:textId="22BCDEF4" w:rsidR="00DD1E98" w:rsidRPr="003D07D0" w:rsidRDefault="00DD1E98" w:rsidP="009E69C9">
            <w:pPr>
              <w:rPr>
                <w:rFonts w:ascii="Arial Narrow" w:hAnsi="Arial Narrow"/>
                <w:b/>
                <w:bCs/>
                <w:sz w:val="20"/>
                <w:szCs w:val="20"/>
              </w:rPr>
            </w:pPr>
            <w:r w:rsidRPr="003D07D0">
              <w:rPr>
                <w:rFonts w:ascii="Arial Narrow" w:hAnsi="Arial Narrow"/>
                <w:b/>
                <w:bCs/>
                <w:sz w:val="20"/>
                <w:szCs w:val="20"/>
              </w:rPr>
              <w:t xml:space="preserve">Prescribing Instructions: </w:t>
            </w:r>
            <w:r w:rsidRPr="003D07D0">
              <w:rPr>
                <w:rFonts w:ascii="Arial Narrow" w:hAnsi="Arial Narrow"/>
                <w:sz w:val="20"/>
                <w:szCs w:val="20"/>
              </w:rPr>
              <w:t xml:space="preserve">Prior to initiating treatment with </w:t>
            </w:r>
            <w:r w:rsidRPr="00E749A5">
              <w:rPr>
                <w:rFonts w:ascii="Arial Narrow" w:hAnsi="Arial Narrow"/>
                <w:sz w:val="20"/>
                <w:szCs w:val="20"/>
              </w:rPr>
              <w:t>this drug</w:t>
            </w:r>
            <w:r w:rsidRPr="003D07D0">
              <w:rPr>
                <w:rFonts w:ascii="Arial Narrow" w:hAnsi="Arial Narrow"/>
                <w:sz w:val="20"/>
                <w:szCs w:val="20"/>
              </w:rPr>
              <w:t>, a complete blood count, liver function tests and baseline hearing assessments should be performed and documented in the patients’ medical records.</w:t>
            </w:r>
            <w:r w:rsidR="00F6759F">
              <w:rPr>
                <w:rFonts w:ascii="Arial Narrow" w:hAnsi="Arial Narrow"/>
                <w:b/>
                <w:bCs/>
                <w:sz w:val="20"/>
                <w:szCs w:val="20"/>
              </w:rPr>
              <w:t xml:space="preserve"> </w:t>
            </w:r>
          </w:p>
        </w:tc>
      </w:tr>
      <w:tr w:rsidR="00DD1E98" w:rsidRPr="009C3607" w14:paraId="198B00E5"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74ABAC12" w14:textId="77777777" w:rsidR="00DD1E98" w:rsidRPr="007A02BF" w:rsidRDefault="00DD1E98" w:rsidP="009E69C9">
            <w:pPr>
              <w:rPr>
                <w:rFonts w:ascii="Arial Narrow" w:hAnsi="Arial Narrow"/>
                <w:b/>
                <w:bCs/>
                <w:sz w:val="20"/>
                <w:szCs w:val="20"/>
              </w:rPr>
            </w:pPr>
            <w:r w:rsidRPr="007A02BF">
              <w:rPr>
                <w:rFonts w:ascii="Arial Narrow" w:hAnsi="Arial Narrow"/>
                <w:b/>
                <w:bCs/>
                <w:sz w:val="20"/>
                <w:szCs w:val="20"/>
              </w:rPr>
              <w:lastRenderedPageBreak/>
              <w:t>Prescribing Instructions:</w:t>
            </w:r>
          </w:p>
          <w:p w14:paraId="00BBEDB7" w14:textId="77777777" w:rsidR="00DD1E98" w:rsidRPr="009C1348" w:rsidRDefault="00DD1E98" w:rsidP="009E69C9">
            <w:pPr>
              <w:rPr>
                <w:rFonts w:ascii="Arial Narrow" w:hAnsi="Arial Narrow"/>
                <w:sz w:val="20"/>
                <w:szCs w:val="20"/>
              </w:rPr>
            </w:pPr>
            <w:r w:rsidRPr="009C1348">
              <w:rPr>
                <w:rFonts w:ascii="Arial Narrow" w:hAnsi="Arial Narrow"/>
                <w:sz w:val="20"/>
                <w:szCs w:val="20"/>
              </w:rPr>
              <w:t>At the time of the authority application, the prescriber should request an appropriate number of packs and repeats based on the patients’ Body Surface Area (BSA), according to the dosing schedule in the TGA approved Product Information.</w:t>
            </w:r>
          </w:p>
          <w:p w14:paraId="449B2A0C" w14:textId="77777777" w:rsidR="00DD1E98" w:rsidRPr="009C1348" w:rsidRDefault="00DD1E98" w:rsidP="009E69C9">
            <w:pPr>
              <w:rPr>
                <w:rFonts w:ascii="Arial Narrow" w:hAnsi="Arial Narrow"/>
                <w:sz w:val="20"/>
                <w:szCs w:val="20"/>
              </w:rPr>
            </w:pPr>
            <w:r w:rsidRPr="009C1348">
              <w:rPr>
                <w:rFonts w:ascii="Arial Narrow" w:hAnsi="Arial Narrow"/>
                <w:sz w:val="20"/>
                <w:szCs w:val="20"/>
              </w:rPr>
              <w:t xml:space="preserve"> </w:t>
            </w:r>
          </w:p>
          <w:p w14:paraId="0FA8DA6B" w14:textId="77777777" w:rsidR="00DD1E98" w:rsidRPr="009C1348" w:rsidRDefault="00DD1E98" w:rsidP="009E69C9">
            <w:pPr>
              <w:rPr>
                <w:rFonts w:ascii="Arial Narrow" w:hAnsi="Arial Narrow"/>
                <w:sz w:val="20"/>
                <w:szCs w:val="20"/>
              </w:rPr>
            </w:pPr>
            <w:r w:rsidRPr="009C1348">
              <w:rPr>
                <w:rFonts w:ascii="Arial Narrow" w:hAnsi="Arial Narrow"/>
                <w:sz w:val="20"/>
                <w:szCs w:val="20"/>
              </w:rPr>
              <w:t xml:space="preserve">The following number of packs and repeats may be authorised under this restriction (providing 3 months of therapy for each prescription). </w:t>
            </w:r>
          </w:p>
          <w:p w14:paraId="5B5A14D3" w14:textId="77777777" w:rsidR="00F426C7" w:rsidRPr="009C1348" w:rsidRDefault="00F426C7" w:rsidP="00F426C7">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100 units </w:t>
            </w:r>
            <w:r w:rsidRPr="009C1348">
              <w:rPr>
                <w:rFonts w:ascii="Arial Narrow" w:hAnsi="Arial Narrow"/>
                <w:sz w:val="20"/>
                <w:szCs w:val="20"/>
              </w:rPr>
              <w:t>and 1 repeat for a BSA 0.25 to &lt;0.5 m</w:t>
            </w:r>
            <w:r w:rsidRPr="00050E83">
              <w:rPr>
                <w:rFonts w:ascii="Arial Narrow" w:hAnsi="Arial Narrow"/>
                <w:sz w:val="20"/>
                <w:szCs w:val="20"/>
                <w:vertAlign w:val="superscript"/>
              </w:rPr>
              <w:t>2</w:t>
            </w:r>
          </w:p>
          <w:p w14:paraId="29DDC03D" w14:textId="77777777" w:rsidR="00F426C7" w:rsidRPr="009C1348" w:rsidRDefault="00F426C7" w:rsidP="00F426C7">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200 units </w:t>
            </w:r>
            <w:r w:rsidRPr="009C1348">
              <w:rPr>
                <w:rFonts w:ascii="Arial Narrow" w:hAnsi="Arial Narrow"/>
                <w:sz w:val="20"/>
                <w:szCs w:val="20"/>
              </w:rPr>
              <w:t>and 1 repeat for a BSA 0.5 to &lt;0.75 m</w:t>
            </w:r>
            <w:r w:rsidRPr="00050E83">
              <w:rPr>
                <w:rFonts w:ascii="Arial Narrow" w:hAnsi="Arial Narrow"/>
                <w:sz w:val="20"/>
                <w:szCs w:val="20"/>
                <w:vertAlign w:val="superscript"/>
              </w:rPr>
              <w:t>2</w:t>
            </w:r>
            <w:r w:rsidRPr="009C1348">
              <w:rPr>
                <w:rFonts w:ascii="Arial Narrow" w:hAnsi="Arial Narrow"/>
                <w:sz w:val="20"/>
                <w:szCs w:val="20"/>
              </w:rPr>
              <w:t xml:space="preserve"> </w:t>
            </w:r>
          </w:p>
          <w:p w14:paraId="3B24B8FB" w14:textId="77777777" w:rsidR="00F426C7" w:rsidRPr="009C1348" w:rsidRDefault="00F426C7" w:rsidP="00F426C7">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quantity of 200 units a</w:t>
            </w:r>
            <w:r w:rsidRPr="009C1348">
              <w:rPr>
                <w:rFonts w:ascii="Arial Narrow" w:hAnsi="Arial Narrow"/>
                <w:sz w:val="20"/>
                <w:szCs w:val="20"/>
              </w:rPr>
              <w:t>nd 2 repeats for a BSA 0.75 to 1.5 m</w:t>
            </w:r>
            <w:r w:rsidRPr="00050E83">
              <w:rPr>
                <w:rFonts w:ascii="Arial Narrow" w:hAnsi="Arial Narrow"/>
                <w:sz w:val="20"/>
                <w:szCs w:val="20"/>
                <w:vertAlign w:val="superscript"/>
              </w:rPr>
              <w:t>2</w:t>
            </w:r>
          </w:p>
          <w:p w14:paraId="7B878876" w14:textId="05780A16" w:rsidR="00DD1E98" w:rsidRPr="009C3607" w:rsidRDefault="00F426C7" w:rsidP="009E69C9">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300 units </w:t>
            </w:r>
            <w:r w:rsidRPr="009C1348">
              <w:rPr>
                <w:rFonts w:ascii="Arial Narrow" w:hAnsi="Arial Narrow"/>
                <w:sz w:val="20"/>
                <w:szCs w:val="20"/>
              </w:rPr>
              <w:t>and 2 repeats for a BSA &gt;1.5 m</w:t>
            </w:r>
            <w:r w:rsidRPr="00050E83">
              <w:rPr>
                <w:rFonts w:ascii="Arial Narrow" w:hAnsi="Arial Narrow"/>
                <w:sz w:val="20"/>
                <w:szCs w:val="20"/>
                <w:vertAlign w:val="superscript"/>
              </w:rPr>
              <w:t>2</w:t>
            </w:r>
          </w:p>
        </w:tc>
      </w:tr>
      <w:tr w:rsidR="00DD1E98" w:rsidRPr="009C3607" w14:paraId="2CE36F96"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318643E" w14:textId="77777777" w:rsidR="00DD1E98" w:rsidRPr="00EC2205" w:rsidRDefault="00DD1E98" w:rsidP="009E69C9">
            <w:pPr>
              <w:rPr>
                <w:rFonts w:ascii="Arial Narrow" w:hAnsi="Arial Narrow"/>
                <w:b/>
                <w:sz w:val="20"/>
                <w:szCs w:val="20"/>
              </w:rPr>
            </w:pPr>
            <w:r w:rsidRPr="00EC2205">
              <w:rPr>
                <w:rFonts w:ascii="Arial Narrow" w:hAnsi="Arial Narrow"/>
                <w:b/>
                <w:sz w:val="20"/>
                <w:szCs w:val="20"/>
              </w:rPr>
              <w:t>Prescribing Instructions:</w:t>
            </w:r>
          </w:p>
          <w:p w14:paraId="79CA6CD2" w14:textId="77777777" w:rsidR="00DD1E98" w:rsidRPr="00EC2205" w:rsidRDefault="00DD1E98" w:rsidP="009E69C9">
            <w:pPr>
              <w:rPr>
                <w:rFonts w:ascii="Arial Narrow" w:hAnsi="Arial Narrow"/>
                <w:sz w:val="20"/>
                <w:szCs w:val="20"/>
              </w:rPr>
            </w:pPr>
            <w:r w:rsidRPr="00EC2205">
              <w:rPr>
                <w:rFonts w:ascii="Arial Narrow" w:hAnsi="Arial Narrow"/>
                <w:sz w:val="20"/>
                <w:szCs w:val="20"/>
              </w:rPr>
              <w:t>Authority applications for initial treatment must be made in writing and must include:</w:t>
            </w:r>
          </w:p>
          <w:p w14:paraId="65BDAD5F" w14:textId="77777777" w:rsidR="00DD1E98" w:rsidRPr="00EC2205" w:rsidRDefault="00DD1E98" w:rsidP="009E69C9">
            <w:pPr>
              <w:rPr>
                <w:rFonts w:ascii="Arial Narrow" w:hAnsi="Arial Narrow"/>
                <w:sz w:val="20"/>
                <w:szCs w:val="20"/>
              </w:rPr>
            </w:pPr>
            <w:r w:rsidRPr="00EC2205">
              <w:rPr>
                <w:rFonts w:ascii="Arial Narrow" w:hAnsi="Arial Narrow"/>
                <w:sz w:val="20"/>
                <w:szCs w:val="20"/>
              </w:rPr>
              <w:t>(a) details of the proposed prescription; and</w:t>
            </w:r>
          </w:p>
          <w:p w14:paraId="38B103BB" w14:textId="77777777" w:rsidR="00DD1E98" w:rsidRPr="00EC2205" w:rsidRDefault="00DD1E98" w:rsidP="009E69C9">
            <w:pPr>
              <w:rPr>
                <w:rFonts w:ascii="Arial Narrow" w:hAnsi="Arial Narrow"/>
                <w:sz w:val="20"/>
                <w:szCs w:val="20"/>
              </w:rPr>
            </w:pPr>
            <w:r w:rsidRPr="00EC2205">
              <w:rPr>
                <w:rFonts w:ascii="Arial Narrow" w:hAnsi="Arial Narrow"/>
                <w:sz w:val="20"/>
                <w:szCs w:val="20"/>
              </w:rPr>
              <w:t xml:space="preserve">(b) a completed PBS authority application form, </w:t>
            </w:r>
            <w:r w:rsidRPr="00EC2205">
              <w:rPr>
                <w:rFonts w:ascii="Arial Narrow" w:hAnsi="Arial Narrow"/>
                <w:bCs/>
                <w:sz w:val="20"/>
                <w:szCs w:val="20"/>
              </w:rPr>
              <w:t xml:space="preserve">relevant to the indication and treatment phase (the latest version is located on the website specified in the Administrative Advice) </w:t>
            </w:r>
            <w:r w:rsidRPr="00EC2205">
              <w:rPr>
                <w:rFonts w:ascii="Arial Narrow" w:hAnsi="Arial Narrow"/>
                <w:sz w:val="20"/>
                <w:szCs w:val="20"/>
              </w:rPr>
              <w:t>which includes the following:</w:t>
            </w:r>
          </w:p>
          <w:p w14:paraId="79E8FE30" w14:textId="37DBB256" w:rsidR="00DD1E98" w:rsidRPr="00EC2205" w:rsidRDefault="00DD1E98" w:rsidP="009E69C9">
            <w:pPr>
              <w:rPr>
                <w:rFonts w:ascii="Arial Narrow" w:hAnsi="Arial Narrow"/>
                <w:sz w:val="20"/>
                <w:szCs w:val="20"/>
              </w:rPr>
            </w:pPr>
            <w:r w:rsidRPr="00EC2205">
              <w:rPr>
                <w:rFonts w:ascii="Arial Narrow" w:hAnsi="Arial Narrow"/>
                <w:sz w:val="20"/>
                <w:szCs w:val="20"/>
              </w:rPr>
              <w:t xml:space="preserve">(i) </w:t>
            </w:r>
            <w:r w:rsidR="0031414D">
              <w:rPr>
                <w:rFonts w:ascii="Arial Narrow" w:hAnsi="Arial Narrow"/>
                <w:sz w:val="20"/>
                <w:szCs w:val="20"/>
              </w:rPr>
              <w:t>d</w:t>
            </w:r>
            <w:r w:rsidRPr="00EC2205">
              <w:rPr>
                <w:rFonts w:ascii="Arial Narrow" w:hAnsi="Arial Narrow"/>
                <w:sz w:val="20"/>
                <w:szCs w:val="20"/>
              </w:rPr>
              <w:t xml:space="preserve">etails of prior </w:t>
            </w:r>
            <w:r w:rsidR="00006E08" w:rsidRPr="00006E08">
              <w:rPr>
                <w:rFonts w:ascii="Arial Narrow" w:hAnsi="Arial Narrow"/>
                <w:sz w:val="20"/>
                <w:szCs w:val="20"/>
              </w:rPr>
              <w:t>multiagent, multimodality therapy</w:t>
            </w:r>
            <w:r w:rsidR="00006E08" w:rsidRPr="00006E08" w:rsidDel="00006E08">
              <w:rPr>
                <w:rFonts w:ascii="Arial Narrow" w:hAnsi="Arial Narrow"/>
                <w:sz w:val="20"/>
                <w:szCs w:val="20"/>
              </w:rPr>
              <w:t xml:space="preserve"> </w:t>
            </w:r>
            <w:r w:rsidRPr="00EC2205">
              <w:rPr>
                <w:rFonts w:ascii="Arial Narrow" w:hAnsi="Arial Narrow"/>
                <w:sz w:val="20"/>
                <w:szCs w:val="20"/>
              </w:rPr>
              <w:t>for high-risk neuroblastoma [date of commencement and duration of therapy]; and</w:t>
            </w:r>
          </w:p>
          <w:p w14:paraId="7A6C6ECC" w14:textId="76D5C977" w:rsidR="00DD1E98" w:rsidRPr="00EC2205" w:rsidRDefault="00DD1E98" w:rsidP="009E69C9">
            <w:pPr>
              <w:rPr>
                <w:rFonts w:ascii="Arial Narrow" w:hAnsi="Arial Narrow"/>
                <w:b/>
                <w:bCs/>
                <w:sz w:val="20"/>
                <w:szCs w:val="20"/>
              </w:rPr>
            </w:pPr>
            <w:r w:rsidRPr="00EC2205">
              <w:rPr>
                <w:rFonts w:ascii="Arial Narrow" w:hAnsi="Arial Narrow"/>
                <w:sz w:val="20"/>
                <w:szCs w:val="20"/>
              </w:rPr>
              <w:t xml:space="preserve">(iii) </w:t>
            </w:r>
            <w:r w:rsidR="0031414D">
              <w:rPr>
                <w:rFonts w:ascii="Arial Narrow" w:hAnsi="Arial Narrow"/>
                <w:sz w:val="20"/>
                <w:szCs w:val="20"/>
              </w:rPr>
              <w:t>t</w:t>
            </w:r>
            <w:r w:rsidRPr="00EC2205">
              <w:rPr>
                <w:rFonts w:ascii="Arial Narrow" w:hAnsi="Arial Narrow"/>
                <w:sz w:val="20"/>
                <w:szCs w:val="20"/>
              </w:rPr>
              <w:t>he patients’ BSA measurement</w:t>
            </w:r>
          </w:p>
        </w:tc>
      </w:tr>
      <w:tr w:rsidR="00DD1E98" w:rsidRPr="009C3607" w14:paraId="572A6E4C"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D4A7F50" w14:textId="77777777" w:rsidR="00DD1E98" w:rsidRPr="00EC2205" w:rsidRDefault="00DD1E98" w:rsidP="009E69C9">
            <w:pPr>
              <w:rPr>
                <w:rFonts w:ascii="Arial Narrow" w:eastAsia="Arial Narrow" w:hAnsi="Arial Narrow" w:cs="Arial Narrow"/>
                <w:b/>
                <w:bCs/>
                <w:sz w:val="20"/>
                <w:szCs w:val="20"/>
              </w:rPr>
            </w:pPr>
            <w:r w:rsidRPr="00EC2205">
              <w:rPr>
                <w:rFonts w:ascii="Arial Narrow" w:eastAsia="Arial Narrow" w:hAnsi="Arial Narrow" w:cs="Arial Narrow"/>
                <w:b/>
                <w:bCs/>
                <w:sz w:val="20"/>
                <w:szCs w:val="20"/>
              </w:rPr>
              <w:t>Administrative Advice:</w:t>
            </w:r>
          </w:p>
          <w:p w14:paraId="1E02E812" w14:textId="77777777"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Any queries concerning the arrangements to prescribe may be directed to Services Australia on 1800 700 270 (hours of operation 8 a.m. to 5 p.m. Monday to Friday). </w:t>
            </w:r>
          </w:p>
          <w:p w14:paraId="708DC35E" w14:textId="5BA5278C"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 xml:space="preserve">Prescribing information (including Authority Application forms and other relevant documentation as applicable) is available on the Services Australia website at </w:t>
            </w:r>
            <w:hyperlink r:id="rId20">
              <w:r w:rsidRPr="00EC2205">
                <w:rPr>
                  <w:rStyle w:val="Hyperlink"/>
                  <w:rFonts w:ascii="Arial Narrow" w:eastAsia="Arial Narrow" w:hAnsi="Arial Narrow" w:cs="Arial Narrow"/>
                  <w:sz w:val="20"/>
                  <w:szCs w:val="20"/>
                </w:rPr>
                <w:t>www.servicesaustralia.gov.au</w:t>
              </w:r>
            </w:hyperlink>
            <w:r w:rsidRPr="00EC2205">
              <w:rPr>
                <w:rFonts w:ascii="Arial Narrow" w:eastAsia="Arial Narrow" w:hAnsi="Arial Narrow" w:cs="Arial Narrow"/>
                <w:sz w:val="20"/>
                <w:szCs w:val="20"/>
              </w:rPr>
              <w:t> </w:t>
            </w:r>
          </w:p>
          <w:p w14:paraId="098CDC45" w14:textId="7B82181B"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 xml:space="preserve">Applications for authority to prescribe should be submitted online using the form upload facility in Health Professional Online Services (HPOS) at </w:t>
            </w:r>
            <w:hyperlink r:id="rId21">
              <w:r w:rsidRPr="00EC2205">
                <w:rPr>
                  <w:rStyle w:val="Hyperlink"/>
                  <w:rFonts w:ascii="Arial Narrow" w:eastAsia="Arial Narrow" w:hAnsi="Arial Narrow" w:cs="Arial Narrow"/>
                  <w:sz w:val="20"/>
                  <w:szCs w:val="20"/>
                </w:rPr>
                <w:t>www.servicesaustralia.gov.au/hpos</w:t>
              </w:r>
            </w:hyperlink>
            <w:r w:rsidRPr="00EC2205">
              <w:rPr>
                <w:rFonts w:ascii="Arial Narrow" w:eastAsia="Arial Narrow" w:hAnsi="Arial Narrow" w:cs="Arial Narrow"/>
                <w:sz w:val="20"/>
                <w:szCs w:val="20"/>
              </w:rPr>
              <w:t> </w:t>
            </w:r>
          </w:p>
          <w:p w14:paraId="7BEB04ED" w14:textId="77777777"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Or mailed to: </w:t>
            </w:r>
          </w:p>
          <w:p w14:paraId="0228EB57" w14:textId="77777777"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Services Australia </w:t>
            </w:r>
          </w:p>
          <w:p w14:paraId="76D92A2A" w14:textId="77777777"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Complex Drugs </w:t>
            </w:r>
          </w:p>
          <w:p w14:paraId="04338AFE" w14:textId="77777777"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Reply Paid 9826 </w:t>
            </w:r>
          </w:p>
          <w:p w14:paraId="4867F4E2" w14:textId="77777777" w:rsidR="00DD1E98" w:rsidRPr="00EC2205" w:rsidRDefault="00DD1E98" w:rsidP="009E69C9">
            <w:pPr>
              <w:rPr>
                <w:rFonts w:ascii="Arial Narrow" w:eastAsia="Arial Narrow" w:hAnsi="Arial Narrow" w:cs="Arial Narrow"/>
                <w:sz w:val="20"/>
                <w:szCs w:val="20"/>
              </w:rPr>
            </w:pPr>
            <w:r w:rsidRPr="00EC2205">
              <w:rPr>
                <w:rFonts w:ascii="Arial Narrow" w:eastAsia="Arial Narrow" w:hAnsi="Arial Narrow" w:cs="Arial Narrow"/>
                <w:sz w:val="20"/>
                <w:szCs w:val="20"/>
              </w:rPr>
              <w:t>HOBART TAS 7001 </w:t>
            </w:r>
          </w:p>
        </w:tc>
      </w:tr>
    </w:tbl>
    <w:p w14:paraId="11D63E8A" w14:textId="77777777" w:rsidR="00243DFF" w:rsidRDefault="00243DFF" w:rsidP="00243DFF">
      <w:pPr>
        <w:pStyle w:val="3-BodyText"/>
        <w:numPr>
          <w:ilvl w:val="0"/>
          <w:numId w:val="0"/>
        </w:numPr>
        <w:spacing w:before="0" w:after="0"/>
        <w:ind w:left="720" w:hanging="720"/>
        <w:rPr>
          <w:rFonts w:ascii="Calibri" w:hAnsi="Calibri"/>
          <w:b/>
        </w:rPr>
      </w:pPr>
    </w:p>
    <w:tbl>
      <w:tblPr>
        <w:tblW w:w="50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Initial restrictions &#10;Treatment phase: continuing treatment "/>
      </w:tblPr>
      <w:tblGrid>
        <w:gridCol w:w="3112"/>
        <w:gridCol w:w="1634"/>
        <w:gridCol w:w="812"/>
        <w:gridCol w:w="811"/>
        <w:gridCol w:w="812"/>
        <w:gridCol w:w="1894"/>
      </w:tblGrid>
      <w:tr w:rsidR="00243DFF" w:rsidRPr="009C3607" w14:paraId="3484F244" w14:textId="77777777" w:rsidTr="008674BA">
        <w:trPr>
          <w:cantSplit/>
          <w:trHeight w:val="20"/>
        </w:trPr>
        <w:tc>
          <w:tcPr>
            <w:tcW w:w="3112" w:type="dxa"/>
            <w:vAlign w:val="center"/>
          </w:tcPr>
          <w:p w14:paraId="632A014F" w14:textId="77777777" w:rsidR="00243DFF" w:rsidRPr="009C3607" w:rsidRDefault="00243DFF" w:rsidP="009E69C9">
            <w:pPr>
              <w:keepLines/>
              <w:rPr>
                <w:rFonts w:ascii="Arial Narrow" w:hAnsi="Arial Narrow"/>
                <w:b/>
                <w:bCs/>
                <w:sz w:val="20"/>
                <w:szCs w:val="20"/>
              </w:rPr>
            </w:pPr>
            <w:r w:rsidRPr="009C3607">
              <w:rPr>
                <w:rFonts w:ascii="Arial Narrow" w:hAnsi="Arial Narrow"/>
                <w:b/>
                <w:bCs/>
                <w:sz w:val="20"/>
                <w:szCs w:val="20"/>
              </w:rPr>
              <w:t>MEDICINAL PRODUCT</w:t>
            </w:r>
          </w:p>
          <w:p w14:paraId="5D8110FC" w14:textId="77777777" w:rsidR="00243DFF" w:rsidRPr="009C3607" w:rsidRDefault="00243DFF" w:rsidP="009E69C9">
            <w:pPr>
              <w:keepLines/>
              <w:rPr>
                <w:rFonts w:ascii="Arial Narrow" w:hAnsi="Arial Narrow"/>
                <w:b/>
                <w:sz w:val="20"/>
                <w:szCs w:val="20"/>
              </w:rPr>
            </w:pPr>
            <w:r w:rsidRPr="009C3607">
              <w:rPr>
                <w:rFonts w:ascii="Arial Narrow" w:hAnsi="Arial Narrow"/>
                <w:b/>
                <w:bCs/>
                <w:sz w:val="20"/>
                <w:szCs w:val="20"/>
              </w:rPr>
              <w:t>medicinal product pack</w:t>
            </w:r>
          </w:p>
        </w:tc>
        <w:tc>
          <w:tcPr>
            <w:tcW w:w="1634" w:type="dxa"/>
            <w:vAlign w:val="center"/>
          </w:tcPr>
          <w:p w14:paraId="3B7572DB" w14:textId="77777777" w:rsidR="00243DFF" w:rsidRPr="009C3607" w:rsidRDefault="00243DFF" w:rsidP="009E69C9">
            <w:pPr>
              <w:keepLines/>
              <w:jc w:val="center"/>
              <w:rPr>
                <w:rFonts w:ascii="Arial Narrow" w:hAnsi="Arial Narrow"/>
                <w:b/>
                <w:sz w:val="20"/>
                <w:szCs w:val="20"/>
              </w:rPr>
            </w:pPr>
            <w:r w:rsidRPr="009C3607">
              <w:rPr>
                <w:rFonts w:ascii="Arial Narrow" w:hAnsi="Arial Narrow"/>
                <w:b/>
                <w:sz w:val="20"/>
                <w:szCs w:val="20"/>
              </w:rPr>
              <w:t>PBS item code</w:t>
            </w:r>
          </w:p>
        </w:tc>
        <w:tc>
          <w:tcPr>
            <w:tcW w:w="812" w:type="dxa"/>
            <w:vAlign w:val="center"/>
          </w:tcPr>
          <w:p w14:paraId="23C41733" w14:textId="77777777" w:rsidR="00243DFF" w:rsidRPr="009C3607" w:rsidRDefault="00243DFF" w:rsidP="009E69C9">
            <w:pPr>
              <w:keepLines/>
              <w:jc w:val="center"/>
              <w:rPr>
                <w:rFonts w:ascii="Arial Narrow" w:hAnsi="Arial Narrow"/>
                <w:b/>
                <w:sz w:val="20"/>
                <w:szCs w:val="20"/>
              </w:rPr>
            </w:pPr>
            <w:r w:rsidRPr="009C3607">
              <w:rPr>
                <w:rFonts w:ascii="Arial Narrow" w:hAnsi="Arial Narrow"/>
                <w:b/>
                <w:sz w:val="20"/>
                <w:szCs w:val="20"/>
              </w:rPr>
              <w:t>Max. qty packs</w:t>
            </w:r>
          </w:p>
        </w:tc>
        <w:tc>
          <w:tcPr>
            <w:tcW w:w="811" w:type="dxa"/>
            <w:vAlign w:val="center"/>
          </w:tcPr>
          <w:p w14:paraId="34BAB8A0" w14:textId="77777777" w:rsidR="00243DFF" w:rsidRPr="009C3607" w:rsidRDefault="00243DFF" w:rsidP="009E69C9">
            <w:pPr>
              <w:keepLines/>
              <w:jc w:val="center"/>
              <w:rPr>
                <w:rFonts w:ascii="Arial Narrow" w:hAnsi="Arial Narrow"/>
                <w:b/>
                <w:sz w:val="20"/>
                <w:szCs w:val="20"/>
              </w:rPr>
            </w:pPr>
            <w:r w:rsidRPr="009C3607">
              <w:rPr>
                <w:rFonts w:ascii="Arial Narrow" w:hAnsi="Arial Narrow"/>
                <w:b/>
                <w:sz w:val="20"/>
                <w:szCs w:val="20"/>
              </w:rPr>
              <w:t>Max. qty units</w:t>
            </w:r>
          </w:p>
        </w:tc>
        <w:tc>
          <w:tcPr>
            <w:tcW w:w="812" w:type="dxa"/>
            <w:vAlign w:val="center"/>
          </w:tcPr>
          <w:p w14:paraId="7A499555" w14:textId="77777777" w:rsidR="00243DFF" w:rsidRPr="009C3607" w:rsidRDefault="00243DFF" w:rsidP="009E69C9">
            <w:pPr>
              <w:keepLines/>
              <w:jc w:val="center"/>
              <w:rPr>
                <w:rFonts w:ascii="Arial Narrow" w:hAnsi="Arial Narrow"/>
                <w:b/>
                <w:sz w:val="20"/>
                <w:szCs w:val="20"/>
              </w:rPr>
            </w:pPr>
            <w:r w:rsidRPr="009C3607">
              <w:rPr>
                <w:rFonts w:ascii="Arial Narrow" w:hAnsi="Arial Narrow"/>
                <w:b/>
                <w:sz w:val="20"/>
                <w:szCs w:val="20"/>
              </w:rPr>
              <w:t>№.of</w:t>
            </w:r>
          </w:p>
          <w:p w14:paraId="73F2DB75" w14:textId="77777777" w:rsidR="00243DFF" w:rsidRPr="009C3607" w:rsidRDefault="00243DFF" w:rsidP="009E69C9">
            <w:pPr>
              <w:keepLines/>
              <w:jc w:val="center"/>
              <w:rPr>
                <w:rFonts w:ascii="Arial Narrow" w:hAnsi="Arial Narrow"/>
                <w:b/>
                <w:sz w:val="20"/>
                <w:szCs w:val="20"/>
              </w:rPr>
            </w:pPr>
            <w:r w:rsidRPr="009C3607">
              <w:rPr>
                <w:rFonts w:ascii="Arial Narrow" w:hAnsi="Arial Narrow"/>
                <w:b/>
                <w:sz w:val="20"/>
                <w:szCs w:val="20"/>
              </w:rPr>
              <w:t>Rpts</w:t>
            </w:r>
          </w:p>
        </w:tc>
        <w:tc>
          <w:tcPr>
            <w:tcW w:w="1894" w:type="dxa"/>
            <w:vAlign w:val="center"/>
          </w:tcPr>
          <w:p w14:paraId="46DA01D4" w14:textId="77777777" w:rsidR="00243DFF" w:rsidRPr="009C3607" w:rsidRDefault="00243DFF" w:rsidP="009E69C9">
            <w:pPr>
              <w:keepLines/>
              <w:rPr>
                <w:rFonts w:ascii="Arial Narrow" w:hAnsi="Arial Narrow"/>
                <w:b/>
                <w:sz w:val="20"/>
                <w:szCs w:val="20"/>
                <w:lang w:val="fr-FR"/>
              </w:rPr>
            </w:pPr>
            <w:r w:rsidRPr="009C3607">
              <w:rPr>
                <w:rFonts w:ascii="Arial Narrow" w:hAnsi="Arial Narrow"/>
                <w:b/>
                <w:sz w:val="20"/>
                <w:szCs w:val="20"/>
              </w:rPr>
              <w:t>Available brands</w:t>
            </w:r>
          </w:p>
        </w:tc>
      </w:tr>
      <w:tr w:rsidR="00243DFF" w:rsidRPr="009C3607" w14:paraId="4C5F08D1" w14:textId="77777777" w:rsidTr="008674BA">
        <w:trPr>
          <w:cantSplit/>
          <w:trHeight w:val="20"/>
        </w:trPr>
        <w:tc>
          <w:tcPr>
            <w:tcW w:w="9075" w:type="dxa"/>
            <w:gridSpan w:val="6"/>
            <w:vAlign w:val="center"/>
          </w:tcPr>
          <w:p w14:paraId="6B4EE2C8" w14:textId="77777777" w:rsidR="00243DFF" w:rsidRPr="009C3607" w:rsidRDefault="00243DFF" w:rsidP="009E69C9">
            <w:pPr>
              <w:keepLines/>
              <w:rPr>
                <w:rFonts w:ascii="Arial Narrow" w:hAnsi="Arial Narrow"/>
                <w:sz w:val="20"/>
                <w:szCs w:val="20"/>
              </w:rPr>
            </w:pPr>
            <w:r w:rsidRPr="7AC24291">
              <w:rPr>
                <w:rFonts w:ascii="Arial Narrow" w:hAnsi="Arial Narrow"/>
                <w:sz w:val="20"/>
                <w:szCs w:val="20"/>
              </w:rPr>
              <w:t xml:space="preserve">EFLORNITHINE </w:t>
            </w:r>
          </w:p>
        </w:tc>
      </w:tr>
      <w:tr w:rsidR="00243DFF" w:rsidRPr="000E6627" w14:paraId="4F6ED9E9" w14:textId="77777777" w:rsidTr="008674BA">
        <w:trPr>
          <w:cantSplit/>
          <w:trHeight w:val="20"/>
        </w:trPr>
        <w:tc>
          <w:tcPr>
            <w:tcW w:w="3112" w:type="dxa"/>
            <w:vAlign w:val="center"/>
          </w:tcPr>
          <w:p w14:paraId="74E224FF" w14:textId="77777777" w:rsidR="00243DFF" w:rsidRPr="000E6627" w:rsidRDefault="00243DFF" w:rsidP="009E69C9">
            <w:pPr>
              <w:keepLines/>
              <w:rPr>
                <w:rFonts w:ascii="Arial Narrow" w:hAnsi="Arial Narrow"/>
                <w:sz w:val="20"/>
                <w:szCs w:val="20"/>
              </w:rPr>
            </w:pPr>
            <w:r w:rsidRPr="000E6627">
              <w:rPr>
                <w:rFonts w:ascii="Arial Narrow" w:hAnsi="Arial Narrow"/>
                <w:sz w:val="20"/>
                <w:szCs w:val="20"/>
              </w:rPr>
              <w:t>Eflornithine, 250 mg tablet, 100</w:t>
            </w:r>
          </w:p>
        </w:tc>
        <w:tc>
          <w:tcPr>
            <w:tcW w:w="1634" w:type="dxa"/>
            <w:vAlign w:val="center"/>
          </w:tcPr>
          <w:p w14:paraId="22B23A22" w14:textId="77777777" w:rsidR="00243DFF" w:rsidRPr="000E6627" w:rsidRDefault="00243DFF" w:rsidP="009E69C9">
            <w:pPr>
              <w:keepLines/>
              <w:jc w:val="center"/>
              <w:rPr>
                <w:rFonts w:ascii="Arial Narrow" w:hAnsi="Arial Narrow"/>
                <w:sz w:val="20"/>
                <w:szCs w:val="20"/>
              </w:rPr>
            </w:pPr>
            <w:r w:rsidRPr="000E6627">
              <w:rPr>
                <w:rFonts w:ascii="Arial Narrow" w:hAnsi="Arial Narrow"/>
                <w:sz w:val="20"/>
                <w:szCs w:val="20"/>
              </w:rPr>
              <w:t xml:space="preserve">NEW </w:t>
            </w:r>
          </w:p>
        </w:tc>
        <w:tc>
          <w:tcPr>
            <w:tcW w:w="812" w:type="dxa"/>
            <w:vAlign w:val="center"/>
          </w:tcPr>
          <w:p w14:paraId="2A6CE89E" w14:textId="77777777" w:rsidR="00243DFF" w:rsidRPr="000E6627" w:rsidRDefault="00243DFF" w:rsidP="009E69C9">
            <w:pPr>
              <w:keepLines/>
              <w:jc w:val="center"/>
              <w:rPr>
                <w:rFonts w:ascii="Arial Narrow" w:hAnsi="Arial Narrow"/>
                <w:sz w:val="20"/>
                <w:szCs w:val="20"/>
              </w:rPr>
            </w:pPr>
            <w:r w:rsidRPr="000E6627">
              <w:rPr>
                <w:rFonts w:ascii="Arial Narrow" w:hAnsi="Arial Narrow"/>
                <w:sz w:val="20"/>
                <w:szCs w:val="20"/>
              </w:rPr>
              <w:t>3</w:t>
            </w:r>
          </w:p>
        </w:tc>
        <w:tc>
          <w:tcPr>
            <w:tcW w:w="811" w:type="dxa"/>
            <w:vAlign w:val="center"/>
          </w:tcPr>
          <w:p w14:paraId="2F24CD11" w14:textId="77777777" w:rsidR="00243DFF" w:rsidRPr="000E6627" w:rsidRDefault="00243DFF" w:rsidP="009E69C9">
            <w:pPr>
              <w:keepLines/>
              <w:jc w:val="center"/>
              <w:rPr>
                <w:rFonts w:ascii="Arial Narrow" w:hAnsi="Arial Narrow"/>
                <w:sz w:val="20"/>
                <w:szCs w:val="20"/>
              </w:rPr>
            </w:pPr>
            <w:r w:rsidRPr="000E6627">
              <w:rPr>
                <w:rFonts w:ascii="Arial Narrow" w:hAnsi="Arial Narrow"/>
                <w:sz w:val="20"/>
                <w:szCs w:val="20"/>
              </w:rPr>
              <w:t>300</w:t>
            </w:r>
          </w:p>
        </w:tc>
        <w:tc>
          <w:tcPr>
            <w:tcW w:w="812" w:type="dxa"/>
            <w:vAlign w:val="center"/>
          </w:tcPr>
          <w:p w14:paraId="31DBCC95" w14:textId="77777777" w:rsidR="00243DFF" w:rsidRPr="000E6627" w:rsidRDefault="00243DFF" w:rsidP="009E69C9">
            <w:pPr>
              <w:keepLines/>
              <w:jc w:val="center"/>
              <w:rPr>
                <w:rFonts w:ascii="Arial Narrow" w:hAnsi="Arial Narrow"/>
                <w:sz w:val="20"/>
                <w:szCs w:val="20"/>
              </w:rPr>
            </w:pPr>
            <w:r w:rsidRPr="000E6627">
              <w:rPr>
                <w:rFonts w:ascii="Arial Narrow" w:hAnsi="Arial Narrow"/>
                <w:sz w:val="20"/>
                <w:szCs w:val="20"/>
              </w:rPr>
              <w:t>2</w:t>
            </w:r>
          </w:p>
        </w:tc>
        <w:tc>
          <w:tcPr>
            <w:tcW w:w="1894" w:type="dxa"/>
            <w:vAlign w:val="center"/>
          </w:tcPr>
          <w:p w14:paraId="58444DF0" w14:textId="77777777" w:rsidR="00243DFF" w:rsidRPr="000E6627" w:rsidRDefault="00243DFF" w:rsidP="009E69C9">
            <w:pPr>
              <w:keepLines/>
              <w:jc w:val="center"/>
              <w:rPr>
                <w:rFonts w:ascii="Arial Narrow" w:hAnsi="Arial Narrow"/>
                <w:sz w:val="20"/>
                <w:szCs w:val="20"/>
              </w:rPr>
            </w:pPr>
            <w:r w:rsidRPr="000E6627">
              <w:rPr>
                <w:rFonts w:ascii="Arial Narrow" w:hAnsi="Arial Narrow"/>
                <w:sz w:val="20"/>
                <w:szCs w:val="20"/>
              </w:rPr>
              <w:t>Ifinwil</w:t>
            </w:r>
          </w:p>
        </w:tc>
      </w:tr>
      <w:tr w:rsidR="00243DFF" w:rsidRPr="009C3607" w14:paraId="2F810831" w14:textId="77777777" w:rsidTr="008674BA">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vAlign w:val="center"/>
          </w:tcPr>
          <w:p w14:paraId="6AAAA4CC" w14:textId="77777777" w:rsidR="00243DFF" w:rsidRPr="009C3607" w:rsidRDefault="00243DFF" w:rsidP="009E69C9">
            <w:pPr>
              <w:rPr>
                <w:rFonts w:ascii="Arial Narrow" w:hAnsi="Arial Narrow"/>
                <w:sz w:val="20"/>
                <w:szCs w:val="20"/>
              </w:rPr>
            </w:pPr>
          </w:p>
        </w:tc>
      </w:tr>
      <w:tr w:rsidR="00243DFF" w:rsidRPr="009C3607" w14:paraId="76A269A3" w14:textId="77777777" w:rsidTr="008674BA">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vAlign w:val="center"/>
          </w:tcPr>
          <w:p w14:paraId="042410BA" w14:textId="77777777" w:rsidR="00243DFF" w:rsidRPr="009C3607" w:rsidRDefault="00243DFF" w:rsidP="009E69C9">
            <w:pPr>
              <w:keepLines/>
              <w:rPr>
                <w:rFonts w:ascii="Arial Narrow" w:hAnsi="Arial Narrow"/>
                <w:b/>
                <w:sz w:val="20"/>
                <w:szCs w:val="20"/>
              </w:rPr>
            </w:pPr>
            <w:r w:rsidRPr="009C3607">
              <w:rPr>
                <w:rFonts w:ascii="Arial Narrow" w:hAnsi="Arial Narrow"/>
                <w:b/>
                <w:sz w:val="20"/>
                <w:szCs w:val="20"/>
              </w:rPr>
              <w:t>Restriction Summary [new] / Treatment of Concept: [new]</w:t>
            </w:r>
          </w:p>
        </w:tc>
      </w:tr>
      <w:tr w:rsidR="00AB1824" w:rsidRPr="009C3607" w14:paraId="59DFDC6B"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top w:val="single" w:sz="4" w:space="0" w:color="auto"/>
              <w:left w:val="single" w:sz="4" w:space="0" w:color="auto"/>
            </w:tcBorders>
            <w:vAlign w:val="center"/>
          </w:tcPr>
          <w:p w14:paraId="689C93D2" w14:textId="77777777" w:rsidR="00AB1824" w:rsidRPr="00173EDC" w:rsidRDefault="00AB1824" w:rsidP="009E69C9">
            <w:pPr>
              <w:rPr>
                <w:rFonts w:ascii="Arial Narrow" w:hAnsi="Arial Narrow"/>
                <w:b/>
                <w:bCs/>
                <w:sz w:val="20"/>
                <w:szCs w:val="20"/>
              </w:rPr>
            </w:pPr>
            <w:r w:rsidRPr="00173EDC">
              <w:rPr>
                <w:rFonts w:ascii="Arial Narrow" w:hAnsi="Arial Narrow"/>
                <w:b/>
                <w:bCs/>
                <w:sz w:val="20"/>
                <w:szCs w:val="20"/>
              </w:rPr>
              <w:t xml:space="preserve">Category / Program: </w:t>
            </w:r>
            <w:r w:rsidRPr="00173EDC">
              <w:rPr>
                <w:rFonts w:ascii="Arial Narrow" w:hAnsi="Arial Narrow"/>
                <w:b/>
                <w:bCs/>
                <w:sz w:val="20"/>
                <w:szCs w:val="20"/>
              </w:rPr>
              <w:fldChar w:fldCharType="begin" w:fldLock="1">
                <w:ffData>
                  <w:name w:val=""/>
                  <w:enabled/>
                  <w:calcOnExit w:val="0"/>
                  <w:checkBox>
                    <w:sizeAuto/>
                    <w:default w:val="1"/>
                  </w:checkBox>
                </w:ffData>
              </w:fldChar>
            </w:r>
            <w:r w:rsidRPr="00173EDC">
              <w:rPr>
                <w:rFonts w:ascii="Arial Narrow" w:hAnsi="Arial Narrow"/>
                <w:b/>
                <w:bCs/>
                <w:sz w:val="20"/>
                <w:szCs w:val="20"/>
              </w:rPr>
              <w:instrText xml:space="preserve"> FORMCHECKBOX </w:instrText>
            </w:r>
            <w:r w:rsidRPr="00173EDC">
              <w:rPr>
                <w:rFonts w:ascii="Arial Narrow" w:hAnsi="Arial Narrow"/>
                <w:b/>
                <w:bCs/>
                <w:sz w:val="20"/>
                <w:szCs w:val="20"/>
              </w:rPr>
            </w:r>
            <w:r w:rsidRPr="00173EDC">
              <w:rPr>
                <w:rFonts w:ascii="Arial Narrow" w:hAnsi="Arial Narrow"/>
                <w:b/>
                <w:bCs/>
                <w:sz w:val="20"/>
                <w:szCs w:val="20"/>
              </w:rPr>
              <w:fldChar w:fldCharType="separate"/>
            </w:r>
            <w:r w:rsidRPr="00173EDC">
              <w:rPr>
                <w:rFonts w:ascii="Arial Narrow" w:hAnsi="Arial Narrow"/>
                <w:b/>
                <w:bCs/>
                <w:sz w:val="20"/>
                <w:szCs w:val="20"/>
              </w:rPr>
              <w:fldChar w:fldCharType="end"/>
            </w:r>
            <w:r w:rsidRPr="00173EDC">
              <w:rPr>
                <w:rFonts w:ascii="Arial Narrow" w:hAnsi="Arial Narrow"/>
                <w:b/>
                <w:bCs/>
                <w:sz w:val="20"/>
                <w:szCs w:val="20"/>
              </w:rPr>
              <w:t xml:space="preserve"> </w:t>
            </w:r>
            <w:r w:rsidRPr="00173EDC">
              <w:rPr>
                <w:rFonts w:ascii="Arial Narrow" w:eastAsia="Calibri" w:hAnsi="Arial Narrow"/>
                <w:sz w:val="20"/>
                <w:szCs w:val="20"/>
              </w:rPr>
              <w:t>Section 100 – Highly Specialised Drugs Program – Public (Code HB)</w:t>
            </w:r>
            <w:r w:rsidRPr="00173EDC">
              <w:rPr>
                <w:rFonts w:ascii="Arial Narrow" w:eastAsia="Calibri" w:hAnsi="Arial Narrow"/>
                <w:color w:val="FF0000"/>
                <w:sz w:val="20"/>
                <w:szCs w:val="20"/>
              </w:rPr>
              <w:t xml:space="preserve"> </w:t>
            </w:r>
            <w:r w:rsidRPr="00173EDC">
              <w:rPr>
                <w:rFonts w:ascii="Arial Narrow" w:eastAsia="Calibri" w:hAnsi="Arial Narrow"/>
                <w:sz w:val="20"/>
                <w:szCs w:val="20"/>
              </w:rPr>
              <w:t>/ Private (Code HS)</w:t>
            </w:r>
          </w:p>
        </w:tc>
      </w:tr>
      <w:tr w:rsidR="00AB1824" w:rsidRPr="009C3607" w14:paraId="13C830C0"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3A561749" w14:textId="77777777" w:rsidR="00AB1824" w:rsidRPr="00173EDC" w:rsidRDefault="00AB1824" w:rsidP="009E69C9">
            <w:pPr>
              <w:rPr>
                <w:rFonts w:ascii="Arial Narrow" w:hAnsi="Arial Narrow"/>
                <w:b/>
                <w:bCs/>
                <w:sz w:val="20"/>
                <w:szCs w:val="20"/>
              </w:rPr>
            </w:pPr>
            <w:r w:rsidRPr="00173EDC">
              <w:rPr>
                <w:rFonts w:ascii="Arial Narrow" w:hAnsi="Arial Narrow"/>
                <w:b/>
                <w:bCs/>
                <w:sz w:val="20"/>
                <w:szCs w:val="20"/>
              </w:rPr>
              <w:t xml:space="preserve">Prescriber type: </w:t>
            </w:r>
            <w:r w:rsidRPr="00173EDC">
              <w:rPr>
                <w:rFonts w:ascii="Arial Narrow" w:hAnsi="Arial Narrow"/>
                <w:sz w:val="20"/>
                <w:szCs w:val="20"/>
              </w:rPr>
              <w:fldChar w:fldCharType="begin" w:fldLock="1">
                <w:ffData>
                  <w:name w:val=""/>
                  <w:enabled/>
                  <w:calcOnExit w:val="0"/>
                  <w:checkBox>
                    <w:sizeAuto/>
                    <w:default w:val="1"/>
                  </w:checkBox>
                </w:ffData>
              </w:fldChar>
            </w:r>
            <w:r w:rsidRPr="00173EDC">
              <w:rPr>
                <w:rFonts w:ascii="Arial Narrow" w:hAnsi="Arial Narrow"/>
                <w:sz w:val="20"/>
                <w:szCs w:val="20"/>
              </w:rPr>
              <w:instrText xml:space="preserve"> FORMCHECKBOX </w:instrText>
            </w:r>
            <w:r w:rsidRPr="00173EDC">
              <w:rPr>
                <w:rFonts w:ascii="Arial Narrow" w:hAnsi="Arial Narrow"/>
                <w:sz w:val="20"/>
                <w:szCs w:val="20"/>
              </w:rPr>
            </w:r>
            <w:r w:rsidRPr="00173EDC">
              <w:rPr>
                <w:rFonts w:ascii="Arial Narrow" w:hAnsi="Arial Narrow"/>
                <w:sz w:val="20"/>
                <w:szCs w:val="20"/>
              </w:rPr>
              <w:fldChar w:fldCharType="separate"/>
            </w:r>
            <w:r w:rsidRPr="00173EDC">
              <w:rPr>
                <w:rFonts w:ascii="Arial Narrow" w:hAnsi="Arial Narrow"/>
                <w:sz w:val="20"/>
                <w:szCs w:val="20"/>
              </w:rPr>
              <w:fldChar w:fldCharType="end"/>
            </w:r>
            <w:r w:rsidRPr="00173EDC">
              <w:rPr>
                <w:rFonts w:ascii="Arial Narrow" w:hAnsi="Arial Narrow"/>
                <w:sz w:val="20"/>
                <w:szCs w:val="20"/>
              </w:rPr>
              <w:t>Medical Practitioners</w:t>
            </w:r>
            <w:r w:rsidRPr="00173EDC">
              <w:rPr>
                <w:rFonts w:ascii="Arial Narrow" w:hAnsi="Arial Narrow"/>
                <w:b/>
                <w:bCs/>
                <w:sz w:val="20"/>
                <w:szCs w:val="20"/>
              </w:rPr>
              <w:t xml:space="preserve"> </w:t>
            </w:r>
          </w:p>
        </w:tc>
      </w:tr>
      <w:tr w:rsidR="00AB1824" w:rsidRPr="009C3607" w14:paraId="26697539"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right w:val="single" w:sz="4" w:space="0" w:color="auto"/>
            </w:tcBorders>
            <w:vAlign w:val="center"/>
          </w:tcPr>
          <w:p w14:paraId="4701AD7D" w14:textId="77777777" w:rsidR="00AB1824" w:rsidRPr="00173EDC" w:rsidRDefault="00AB1824" w:rsidP="009E69C9">
            <w:pPr>
              <w:rPr>
                <w:rFonts w:ascii="Arial Narrow" w:hAnsi="Arial Narrow"/>
                <w:b/>
                <w:bCs/>
                <w:sz w:val="20"/>
                <w:szCs w:val="20"/>
              </w:rPr>
            </w:pPr>
            <w:r w:rsidRPr="00173EDC">
              <w:rPr>
                <w:rFonts w:ascii="Arial Narrow" w:hAnsi="Arial Narrow"/>
                <w:b/>
                <w:bCs/>
                <w:sz w:val="20"/>
                <w:szCs w:val="20"/>
              </w:rPr>
              <w:t xml:space="preserve">Restriction type: </w:t>
            </w:r>
            <w:r w:rsidRPr="00173EDC">
              <w:rPr>
                <w:rFonts w:ascii="Arial Narrow" w:hAnsi="Arial Narrow"/>
                <w:sz w:val="20"/>
                <w:szCs w:val="20"/>
              </w:rPr>
              <w:fldChar w:fldCharType="begin" w:fldLock="1">
                <w:ffData>
                  <w:name w:val="Check3"/>
                  <w:enabled/>
                  <w:calcOnExit w:val="0"/>
                  <w:checkBox>
                    <w:sizeAuto/>
                    <w:default w:val="1"/>
                  </w:checkBox>
                </w:ffData>
              </w:fldChar>
            </w:r>
            <w:r w:rsidRPr="00173EDC">
              <w:rPr>
                <w:rFonts w:ascii="Arial Narrow" w:hAnsi="Arial Narrow"/>
                <w:sz w:val="20"/>
                <w:szCs w:val="20"/>
              </w:rPr>
              <w:instrText xml:space="preserve"> FORMCHECKBOX </w:instrText>
            </w:r>
            <w:r w:rsidRPr="00173EDC">
              <w:rPr>
                <w:rFonts w:ascii="Arial Narrow" w:hAnsi="Arial Narrow"/>
                <w:sz w:val="20"/>
                <w:szCs w:val="20"/>
              </w:rPr>
            </w:r>
            <w:r w:rsidRPr="00173EDC">
              <w:rPr>
                <w:rFonts w:ascii="Arial Narrow" w:hAnsi="Arial Narrow"/>
                <w:sz w:val="20"/>
                <w:szCs w:val="20"/>
              </w:rPr>
              <w:fldChar w:fldCharType="separate"/>
            </w:r>
            <w:r w:rsidRPr="00173EDC">
              <w:rPr>
                <w:rFonts w:ascii="Arial Narrow" w:hAnsi="Arial Narrow"/>
                <w:sz w:val="20"/>
                <w:szCs w:val="20"/>
              </w:rPr>
              <w:fldChar w:fldCharType="end"/>
            </w:r>
            <w:r w:rsidRPr="00173EDC">
              <w:rPr>
                <w:rFonts w:ascii="Arial Narrow" w:hAnsi="Arial Narrow"/>
                <w:sz w:val="20"/>
                <w:szCs w:val="20"/>
              </w:rPr>
              <w:t>Authority Required – Immediate assessment (Telephone/Online)</w:t>
            </w:r>
          </w:p>
        </w:tc>
      </w:tr>
      <w:tr w:rsidR="00035352" w14:paraId="44488224" w14:textId="77777777">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tcPr>
          <w:p w14:paraId="69C84D40" w14:textId="29107B17" w:rsidR="00035352" w:rsidRPr="00173EDC" w:rsidRDefault="00035352" w:rsidP="009E69C9">
            <w:r w:rsidRPr="00173EDC">
              <w:rPr>
                <w:rFonts w:ascii="Arial Narrow" w:eastAsia="Arial Narrow" w:hAnsi="Arial Narrow" w:cs="Arial Narrow"/>
                <w:b/>
                <w:bCs/>
                <w:sz w:val="20"/>
                <w:szCs w:val="20"/>
              </w:rPr>
              <w:t>Authority type:</w:t>
            </w:r>
            <w:r w:rsidR="00F6759F">
              <w:rPr>
                <w:rFonts w:ascii="Arial Narrow" w:eastAsia="Arial Narrow" w:hAnsi="Arial Narrow" w:cs="Arial Narrow"/>
                <w:b/>
                <w:bCs/>
                <w:sz w:val="20"/>
                <w:szCs w:val="20"/>
              </w:rPr>
              <w:t xml:space="preserve"> </w:t>
            </w:r>
            <w:r w:rsidRPr="00173EDC">
              <w:rPr>
                <w:rFonts w:ascii="Arial Narrow" w:eastAsia="Calibri" w:hAnsi="Arial Narrow"/>
                <w:sz w:val="20"/>
                <w:szCs w:val="20"/>
              </w:rPr>
              <w:fldChar w:fldCharType="begin" w:fldLock="1">
                <w:ffData>
                  <w:name w:val=""/>
                  <w:enabled/>
                  <w:calcOnExit w:val="0"/>
                  <w:checkBox>
                    <w:sizeAuto/>
                    <w:default w:val="1"/>
                  </w:checkBox>
                </w:ffData>
              </w:fldChar>
            </w:r>
            <w:r w:rsidRPr="00173EDC">
              <w:rPr>
                <w:rFonts w:ascii="Arial Narrow" w:eastAsia="Calibri" w:hAnsi="Arial Narrow"/>
                <w:sz w:val="20"/>
                <w:szCs w:val="20"/>
              </w:rPr>
              <w:instrText xml:space="preserve"> FORMCHECKBOX </w:instrText>
            </w:r>
            <w:r w:rsidRPr="00173EDC">
              <w:rPr>
                <w:rFonts w:ascii="Arial Narrow" w:eastAsia="Calibri" w:hAnsi="Arial Narrow"/>
                <w:sz w:val="20"/>
                <w:szCs w:val="20"/>
              </w:rPr>
            </w:r>
            <w:r w:rsidRPr="00173EDC">
              <w:rPr>
                <w:rFonts w:ascii="Arial Narrow" w:eastAsia="Calibri" w:hAnsi="Arial Narrow"/>
                <w:sz w:val="20"/>
                <w:szCs w:val="20"/>
              </w:rPr>
              <w:fldChar w:fldCharType="separate"/>
            </w:r>
            <w:r w:rsidRPr="00173EDC">
              <w:rPr>
                <w:rFonts w:ascii="Arial Narrow" w:eastAsia="Calibri" w:hAnsi="Arial Narrow"/>
                <w:sz w:val="20"/>
                <w:szCs w:val="20"/>
              </w:rPr>
              <w:fldChar w:fldCharType="end"/>
            </w:r>
            <w:r w:rsidRPr="00173EDC">
              <w:rPr>
                <w:rFonts w:ascii="Arial Narrow" w:eastAsia="Calibri" w:hAnsi="Arial Narrow"/>
                <w:sz w:val="20"/>
                <w:szCs w:val="20"/>
              </w:rPr>
              <w:t xml:space="preserve"> Complex Authority Required (CAR) </w:t>
            </w:r>
          </w:p>
        </w:tc>
      </w:tr>
      <w:tr w:rsidR="00AB1824" w:rsidRPr="00133CDD" w14:paraId="483039EC" w14:textId="77777777" w:rsidTr="00432692">
        <w:tblPrEx>
          <w:tblCellMar>
            <w:top w:w="15" w:type="dxa"/>
            <w:bottom w:w="15" w:type="dxa"/>
          </w:tblCellMar>
          <w:tblLook w:val="04A0" w:firstRow="1" w:lastRow="0" w:firstColumn="1" w:lastColumn="0" w:noHBand="0" w:noVBand="1"/>
        </w:tblPrEx>
        <w:trPr>
          <w:cantSplit/>
          <w:trHeight w:val="103"/>
        </w:trPr>
        <w:tc>
          <w:tcPr>
            <w:tcW w:w="9075" w:type="dxa"/>
            <w:gridSpan w:val="6"/>
            <w:tcBorders>
              <w:left w:val="single" w:sz="4" w:space="0" w:color="auto"/>
            </w:tcBorders>
            <w:vAlign w:val="center"/>
          </w:tcPr>
          <w:p w14:paraId="661ED723" w14:textId="77777777" w:rsidR="00AB1824" w:rsidRPr="00E301EE" w:rsidRDefault="00AB1824" w:rsidP="009E69C9">
            <w:pPr>
              <w:rPr>
                <w:rFonts w:ascii="Arial Narrow" w:hAnsi="Arial Narrow"/>
                <w:sz w:val="20"/>
                <w:szCs w:val="20"/>
                <w:highlight w:val="yellow"/>
              </w:rPr>
            </w:pPr>
            <w:r w:rsidRPr="00E301EE">
              <w:rPr>
                <w:rFonts w:ascii="Arial Narrow" w:hAnsi="Arial Narrow"/>
                <w:b/>
                <w:bCs/>
                <w:sz w:val="20"/>
                <w:szCs w:val="20"/>
              </w:rPr>
              <w:t xml:space="preserve">Administrative Advice: </w:t>
            </w:r>
            <w:r w:rsidRPr="00E301EE">
              <w:rPr>
                <w:rFonts w:ascii="Arial Narrow" w:hAnsi="Arial Narrow"/>
                <w:sz w:val="20"/>
                <w:szCs w:val="20"/>
              </w:rPr>
              <w:t>No increase in the maximum quantity or number of units may be authorised.</w:t>
            </w:r>
          </w:p>
        </w:tc>
      </w:tr>
      <w:tr w:rsidR="00AB1824" w:rsidRPr="001428E9" w14:paraId="3099C9CF" w14:textId="77777777" w:rsidTr="00432692">
        <w:tblPrEx>
          <w:tblCellMar>
            <w:top w:w="15" w:type="dxa"/>
            <w:bottom w:w="15" w:type="dxa"/>
          </w:tblCellMar>
          <w:tblLook w:val="04A0" w:firstRow="1" w:lastRow="0" w:firstColumn="1" w:lastColumn="0" w:noHBand="0" w:noVBand="1"/>
        </w:tblPrEx>
        <w:trPr>
          <w:cantSplit/>
          <w:trHeight w:val="249"/>
        </w:trPr>
        <w:tc>
          <w:tcPr>
            <w:tcW w:w="9075" w:type="dxa"/>
            <w:gridSpan w:val="6"/>
          </w:tcPr>
          <w:p w14:paraId="25C5CEC3" w14:textId="77777777" w:rsidR="00AB1824" w:rsidRPr="00E301EE" w:rsidRDefault="00AB1824" w:rsidP="009E69C9">
            <w:pPr>
              <w:rPr>
                <w:rFonts w:ascii="Arial Narrow" w:hAnsi="Arial Narrow"/>
                <w:b/>
                <w:bCs/>
                <w:sz w:val="20"/>
                <w:szCs w:val="20"/>
              </w:rPr>
            </w:pPr>
            <w:r w:rsidRPr="00E301EE">
              <w:rPr>
                <w:rFonts w:ascii="Arial Narrow" w:hAnsi="Arial Narrow"/>
                <w:b/>
                <w:bCs/>
                <w:sz w:val="20"/>
                <w:szCs w:val="20"/>
              </w:rPr>
              <w:t>Administrative Advice:</w:t>
            </w:r>
            <w:r w:rsidRPr="00E301EE">
              <w:t xml:space="preserve"> </w:t>
            </w:r>
            <w:r w:rsidRPr="00E301EE">
              <w:rPr>
                <w:rFonts w:ascii="Arial Narrow" w:hAnsi="Arial Narrow"/>
                <w:sz w:val="20"/>
                <w:szCs w:val="20"/>
              </w:rPr>
              <w:t>No increase in the maximum number of repeats may be authorised.</w:t>
            </w:r>
          </w:p>
        </w:tc>
      </w:tr>
      <w:tr w:rsidR="00AB1824" w:rsidRPr="001428E9" w14:paraId="4C7EAABA" w14:textId="77777777" w:rsidTr="00432692">
        <w:tblPrEx>
          <w:tblCellMar>
            <w:top w:w="15" w:type="dxa"/>
            <w:bottom w:w="15" w:type="dxa"/>
          </w:tblCellMar>
          <w:tblLook w:val="04A0" w:firstRow="1" w:lastRow="0" w:firstColumn="1" w:lastColumn="0" w:noHBand="0" w:noVBand="1"/>
        </w:tblPrEx>
        <w:trPr>
          <w:cantSplit/>
          <w:trHeight w:val="189"/>
        </w:trPr>
        <w:tc>
          <w:tcPr>
            <w:tcW w:w="9075" w:type="dxa"/>
            <w:gridSpan w:val="6"/>
          </w:tcPr>
          <w:p w14:paraId="278FA376" w14:textId="77777777" w:rsidR="00AB1824" w:rsidRPr="00E301EE" w:rsidRDefault="00AB1824" w:rsidP="009E69C9">
            <w:pPr>
              <w:rPr>
                <w:rFonts w:ascii="Arial Narrow" w:hAnsi="Arial Narrow"/>
                <w:b/>
                <w:bCs/>
                <w:sz w:val="20"/>
                <w:szCs w:val="20"/>
              </w:rPr>
            </w:pPr>
            <w:r w:rsidRPr="00E301EE">
              <w:rPr>
                <w:rFonts w:ascii="Arial Narrow" w:hAnsi="Arial Narrow"/>
                <w:b/>
                <w:bCs/>
                <w:sz w:val="20"/>
                <w:szCs w:val="20"/>
              </w:rPr>
              <w:t xml:space="preserve">Administrative Advice: </w:t>
            </w:r>
            <w:r w:rsidRPr="00E301EE">
              <w:rPr>
                <w:rFonts w:ascii="Arial Narrow" w:hAnsi="Arial Narrow"/>
                <w:sz w:val="20"/>
                <w:szCs w:val="20"/>
              </w:rPr>
              <w:t>Special Pricing Arrangements apply</w:t>
            </w:r>
          </w:p>
        </w:tc>
      </w:tr>
      <w:tr w:rsidR="00AB1824" w:rsidRPr="001428E9" w14:paraId="1C251527" w14:textId="77777777" w:rsidTr="00432692">
        <w:tblPrEx>
          <w:tblCellMar>
            <w:top w:w="15" w:type="dxa"/>
            <w:bottom w:w="15" w:type="dxa"/>
          </w:tblCellMar>
          <w:tblLook w:val="04A0" w:firstRow="1" w:lastRow="0" w:firstColumn="1" w:lastColumn="0" w:noHBand="0" w:noVBand="1"/>
        </w:tblPrEx>
        <w:trPr>
          <w:cantSplit/>
          <w:trHeight w:val="614"/>
        </w:trPr>
        <w:tc>
          <w:tcPr>
            <w:tcW w:w="9075" w:type="dxa"/>
            <w:gridSpan w:val="6"/>
          </w:tcPr>
          <w:p w14:paraId="3D23A95C" w14:textId="61C45CCA" w:rsidR="00AB1824" w:rsidRPr="00173EDC" w:rsidRDefault="00AB1824" w:rsidP="009E69C9">
            <w:pPr>
              <w:rPr>
                <w:rFonts w:ascii="Arial Narrow" w:hAnsi="Arial Narrow"/>
                <w:b/>
                <w:bCs/>
                <w:color w:val="333333"/>
                <w:sz w:val="20"/>
                <w:szCs w:val="20"/>
              </w:rPr>
            </w:pPr>
            <w:r w:rsidRPr="00173EDC">
              <w:rPr>
                <w:rFonts w:ascii="Arial Narrow" w:eastAsia="Arial Narrow" w:hAnsi="Arial Narrow" w:cs="Arial Narrow"/>
                <w:b/>
                <w:bCs/>
                <w:sz w:val="20"/>
                <w:szCs w:val="20"/>
              </w:rPr>
              <w:t xml:space="preserve">Administrative Advice: </w:t>
            </w:r>
            <w:r w:rsidRPr="00173EDC">
              <w:rPr>
                <w:rFonts w:ascii="Arial Narrow" w:eastAsia="Arial Narrow" w:hAnsi="Arial Narrow" w:cs="Arial Narrow"/>
                <w:sz w:val="20"/>
                <w:szCs w:val="20"/>
              </w:rPr>
              <w:t xml:space="preserve">Applications for authorisation under this restriction may be made in real time using the Online PBS Authorities system (see </w:t>
            </w:r>
            <w:hyperlink r:id="rId22">
              <w:r w:rsidRPr="00173EDC">
                <w:rPr>
                  <w:rStyle w:val="Hyperlink"/>
                  <w:rFonts w:ascii="Arial Narrow" w:eastAsia="Arial Narrow" w:hAnsi="Arial Narrow" w:cs="Arial Narrow"/>
                  <w:sz w:val="20"/>
                  <w:szCs w:val="20"/>
                </w:rPr>
                <w:t>www.servicesaustralia.gov.au/HPOS</w:t>
              </w:r>
            </w:hyperlink>
            <w:r w:rsidRPr="00173EDC">
              <w:rPr>
                <w:rFonts w:ascii="Arial Narrow" w:eastAsia="Arial Narrow" w:hAnsi="Arial Narrow" w:cs="Arial Narrow"/>
                <w:sz w:val="20"/>
                <w:szCs w:val="20"/>
              </w:rPr>
              <w:t>) or by telephone by contacting Services Australia on 1800 700 270 (hours of operation 8 a.m. to 5 p.m. Monday to Friday).</w:t>
            </w:r>
          </w:p>
        </w:tc>
      </w:tr>
      <w:tr w:rsidR="00035352" w:rsidRPr="009C3607" w14:paraId="7BD99FC8"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top w:val="single" w:sz="4" w:space="0" w:color="auto"/>
              <w:left w:val="single" w:sz="4" w:space="0" w:color="auto"/>
              <w:bottom w:val="single" w:sz="4" w:space="0" w:color="auto"/>
              <w:right w:val="single" w:sz="4" w:space="0" w:color="auto"/>
            </w:tcBorders>
            <w:vAlign w:val="center"/>
          </w:tcPr>
          <w:p w14:paraId="564DA5AC" w14:textId="77777777" w:rsidR="00035352" w:rsidRPr="00173EDC" w:rsidRDefault="00035352" w:rsidP="009E69C9">
            <w:pPr>
              <w:rPr>
                <w:rFonts w:ascii="Arial Narrow" w:hAnsi="Arial Narrow"/>
                <w:b/>
                <w:bCs/>
                <w:sz w:val="20"/>
                <w:szCs w:val="20"/>
              </w:rPr>
            </w:pPr>
            <w:r w:rsidRPr="00173EDC">
              <w:rPr>
                <w:rFonts w:ascii="Arial Narrow" w:hAnsi="Arial Narrow"/>
                <w:b/>
                <w:bCs/>
                <w:sz w:val="20"/>
                <w:szCs w:val="20"/>
              </w:rPr>
              <w:t xml:space="preserve">Indication: </w:t>
            </w:r>
            <w:r w:rsidRPr="00173EDC">
              <w:rPr>
                <w:rFonts w:ascii="Arial Narrow" w:hAnsi="Arial Narrow"/>
                <w:sz w:val="20"/>
                <w:szCs w:val="20"/>
              </w:rPr>
              <w:t>High-risk neuroblastoma</w:t>
            </w:r>
          </w:p>
        </w:tc>
      </w:tr>
      <w:tr w:rsidR="00035352" w:rsidRPr="009C3607" w14:paraId="62EA4139"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62F4C303" w14:textId="77777777" w:rsidR="00035352" w:rsidRPr="00173EDC" w:rsidRDefault="00035352" w:rsidP="009E69C9">
            <w:pPr>
              <w:rPr>
                <w:rFonts w:ascii="Arial Narrow" w:hAnsi="Arial Narrow"/>
                <w:b/>
                <w:bCs/>
                <w:sz w:val="20"/>
                <w:szCs w:val="20"/>
              </w:rPr>
            </w:pPr>
            <w:r w:rsidRPr="00173EDC">
              <w:rPr>
                <w:rFonts w:ascii="Arial Narrow" w:hAnsi="Arial Narrow"/>
                <w:b/>
                <w:bCs/>
                <w:sz w:val="20"/>
                <w:szCs w:val="20"/>
              </w:rPr>
              <w:t>Treatment Phase:</w:t>
            </w:r>
            <w:r w:rsidRPr="00173EDC">
              <w:rPr>
                <w:rFonts w:ascii="Arial Narrow" w:hAnsi="Arial Narrow"/>
                <w:sz w:val="20"/>
                <w:szCs w:val="20"/>
              </w:rPr>
              <w:t xml:space="preserve"> Continuing Treatment</w:t>
            </w:r>
          </w:p>
        </w:tc>
      </w:tr>
      <w:tr w:rsidR="00035352" w:rsidRPr="009C3607" w14:paraId="7F8A5E87"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3E4F33FE" w14:textId="77777777" w:rsidR="00035352" w:rsidRPr="00173EDC" w:rsidRDefault="00035352" w:rsidP="009E69C9">
            <w:pPr>
              <w:rPr>
                <w:rFonts w:ascii="Arial Narrow" w:hAnsi="Arial Narrow"/>
                <w:b/>
                <w:bCs/>
                <w:sz w:val="20"/>
                <w:szCs w:val="20"/>
              </w:rPr>
            </w:pPr>
            <w:r w:rsidRPr="00173EDC">
              <w:rPr>
                <w:rFonts w:ascii="Arial Narrow" w:hAnsi="Arial Narrow"/>
                <w:b/>
                <w:bCs/>
                <w:sz w:val="20"/>
                <w:szCs w:val="20"/>
              </w:rPr>
              <w:t xml:space="preserve">Clinical criteria: </w:t>
            </w:r>
          </w:p>
        </w:tc>
      </w:tr>
      <w:tr w:rsidR="00B606B2" w:rsidRPr="009C3607" w14:paraId="613F26B2"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507630E8" w14:textId="77777777" w:rsidR="00B606B2" w:rsidRPr="00173EDC" w:rsidRDefault="00B606B2" w:rsidP="009E69C9">
            <w:pPr>
              <w:rPr>
                <w:rFonts w:ascii="Arial Narrow" w:hAnsi="Arial Narrow"/>
                <w:b/>
                <w:bCs/>
                <w:sz w:val="20"/>
                <w:szCs w:val="20"/>
              </w:rPr>
            </w:pPr>
            <w:r w:rsidRPr="00173EDC">
              <w:rPr>
                <w:rFonts w:ascii="Arial Narrow" w:hAnsi="Arial Narrow"/>
                <w:sz w:val="20"/>
                <w:szCs w:val="20"/>
              </w:rPr>
              <w:t>Patient must have previously received PBS-subsidised treatment with this drug for this condition</w:t>
            </w:r>
          </w:p>
        </w:tc>
      </w:tr>
      <w:tr w:rsidR="00B606B2" w:rsidRPr="009C3607" w14:paraId="50C47CB6"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C1C325A"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lastRenderedPageBreak/>
              <w:t>AND</w:t>
            </w:r>
          </w:p>
        </w:tc>
      </w:tr>
      <w:tr w:rsidR="00B606B2" w:rsidRPr="009C3607" w14:paraId="2325CBF0"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6E328504"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Clinical criteria:</w:t>
            </w:r>
          </w:p>
        </w:tc>
      </w:tr>
      <w:tr w:rsidR="00B606B2" w:rsidRPr="009C3607" w14:paraId="13C407A4"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B6D1B7B" w14:textId="05C1F2F2" w:rsidR="00B606B2" w:rsidRPr="00173EDC" w:rsidRDefault="00B606B2" w:rsidP="009E69C9">
            <w:pPr>
              <w:rPr>
                <w:rFonts w:ascii="Arial Narrow" w:hAnsi="Arial Narrow"/>
                <w:b/>
                <w:bCs/>
                <w:sz w:val="20"/>
                <w:szCs w:val="20"/>
              </w:rPr>
            </w:pPr>
            <w:r w:rsidRPr="00173EDC">
              <w:rPr>
                <w:rFonts w:ascii="Arial Narrow" w:eastAsia="Calibri" w:hAnsi="Arial Narrow"/>
                <w:sz w:val="20"/>
                <w:szCs w:val="20"/>
              </w:rPr>
              <w:t xml:space="preserve">Patient must not have developed disease </w:t>
            </w:r>
            <w:r w:rsidR="00072C95">
              <w:rPr>
                <w:rFonts w:ascii="Arial Narrow" w:eastAsia="Calibri" w:hAnsi="Arial Narrow"/>
                <w:sz w:val="20"/>
                <w:szCs w:val="20"/>
              </w:rPr>
              <w:t>recurrence</w:t>
            </w:r>
            <w:r w:rsidR="00072C95" w:rsidRPr="00173EDC">
              <w:rPr>
                <w:rFonts w:ascii="Arial Narrow" w:eastAsia="Calibri" w:hAnsi="Arial Narrow"/>
                <w:sz w:val="20"/>
                <w:szCs w:val="20"/>
              </w:rPr>
              <w:t xml:space="preserve"> </w:t>
            </w:r>
            <w:r w:rsidRPr="00173EDC">
              <w:rPr>
                <w:rFonts w:ascii="Arial Narrow" w:eastAsia="Calibri" w:hAnsi="Arial Narrow"/>
                <w:sz w:val="20"/>
                <w:szCs w:val="20"/>
              </w:rPr>
              <w:t>while receiving treatment with this drug for this condition</w:t>
            </w:r>
          </w:p>
        </w:tc>
      </w:tr>
      <w:tr w:rsidR="00B606B2" w:rsidRPr="009C3607" w14:paraId="008513BE"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3990BBE5" w14:textId="77777777" w:rsidR="00B606B2" w:rsidRPr="00173EDC" w:rsidRDefault="00B606B2" w:rsidP="009E69C9">
            <w:pPr>
              <w:rPr>
                <w:rFonts w:ascii="Arial Narrow" w:hAnsi="Arial Narrow"/>
                <w:sz w:val="20"/>
                <w:szCs w:val="20"/>
              </w:rPr>
            </w:pPr>
            <w:r w:rsidRPr="00173EDC">
              <w:rPr>
                <w:rFonts w:ascii="Arial Narrow" w:hAnsi="Arial Narrow"/>
                <w:b/>
                <w:bCs/>
                <w:sz w:val="20"/>
                <w:szCs w:val="20"/>
              </w:rPr>
              <w:t>AND</w:t>
            </w:r>
          </w:p>
        </w:tc>
      </w:tr>
      <w:tr w:rsidR="00B606B2" w:rsidRPr="009C3607" w14:paraId="14AAB83A"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676B2657"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Clinical criteria:</w:t>
            </w:r>
          </w:p>
        </w:tc>
      </w:tr>
      <w:tr w:rsidR="00B606B2" w:rsidRPr="009C3607" w14:paraId="6470E84E"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2ECC088D" w14:textId="77777777" w:rsidR="00B606B2" w:rsidRPr="00173EDC" w:rsidRDefault="00B606B2" w:rsidP="009E69C9">
            <w:pPr>
              <w:rPr>
                <w:rFonts w:ascii="Arial Narrow" w:hAnsi="Arial Narrow"/>
                <w:b/>
                <w:bCs/>
                <w:sz w:val="20"/>
                <w:szCs w:val="20"/>
              </w:rPr>
            </w:pPr>
            <w:r w:rsidRPr="00173EDC">
              <w:rPr>
                <w:rFonts w:ascii="Arial Narrow" w:hAnsi="Arial Narrow"/>
                <w:sz w:val="20"/>
                <w:szCs w:val="20"/>
              </w:rPr>
              <w:t>The treatment must not exceed a total of 27 cycles (based on 4 weeks per cycle) from the first dose of this drug, regardless of whether it was PBS/non-PBS subsidised</w:t>
            </w:r>
          </w:p>
        </w:tc>
      </w:tr>
      <w:tr w:rsidR="00B606B2" w14:paraId="4AD4191B" w14:textId="77777777" w:rsidTr="00B606B2">
        <w:tblPrEx>
          <w:tblCellMar>
            <w:top w:w="15" w:type="dxa"/>
            <w:bottom w:w="15" w:type="dxa"/>
          </w:tblCellMar>
          <w:tblLook w:val="04A0" w:firstRow="1" w:lastRow="0" w:firstColumn="1" w:lastColumn="0" w:noHBand="0" w:noVBand="1"/>
        </w:tblPrEx>
        <w:trPr>
          <w:cantSplit/>
          <w:trHeight w:val="109"/>
        </w:trPr>
        <w:tc>
          <w:tcPr>
            <w:tcW w:w="9075" w:type="dxa"/>
            <w:gridSpan w:val="6"/>
            <w:vAlign w:val="center"/>
          </w:tcPr>
          <w:p w14:paraId="6A4A98C8" w14:textId="77777777" w:rsidR="00B606B2" w:rsidRPr="00173EDC" w:rsidRDefault="00B606B2" w:rsidP="009E69C9">
            <w:pPr>
              <w:ind w:left="57"/>
              <w:rPr>
                <w:rFonts w:ascii="Arial Narrow" w:hAnsi="Arial Narrow" w:cs="Segoe UI"/>
                <w:sz w:val="20"/>
                <w:szCs w:val="20"/>
              </w:rPr>
            </w:pPr>
            <w:r w:rsidRPr="00173EDC">
              <w:rPr>
                <w:rFonts w:ascii="Arial Narrow" w:hAnsi="Arial Narrow" w:cs="Segoe UI"/>
                <w:b/>
                <w:bCs/>
                <w:sz w:val="20"/>
                <w:szCs w:val="20"/>
              </w:rPr>
              <w:t>Treatment Criteria:</w:t>
            </w:r>
            <w:r w:rsidRPr="00173EDC">
              <w:rPr>
                <w:rFonts w:ascii="Arial Narrow" w:hAnsi="Arial Narrow" w:cs="Segoe UI"/>
                <w:sz w:val="20"/>
                <w:szCs w:val="20"/>
              </w:rPr>
              <w:t> </w:t>
            </w:r>
          </w:p>
        </w:tc>
      </w:tr>
      <w:tr w:rsidR="00B606B2" w14:paraId="1252BFA0" w14:textId="77777777" w:rsidTr="00B606B2">
        <w:tblPrEx>
          <w:tblCellMar>
            <w:top w:w="15" w:type="dxa"/>
            <w:bottom w:w="15" w:type="dxa"/>
          </w:tblCellMar>
          <w:tblLook w:val="04A0" w:firstRow="1" w:lastRow="0" w:firstColumn="1" w:lastColumn="0" w:noHBand="0" w:noVBand="1"/>
        </w:tblPrEx>
        <w:trPr>
          <w:cantSplit/>
          <w:trHeight w:val="268"/>
        </w:trPr>
        <w:tc>
          <w:tcPr>
            <w:tcW w:w="9075" w:type="dxa"/>
            <w:gridSpan w:val="6"/>
            <w:vAlign w:val="center"/>
          </w:tcPr>
          <w:p w14:paraId="71743644" w14:textId="77777777" w:rsidR="00B606B2" w:rsidRPr="00173EDC" w:rsidRDefault="00B606B2" w:rsidP="009E69C9">
            <w:pPr>
              <w:ind w:left="57"/>
              <w:rPr>
                <w:rFonts w:ascii="Arial Narrow" w:hAnsi="Arial Narrow" w:cs="Segoe UI"/>
                <w:sz w:val="20"/>
                <w:szCs w:val="20"/>
              </w:rPr>
            </w:pPr>
            <w:r w:rsidRPr="00173EDC">
              <w:rPr>
                <w:rFonts w:ascii="Arial Narrow" w:hAnsi="Arial Narrow" w:cs="Segoe UI"/>
                <w:sz w:val="20"/>
                <w:szCs w:val="20"/>
              </w:rPr>
              <w:t>Must be treated in a hospital/cancer centre by either a: (i) paediatric oncologist (ii) haematologist; or</w:t>
            </w:r>
          </w:p>
        </w:tc>
      </w:tr>
      <w:tr w:rsidR="00B606B2" w14:paraId="1A1F06A9" w14:textId="77777777" w:rsidTr="00B606B2">
        <w:tblPrEx>
          <w:tblCellMar>
            <w:top w:w="15" w:type="dxa"/>
            <w:bottom w:w="15" w:type="dxa"/>
          </w:tblCellMar>
          <w:tblLook w:val="04A0" w:firstRow="1" w:lastRow="0" w:firstColumn="1" w:lastColumn="0" w:noHBand="0" w:noVBand="1"/>
        </w:tblPrEx>
        <w:trPr>
          <w:cantSplit/>
          <w:trHeight w:val="231"/>
        </w:trPr>
        <w:tc>
          <w:tcPr>
            <w:tcW w:w="9075" w:type="dxa"/>
            <w:gridSpan w:val="6"/>
            <w:vAlign w:val="center"/>
          </w:tcPr>
          <w:p w14:paraId="6298C734" w14:textId="77777777" w:rsidR="00B606B2" w:rsidRPr="00173EDC" w:rsidRDefault="00B606B2" w:rsidP="009E69C9">
            <w:pPr>
              <w:rPr>
                <w:rFonts w:ascii="Arial Narrow" w:hAnsi="Arial Narrow" w:cs="Segoe UI"/>
                <w:sz w:val="20"/>
                <w:szCs w:val="20"/>
              </w:rPr>
            </w:pPr>
            <w:r w:rsidRPr="00173EDC">
              <w:rPr>
                <w:rFonts w:ascii="Arial Narrow" w:eastAsia="Arial Narrow" w:hAnsi="Arial Narrow" w:cs="Arial Narrow"/>
                <w:color w:val="333333"/>
                <w:sz w:val="20"/>
                <w:szCs w:val="20"/>
              </w:rPr>
              <w:t>Must be treated by a medical practitioner under the direct supervision of</w:t>
            </w:r>
            <w:r w:rsidRPr="00173EDC">
              <w:rPr>
                <w:rFonts w:ascii="Arial Narrow" w:eastAsia="Arial Narrow" w:hAnsi="Arial Narrow" w:cs="Arial Narrow"/>
                <w:sz w:val="20"/>
                <w:szCs w:val="20"/>
              </w:rPr>
              <w:t xml:space="preserve"> either a: (i) paediatric oncologist (ii) haematologist</w:t>
            </w:r>
          </w:p>
        </w:tc>
      </w:tr>
      <w:tr w:rsidR="00B606B2" w:rsidRPr="009C3607" w14:paraId="392F1DED"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506AE04C"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Prescribing Instructions:</w:t>
            </w:r>
          </w:p>
          <w:p w14:paraId="0E078912" w14:textId="77777777" w:rsidR="00B606B2" w:rsidRPr="00347809" w:rsidRDefault="00B606B2" w:rsidP="009E69C9">
            <w:pPr>
              <w:rPr>
                <w:rFonts w:ascii="Arial Narrow" w:hAnsi="Arial Narrow"/>
                <w:sz w:val="20"/>
                <w:szCs w:val="20"/>
              </w:rPr>
            </w:pPr>
            <w:r w:rsidRPr="00347809">
              <w:rPr>
                <w:rFonts w:ascii="Arial Narrow" w:hAnsi="Arial Narrow"/>
                <w:sz w:val="20"/>
                <w:szCs w:val="20"/>
              </w:rPr>
              <w:t>At the time of the authority application, the prescriber should request an appropriate number of packs and repeats based on the patients’ Body Surface Area (BSA), according to the dosing schedule in the TGA approved Product Information.</w:t>
            </w:r>
          </w:p>
          <w:p w14:paraId="52223BA6" w14:textId="77777777" w:rsidR="00B606B2" w:rsidRPr="00347809" w:rsidRDefault="00B606B2" w:rsidP="009E69C9">
            <w:pPr>
              <w:rPr>
                <w:rFonts w:ascii="Arial Narrow" w:hAnsi="Arial Narrow"/>
                <w:sz w:val="20"/>
                <w:szCs w:val="20"/>
              </w:rPr>
            </w:pPr>
            <w:r w:rsidRPr="00347809">
              <w:rPr>
                <w:rFonts w:ascii="Arial Narrow" w:hAnsi="Arial Narrow"/>
                <w:sz w:val="20"/>
                <w:szCs w:val="20"/>
              </w:rPr>
              <w:t xml:space="preserve"> </w:t>
            </w:r>
          </w:p>
          <w:p w14:paraId="06572D6B" w14:textId="77777777" w:rsidR="00B606B2" w:rsidRDefault="00B606B2" w:rsidP="009E69C9">
            <w:pPr>
              <w:rPr>
                <w:rFonts w:ascii="Arial Narrow" w:hAnsi="Arial Narrow"/>
                <w:sz w:val="20"/>
                <w:szCs w:val="20"/>
              </w:rPr>
            </w:pPr>
            <w:r w:rsidRPr="00347809">
              <w:rPr>
                <w:rFonts w:ascii="Arial Narrow" w:hAnsi="Arial Narrow"/>
                <w:sz w:val="20"/>
                <w:szCs w:val="20"/>
              </w:rPr>
              <w:t xml:space="preserve">The following number of packs and repeats may be authorised under this restriction (providing 3 months of therapy for each prescription). </w:t>
            </w:r>
          </w:p>
          <w:p w14:paraId="138B2DB2" w14:textId="1ACD9F4F" w:rsidR="00050E83" w:rsidRPr="009C1348" w:rsidRDefault="00050E83" w:rsidP="00050E83">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100 units </w:t>
            </w:r>
            <w:r w:rsidRPr="009C1348">
              <w:rPr>
                <w:rFonts w:ascii="Arial Narrow" w:hAnsi="Arial Narrow"/>
                <w:sz w:val="20"/>
                <w:szCs w:val="20"/>
              </w:rPr>
              <w:t>and 1 repeat for a BSA 0.25 to &lt;0.5 m</w:t>
            </w:r>
            <w:r w:rsidRPr="00050E83">
              <w:rPr>
                <w:rFonts w:ascii="Arial Narrow" w:hAnsi="Arial Narrow"/>
                <w:sz w:val="20"/>
                <w:szCs w:val="20"/>
                <w:vertAlign w:val="superscript"/>
              </w:rPr>
              <w:t>2</w:t>
            </w:r>
          </w:p>
          <w:p w14:paraId="5D64BEAF" w14:textId="77777777" w:rsidR="00050E83" w:rsidRPr="009C1348" w:rsidRDefault="00050E83" w:rsidP="00050E83">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200 units </w:t>
            </w:r>
            <w:r w:rsidRPr="009C1348">
              <w:rPr>
                <w:rFonts w:ascii="Arial Narrow" w:hAnsi="Arial Narrow"/>
                <w:sz w:val="20"/>
                <w:szCs w:val="20"/>
              </w:rPr>
              <w:t>and 1 repeat for a BSA 0.5 to &lt;0.75 m</w:t>
            </w:r>
            <w:r w:rsidRPr="00050E83">
              <w:rPr>
                <w:rFonts w:ascii="Arial Narrow" w:hAnsi="Arial Narrow"/>
                <w:sz w:val="20"/>
                <w:szCs w:val="20"/>
                <w:vertAlign w:val="superscript"/>
              </w:rPr>
              <w:t>2</w:t>
            </w:r>
            <w:r w:rsidRPr="009C1348">
              <w:rPr>
                <w:rFonts w:ascii="Arial Narrow" w:hAnsi="Arial Narrow"/>
                <w:sz w:val="20"/>
                <w:szCs w:val="20"/>
              </w:rPr>
              <w:t xml:space="preserve"> </w:t>
            </w:r>
          </w:p>
          <w:p w14:paraId="7CF4222D" w14:textId="2ABB1874" w:rsidR="00050E83" w:rsidRPr="009C1348" w:rsidRDefault="00050E83" w:rsidP="00050E83">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quantity of 200 units a</w:t>
            </w:r>
            <w:r w:rsidRPr="009C1348">
              <w:rPr>
                <w:rFonts w:ascii="Arial Narrow" w:hAnsi="Arial Narrow"/>
                <w:sz w:val="20"/>
                <w:szCs w:val="20"/>
              </w:rPr>
              <w:t>nd 2 repeats for a BSA 0.75 to 1.5 m</w:t>
            </w:r>
            <w:r w:rsidRPr="00050E83">
              <w:rPr>
                <w:rFonts w:ascii="Arial Narrow" w:hAnsi="Arial Narrow"/>
                <w:sz w:val="20"/>
                <w:szCs w:val="20"/>
                <w:vertAlign w:val="superscript"/>
              </w:rPr>
              <w:t>2</w:t>
            </w:r>
          </w:p>
          <w:p w14:paraId="07FABCF1" w14:textId="6F0F9CA7" w:rsidR="00B606B2" w:rsidRPr="00173EDC" w:rsidRDefault="00050E83" w:rsidP="009E69C9">
            <w:pPr>
              <w:rPr>
                <w:rFonts w:ascii="Arial Narrow" w:hAnsi="Arial Narrow"/>
                <w:bCs/>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300 units </w:t>
            </w:r>
            <w:r w:rsidRPr="009C1348">
              <w:rPr>
                <w:rFonts w:ascii="Arial Narrow" w:hAnsi="Arial Narrow"/>
                <w:sz w:val="20"/>
                <w:szCs w:val="20"/>
              </w:rPr>
              <w:t>and 2 repeats for a BSA &gt;1.5 m</w:t>
            </w:r>
            <w:r w:rsidRPr="00050E83">
              <w:rPr>
                <w:rFonts w:ascii="Arial Narrow" w:hAnsi="Arial Narrow"/>
                <w:sz w:val="20"/>
                <w:szCs w:val="20"/>
                <w:vertAlign w:val="superscript"/>
              </w:rPr>
              <w:t>2</w:t>
            </w:r>
          </w:p>
        </w:tc>
      </w:tr>
      <w:tr w:rsidR="00243DFF" w:rsidRPr="009C3607" w14:paraId="7AC6790E" w14:textId="77777777" w:rsidTr="008674BA">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vAlign w:val="center"/>
          </w:tcPr>
          <w:p w14:paraId="5F9BE5A9" w14:textId="77777777" w:rsidR="00243DFF" w:rsidRPr="009C3607" w:rsidRDefault="00243DFF" w:rsidP="009E69C9">
            <w:pPr>
              <w:keepLines/>
              <w:rPr>
                <w:rFonts w:ascii="Arial Narrow" w:hAnsi="Arial Narrow"/>
                <w:b/>
                <w:sz w:val="20"/>
                <w:szCs w:val="20"/>
              </w:rPr>
            </w:pPr>
          </w:p>
        </w:tc>
      </w:tr>
      <w:tr w:rsidR="00243DFF" w:rsidRPr="009C3607" w14:paraId="6062EAD7" w14:textId="77777777" w:rsidTr="008674BA">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vAlign w:val="center"/>
          </w:tcPr>
          <w:p w14:paraId="2B1F072C" w14:textId="77777777" w:rsidR="00243DFF" w:rsidRPr="009C3607" w:rsidRDefault="00243DFF" w:rsidP="009E69C9">
            <w:pPr>
              <w:keepLines/>
              <w:rPr>
                <w:rFonts w:ascii="Arial Narrow" w:hAnsi="Arial Narrow"/>
                <w:b/>
                <w:sz w:val="20"/>
                <w:szCs w:val="20"/>
              </w:rPr>
            </w:pPr>
            <w:r w:rsidRPr="009C3607">
              <w:rPr>
                <w:rFonts w:ascii="Arial Narrow" w:hAnsi="Arial Narrow"/>
                <w:b/>
                <w:sz w:val="20"/>
                <w:szCs w:val="20"/>
              </w:rPr>
              <w:t>Restriction Summary [new] / Treatment of Concept: [new]</w:t>
            </w:r>
          </w:p>
        </w:tc>
      </w:tr>
      <w:tr w:rsidR="00432692" w:rsidRPr="00173EDC" w14:paraId="3BFED30F"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top w:val="single" w:sz="4" w:space="0" w:color="auto"/>
              <w:left w:val="single" w:sz="4" w:space="0" w:color="auto"/>
              <w:right w:val="single" w:sz="4" w:space="0" w:color="auto"/>
            </w:tcBorders>
            <w:vAlign w:val="center"/>
          </w:tcPr>
          <w:p w14:paraId="769E8FC8" w14:textId="77777777" w:rsidR="00432692" w:rsidRPr="00173EDC" w:rsidRDefault="00432692" w:rsidP="009E69C9">
            <w:pPr>
              <w:rPr>
                <w:rFonts w:ascii="Arial Narrow" w:hAnsi="Arial Narrow"/>
                <w:b/>
                <w:bCs/>
                <w:sz w:val="20"/>
                <w:szCs w:val="20"/>
              </w:rPr>
            </w:pPr>
            <w:r w:rsidRPr="00173EDC">
              <w:rPr>
                <w:rFonts w:ascii="Arial Narrow" w:hAnsi="Arial Narrow"/>
                <w:b/>
                <w:bCs/>
                <w:sz w:val="20"/>
                <w:szCs w:val="20"/>
              </w:rPr>
              <w:t xml:space="preserve">Category / Program: </w:t>
            </w:r>
            <w:r w:rsidRPr="00173EDC">
              <w:rPr>
                <w:rFonts w:ascii="Arial Narrow" w:hAnsi="Arial Narrow"/>
                <w:b/>
                <w:bCs/>
                <w:sz w:val="20"/>
                <w:szCs w:val="20"/>
              </w:rPr>
              <w:fldChar w:fldCharType="begin" w:fldLock="1">
                <w:ffData>
                  <w:name w:val=""/>
                  <w:enabled/>
                  <w:calcOnExit w:val="0"/>
                  <w:checkBox>
                    <w:sizeAuto/>
                    <w:default w:val="1"/>
                  </w:checkBox>
                </w:ffData>
              </w:fldChar>
            </w:r>
            <w:r w:rsidRPr="00173EDC">
              <w:rPr>
                <w:rFonts w:ascii="Arial Narrow" w:hAnsi="Arial Narrow"/>
                <w:b/>
                <w:bCs/>
                <w:sz w:val="20"/>
                <w:szCs w:val="20"/>
              </w:rPr>
              <w:instrText xml:space="preserve"> FORMCHECKBOX </w:instrText>
            </w:r>
            <w:r w:rsidRPr="00173EDC">
              <w:rPr>
                <w:rFonts w:ascii="Arial Narrow" w:hAnsi="Arial Narrow"/>
                <w:b/>
                <w:bCs/>
                <w:sz w:val="20"/>
                <w:szCs w:val="20"/>
              </w:rPr>
            </w:r>
            <w:r w:rsidRPr="00173EDC">
              <w:rPr>
                <w:rFonts w:ascii="Arial Narrow" w:hAnsi="Arial Narrow"/>
                <w:b/>
                <w:bCs/>
                <w:sz w:val="20"/>
                <w:szCs w:val="20"/>
              </w:rPr>
              <w:fldChar w:fldCharType="separate"/>
            </w:r>
            <w:r w:rsidRPr="00173EDC">
              <w:rPr>
                <w:rFonts w:ascii="Arial Narrow" w:hAnsi="Arial Narrow"/>
                <w:b/>
                <w:bCs/>
                <w:sz w:val="20"/>
                <w:szCs w:val="20"/>
              </w:rPr>
              <w:fldChar w:fldCharType="end"/>
            </w:r>
            <w:r w:rsidRPr="00173EDC">
              <w:rPr>
                <w:rFonts w:ascii="Arial Narrow" w:hAnsi="Arial Narrow"/>
                <w:b/>
                <w:bCs/>
                <w:sz w:val="20"/>
                <w:szCs w:val="20"/>
              </w:rPr>
              <w:t xml:space="preserve"> </w:t>
            </w:r>
            <w:r w:rsidRPr="00173EDC">
              <w:rPr>
                <w:rFonts w:ascii="Arial Narrow" w:eastAsia="Calibri" w:hAnsi="Arial Narrow"/>
                <w:sz w:val="20"/>
                <w:szCs w:val="20"/>
              </w:rPr>
              <w:t>Section 100 – Highly Specialised Drugs Program – Public (Code HB)</w:t>
            </w:r>
            <w:r w:rsidRPr="00173EDC">
              <w:rPr>
                <w:rFonts w:ascii="Arial Narrow" w:eastAsia="Calibri" w:hAnsi="Arial Narrow"/>
                <w:color w:val="FF0000"/>
                <w:sz w:val="20"/>
                <w:szCs w:val="20"/>
              </w:rPr>
              <w:t xml:space="preserve"> </w:t>
            </w:r>
            <w:r w:rsidRPr="00173EDC">
              <w:rPr>
                <w:rFonts w:ascii="Arial Narrow" w:eastAsia="Calibri" w:hAnsi="Arial Narrow"/>
                <w:sz w:val="20"/>
                <w:szCs w:val="20"/>
              </w:rPr>
              <w:t>/ Private (Code HS)</w:t>
            </w:r>
          </w:p>
        </w:tc>
      </w:tr>
      <w:tr w:rsidR="00432692" w:rsidRPr="00173EDC" w14:paraId="1D1403C9"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right w:val="single" w:sz="4" w:space="0" w:color="auto"/>
            </w:tcBorders>
            <w:vAlign w:val="center"/>
          </w:tcPr>
          <w:p w14:paraId="55363ECC" w14:textId="77777777" w:rsidR="00432692" w:rsidRPr="00173EDC" w:rsidRDefault="00432692" w:rsidP="009E69C9">
            <w:pPr>
              <w:rPr>
                <w:rFonts w:ascii="Arial Narrow" w:hAnsi="Arial Narrow"/>
                <w:b/>
                <w:bCs/>
                <w:sz w:val="20"/>
                <w:szCs w:val="20"/>
              </w:rPr>
            </w:pPr>
            <w:r w:rsidRPr="00173EDC">
              <w:rPr>
                <w:rFonts w:ascii="Arial Narrow" w:hAnsi="Arial Narrow"/>
                <w:b/>
                <w:bCs/>
                <w:sz w:val="20"/>
                <w:szCs w:val="20"/>
              </w:rPr>
              <w:t xml:space="preserve">Prescriber type: </w:t>
            </w:r>
            <w:r w:rsidRPr="00173EDC">
              <w:rPr>
                <w:rFonts w:ascii="Arial Narrow" w:hAnsi="Arial Narrow"/>
                <w:sz w:val="20"/>
                <w:szCs w:val="20"/>
              </w:rPr>
              <w:fldChar w:fldCharType="begin" w:fldLock="1">
                <w:ffData>
                  <w:name w:val=""/>
                  <w:enabled/>
                  <w:calcOnExit w:val="0"/>
                  <w:checkBox>
                    <w:sizeAuto/>
                    <w:default w:val="1"/>
                  </w:checkBox>
                </w:ffData>
              </w:fldChar>
            </w:r>
            <w:r w:rsidRPr="00173EDC">
              <w:rPr>
                <w:rFonts w:ascii="Arial Narrow" w:hAnsi="Arial Narrow"/>
                <w:sz w:val="20"/>
                <w:szCs w:val="20"/>
              </w:rPr>
              <w:instrText xml:space="preserve"> FORMCHECKBOX </w:instrText>
            </w:r>
            <w:r w:rsidRPr="00173EDC">
              <w:rPr>
                <w:rFonts w:ascii="Arial Narrow" w:hAnsi="Arial Narrow"/>
                <w:sz w:val="20"/>
                <w:szCs w:val="20"/>
              </w:rPr>
            </w:r>
            <w:r w:rsidRPr="00173EDC">
              <w:rPr>
                <w:rFonts w:ascii="Arial Narrow" w:hAnsi="Arial Narrow"/>
                <w:sz w:val="20"/>
                <w:szCs w:val="20"/>
              </w:rPr>
              <w:fldChar w:fldCharType="separate"/>
            </w:r>
            <w:r w:rsidRPr="00173EDC">
              <w:rPr>
                <w:rFonts w:ascii="Arial Narrow" w:hAnsi="Arial Narrow"/>
                <w:sz w:val="20"/>
                <w:szCs w:val="20"/>
              </w:rPr>
              <w:fldChar w:fldCharType="end"/>
            </w:r>
            <w:r w:rsidRPr="00173EDC">
              <w:rPr>
                <w:rFonts w:ascii="Arial Narrow" w:hAnsi="Arial Narrow"/>
                <w:sz w:val="20"/>
                <w:szCs w:val="20"/>
              </w:rPr>
              <w:t>Medical Practitioners</w:t>
            </w:r>
            <w:r w:rsidRPr="00173EDC">
              <w:rPr>
                <w:rFonts w:ascii="Arial Narrow" w:hAnsi="Arial Narrow"/>
                <w:b/>
                <w:bCs/>
                <w:sz w:val="20"/>
                <w:szCs w:val="20"/>
              </w:rPr>
              <w:t xml:space="preserve"> </w:t>
            </w:r>
          </w:p>
        </w:tc>
      </w:tr>
      <w:tr w:rsidR="00432692" w:rsidRPr="00173EDC" w14:paraId="5CD25D9A"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right w:val="single" w:sz="4" w:space="0" w:color="auto"/>
            </w:tcBorders>
            <w:vAlign w:val="center"/>
          </w:tcPr>
          <w:p w14:paraId="2CE15DA5" w14:textId="77777777" w:rsidR="00432692" w:rsidRPr="00173EDC" w:rsidRDefault="00432692" w:rsidP="009E69C9">
            <w:pPr>
              <w:rPr>
                <w:rFonts w:ascii="Arial Narrow" w:hAnsi="Arial Narrow"/>
                <w:b/>
                <w:bCs/>
                <w:sz w:val="20"/>
                <w:szCs w:val="20"/>
              </w:rPr>
            </w:pPr>
            <w:r w:rsidRPr="00173EDC">
              <w:rPr>
                <w:rFonts w:ascii="Arial Narrow" w:hAnsi="Arial Narrow"/>
                <w:b/>
                <w:bCs/>
                <w:sz w:val="20"/>
                <w:szCs w:val="20"/>
              </w:rPr>
              <w:t xml:space="preserve">Restriction type: </w:t>
            </w:r>
            <w:r w:rsidRPr="00173EDC">
              <w:rPr>
                <w:rFonts w:ascii="Arial Narrow" w:hAnsi="Arial Narrow"/>
                <w:sz w:val="20"/>
                <w:szCs w:val="20"/>
              </w:rPr>
              <w:fldChar w:fldCharType="begin" w:fldLock="1">
                <w:ffData>
                  <w:name w:val="Check3"/>
                  <w:enabled/>
                  <w:calcOnExit w:val="0"/>
                  <w:checkBox>
                    <w:sizeAuto/>
                    <w:default w:val="1"/>
                  </w:checkBox>
                </w:ffData>
              </w:fldChar>
            </w:r>
            <w:r w:rsidRPr="00173EDC">
              <w:rPr>
                <w:rFonts w:ascii="Arial Narrow" w:hAnsi="Arial Narrow"/>
                <w:sz w:val="20"/>
                <w:szCs w:val="20"/>
              </w:rPr>
              <w:instrText xml:space="preserve"> FORMCHECKBOX </w:instrText>
            </w:r>
            <w:r w:rsidRPr="00173EDC">
              <w:rPr>
                <w:rFonts w:ascii="Arial Narrow" w:hAnsi="Arial Narrow"/>
                <w:sz w:val="20"/>
                <w:szCs w:val="20"/>
              </w:rPr>
            </w:r>
            <w:r w:rsidRPr="00173EDC">
              <w:rPr>
                <w:rFonts w:ascii="Arial Narrow" w:hAnsi="Arial Narrow"/>
                <w:sz w:val="20"/>
                <w:szCs w:val="20"/>
              </w:rPr>
              <w:fldChar w:fldCharType="separate"/>
            </w:r>
            <w:r w:rsidRPr="00173EDC">
              <w:rPr>
                <w:rFonts w:ascii="Arial Narrow" w:hAnsi="Arial Narrow"/>
                <w:sz w:val="20"/>
                <w:szCs w:val="20"/>
              </w:rPr>
              <w:fldChar w:fldCharType="end"/>
            </w:r>
            <w:r w:rsidRPr="00173EDC">
              <w:rPr>
                <w:rFonts w:ascii="Arial Narrow" w:hAnsi="Arial Narrow"/>
                <w:sz w:val="20"/>
                <w:szCs w:val="20"/>
              </w:rPr>
              <w:t>Authority Required – Immediate assessment (Telephone/Online)</w:t>
            </w:r>
          </w:p>
        </w:tc>
      </w:tr>
      <w:tr w:rsidR="00B606B2" w:rsidRPr="00173EDC" w14:paraId="7BE4BDBC" w14:textId="77777777">
        <w:tblPrEx>
          <w:tblCellMar>
            <w:top w:w="15" w:type="dxa"/>
            <w:bottom w:w="15" w:type="dxa"/>
          </w:tblCellMar>
          <w:tblLook w:val="04A0" w:firstRow="1" w:lastRow="0" w:firstColumn="1" w:lastColumn="0" w:noHBand="0" w:noVBand="1"/>
        </w:tblPrEx>
        <w:trPr>
          <w:trHeight w:val="20"/>
        </w:trPr>
        <w:tc>
          <w:tcPr>
            <w:tcW w:w="9075" w:type="dxa"/>
            <w:gridSpan w:val="6"/>
            <w:tcBorders>
              <w:top w:val="single" w:sz="4" w:space="0" w:color="auto"/>
              <w:left w:val="single" w:sz="4" w:space="0" w:color="auto"/>
              <w:right w:val="single" w:sz="4" w:space="0" w:color="auto"/>
            </w:tcBorders>
          </w:tcPr>
          <w:p w14:paraId="63BD9AB3" w14:textId="087AA52D" w:rsidR="00B606B2" w:rsidRPr="00173EDC" w:rsidRDefault="00B606B2" w:rsidP="009E69C9">
            <w:r w:rsidRPr="00173EDC">
              <w:rPr>
                <w:rFonts w:ascii="Arial Narrow" w:eastAsia="Arial Narrow" w:hAnsi="Arial Narrow" w:cs="Arial Narrow"/>
                <w:b/>
                <w:bCs/>
                <w:sz w:val="20"/>
                <w:szCs w:val="20"/>
              </w:rPr>
              <w:t>Authority type:</w:t>
            </w:r>
            <w:r w:rsidR="00F6759F">
              <w:rPr>
                <w:rFonts w:ascii="Arial Narrow" w:eastAsia="Arial Narrow" w:hAnsi="Arial Narrow" w:cs="Arial Narrow"/>
                <w:b/>
                <w:bCs/>
                <w:sz w:val="20"/>
                <w:szCs w:val="20"/>
              </w:rPr>
              <w:t xml:space="preserve"> </w:t>
            </w:r>
            <w:r w:rsidRPr="00173EDC">
              <w:rPr>
                <w:rFonts w:ascii="Arial Narrow" w:eastAsia="Calibri" w:hAnsi="Arial Narrow"/>
                <w:sz w:val="20"/>
                <w:szCs w:val="20"/>
              </w:rPr>
              <w:fldChar w:fldCharType="begin" w:fldLock="1">
                <w:ffData>
                  <w:name w:val=""/>
                  <w:enabled/>
                  <w:calcOnExit w:val="0"/>
                  <w:checkBox>
                    <w:sizeAuto/>
                    <w:default w:val="1"/>
                  </w:checkBox>
                </w:ffData>
              </w:fldChar>
            </w:r>
            <w:r w:rsidRPr="00173EDC">
              <w:rPr>
                <w:rFonts w:ascii="Arial Narrow" w:eastAsia="Calibri" w:hAnsi="Arial Narrow"/>
                <w:sz w:val="20"/>
                <w:szCs w:val="20"/>
              </w:rPr>
              <w:instrText xml:space="preserve"> FORMCHECKBOX </w:instrText>
            </w:r>
            <w:r w:rsidRPr="00173EDC">
              <w:rPr>
                <w:rFonts w:ascii="Arial Narrow" w:eastAsia="Calibri" w:hAnsi="Arial Narrow"/>
                <w:sz w:val="20"/>
                <w:szCs w:val="20"/>
              </w:rPr>
            </w:r>
            <w:r w:rsidRPr="00173EDC">
              <w:rPr>
                <w:rFonts w:ascii="Arial Narrow" w:eastAsia="Calibri" w:hAnsi="Arial Narrow"/>
                <w:sz w:val="20"/>
                <w:szCs w:val="20"/>
              </w:rPr>
              <w:fldChar w:fldCharType="separate"/>
            </w:r>
            <w:r w:rsidRPr="00173EDC">
              <w:rPr>
                <w:rFonts w:ascii="Arial Narrow" w:eastAsia="Calibri" w:hAnsi="Arial Narrow"/>
                <w:sz w:val="20"/>
                <w:szCs w:val="20"/>
              </w:rPr>
              <w:fldChar w:fldCharType="end"/>
            </w:r>
            <w:r w:rsidRPr="00173EDC">
              <w:rPr>
                <w:rFonts w:ascii="Arial Narrow" w:eastAsia="Calibri" w:hAnsi="Arial Narrow"/>
                <w:sz w:val="20"/>
                <w:szCs w:val="20"/>
              </w:rPr>
              <w:t xml:space="preserve"> Complex Authority Required (CAR) </w:t>
            </w:r>
          </w:p>
        </w:tc>
      </w:tr>
      <w:tr w:rsidR="00432692" w:rsidRPr="00173EDC" w14:paraId="640CC3BF" w14:textId="77777777" w:rsidTr="00432692">
        <w:tblPrEx>
          <w:tblCellMar>
            <w:top w:w="15" w:type="dxa"/>
            <w:bottom w:w="15" w:type="dxa"/>
          </w:tblCellMar>
          <w:tblLook w:val="04A0" w:firstRow="1" w:lastRow="0" w:firstColumn="1" w:lastColumn="0" w:noHBand="0" w:noVBand="1"/>
        </w:tblPrEx>
        <w:trPr>
          <w:cantSplit/>
          <w:trHeight w:val="203"/>
        </w:trPr>
        <w:tc>
          <w:tcPr>
            <w:tcW w:w="9075" w:type="dxa"/>
            <w:gridSpan w:val="6"/>
            <w:tcBorders>
              <w:left w:val="single" w:sz="4" w:space="0" w:color="auto"/>
            </w:tcBorders>
            <w:vAlign w:val="center"/>
          </w:tcPr>
          <w:p w14:paraId="05929939" w14:textId="77777777" w:rsidR="00432692" w:rsidRPr="00E301EE" w:rsidRDefault="00432692" w:rsidP="009E69C9">
            <w:pPr>
              <w:rPr>
                <w:rFonts w:ascii="Arial Narrow" w:hAnsi="Arial Narrow"/>
                <w:sz w:val="20"/>
                <w:szCs w:val="20"/>
                <w:highlight w:val="yellow"/>
              </w:rPr>
            </w:pPr>
            <w:r w:rsidRPr="00E301EE">
              <w:rPr>
                <w:rFonts w:ascii="Arial Narrow" w:hAnsi="Arial Narrow"/>
                <w:b/>
                <w:bCs/>
                <w:sz w:val="20"/>
                <w:szCs w:val="20"/>
              </w:rPr>
              <w:t xml:space="preserve">Administrative Advice: </w:t>
            </w:r>
            <w:r w:rsidRPr="00E301EE">
              <w:rPr>
                <w:rFonts w:ascii="Arial Narrow" w:hAnsi="Arial Narrow"/>
                <w:sz w:val="20"/>
                <w:szCs w:val="20"/>
              </w:rPr>
              <w:t>No increase in the maximum quantity or number of units may be authorised.</w:t>
            </w:r>
          </w:p>
        </w:tc>
      </w:tr>
      <w:tr w:rsidR="00432692" w:rsidRPr="00173EDC" w14:paraId="07B7530F" w14:textId="77777777" w:rsidTr="00432692">
        <w:tblPrEx>
          <w:tblCellMar>
            <w:top w:w="15" w:type="dxa"/>
            <w:bottom w:w="15" w:type="dxa"/>
          </w:tblCellMar>
          <w:tblLook w:val="04A0" w:firstRow="1" w:lastRow="0" w:firstColumn="1" w:lastColumn="0" w:noHBand="0" w:noVBand="1"/>
        </w:tblPrEx>
        <w:trPr>
          <w:cantSplit/>
          <w:trHeight w:val="220"/>
        </w:trPr>
        <w:tc>
          <w:tcPr>
            <w:tcW w:w="9075" w:type="dxa"/>
            <w:gridSpan w:val="6"/>
          </w:tcPr>
          <w:p w14:paraId="6BBE89BF" w14:textId="77777777" w:rsidR="00432692" w:rsidRPr="00E301EE" w:rsidRDefault="00432692" w:rsidP="009E69C9">
            <w:pPr>
              <w:rPr>
                <w:rFonts w:ascii="Arial Narrow" w:hAnsi="Arial Narrow"/>
                <w:b/>
                <w:bCs/>
                <w:sz w:val="20"/>
                <w:szCs w:val="20"/>
              </w:rPr>
            </w:pPr>
            <w:r w:rsidRPr="00E301EE">
              <w:rPr>
                <w:rFonts w:ascii="Arial Narrow" w:hAnsi="Arial Narrow"/>
                <w:b/>
                <w:bCs/>
                <w:sz w:val="20"/>
                <w:szCs w:val="20"/>
              </w:rPr>
              <w:t>Administrative Advice:</w:t>
            </w:r>
            <w:r w:rsidRPr="00E301EE">
              <w:t xml:space="preserve"> </w:t>
            </w:r>
            <w:r w:rsidRPr="00E301EE">
              <w:rPr>
                <w:rFonts w:ascii="Arial Narrow" w:hAnsi="Arial Narrow"/>
                <w:sz w:val="20"/>
                <w:szCs w:val="20"/>
              </w:rPr>
              <w:t>No increase in the maximum number of repeats may be authorised.</w:t>
            </w:r>
          </w:p>
        </w:tc>
      </w:tr>
      <w:tr w:rsidR="00432692" w:rsidRPr="00173EDC" w14:paraId="312DA2E9" w14:textId="77777777" w:rsidTr="00432692">
        <w:tblPrEx>
          <w:tblCellMar>
            <w:top w:w="15" w:type="dxa"/>
            <w:bottom w:w="15" w:type="dxa"/>
          </w:tblCellMar>
          <w:tblLook w:val="04A0" w:firstRow="1" w:lastRow="0" w:firstColumn="1" w:lastColumn="0" w:noHBand="0" w:noVBand="1"/>
        </w:tblPrEx>
        <w:trPr>
          <w:cantSplit/>
          <w:trHeight w:val="239"/>
        </w:trPr>
        <w:tc>
          <w:tcPr>
            <w:tcW w:w="9075" w:type="dxa"/>
            <w:gridSpan w:val="6"/>
          </w:tcPr>
          <w:p w14:paraId="2A5244FF" w14:textId="77777777" w:rsidR="00432692" w:rsidRPr="00E301EE" w:rsidRDefault="00432692" w:rsidP="009E69C9">
            <w:pPr>
              <w:rPr>
                <w:rFonts w:ascii="Arial Narrow" w:hAnsi="Arial Narrow"/>
                <w:b/>
                <w:bCs/>
                <w:sz w:val="20"/>
                <w:szCs w:val="20"/>
              </w:rPr>
            </w:pPr>
            <w:r w:rsidRPr="00E301EE">
              <w:rPr>
                <w:rFonts w:ascii="Arial Narrow" w:hAnsi="Arial Narrow"/>
                <w:b/>
                <w:bCs/>
                <w:sz w:val="20"/>
                <w:szCs w:val="20"/>
              </w:rPr>
              <w:t xml:space="preserve">Administrative Advice: </w:t>
            </w:r>
            <w:r w:rsidRPr="00E301EE">
              <w:rPr>
                <w:rFonts w:ascii="Arial Narrow" w:hAnsi="Arial Narrow"/>
                <w:sz w:val="20"/>
                <w:szCs w:val="20"/>
              </w:rPr>
              <w:t>Special Pricing Arrangements apply</w:t>
            </w:r>
          </w:p>
        </w:tc>
      </w:tr>
      <w:tr w:rsidR="00B606B2" w:rsidRPr="00173EDC" w14:paraId="70930724"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top w:val="single" w:sz="4" w:space="0" w:color="auto"/>
              <w:left w:val="single" w:sz="4" w:space="0" w:color="auto"/>
              <w:bottom w:val="single" w:sz="4" w:space="0" w:color="auto"/>
              <w:right w:val="single" w:sz="4" w:space="0" w:color="auto"/>
            </w:tcBorders>
            <w:vAlign w:val="center"/>
          </w:tcPr>
          <w:p w14:paraId="3A9E93A5"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 xml:space="preserve">Indication: </w:t>
            </w:r>
            <w:r w:rsidRPr="00173EDC">
              <w:rPr>
                <w:rFonts w:ascii="Arial Narrow" w:hAnsi="Arial Narrow"/>
                <w:sz w:val="20"/>
                <w:szCs w:val="20"/>
              </w:rPr>
              <w:t>High-risk neuroblastoma</w:t>
            </w:r>
          </w:p>
        </w:tc>
      </w:tr>
      <w:tr w:rsidR="00B606B2" w:rsidRPr="00173EDC" w14:paraId="1002F2D6"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52FB5BF0"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Treatment Phase:</w:t>
            </w:r>
            <w:r w:rsidRPr="00173EDC">
              <w:rPr>
                <w:rFonts w:ascii="Arial Narrow" w:hAnsi="Arial Narrow"/>
                <w:sz w:val="20"/>
                <w:szCs w:val="20"/>
              </w:rPr>
              <w:t xml:space="preserve"> </w:t>
            </w:r>
            <w:r w:rsidRPr="00A8545A">
              <w:rPr>
                <w:rFonts w:ascii="Arial Narrow" w:hAnsi="Arial Narrow"/>
                <w:sz w:val="20"/>
                <w:szCs w:val="20"/>
              </w:rPr>
              <w:t>Transitioning from non-PBS to PBS subsidised treatment – ‘Grandfather’ treatment</w:t>
            </w:r>
          </w:p>
        </w:tc>
      </w:tr>
      <w:tr w:rsidR="00B606B2" w:rsidRPr="00173EDC" w14:paraId="1AD8B6A2"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6EBE6FED"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 xml:space="preserve">Clinical criteria: </w:t>
            </w:r>
          </w:p>
        </w:tc>
      </w:tr>
      <w:tr w:rsidR="00B606B2" w:rsidRPr="00173EDC" w14:paraId="25626997"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5492F8DF" w14:textId="77777777" w:rsidR="00B606B2" w:rsidRPr="00B55065" w:rsidRDefault="00B606B2" w:rsidP="009E69C9">
            <w:pPr>
              <w:rPr>
                <w:rFonts w:ascii="Arial Narrow" w:hAnsi="Arial Narrow"/>
                <w:b/>
                <w:bCs/>
                <w:sz w:val="20"/>
                <w:szCs w:val="20"/>
              </w:rPr>
            </w:pPr>
            <w:r w:rsidRPr="00B55065">
              <w:rPr>
                <w:rFonts w:ascii="Arial Narrow" w:hAnsi="Arial Narrow"/>
                <w:b/>
                <w:bCs/>
                <w:sz w:val="20"/>
                <w:szCs w:val="20"/>
              </w:rPr>
              <w:t xml:space="preserve">Clinical criteria: </w:t>
            </w:r>
            <w:r w:rsidRPr="00B55065">
              <w:rPr>
                <w:rFonts w:ascii="Arial Narrow" w:hAnsi="Arial Narrow"/>
                <w:sz w:val="20"/>
                <w:szCs w:val="20"/>
              </w:rPr>
              <w:t>Patient must have received non-PBS-subsidised treatment with this drug for this indication prior to [date of PBS listing]</w:t>
            </w:r>
          </w:p>
        </w:tc>
      </w:tr>
      <w:tr w:rsidR="00B606B2" w:rsidRPr="00173EDC" w14:paraId="59FE9E54"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1204B774"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AND</w:t>
            </w:r>
          </w:p>
        </w:tc>
      </w:tr>
      <w:tr w:rsidR="00B606B2" w:rsidRPr="00173EDC" w14:paraId="6EE8D3CA"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3FB070EC"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Clinical criteria:</w:t>
            </w:r>
          </w:p>
        </w:tc>
      </w:tr>
      <w:tr w:rsidR="00B606B2" w:rsidRPr="00173EDC" w14:paraId="5120A3C2"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4AB9B34E" w14:textId="5A57EB6B" w:rsidR="00B606B2" w:rsidRPr="00173EDC" w:rsidRDefault="00B606B2" w:rsidP="009E69C9">
            <w:pPr>
              <w:rPr>
                <w:rFonts w:ascii="Arial Narrow" w:hAnsi="Arial Narrow"/>
                <w:b/>
                <w:bCs/>
                <w:sz w:val="20"/>
                <w:szCs w:val="20"/>
              </w:rPr>
            </w:pPr>
            <w:r w:rsidRPr="00173EDC">
              <w:rPr>
                <w:rFonts w:ascii="Arial Narrow" w:eastAsia="Calibri" w:hAnsi="Arial Narrow"/>
                <w:sz w:val="20"/>
                <w:szCs w:val="20"/>
              </w:rPr>
              <w:t>Patient must not have developed disease</w:t>
            </w:r>
            <w:r w:rsidR="00C85A2A">
              <w:rPr>
                <w:rFonts w:ascii="Arial Narrow" w:eastAsia="Calibri" w:hAnsi="Arial Narrow"/>
                <w:sz w:val="20"/>
                <w:szCs w:val="20"/>
              </w:rPr>
              <w:t xml:space="preserve"> recurrence</w:t>
            </w:r>
            <w:r w:rsidRPr="00173EDC">
              <w:rPr>
                <w:rFonts w:ascii="Arial Narrow" w:eastAsia="Calibri" w:hAnsi="Arial Narrow"/>
                <w:sz w:val="20"/>
                <w:szCs w:val="20"/>
              </w:rPr>
              <w:t xml:space="preserve"> while receiving treatment with this drug for this condition</w:t>
            </w:r>
          </w:p>
        </w:tc>
      </w:tr>
      <w:tr w:rsidR="00B606B2" w:rsidRPr="00173EDC" w14:paraId="15BD3C27"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0E0CA25B" w14:textId="77777777" w:rsidR="00B606B2" w:rsidRPr="00173EDC" w:rsidRDefault="00B606B2" w:rsidP="009E69C9">
            <w:pPr>
              <w:rPr>
                <w:rFonts w:ascii="Arial Narrow" w:hAnsi="Arial Narrow"/>
                <w:sz w:val="20"/>
                <w:szCs w:val="20"/>
              </w:rPr>
            </w:pPr>
            <w:r w:rsidRPr="00173EDC">
              <w:rPr>
                <w:rFonts w:ascii="Arial Narrow" w:hAnsi="Arial Narrow"/>
                <w:b/>
                <w:bCs/>
                <w:sz w:val="20"/>
                <w:szCs w:val="20"/>
              </w:rPr>
              <w:t>AND</w:t>
            </w:r>
          </w:p>
        </w:tc>
      </w:tr>
      <w:tr w:rsidR="00B606B2" w:rsidRPr="00173EDC" w14:paraId="7CE9C5B4"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3C0DEA7E"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t>Clinical criteria:</w:t>
            </w:r>
          </w:p>
        </w:tc>
      </w:tr>
      <w:tr w:rsidR="00B606B2" w:rsidRPr="00173EDC" w14:paraId="6B7F2D4E"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092F027D" w14:textId="77777777" w:rsidR="00B606B2" w:rsidRPr="00173EDC" w:rsidRDefault="00B606B2" w:rsidP="009E69C9">
            <w:pPr>
              <w:rPr>
                <w:rFonts w:ascii="Arial Narrow" w:hAnsi="Arial Narrow"/>
                <w:b/>
                <w:bCs/>
                <w:sz w:val="20"/>
                <w:szCs w:val="20"/>
              </w:rPr>
            </w:pPr>
            <w:r w:rsidRPr="00173EDC">
              <w:rPr>
                <w:rFonts w:ascii="Arial Narrow" w:hAnsi="Arial Narrow"/>
                <w:sz w:val="20"/>
                <w:szCs w:val="20"/>
              </w:rPr>
              <w:t>The treatment must not exceed a total of 27 cycles (based on 4 weeks per cycle) from the first dose of this drug, regardless of whether it was PBS/non-PBS subsidised</w:t>
            </w:r>
          </w:p>
        </w:tc>
      </w:tr>
      <w:tr w:rsidR="00B606B2" w:rsidRPr="00173EDC" w14:paraId="614CBBDE" w14:textId="77777777">
        <w:tblPrEx>
          <w:tblCellMar>
            <w:top w:w="15" w:type="dxa"/>
            <w:bottom w:w="15" w:type="dxa"/>
          </w:tblCellMar>
          <w:tblLook w:val="04A0" w:firstRow="1" w:lastRow="0" w:firstColumn="1" w:lastColumn="0" w:noHBand="0" w:noVBand="1"/>
        </w:tblPrEx>
        <w:trPr>
          <w:cantSplit/>
          <w:trHeight w:val="300"/>
        </w:trPr>
        <w:tc>
          <w:tcPr>
            <w:tcW w:w="9075" w:type="dxa"/>
            <w:gridSpan w:val="6"/>
            <w:vAlign w:val="center"/>
          </w:tcPr>
          <w:p w14:paraId="7872A5BA" w14:textId="77777777" w:rsidR="00B606B2" w:rsidRPr="00173EDC" w:rsidRDefault="00B606B2" w:rsidP="009E69C9">
            <w:pPr>
              <w:ind w:left="57"/>
              <w:rPr>
                <w:rFonts w:ascii="Arial Narrow" w:hAnsi="Arial Narrow" w:cs="Segoe UI"/>
                <w:sz w:val="20"/>
                <w:szCs w:val="20"/>
              </w:rPr>
            </w:pPr>
            <w:r w:rsidRPr="00173EDC">
              <w:rPr>
                <w:rFonts w:ascii="Arial Narrow" w:hAnsi="Arial Narrow" w:cs="Segoe UI"/>
                <w:b/>
                <w:bCs/>
                <w:sz w:val="20"/>
                <w:szCs w:val="20"/>
              </w:rPr>
              <w:t>Treatment Criteria:</w:t>
            </w:r>
            <w:r w:rsidRPr="00173EDC">
              <w:rPr>
                <w:rFonts w:ascii="Arial Narrow" w:hAnsi="Arial Narrow" w:cs="Segoe UI"/>
                <w:sz w:val="20"/>
                <w:szCs w:val="20"/>
              </w:rPr>
              <w:t> </w:t>
            </w:r>
          </w:p>
        </w:tc>
      </w:tr>
      <w:tr w:rsidR="00B606B2" w:rsidRPr="00173EDC" w14:paraId="02CE96E6" w14:textId="77777777">
        <w:tblPrEx>
          <w:tblCellMar>
            <w:top w:w="15" w:type="dxa"/>
            <w:bottom w:w="15" w:type="dxa"/>
          </w:tblCellMar>
          <w:tblLook w:val="04A0" w:firstRow="1" w:lastRow="0" w:firstColumn="1" w:lastColumn="0" w:noHBand="0" w:noVBand="1"/>
        </w:tblPrEx>
        <w:trPr>
          <w:cantSplit/>
          <w:trHeight w:val="300"/>
        </w:trPr>
        <w:tc>
          <w:tcPr>
            <w:tcW w:w="9075" w:type="dxa"/>
            <w:gridSpan w:val="6"/>
            <w:vAlign w:val="center"/>
          </w:tcPr>
          <w:p w14:paraId="64433ED6" w14:textId="77777777" w:rsidR="00B606B2" w:rsidRPr="00173EDC" w:rsidRDefault="00B606B2" w:rsidP="009E69C9">
            <w:pPr>
              <w:ind w:left="57"/>
              <w:rPr>
                <w:rFonts w:ascii="Arial Narrow" w:hAnsi="Arial Narrow" w:cs="Segoe UI"/>
                <w:sz w:val="20"/>
                <w:szCs w:val="20"/>
              </w:rPr>
            </w:pPr>
            <w:r w:rsidRPr="00173EDC">
              <w:rPr>
                <w:rFonts w:ascii="Arial Narrow" w:hAnsi="Arial Narrow" w:cs="Segoe UI"/>
                <w:sz w:val="20"/>
                <w:szCs w:val="20"/>
              </w:rPr>
              <w:t>Must be treated in a hospital/cancer centre by either a: (i) paediatric oncologist (ii) haematologist; or</w:t>
            </w:r>
          </w:p>
        </w:tc>
      </w:tr>
      <w:tr w:rsidR="00B606B2" w:rsidRPr="00173EDC" w14:paraId="3134F77E" w14:textId="77777777">
        <w:tblPrEx>
          <w:tblCellMar>
            <w:top w:w="15" w:type="dxa"/>
            <w:bottom w:w="15" w:type="dxa"/>
          </w:tblCellMar>
          <w:tblLook w:val="04A0" w:firstRow="1" w:lastRow="0" w:firstColumn="1" w:lastColumn="0" w:noHBand="0" w:noVBand="1"/>
        </w:tblPrEx>
        <w:trPr>
          <w:cantSplit/>
          <w:trHeight w:val="300"/>
        </w:trPr>
        <w:tc>
          <w:tcPr>
            <w:tcW w:w="9075" w:type="dxa"/>
            <w:gridSpan w:val="6"/>
            <w:vAlign w:val="center"/>
          </w:tcPr>
          <w:p w14:paraId="1FEBB96B" w14:textId="77777777" w:rsidR="00B606B2" w:rsidRPr="00173EDC" w:rsidRDefault="00B606B2" w:rsidP="009E69C9">
            <w:pPr>
              <w:rPr>
                <w:rFonts w:ascii="Arial Narrow" w:hAnsi="Arial Narrow" w:cs="Segoe UI"/>
                <w:sz w:val="20"/>
                <w:szCs w:val="20"/>
              </w:rPr>
            </w:pPr>
            <w:r w:rsidRPr="00173EDC">
              <w:rPr>
                <w:rFonts w:ascii="Arial Narrow" w:eastAsia="Arial Narrow" w:hAnsi="Arial Narrow" w:cs="Arial Narrow"/>
                <w:color w:val="333333"/>
                <w:sz w:val="20"/>
                <w:szCs w:val="20"/>
              </w:rPr>
              <w:t>Must be treated by a medical practitioner under the direct supervision of</w:t>
            </w:r>
            <w:r w:rsidRPr="00173EDC">
              <w:rPr>
                <w:rFonts w:ascii="Arial Narrow" w:eastAsia="Arial Narrow" w:hAnsi="Arial Narrow" w:cs="Arial Narrow"/>
                <w:sz w:val="20"/>
                <w:szCs w:val="20"/>
              </w:rPr>
              <w:t xml:space="preserve"> either a: (i) paediatric oncologist (ii) haematologist</w:t>
            </w:r>
          </w:p>
        </w:tc>
      </w:tr>
      <w:tr w:rsidR="00B606B2" w:rsidRPr="00173EDC" w14:paraId="402890A3" w14:textId="77777777">
        <w:tblPrEx>
          <w:tblCellMar>
            <w:top w:w="15" w:type="dxa"/>
            <w:bottom w:w="15" w:type="dxa"/>
          </w:tblCellMar>
          <w:tblLook w:val="04A0" w:firstRow="1" w:lastRow="0" w:firstColumn="1" w:lastColumn="0" w:noHBand="0" w:noVBand="1"/>
        </w:tblPrEx>
        <w:trPr>
          <w:cantSplit/>
          <w:trHeight w:val="20"/>
        </w:trPr>
        <w:tc>
          <w:tcPr>
            <w:tcW w:w="9075" w:type="dxa"/>
            <w:gridSpan w:val="6"/>
            <w:vAlign w:val="center"/>
          </w:tcPr>
          <w:p w14:paraId="4F902AF7" w14:textId="77777777" w:rsidR="00B606B2" w:rsidRPr="00173EDC" w:rsidRDefault="00B606B2" w:rsidP="009E69C9">
            <w:pPr>
              <w:rPr>
                <w:rFonts w:ascii="Arial Narrow" w:hAnsi="Arial Narrow"/>
                <w:b/>
                <w:bCs/>
                <w:sz w:val="20"/>
                <w:szCs w:val="20"/>
              </w:rPr>
            </w:pPr>
            <w:r w:rsidRPr="00173EDC">
              <w:rPr>
                <w:rFonts w:ascii="Arial Narrow" w:hAnsi="Arial Narrow"/>
                <w:b/>
                <w:bCs/>
                <w:sz w:val="20"/>
                <w:szCs w:val="20"/>
              </w:rPr>
              <w:lastRenderedPageBreak/>
              <w:t>Prescribing Instructions:</w:t>
            </w:r>
          </w:p>
          <w:p w14:paraId="39F9769A" w14:textId="77777777" w:rsidR="00B606B2" w:rsidRPr="00CA1CB3" w:rsidRDefault="00B606B2" w:rsidP="009E69C9">
            <w:pPr>
              <w:rPr>
                <w:rFonts w:ascii="Arial Narrow" w:hAnsi="Arial Narrow"/>
                <w:sz w:val="20"/>
                <w:szCs w:val="20"/>
              </w:rPr>
            </w:pPr>
            <w:r w:rsidRPr="00CA1CB3">
              <w:rPr>
                <w:rFonts w:ascii="Arial Narrow" w:hAnsi="Arial Narrow"/>
                <w:sz w:val="20"/>
                <w:szCs w:val="20"/>
              </w:rPr>
              <w:t>At the time of the authority application, the prescriber should request an appropriate number of packs and repeats based on the patients’ Body Surface Area (BSA), according to the dosing schedule in the TGA approved Product Information.</w:t>
            </w:r>
          </w:p>
          <w:p w14:paraId="3247D467" w14:textId="77777777" w:rsidR="00B606B2" w:rsidRPr="00CA1CB3" w:rsidRDefault="00B606B2" w:rsidP="009E69C9">
            <w:pPr>
              <w:rPr>
                <w:rFonts w:ascii="Arial Narrow" w:hAnsi="Arial Narrow"/>
                <w:sz w:val="20"/>
                <w:szCs w:val="20"/>
              </w:rPr>
            </w:pPr>
            <w:r w:rsidRPr="00CA1CB3">
              <w:rPr>
                <w:rFonts w:ascii="Arial Narrow" w:hAnsi="Arial Narrow"/>
                <w:sz w:val="20"/>
                <w:szCs w:val="20"/>
              </w:rPr>
              <w:t xml:space="preserve"> </w:t>
            </w:r>
          </w:p>
          <w:p w14:paraId="08AC40D3" w14:textId="77777777" w:rsidR="00B606B2" w:rsidRDefault="00B606B2" w:rsidP="009E69C9">
            <w:pPr>
              <w:rPr>
                <w:rFonts w:ascii="Arial Narrow" w:hAnsi="Arial Narrow"/>
                <w:sz w:val="20"/>
                <w:szCs w:val="20"/>
              </w:rPr>
            </w:pPr>
            <w:r w:rsidRPr="00CA1CB3">
              <w:rPr>
                <w:rFonts w:ascii="Arial Narrow" w:hAnsi="Arial Narrow"/>
                <w:sz w:val="20"/>
                <w:szCs w:val="20"/>
              </w:rPr>
              <w:t xml:space="preserve">The following number of packs and repeats may be authorised under this restriction (providing 3 months of therapy for each prescription). </w:t>
            </w:r>
          </w:p>
          <w:p w14:paraId="2B89043C" w14:textId="77777777" w:rsidR="00050E83" w:rsidRPr="009C1348" w:rsidRDefault="00050E83" w:rsidP="00050E83">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100 units </w:t>
            </w:r>
            <w:r w:rsidRPr="009C1348">
              <w:rPr>
                <w:rFonts w:ascii="Arial Narrow" w:hAnsi="Arial Narrow"/>
                <w:sz w:val="20"/>
                <w:szCs w:val="20"/>
              </w:rPr>
              <w:t>and 1 repeat for a BSA 0.25 to &lt;0.5 m</w:t>
            </w:r>
            <w:r w:rsidRPr="00050E83">
              <w:rPr>
                <w:rFonts w:ascii="Arial Narrow" w:hAnsi="Arial Narrow"/>
                <w:sz w:val="20"/>
                <w:szCs w:val="20"/>
                <w:vertAlign w:val="superscript"/>
              </w:rPr>
              <w:t>2</w:t>
            </w:r>
          </w:p>
          <w:p w14:paraId="42742F63" w14:textId="77777777" w:rsidR="00050E83" w:rsidRPr="009C1348" w:rsidRDefault="00050E83" w:rsidP="00050E83">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200 units </w:t>
            </w:r>
            <w:r w:rsidRPr="009C1348">
              <w:rPr>
                <w:rFonts w:ascii="Arial Narrow" w:hAnsi="Arial Narrow"/>
                <w:sz w:val="20"/>
                <w:szCs w:val="20"/>
              </w:rPr>
              <w:t>and 1 repeat for a BSA 0.5 to &lt;0.75 m</w:t>
            </w:r>
            <w:r w:rsidRPr="00050E83">
              <w:rPr>
                <w:rFonts w:ascii="Arial Narrow" w:hAnsi="Arial Narrow"/>
                <w:sz w:val="20"/>
                <w:szCs w:val="20"/>
                <w:vertAlign w:val="superscript"/>
              </w:rPr>
              <w:t>2</w:t>
            </w:r>
            <w:r w:rsidRPr="009C1348">
              <w:rPr>
                <w:rFonts w:ascii="Arial Narrow" w:hAnsi="Arial Narrow"/>
                <w:sz w:val="20"/>
                <w:szCs w:val="20"/>
              </w:rPr>
              <w:t xml:space="preserve"> </w:t>
            </w:r>
          </w:p>
          <w:p w14:paraId="7E4ACEA4" w14:textId="77777777" w:rsidR="00050E83" w:rsidRPr="009C1348" w:rsidRDefault="00050E83" w:rsidP="00050E83">
            <w:pPr>
              <w:rPr>
                <w:rFonts w:ascii="Arial Narrow" w:hAnsi="Arial Narrow"/>
                <w:sz w:val="20"/>
                <w:szCs w:val="20"/>
              </w:rPr>
            </w:pPr>
            <w:r w:rsidRPr="009C1348">
              <w:rPr>
                <w:rFonts w:ascii="Arial Narrow" w:hAnsi="Arial Narrow"/>
                <w:sz w:val="20"/>
                <w:szCs w:val="20"/>
              </w:rPr>
              <w:t xml:space="preserve">Up to a maximum </w:t>
            </w:r>
            <w:r>
              <w:rPr>
                <w:rFonts w:ascii="Arial Narrow" w:hAnsi="Arial Narrow"/>
                <w:sz w:val="20"/>
                <w:szCs w:val="20"/>
              </w:rPr>
              <w:t>quantity of 200 units a</w:t>
            </w:r>
            <w:r w:rsidRPr="009C1348">
              <w:rPr>
                <w:rFonts w:ascii="Arial Narrow" w:hAnsi="Arial Narrow"/>
                <w:sz w:val="20"/>
                <w:szCs w:val="20"/>
              </w:rPr>
              <w:t>nd 2 repeats for a BSA 0.75 to 1.5 m</w:t>
            </w:r>
            <w:r w:rsidRPr="00050E83">
              <w:rPr>
                <w:rFonts w:ascii="Arial Narrow" w:hAnsi="Arial Narrow"/>
                <w:sz w:val="20"/>
                <w:szCs w:val="20"/>
                <w:vertAlign w:val="superscript"/>
              </w:rPr>
              <w:t>2</w:t>
            </w:r>
          </w:p>
          <w:p w14:paraId="35094854" w14:textId="5913E769" w:rsidR="00B606B2" w:rsidRPr="00173EDC" w:rsidRDefault="00050E83" w:rsidP="00050E83">
            <w:pPr>
              <w:rPr>
                <w:rFonts w:ascii="Arial Narrow" w:hAnsi="Arial Narrow"/>
                <w:bCs/>
                <w:sz w:val="20"/>
                <w:szCs w:val="20"/>
              </w:rPr>
            </w:pPr>
            <w:r w:rsidRPr="009C1348">
              <w:rPr>
                <w:rFonts w:ascii="Arial Narrow" w:hAnsi="Arial Narrow"/>
                <w:sz w:val="20"/>
                <w:szCs w:val="20"/>
              </w:rPr>
              <w:t xml:space="preserve">Up to a maximum </w:t>
            </w:r>
            <w:r>
              <w:rPr>
                <w:rFonts w:ascii="Arial Narrow" w:hAnsi="Arial Narrow"/>
                <w:sz w:val="20"/>
                <w:szCs w:val="20"/>
              </w:rPr>
              <w:t xml:space="preserve">quantity of 300 units </w:t>
            </w:r>
            <w:r w:rsidRPr="009C1348">
              <w:rPr>
                <w:rFonts w:ascii="Arial Narrow" w:hAnsi="Arial Narrow"/>
                <w:sz w:val="20"/>
                <w:szCs w:val="20"/>
              </w:rPr>
              <w:t>and 2 repeats for a BSA &gt;1.5 m</w:t>
            </w:r>
            <w:r w:rsidRPr="00050E83">
              <w:rPr>
                <w:rFonts w:ascii="Arial Narrow" w:hAnsi="Arial Narrow"/>
                <w:sz w:val="20"/>
                <w:szCs w:val="20"/>
                <w:vertAlign w:val="superscript"/>
              </w:rPr>
              <w:t>2</w:t>
            </w:r>
          </w:p>
        </w:tc>
      </w:tr>
      <w:tr w:rsidR="00B606B2" w14:paraId="514C08A4"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top w:val="single" w:sz="4" w:space="0" w:color="auto"/>
              <w:left w:val="single" w:sz="4" w:space="0" w:color="auto"/>
              <w:bottom w:val="single" w:sz="4" w:space="0" w:color="auto"/>
              <w:right w:val="single" w:sz="4" w:space="0" w:color="auto"/>
            </w:tcBorders>
            <w:vAlign w:val="center"/>
          </w:tcPr>
          <w:p w14:paraId="42BFC096" w14:textId="2494B984" w:rsidR="00B606B2" w:rsidRPr="0036640F" w:rsidRDefault="00B606B2" w:rsidP="009E69C9">
            <w:pPr>
              <w:rPr>
                <w:rFonts w:ascii="Arial Narrow" w:hAnsi="Arial Narrow"/>
                <w:b/>
                <w:bCs/>
                <w:sz w:val="20"/>
                <w:szCs w:val="20"/>
              </w:rPr>
            </w:pPr>
            <w:r w:rsidRPr="0036640F">
              <w:rPr>
                <w:rFonts w:ascii="Arial Narrow" w:hAnsi="Arial Narrow"/>
                <w:b/>
                <w:bCs/>
                <w:sz w:val="20"/>
                <w:szCs w:val="20"/>
              </w:rPr>
              <w:t>Administrative Advice:</w:t>
            </w:r>
            <w:r w:rsidR="00F6759F">
              <w:rPr>
                <w:rFonts w:ascii="Arial Narrow" w:hAnsi="Arial Narrow"/>
                <w:b/>
                <w:bCs/>
                <w:sz w:val="20"/>
                <w:szCs w:val="20"/>
              </w:rPr>
              <w:t xml:space="preserve"> </w:t>
            </w:r>
            <w:r w:rsidRPr="0036640F">
              <w:rPr>
                <w:rFonts w:ascii="Arial Narrow" w:hAnsi="Arial Narrow"/>
                <w:sz w:val="20"/>
                <w:szCs w:val="20"/>
              </w:rPr>
              <w:t>A Grandfathered patient may qualify for PBS-subsidised treatment under this restriction once only. For continuing PBS-subsidised treatment, a Grandfathered patient must qualify under the continuing treatment criteria.</w:t>
            </w:r>
          </w:p>
        </w:tc>
      </w:tr>
      <w:tr w:rsidR="00B606B2" w14:paraId="181A29B5" w14:textId="77777777">
        <w:tblPrEx>
          <w:tblCellMar>
            <w:top w:w="15" w:type="dxa"/>
            <w:bottom w:w="15" w:type="dxa"/>
          </w:tblCellMar>
          <w:tblLook w:val="04A0" w:firstRow="1" w:lastRow="0" w:firstColumn="1" w:lastColumn="0" w:noHBand="0" w:noVBand="1"/>
        </w:tblPrEx>
        <w:trPr>
          <w:cantSplit/>
          <w:trHeight w:val="20"/>
        </w:trPr>
        <w:tc>
          <w:tcPr>
            <w:tcW w:w="9075" w:type="dxa"/>
            <w:gridSpan w:val="6"/>
            <w:tcBorders>
              <w:top w:val="single" w:sz="4" w:space="0" w:color="auto"/>
              <w:left w:val="single" w:sz="4" w:space="0" w:color="auto"/>
              <w:bottom w:val="single" w:sz="4" w:space="0" w:color="auto"/>
              <w:right w:val="single" w:sz="4" w:space="0" w:color="auto"/>
            </w:tcBorders>
            <w:vAlign w:val="center"/>
          </w:tcPr>
          <w:p w14:paraId="7715BDAA" w14:textId="77777777" w:rsidR="00B606B2" w:rsidRPr="0036640F" w:rsidRDefault="00B606B2" w:rsidP="009E69C9">
            <w:pPr>
              <w:rPr>
                <w:rFonts w:ascii="Arial Narrow" w:hAnsi="Arial Narrow"/>
                <w:b/>
                <w:bCs/>
                <w:sz w:val="20"/>
                <w:szCs w:val="20"/>
              </w:rPr>
            </w:pPr>
            <w:r w:rsidRPr="0036640F">
              <w:rPr>
                <w:rFonts w:ascii="Arial Narrow" w:hAnsi="Arial Narrow"/>
                <w:b/>
                <w:bCs/>
                <w:sz w:val="20"/>
                <w:szCs w:val="20"/>
              </w:rPr>
              <w:t xml:space="preserve">Administrative Advice: </w:t>
            </w:r>
            <w:r w:rsidRPr="0036640F">
              <w:rPr>
                <w:rFonts w:ascii="Arial Narrow" w:hAnsi="Arial Narrow"/>
                <w:sz w:val="20"/>
                <w:szCs w:val="20"/>
              </w:rPr>
              <w:t>This grandfather restriction will cease to operate from 12 months after the date specified in the clinical criteria.</w:t>
            </w:r>
          </w:p>
        </w:tc>
      </w:tr>
    </w:tbl>
    <w:p w14:paraId="7E342C13" w14:textId="691F1911" w:rsidR="00DC5C35" w:rsidRDefault="00DC5C35" w:rsidP="00DC5C35">
      <w:pPr>
        <w:widowControl w:val="0"/>
        <w:rPr>
          <w:rFonts w:asciiTheme="minorHAnsi" w:hAnsiTheme="minorHAnsi"/>
          <w:bCs/>
          <w:snapToGrid w:val="0"/>
        </w:rPr>
      </w:pPr>
    </w:p>
    <w:p w14:paraId="72C5C9C0" w14:textId="6F837426" w:rsidR="004615F0" w:rsidRDefault="00330850">
      <w:pPr>
        <w:jc w:val="left"/>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76FFFA17" w14:textId="77777777" w:rsidR="00720C0F" w:rsidRPr="00720C0F" w:rsidRDefault="00720C0F" w:rsidP="00720C0F">
      <w:pPr>
        <w:pStyle w:val="2-SectionHeading"/>
        <w:keepLines/>
        <w:numPr>
          <w:ilvl w:val="0"/>
          <w:numId w:val="1"/>
        </w:numPr>
      </w:pPr>
      <w:r w:rsidRPr="00720C0F">
        <w:t>Context for Decision</w:t>
      </w:r>
    </w:p>
    <w:p w14:paraId="44129DFE" w14:textId="55C66A00" w:rsidR="004615F0" w:rsidRPr="0022236B" w:rsidRDefault="00720C0F" w:rsidP="00D01EE3">
      <w:pPr>
        <w:spacing w:after="120"/>
        <w:ind w:left="709"/>
        <w:rPr>
          <w:rFonts w:asciiTheme="minorHAnsi" w:hAnsiTheme="minorHAnsi"/>
          <w:bCs/>
          <w:lang w:val="en-GB"/>
        </w:rPr>
      </w:pPr>
      <w:r w:rsidRPr="00720C0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FCB6900" w14:textId="0A8078A5" w:rsidR="0022236B" w:rsidRDefault="0022236B" w:rsidP="00EA5C0E">
      <w:pPr>
        <w:pStyle w:val="2-SectionHeading"/>
      </w:pPr>
      <w:r w:rsidRPr="0022236B">
        <w:t>Sponsor’s Comment</w:t>
      </w:r>
    </w:p>
    <w:p w14:paraId="76041087" w14:textId="0CC642DE" w:rsidR="0022236B" w:rsidRPr="005C33E6" w:rsidRDefault="00866CF5" w:rsidP="005C33E6">
      <w:pPr>
        <w:ind w:left="709"/>
        <w:rPr>
          <w:snapToGrid w:val="0"/>
        </w:rPr>
      </w:pPr>
      <w:r w:rsidRPr="00866CF5">
        <w:rPr>
          <w:snapToGrid w:val="0"/>
        </w:rPr>
        <w:t xml:space="preserve">The Sponsor </w:t>
      </w:r>
      <w:r w:rsidR="00F74572">
        <w:rPr>
          <w:snapToGrid w:val="0"/>
        </w:rPr>
        <w:t>welcomes</w:t>
      </w:r>
      <w:r w:rsidRPr="00866CF5">
        <w:rPr>
          <w:snapToGrid w:val="0"/>
        </w:rPr>
        <w:t xml:space="preserve"> the PBAC recommendation, which facilitates access to a post-maintenance treatment option for HRNB on the PBS. </w:t>
      </w:r>
    </w:p>
    <w:sectPr w:rsidR="0022236B" w:rsidRPr="005C33E6" w:rsidSect="00154F6F">
      <w:headerReference w:type="default" r:id="rId23"/>
      <w:footerReference w:type="default" r:id="rId24"/>
      <w:pgSz w:w="11907" w:h="16840" w:code="9"/>
      <w:pgMar w:top="1440" w:right="1440" w:bottom="1440" w:left="1440" w:header="1440"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3E06" w14:textId="77777777" w:rsidR="00B3028A" w:rsidRDefault="00B3028A" w:rsidP="00124A51">
      <w:r>
        <w:separator/>
      </w:r>
    </w:p>
    <w:p w14:paraId="4FBA3396" w14:textId="77777777" w:rsidR="00B3028A" w:rsidRDefault="00B3028A"/>
  </w:endnote>
  <w:endnote w:type="continuationSeparator" w:id="0">
    <w:p w14:paraId="53D876B2" w14:textId="77777777" w:rsidR="00B3028A" w:rsidRDefault="00B3028A" w:rsidP="00124A51">
      <w:r>
        <w:continuationSeparator/>
      </w:r>
    </w:p>
    <w:p w14:paraId="324E6FD2" w14:textId="77777777" w:rsidR="00B3028A" w:rsidRDefault="00B3028A"/>
  </w:endnote>
  <w:endnote w:type="continuationNotice" w:id="1">
    <w:p w14:paraId="425C28A6" w14:textId="77777777" w:rsidR="00B3028A" w:rsidRDefault="00B30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326FBD" w:rsidRDefault="00326FBD" w:rsidP="00753B29">
    <w:pPr>
      <w:pStyle w:val="Footer"/>
      <w:jc w:val="center"/>
    </w:pPr>
  </w:p>
  <w:p w14:paraId="37484CD3" w14:textId="1DD8826A" w:rsidR="00326FBD" w:rsidRPr="00FE67C6" w:rsidRDefault="002409D6"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326FBD" w:rsidRPr="00FE67C6">
          <w:rPr>
            <w:b/>
            <w:bCs/>
          </w:rPr>
          <w:fldChar w:fldCharType="begin"/>
        </w:r>
        <w:r w:rsidR="00326FBD" w:rsidRPr="00FE67C6">
          <w:rPr>
            <w:b/>
            <w:bCs/>
          </w:rPr>
          <w:instrText xml:space="preserve"> PAGE   \* MERGEFORMAT </w:instrText>
        </w:r>
        <w:r w:rsidR="00326FBD" w:rsidRPr="00FE67C6">
          <w:rPr>
            <w:b/>
            <w:bCs/>
          </w:rPr>
          <w:fldChar w:fldCharType="separate"/>
        </w:r>
        <w:r w:rsidR="00326FBD" w:rsidRPr="00FE67C6">
          <w:rPr>
            <w:b/>
            <w:bCs/>
            <w:noProof/>
          </w:rPr>
          <w:t>2</w:t>
        </w:r>
        <w:r w:rsidR="00326FBD" w:rsidRPr="00FE67C6">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3D57" w14:textId="77777777" w:rsidR="00B3028A" w:rsidRDefault="00B3028A" w:rsidP="00124A51">
      <w:r>
        <w:separator/>
      </w:r>
    </w:p>
    <w:p w14:paraId="604BE016" w14:textId="77777777" w:rsidR="00B3028A" w:rsidRDefault="00B3028A"/>
  </w:footnote>
  <w:footnote w:type="continuationSeparator" w:id="0">
    <w:p w14:paraId="16F39D1D" w14:textId="77777777" w:rsidR="00B3028A" w:rsidRDefault="00B3028A" w:rsidP="00124A51">
      <w:r>
        <w:continuationSeparator/>
      </w:r>
    </w:p>
    <w:p w14:paraId="1ADF11CB" w14:textId="77777777" w:rsidR="00B3028A" w:rsidRDefault="00B3028A"/>
  </w:footnote>
  <w:footnote w:type="continuationNotice" w:id="1">
    <w:p w14:paraId="57E879EE" w14:textId="77777777" w:rsidR="00B3028A" w:rsidRDefault="00B3028A"/>
  </w:footnote>
  <w:footnote w:id="2">
    <w:p w14:paraId="7E9AF969" w14:textId="77777777" w:rsidR="00326FBD" w:rsidRDefault="00326FBD" w:rsidP="00D137A3">
      <w:pPr>
        <w:pStyle w:val="FootnoteText"/>
      </w:pPr>
      <w:r>
        <w:rPr>
          <w:rStyle w:val="FootnoteReference"/>
        </w:rPr>
        <w:footnoteRef/>
      </w:r>
      <w:r>
        <w:t xml:space="preserve"> The Hon Mark Butler MP. 2024. Hope for children with neuroblastoma as Government provides free access to DFMO. Media release. Department of Health and Aged Care. Available at: </w:t>
      </w:r>
      <w:hyperlink r:id="rId1" w:history="1">
        <w:r>
          <w:rPr>
            <w:rStyle w:val="Hyperlink"/>
          </w:rPr>
          <w:t>Hope for children with neuroblastoma as Government provides free access to DFMO | Health Portfolio Ministers | Australian Government Department of Health and Aged Care</w:t>
        </w:r>
      </w:hyperlink>
    </w:p>
  </w:footnote>
  <w:footnote w:id="3">
    <w:p w14:paraId="1A5F2CDB" w14:textId="77777777" w:rsidR="00326FBD" w:rsidRDefault="00326FBD" w:rsidP="00D137A3">
      <w:pPr>
        <w:pStyle w:val="FootnoteText"/>
      </w:pPr>
      <w:r>
        <w:rPr>
          <w:rStyle w:val="FootnoteReference"/>
        </w:rPr>
        <w:footnoteRef/>
      </w:r>
      <w:r>
        <w:t xml:space="preserve"> The Hon Mark Butler MP. 2024.</w:t>
      </w:r>
      <w:r w:rsidRPr="00EF551C">
        <w:t xml:space="preserve"> Ensuring access to rare cancer treatment for patients with neuroblastoma</w:t>
      </w:r>
      <w:r>
        <w:t xml:space="preserve">. Media release. Department of Health and Aged Care. Available at: </w:t>
      </w:r>
      <w:hyperlink r:id="rId2" w:history="1">
        <w:r>
          <w:rPr>
            <w:rStyle w:val="Hyperlink"/>
          </w:rPr>
          <w:t>Ensuring access to rare cancer treatment for patients with neuroblastoma | Health Portfolio Ministers | Australian Government Department of Health and Aged Care</w:t>
        </w:r>
      </w:hyperlink>
    </w:p>
  </w:footnote>
  <w:footnote w:id="4">
    <w:p w14:paraId="50487CD6" w14:textId="77777777" w:rsidR="00326FBD" w:rsidRDefault="00326FBD" w:rsidP="00D137A3">
      <w:pPr>
        <w:pStyle w:val="FootnoteText"/>
      </w:pPr>
      <w:r>
        <w:rPr>
          <w:rStyle w:val="FootnoteReference"/>
        </w:rPr>
        <w:footnoteRef/>
      </w:r>
      <w:r>
        <w:t xml:space="preserve"> </w:t>
      </w:r>
      <w:r w:rsidRPr="009E62EE">
        <w:t>Youlden DR, et al. Incidence and outcomes of neuroblastoma in Australian children: A population-based study (1983-2015). J Paediatr Child Health. 2020 Jul;56(7):1046-1052. doi: 10.1111/jpc.14810.</w:t>
      </w:r>
    </w:p>
  </w:footnote>
  <w:footnote w:id="5">
    <w:p w14:paraId="07EA0F30" w14:textId="77777777" w:rsidR="00326FBD" w:rsidRDefault="00326FBD" w:rsidP="00D137A3">
      <w:pPr>
        <w:pStyle w:val="FootnoteText"/>
      </w:pPr>
      <w:r>
        <w:rPr>
          <w:rStyle w:val="FootnoteReference"/>
        </w:rPr>
        <w:footnoteRef/>
      </w:r>
      <w:r>
        <w:t xml:space="preserve"> </w:t>
      </w:r>
      <w:r w:rsidRPr="009E62EE">
        <w:t>Australian and New Zealand Children’s Haematology/Oncology Group [ANZCHOG]. 2024. ANZCHOG Solid Tumour Group position on Eflornithine (DFMO) for patients with high-risk neuroblastoma (HR-NB) in Australia and New Zealand. Available at: Eflornithine-DFMO-use-for-patients-with-high-risk-neuroblastoma-in-Australia-and-New-Zealand-v1.0-12.07.2024.pdf</w:t>
      </w:r>
    </w:p>
  </w:footnote>
  <w:footnote w:id="6">
    <w:p w14:paraId="39555810" w14:textId="77777777" w:rsidR="00326FBD" w:rsidRPr="00251699" w:rsidRDefault="00326FBD" w:rsidP="00D137A3">
      <w:pPr>
        <w:pStyle w:val="FootnoteText"/>
        <w:rPr>
          <w:lang w:val="pt-PT"/>
        </w:rPr>
      </w:pPr>
      <w:r>
        <w:rPr>
          <w:rStyle w:val="FootnoteReference"/>
        </w:rPr>
        <w:footnoteRef/>
      </w:r>
      <w:r>
        <w:t xml:space="preserve"> </w:t>
      </w:r>
      <w:r w:rsidRPr="009E62EE">
        <w:t xml:space="preserve">Irwin, M. et al., Revised Neuroblastoma Risk Classification System: A Report From the Children's Oncology Group. </w:t>
      </w:r>
      <w:r w:rsidRPr="00251699">
        <w:rPr>
          <w:lang w:val="pt-PT"/>
        </w:rPr>
        <w:t>JCO 39, 3229-3241(2021). DOI:10.1200/JCO.21.00278</w:t>
      </w:r>
    </w:p>
  </w:footnote>
  <w:footnote w:id="7">
    <w:p w14:paraId="1A203D6C" w14:textId="77777777" w:rsidR="00326FBD" w:rsidRDefault="00326FBD" w:rsidP="00D137A3">
      <w:pPr>
        <w:pStyle w:val="FootnoteText"/>
      </w:pPr>
      <w:r>
        <w:rPr>
          <w:rStyle w:val="FootnoteReference"/>
        </w:rPr>
        <w:footnoteRef/>
      </w:r>
      <w:r w:rsidRPr="00251699">
        <w:rPr>
          <w:lang w:val="pt-PT"/>
        </w:rPr>
        <w:t xml:space="preserve"> Bagatell R, DuBois SG, Naranjo A, et al. </w:t>
      </w:r>
      <w:r w:rsidRPr="005958F5">
        <w:t>Children's Oncology Group's 2023 blueprint for research: Neuroblastoma. Pediatr Blood Cancer. 2023; 70(Suppl. 6):e30572. https://doi.org/10.1002/pbc.30572</w:t>
      </w:r>
    </w:p>
  </w:footnote>
  <w:footnote w:id="8">
    <w:p w14:paraId="642DFB9C" w14:textId="77777777" w:rsidR="00326FBD" w:rsidRDefault="00326FBD" w:rsidP="001A5C2D">
      <w:pPr>
        <w:pStyle w:val="FootnoteText"/>
      </w:pPr>
      <w:r>
        <w:rPr>
          <w:rStyle w:val="FootnoteReference"/>
        </w:rPr>
        <w:footnoteRef/>
      </w:r>
      <w:r>
        <w:t xml:space="preserve"> </w:t>
      </w:r>
      <w:r w:rsidRPr="009E62EE">
        <w:t>DuBois, S.G. et al., High-Risk and Relapsed Neuroblastoma: Toward More Cures and Better Outcomes. Am Soc Clin Oncol Educ Book 42, 768-780(2022). DOI:10.1200/EDBK_349783</w:t>
      </w:r>
    </w:p>
  </w:footnote>
  <w:footnote w:id="9">
    <w:p w14:paraId="1EF1F724" w14:textId="77777777" w:rsidR="00C67948" w:rsidRPr="002F0EC6" w:rsidRDefault="00C67948" w:rsidP="00C67948">
      <w:pPr>
        <w:pStyle w:val="FootnoteText"/>
      </w:pPr>
      <w:r w:rsidRPr="002F0EC6">
        <w:rPr>
          <w:rStyle w:val="FootnoteReference"/>
        </w:rPr>
        <w:footnoteRef/>
      </w:r>
      <w:r w:rsidRPr="002F0EC6">
        <w:t xml:space="preserve"> </w:t>
      </w:r>
      <w:r w:rsidRPr="002F0EC6">
        <w:rPr>
          <w:iCs/>
        </w:rPr>
        <w:t>Cherny NI, Dafni U, Bogaerts J, et al: ESMO-Magnitude of Clinical Benefit Scale version 1.1. Annals of Oncology 28:2340-2366, 2017.</w:t>
      </w:r>
    </w:p>
  </w:footnote>
  <w:footnote w:id="10">
    <w:p w14:paraId="16DF06D3" w14:textId="2FB3A4F7" w:rsidR="002F0EC6" w:rsidRPr="004A7091" w:rsidRDefault="002F0EC6">
      <w:pPr>
        <w:pStyle w:val="FootnoteText"/>
        <w:rPr>
          <w:rFonts w:asciiTheme="minorHAnsi" w:hAnsiTheme="minorHAnsi" w:cstheme="minorHAnsi"/>
        </w:rPr>
      </w:pPr>
      <w:r>
        <w:rPr>
          <w:rStyle w:val="FootnoteReference"/>
        </w:rPr>
        <w:footnoteRef/>
      </w:r>
      <w:r>
        <w:t xml:space="preserve"> For information on Study</w:t>
      </w:r>
      <w:r w:rsidRPr="002F0EC6">
        <w:rPr>
          <w:lang w:val="en-US"/>
        </w:rPr>
        <w:t xml:space="preserve"> </w:t>
      </w:r>
      <w:r w:rsidRPr="00894797">
        <w:rPr>
          <w:lang w:val="en-US"/>
        </w:rPr>
        <w:t>ANBL0032</w:t>
      </w:r>
      <w:r>
        <w:rPr>
          <w:lang w:val="en-US"/>
        </w:rPr>
        <w:t xml:space="preserve"> and Santana 2008, see </w:t>
      </w:r>
      <w:r w:rsidRPr="004A7091">
        <w:rPr>
          <w:rFonts w:asciiTheme="minorHAnsi" w:hAnsiTheme="minorHAnsi" w:cstheme="minorHAnsi"/>
          <w:lang w:val="en-US"/>
        </w:rPr>
        <w:t xml:space="preserve">footnote to </w:t>
      </w:r>
      <w:r w:rsidR="004A7091" w:rsidRPr="004A7091">
        <w:rPr>
          <w:rFonts w:asciiTheme="minorHAnsi" w:hAnsiTheme="minorHAnsi" w:cstheme="minorHAnsi"/>
          <w:lang w:val="en-US"/>
        </w:rPr>
        <w:fldChar w:fldCharType="begin"/>
      </w:r>
      <w:r w:rsidR="004A7091" w:rsidRPr="004A7091">
        <w:rPr>
          <w:rFonts w:asciiTheme="minorHAnsi" w:hAnsiTheme="minorHAnsi" w:cstheme="minorHAnsi"/>
          <w:lang w:val="en-US"/>
        </w:rPr>
        <w:instrText xml:space="preserve"> REF _Ref104804098 \h </w:instrText>
      </w:r>
      <w:r w:rsidR="004A7091">
        <w:rPr>
          <w:rFonts w:asciiTheme="minorHAnsi" w:hAnsiTheme="minorHAnsi" w:cstheme="minorHAnsi"/>
          <w:lang w:val="en-US"/>
        </w:rPr>
        <w:instrText xml:space="preserve"> \* MERGEFORMAT </w:instrText>
      </w:r>
      <w:r w:rsidR="004A7091" w:rsidRPr="004A7091">
        <w:rPr>
          <w:rFonts w:asciiTheme="minorHAnsi" w:hAnsiTheme="minorHAnsi" w:cstheme="minorHAnsi"/>
          <w:lang w:val="en-US"/>
        </w:rPr>
      </w:r>
      <w:r w:rsidR="004A7091" w:rsidRPr="004A7091">
        <w:rPr>
          <w:rFonts w:asciiTheme="minorHAnsi" w:hAnsiTheme="minorHAnsi" w:cstheme="minorHAnsi"/>
          <w:lang w:val="en-US"/>
        </w:rPr>
        <w:fldChar w:fldCharType="separate"/>
      </w:r>
      <w:r w:rsidR="002409D6" w:rsidRPr="002409D6">
        <w:rPr>
          <w:rStyle w:val="CommentReference"/>
          <w:rFonts w:asciiTheme="minorHAnsi" w:eastAsiaTheme="majorEastAsia" w:hAnsiTheme="minorHAnsi" w:cstheme="minorHAnsi"/>
          <w:b w:val="0"/>
          <w:szCs w:val="24"/>
        </w:rPr>
        <w:t xml:space="preserve">Table </w:t>
      </w:r>
      <w:r w:rsidR="002409D6" w:rsidRPr="002409D6">
        <w:rPr>
          <w:rStyle w:val="CommentReference"/>
          <w:rFonts w:asciiTheme="minorHAnsi" w:eastAsiaTheme="majorEastAsia" w:hAnsiTheme="minorHAnsi" w:cstheme="minorHAnsi"/>
          <w:b w:val="0"/>
          <w:noProof/>
          <w:szCs w:val="24"/>
        </w:rPr>
        <w:t>3</w:t>
      </w:r>
      <w:r w:rsidR="004A7091" w:rsidRPr="004A7091">
        <w:rPr>
          <w:rFonts w:asciiTheme="minorHAnsi" w:hAnsiTheme="minorHAnsi" w:cstheme="minorHAnsi"/>
          <w:lang w:val="en-US"/>
        </w:rPr>
        <w:fldChar w:fldCharType="end"/>
      </w:r>
      <w:r w:rsidR="004A7091">
        <w:rPr>
          <w:rFonts w:asciiTheme="minorHAnsi" w:hAnsiTheme="minorHAnsi" w:cstheme="minorHAnsi"/>
          <w:lang w:val="en-US"/>
        </w:rPr>
        <w:t>.</w:t>
      </w:r>
    </w:p>
  </w:footnote>
  <w:footnote w:id="11">
    <w:p w14:paraId="28AD5763" w14:textId="77777777" w:rsidR="008F5BC9" w:rsidRDefault="008F5BC9" w:rsidP="008F5BC9">
      <w:pPr>
        <w:pStyle w:val="FootnoteText"/>
      </w:pPr>
      <w:r>
        <w:rPr>
          <w:rStyle w:val="FootnoteReference"/>
        </w:rPr>
        <w:footnoteRef/>
      </w:r>
      <w:r>
        <w:t xml:space="preserve"> </w:t>
      </w:r>
      <w:r w:rsidRPr="00CE29AE">
        <w:t>Duke ES, et al. US Food and Drug Administration Approval Summary: Eflornithine for High-Risk Neuroblastoma After Prior Multiagent, Multimodality Therapy. J Clin Oncol. 2024 Sep 1;42(25):3047-3057. doi: 10.1200/JCO.24.00546.</w:t>
      </w:r>
    </w:p>
  </w:footnote>
  <w:footnote w:id="12">
    <w:p w14:paraId="1CFE3DEB" w14:textId="77777777" w:rsidR="008F5BC9" w:rsidRPr="000064D7" w:rsidRDefault="008F5BC9" w:rsidP="008F5BC9">
      <w:pPr>
        <w:pStyle w:val="FootnoteText"/>
        <w:rPr>
          <w:lang w:val="en-GB"/>
        </w:rPr>
      </w:pPr>
      <w:r>
        <w:rPr>
          <w:rStyle w:val="FootnoteReference"/>
        </w:rPr>
        <w:footnoteRef/>
      </w:r>
      <w:r>
        <w:t xml:space="preserve"> Center for Drug Evaluation and Research. 2021. Multi-Discipline Review. Application number: 21550Orig1s000. July 2021. Available at: </w:t>
      </w:r>
      <w:hyperlink r:id="rId3" w:history="1">
        <w:r>
          <w:rPr>
            <w:rStyle w:val="Hyperlink"/>
          </w:rPr>
          <w:t>Review</w:t>
        </w:r>
      </w:hyperlink>
    </w:p>
  </w:footnote>
  <w:footnote w:id="13">
    <w:p w14:paraId="51B5F22F" w14:textId="77777777" w:rsidR="00876189" w:rsidRDefault="00876189" w:rsidP="00876189">
      <w:pPr>
        <w:pStyle w:val="FootnoteText"/>
      </w:pPr>
      <w:r>
        <w:rPr>
          <w:rStyle w:val="FootnoteReference"/>
        </w:rPr>
        <w:footnoteRef/>
      </w:r>
      <w:r>
        <w:t xml:space="preserve"> </w:t>
      </w:r>
      <w:r w:rsidRPr="00994C9C">
        <w:t xml:space="preserve">Desai, A. V., </w:t>
      </w:r>
      <w:r>
        <w:t>et al</w:t>
      </w:r>
      <w:r w:rsidRPr="00994C9C">
        <w:t xml:space="preserve"> (2022). "Outcomes Following GD2-Directed Postconsolidation Therapy for Neuroblastoma After Cessation of Random Assignment on ANBL0032: A Report From the Children's Oncology Group." J Clin Oncol 40(35): 4107-4118.</w:t>
      </w:r>
    </w:p>
  </w:footnote>
  <w:footnote w:id="14">
    <w:p w14:paraId="609A28C0" w14:textId="77777777" w:rsidR="008F5BC9" w:rsidRDefault="008F5BC9" w:rsidP="008F5BC9">
      <w:pPr>
        <w:pStyle w:val="FootnoteText"/>
      </w:pPr>
      <w:r>
        <w:rPr>
          <w:rStyle w:val="FootnoteReference"/>
        </w:rPr>
        <w:footnoteRef/>
      </w:r>
      <w:r>
        <w:t xml:space="preserve"> </w:t>
      </w:r>
      <w:r w:rsidRPr="00046C1A">
        <w:rPr>
          <w:rFonts w:asciiTheme="minorHAnsi" w:hAnsiTheme="minorHAnsi" w:cstheme="minorHAnsi"/>
          <w:color w:val="212121"/>
          <w:shd w:val="clear" w:color="auto" w:fill="FFFFFF"/>
        </w:rPr>
        <w:t>Yu AL, et al; Children's Oncology Group. Anti-GD2 antibody with GM-CSF, interleukin-2, and isotretinoin for neuroblastoma. N Engl J Med. 2010 Sep 30;363(14):1324-34. doi: 10.1056/NEJMoa0911123.</w:t>
      </w:r>
      <w:r>
        <w:rPr>
          <w:rFonts w:ascii="Segoe UI" w:hAnsi="Segoe UI" w:cs="Segoe UI"/>
          <w:color w:val="212121"/>
          <w:shd w:val="clear" w:color="auto" w:fill="FFFFFF"/>
        </w:rPr>
        <w:t> </w:t>
      </w:r>
    </w:p>
  </w:footnote>
  <w:footnote w:id="15">
    <w:p w14:paraId="151A396D" w14:textId="77777777" w:rsidR="008F5BC9" w:rsidRDefault="008F5BC9" w:rsidP="008F5BC9">
      <w:pPr>
        <w:pStyle w:val="FootnoteText"/>
      </w:pPr>
      <w:r>
        <w:rPr>
          <w:rStyle w:val="FootnoteReference"/>
        </w:rPr>
        <w:footnoteRef/>
      </w:r>
      <w:r>
        <w:t xml:space="preserve"> </w:t>
      </w:r>
      <w:r w:rsidRPr="00894797">
        <w:t>Santana, V. M., W. L. Furman, L. M. McGregor and C. A. Billups (2008). "Disease control intervals in high-risk neuroblastoma." Cancer 112(12): 2796-2801.</w:t>
      </w:r>
    </w:p>
  </w:footnote>
  <w:footnote w:id="16">
    <w:p w14:paraId="15F84A30" w14:textId="77777777" w:rsidR="00326FBD" w:rsidRDefault="00326FBD" w:rsidP="0076723F">
      <w:pPr>
        <w:pStyle w:val="FootnoteText"/>
        <w:jc w:val="left"/>
      </w:pPr>
      <w:r>
        <w:rPr>
          <w:rStyle w:val="FootnoteReference"/>
        </w:rPr>
        <w:footnoteRef/>
      </w:r>
      <w:r>
        <w:t xml:space="preserve"> Center for Drug Evaluation and Research. 2021. Multi-Discipline Review. Application number: 21550Orig1s000. July 2021. Available at: </w:t>
      </w:r>
      <w:hyperlink r:id="rId4" w:history="1">
        <w:r>
          <w:rPr>
            <w:rStyle w:val="Hyperlink"/>
          </w:rPr>
          <w:t>Review</w:t>
        </w:r>
      </w:hyperlink>
    </w:p>
  </w:footnote>
  <w:footnote w:id="17">
    <w:p w14:paraId="7142CAE2" w14:textId="77777777" w:rsidR="00326FBD" w:rsidRDefault="00326FBD" w:rsidP="0076723F">
      <w:pPr>
        <w:pStyle w:val="FootnoteText"/>
        <w:jc w:val="left"/>
      </w:pPr>
      <w:r>
        <w:rPr>
          <w:rStyle w:val="FootnoteReference"/>
        </w:rPr>
        <w:footnoteRef/>
      </w:r>
      <w:r>
        <w:t xml:space="preserve"> FDA. NDA Approval Letter. NDA 215500. December 2023. Available at: </w:t>
      </w:r>
      <w:hyperlink r:id="rId5" w:history="1">
        <w:r>
          <w:rPr>
            <w:rStyle w:val="Hyperlink"/>
          </w:rPr>
          <w:t>Approval Letter_215500Orig1s000ltr.pdf</w:t>
        </w:r>
      </w:hyperlink>
    </w:p>
  </w:footnote>
  <w:footnote w:id="18">
    <w:p w14:paraId="4042A746" w14:textId="543A93BC" w:rsidR="00F52E03" w:rsidRDefault="00F52E03">
      <w:pPr>
        <w:pStyle w:val="FootnoteText"/>
      </w:pPr>
      <w:r>
        <w:rPr>
          <w:rStyle w:val="FootnoteReference"/>
        </w:rPr>
        <w:footnoteRef/>
      </w:r>
      <w:r>
        <w:t xml:space="preserve"> AIC = </w:t>
      </w:r>
      <w:r w:rsidR="00B429BE" w:rsidRPr="00B429BE">
        <w:t>Akaike’s Information Criterion</w:t>
      </w:r>
      <w:r w:rsidR="00B429BE">
        <w:t xml:space="preserve">; BIC = </w:t>
      </w:r>
      <w:r w:rsidR="00E026F3" w:rsidRPr="00E026F3">
        <w:t>Bayesian Information Criterion</w:t>
      </w:r>
    </w:p>
  </w:footnote>
  <w:footnote w:id="19">
    <w:p w14:paraId="20F4C2F9" w14:textId="59BE1058" w:rsidR="00487E4E" w:rsidRDefault="00487E4E">
      <w:pPr>
        <w:pStyle w:val="FootnoteText"/>
      </w:pPr>
      <w:r>
        <w:rPr>
          <w:rStyle w:val="FootnoteReference"/>
        </w:rPr>
        <w:footnoteRef/>
      </w:r>
      <w:r>
        <w:t xml:space="preserve"> </w:t>
      </w:r>
      <w:r w:rsidR="000C75E5">
        <w:t>In this analysis, one patient from Stratum 1 was excluded as they were included in the Stratum 2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53A49B44" w:rsidR="00326FBD" w:rsidRPr="00195452" w:rsidRDefault="008640BC" w:rsidP="00D822E2">
    <w:pPr>
      <w:pStyle w:val="Header"/>
      <w:rPr>
        <w:rFonts w:asciiTheme="minorHAnsi" w:hAnsiTheme="minorHAnsi"/>
        <w:i/>
        <w:color w:val="808080"/>
      </w:rPr>
    </w:pPr>
    <w:r>
      <w:rPr>
        <w:rFonts w:asciiTheme="minorHAnsi" w:hAnsiTheme="minorHAnsi"/>
        <w:i/>
        <w:color w:val="808080"/>
      </w:rPr>
      <w:t>Public Summary Document</w:t>
    </w:r>
    <w:r w:rsidR="00D15344" w:rsidRPr="00056684">
      <w:rPr>
        <w:rFonts w:asciiTheme="minorHAnsi" w:hAnsiTheme="minorHAnsi"/>
        <w:i/>
        <w:color w:val="808080"/>
      </w:rPr>
      <w:t xml:space="preserve"> – </w:t>
    </w:r>
    <w:r w:rsidR="00D15344">
      <w:rPr>
        <w:rFonts w:asciiTheme="minorHAnsi" w:hAnsiTheme="minorHAnsi"/>
        <w:i/>
        <w:color w:val="808080"/>
      </w:rPr>
      <w:t>March 2025</w:t>
    </w:r>
    <w:r w:rsidR="00D15344" w:rsidRPr="00056684">
      <w:rPr>
        <w:rFonts w:asciiTheme="minorHAnsi" w:hAnsiTheme="minorHAnsi"/>
        <w:i/>
        <w:color w:val="808080"/>
      </w:rPr>
      <w:t xml:space="preserve"> PBAC Meeting</w:t>
    </w:r>
  </w:p>
  <w:p w14:paraId="03AF943B" w14:textId="77777777" w:rsidR="00326FBD" w:rsidRPr="008C7ECB" w:rsidRDefault="00326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6A9E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4658C9"/>
    <w:multiLevelType w:val="hybridMultilevel"/>
    <w:tmpl w:val="E2BCF020"/>
    <w:lvl w:ilvl="0" w:tplc="5008C0B2">
      <w:start w:val="1"/>
      <w:numFmt w:val="bullet"/>
      <w:lvlText w:val=""/>
      <w:lvlJc w:val="left"/>
      <w:pPr>
        <w:ind w:left="149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E3C4D"/>
    <w:multiLevelType w:val="hybridMultilevel"/>
    <w:tmpl w:val="C50276DA"/>
    <w:lvl w:ilvl="0" w:tplc="8202F07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6EB63C2"/>
    <w:multiLevelType w:val="hybridMultilevel"/>
    <w:tmpl w:val="B5B0D31A"/>
    <w:lvl w:ilvl="0" w:tplc="0C090011">
      <w:start w:val="1"/>
      <w:numFmt w:val="decimal"/>
      <w:lvlText w:val="%1)"/>
      <w:lvlJc w:val="left"/>
      <w:pPr>
        <w:ind w:left="2080" w:hanging="360"/>
      </w:pPr>
    </w:lvl>
    <w:lvl w:ilvl="1" w:tplc="0C090019" w:tentative="1">
      <w:start w:val="1"/>
      <w:numFmt w:val="lowerLetter"/>
      <w:lvlText w:val="%2."/>
      <w:lvlJc w:val="left"/>
      <w:pPr>
        <w:ind w:left="2800" w:hanging="360"/>
      </w:pPr>
    </w:lvl>
    <w:lvl w:ilvl="2" w:tplc="0C09001B" w:tentative="1">
      <w:start w:val="1"/>
      <w:numFmt w:val="lowerRoman"/>
      <w:lvlText w:val="%3."/>
      <w:lvlJc w:val="right"/>
      <w:pPr>
        <w:ind w:left="3520" w:hanging="180"/>
      </w:pPr>
    </w:lvl>
    <w:lvl w:ilvl="3" w:tplc="0C09000F" w:tentative="1">
      <w:start w:val="1"/>
      <w:numFmt w:val="decimal"/>
      <w:lvlText w:val="%4."/>
      <w:lvlJc w:val="left"/>
      <w:pPr>
        <w:ind w:left="4240" w:hanging="360"/>
      </w:pPr>
    </w:lvl>
    <w:lvl w:ilvl="4" w:tplc="0C090019" w:tentative="1">
      <w:start w:val="1"/>
      <w:numFmt w:val="lowerLetter"/>
      <w:lvlText w:val="%5."/>
      <w:lvlJc w:val="left"/>
      <w:pPr>
        <w:ind w:left="4960" w:hanging="360"/>
      </w:pPr>
    </w:lvl>
    <w:lvl w:ilvl="5" w:tplc="0C09001B" w:tentative="1">
      <w:start w:val="1"/>
      <w:numFmt w:val="lowerRoman"/>
      <w:lvlText w:val="%6."/>
      <w:lvlJc w:val="right"/>
      <w:pPr>
        <w:ind w:left="5680" w:hanging="180"/>
      </w:pPr>
    </w:lvl>
    <w:lvl w:ilvl="6" w:tplc="0C09000F" w:tentative="1">
      <w:start w:val="1"/>
      <w:numFmt w:val="decimal"/>
      <w:lvlText w:val="%7."/>
      <w:lvlJc w:val="left"/>
      <w:pPr>
        <w:ind w:left="6400" w:hanging="360"/>
      </w:pPr>
    </w:lvl>
    <w:lvl w:ilvl="7" w:tplc="0C090019" w:tentative="1">
      <w:start w:val="1"/>
      <w:numFmt w:val="lowerLetter"/>
      <w:lvlText w:val="%8."/>
      <w:lvlJc w:val="left"/>
      <w:pPr>
        <w:ind w:left="7120" w:hanging="360"/>
      </w:pPr>
    </w:lvl>
    <w:lvl w:ilvl="8" w:tplc="0C09001B" w:tentative="1">
      <w:start w:val="1"/>
      <w:numFmt w:val="lowerRoman"/>
      <w:lvlText w:val="%9."/>
      <w:lvlJc w:val="right"/>
      <w:pPr>
        <w:ind w:left="7840" w:hanging="180"/>
      </w:pPr>
    </w:lvl>
  </w:abstractNum>
  <w:abstractNum w:abstractNumId="7" w15:restartNumberingAfterBreak="0">
    <w:nsid w:val="1A642615"/>
    <w:multiLevelType w:val="hybridMultilevel"/>
    <w:tmpl w:val="40A43FCE"/>
    <w:lvl w:ilvl="0" w:tplc="3EEE924E">
      <w:start w:val="1"/>
      <w:numFmt w:val="bullet"/>
      <w:lvlText w:val=""/>
      <w:lvlJc w:val="left"/>
      <w:pPr>
        <w:ind w:left="720" w:hanging="360"/>
      </w:pPr>
      <w:rPr>
        <w:rFonts w:ascii="Symbol" w:hAnsi="Symbol"/>
      </w:rPr>
    </w:lvl>
    <w:lvl w:ilvl="1" w:tplc="5AA49884">
      <w:start w:val="1"/>
      <w:numFmt w:val="bullet"/>
      <w:lvlText w:val=""/>
      <w:lvlJc w:val="left"/>
      <w:pPr>
        <w:ind w:left="720" w:hanging="360"/>
      </w:pPr>
      <w:rPr>
        <w:rFonts w:ascii="Symbol" w:hAnsi="Symbol"/>
      </w:rPr>
    </w:lvl>
    <w:lvl w:ilvl="2" w:tplc="A2203E26">
      <w:start w:val="1"/>
      <w:numFmt w:val="bullet"/>
      <w:lvlText w:val=""/>
      <w:lvlJc w:val="left"/>
      <w:pPr>
        <w:ind w:left="720" w:hanging="360"/>
      </w:pPr>
      <w:rPr>
        <w:rFonts w:ascii="Symbol" w:hAnsi="Symbol"/>
      </w:rPr>
    </w:lvl>
    <w:lvl w:ilvl="3" w:tplc="C0CCE122">
      <w:start w:val="1"/>
      <w:numFmt w:val="bullet"/>
      <w:lvlText w:val=""/>
      <w:lvlJc w:val="left"/>
      <w:pPr>
        <w:ind w:left="720" w:hanging="360"/>
      </w:pPr>
      <w:rPr>
        <w:rFonts w:ascii="Symbol" w:hAnsi="Symbol"/>
      </w:rPr>
    </w:lvl>
    <w:lvl w:ilvl="4" w:tplc="5294795C">
      <w:start w:val="1"/>
      <w:numFmt w:val="bullet"/>
      <w:lvlText w:val=""/>
      <w:lvlJc w:val="left"/>
      <w:pPr>
        <w:ind w:left="720" w:hanging="360"/>
      </w:pPr>
      <w:rPr>
        <w:rFonts w:ascii="Symbol" w:hAnsi="Symbol"/>
      </w:rPr>
    </w:lvl>
    <w:lvl w:ilvl="5" w:tplc="5A6A1978">
      <w:start w:val="1"/>
      <w:numFmt w:val="bullet"/>
      <w:lvlText w:val=""/>
      <w:lvlJc w:val="left"/>
      <w:pPr>
        <w:ind w:left="720" w:hanging="360"/>
      </w:pPr>
      <w:rPr>
        <w:rFonts w:ascii="Symbol" w:hAnsi="Symbol"/>
      </w:rPr>
    </w:lvl>
    <w:lvl w:ilvl="6" w:tplc="95EE6BB6">
      <w:start w:val="1"/>
      <w:numFmt w:val="bullet"/>
      <w:lvlText w:val=""/>
      <w:lvlJc w:val="left"/>
      <w:pPr>
        <w:ind w:left="720" w:hanging="360"/>
      </w:pPr>
      <w:rPr>
        <w:rFonts w:ascii="Symbol" w:hAnsi="Symbol"/>
      </w:rPr>
    </w:lvl>
    <w:lvl w:ilvl="7" w:tplc="85D49D1E">
      <w:start w:val="1"/>
      <w:numFmt w:val="bullet"/>
      <w:lvlText w:val=""/>
      <w:lvlJc w:val="left"/>
      <w:pPr>
        <w:ind w:left="720" w:hanging="360"/>
      </w:pPr>
      <w:rPr>
        <w:rFonts w:ascii="Symbol" w:hAnsi="Symbol"/>
      </w:rPr>
    </w:lvl>
    <w:lvl w:ilvl="8" w:tplc="2496E602">
      <w:start w:val="1"/>
      <w:numFmt w:val="bullet"/>
      <w:lvlText w:val=""/>
      <w:lvlJc w:val="left"/>
      <w:pPr>
        <w:ind w:left="720" w:hanging="360"/>
      </w:pPr>
      <w:rPr>
        <w:rFonts w:ascii="Symbol" w:hAnsi="Symbol"/>
      </w:rPr>
    </w:lvl>
  </w:abstractNum>
  <w:abstractNum w:abstractNumId="8" w15:restartNumberingAfterBreak="0">
    <w:nsid w:val="1AA61541"/>
    <w:multiLevelType w:val="hybridMultilevel"/>
    <w:tmpl w:val="1F9AC0E0"/>
    <w:lvl w:ilvl="0" w:tplc="0C4E688E">
      <w:start w:val="1"/>
      <w:numFmt w:val="bullet"/>
      <w:lvlText w:val=""/>
      <w:lvlJc w:val="left"/>
      <w:pPr>
        <w:ind w:left="720" w:hanging="360"/>
      </w:pPr>
      <w:rPr>
        <w:rFonts w:ascii="Symbol" w:hAnsi="Symbol"/>
      </w:rPr>
    </w:lvl>
    <w:lvl w:ilvl="1" w:tplc="763EBF9E">
      <w:start w:val="1"/>
      <w:numFmt w:val="bullet"/>
      <w:lvlText w:val=""/>
      <w:lvlJc w:val="left"/>
      <w:pPr>
        <w:ind w:left="720" w:hanging="360"/>
      </w:pPr>
      <w:rPr>
        <w:rFonts w:ascii="Symbol" w:hAnsi="Symbol"/>
      </w:rPr>
    </w:lvl>
    <w:lvl w:ilvl="2" w:tplc="AF980E46">
      <w:start w:val="1"/>
      <w:numFmt w:val="bullet"/>
      <w:lvlText w:val=""/>
      <w:lvlJc w:val="left"/>
      <w:pPr>
        <w:ind w:left="720" w:hanging="360"/>
      </w:pPr>
      <w:rPr>
        <w:rFonts w:ascii="Symbol" w:hAnsi="Symbol"/>
      </w:rPr>
    </w:lvl>
    <w:lvl w:ilvl="3" w:tplc="EB5016FC">
      <w:start w:val="1"/>
      <w:numFmt w:val="bullet"/>
      <w:lvlText w:val=""/>
      <w:lvlJc w:val="left"/>
      <w:pPr>
        <w:ind w:left="720" w:hanging="360"/>
      </w:pPr>
      <w:rPr>
        <w:rFonts w:ascii="Symbol" w:hAnsi="Symbol"/>
      </w:rPr>
    </w:lvl>
    <w:lvl w:ilvl="4" w:tplc="3E522C6C">
      <w:start w:val="1"/>
      <w:numFmt w:val="bullet"/>
      <w:lvlText w:val=""/>
      <w:lvlJc w:val="left"/>
      <w:pPr>
        <w:ind w:left="720" w:hanging="360"/>
      </w:pPr>
      <w:rPr>
        <w:rFonts w:ascii="Symbol" w:hAnsi="Symbol"/>
      </w:rPr>
    </w:lvl>
    <w:lvl w:ilvl="5" w:tplc="7F706ACE">
      <w:start w:val="1"/>
      <w:numFmt w:val="bullet"/>
      <w:lvlText w:val=""/>
      <w:lvlJc w:val="left"/>
      <w:pPr>
        <w:ind w:left="720" w:hanging="360"/>
      </w:pPr>
      <w:rPr>
        <w:rFonts w:ascii="Symbol" w:hAnsi="Symbol"/>
      </w:rPr>
    </w:lvl>
    <w:lvl w:ilvl="6" w:tplc="BA40AF3A">
      <w:start w:val="1"/>
      <w:numFmt w:val="bullet"/>
      <w:lvlText w:val=""/>
      <w:lvlJc w:val="left"/>
      <w:pPr>
        <w:ind w:left="720" w:hanging="360"/>
      </w:pPr>
      <w:rPr>
        <w:rFonts w:ascii="Symbol" w:hAnsi="Symbol"/>
      </w:rPr>
    </w:lvl>
    <w:lvl w:ilvl="7" w:tplc="B8DC3FAC">
      <w:start w:val="1"/>
      <w:numFmt w:val="bullet"/>
      <w:lvlText w:val=""/>
      <w:lvlJc w:val="left"/>
      <w:pPr>
        <w:ind w:left="720" w:hanging="360"/>
      </w:pPr>
      <w:rPr>
        <w:rFonts w:ascii="Symbol" w:hAnsi="Symbol"/>
      </w:rPr>
    </w:lvl>
    <w:lvl w:ilvl="8" w:tplc="3A1460E4">
      <w:start w:val="1"/>
      <w:numFmt w:val="bullet"/>
      <w:lvlText w:val=""/>
      <w:lvlJc w:val="left"/>
      <w:pPr>
        <w:ind w:left="720" w:hanging="360"/>
      </w:pPr>
      <w:rPr>
        <w:rFonts w:ascii="Symbol" w:hAnsi="Symbol"/>
      </w:rPr>
    </w:lvl>
  </w:abstractNum>
  <w:abstractNum w:abstractNumId="9" w15:restartNumberingAfterBreak="0">
    <w:nsid w:val="1D7A0B3A"/>
    <w:multiLevelType w:val="multilevel"/>
    <w:tmpl w:val="437C5A0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BB6100"/>
    <w:multiLevelType w:val="multilevel"/>
    <w:tmpl w:val="3AE24AC0"/>
    <w:lvl w:ilvl="0">
      <w:start w:val="1"/>
      <w:numFmt w:val="decimal"/>
      <w:lvlText w:val="%1"/>
      <w:lvlJc w:val="left"/>
      <w:pPr>
        <w:ind w:left="720" w:hanging="720"/>
      </w:pPr>
      <w:rPr>
        <w:rFonts w:hint="default"/>
        <w:b/>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160FE"/>
    <w:multiLevelType w:val="hybridMultilevel"/>
    <w:tmpl w:val="18D03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156BEF"/>
    <w:multiLevelType w:val="hybridMultilevel"/>
    <w:tmpl w:val="FEFCAA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46AD7"/>
    <w:multiLevelType w:val="hybridMultilevel"/>
    <w:tmpl w:val="71A65F8E"/>
    <w:lvl w:ilvl="0" w:tplc="CFBE442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37721F8"/>
    <w:multiLevelType w:val="hybridMultilevel"/>
    <w:tmpl w:val="AFC23F28"/>
    <w:lvl w:ilvl="0" w:tplc="38FEC0FA">
      <w:start w:val="1"/>
      <w:numFmt w:val="bullet"/>
      <w:lvlText w:val=""/>
      <w:lvlJc w:val="left"/>
      <w:pPr>
        <w:ind w:left="720" w:hanging="360"/>
      </w:pPr>
      <w:rPr>
        <w:rFonts w:ascii="Symbol" w:hAnsi="Symbol"/>
      </w:rPr>
    </w:lvl>
    <w:lvl w:ilvl="1" w:tplc="C01C830A">
      <w:start w:val="1"/>
      <w:numFmt w:val="bullet"/>
      <w:lvlText w:val=""/>
      <w:lvlJc w:val="left"/>
      <w:pPr>
        <w:ind w:left="720" w:hanging="360"/>
      </w:pPr>
      <w:rPr>
        <w:rFonts w:ascii="Symbol" w:hAnsi="Symbol"/>
      </w:rPr>
    </w:lvl>
    <w:lvl w:ilvl="2" w:tplc="A6B4F842">
      <w:start w:val="1"/>
      <w:numFmt w:val="bullet"/>
      <w:lvlText w:val=""/>
      <w:lvlJc w:val="left"/>
      <w:pPr>
        <w:ind w:left="720" w:hanging="360"/>
      </w:pPr>
      <w:rPr>
        <w:rFonts w:ascii="Symbol" w:hAnsi="Symbol"/>
      </w:rPr>
    </w:lvl>
    <w:lvl w:ilvl="3" w:tplc="81CA9DDA">
      <w:start w:val="1"/>
      <w:numFmt w:val="bullet"/>
      <w:lvlText w:val=""/>
      <w:lvlJc w:val="left"/>
      <w:pPr>
        <w:ind w:left="720" w:hanging="360"/>
      </w:pPr>
      <w:rPr>
        <w:rFonts w:ascii="Symbol" w:hAnsi="Symbol"/>
      </w:rPr>
    </w:lvl>
    <w:lvl w:ilvl="4" w:tplc="48147B58">
      <w:start w:val="1"/>
      <w:numFmt w:val="bullet"/>
      <w:lvlText w:val=""/>
      <w:lvlJc w:val="left"/>
      <w:pPr>
        <w:ind w:left="720" w:hanging="360"/>
      </w:pPr>
      <w:rPr>
        <w:rFonts w:ascii="Symbol" w:hAnsi="Symbol"/>
      </w:rPr>
    </w:lvl>
    <w:lvl w:ilvl="5" w:tplc="4BFA1106">
      <w:start w:val="1"/>
      <w:numFmt w:val="bullet"/>
      <w:lvlText w:val=""/>
      <w:lvlJc w:val="left"/>
      <w:pPr>
        <w:ind w:left="720" w:hanging="360"/>
      </w:pPr>
      <w:rPr>
        <w:rFonts w:ascii="Symbol" w:hAnsi="Symbol"/>
      </w:rPr>
    </w:lvl>
    <w:lvl w:ilvl="6" w:tplc="8B1C2ACC">
      <w:start w:val="1"/>
      <w:numFmt w:val="bullet"/>
      <w:lvlText w:val=""/>
      <w:lvlJc w:val="left"/>
      <w:pPr>
        <w:ind w:left="720" w:hanging="360"/>
      </w:pPr>
      <w:rPr>
        <w:rFonts w:ascii="Symbol" w:hAnsi="Symbol"/>
      </w:rPr>
    </w:lvl>
    <w:lvl w:ilvl="7" w:tplc="55921610">
      <w:start w:val="1"/>
      <w:numFmt w:val="bullet"/>
      <w:lvlText w:val=""/>
      <w:lvlJc w:val="left"/>
      <w:pPr>
        <w:ind w:left="720" w:hanging="360"/>
      </w:pPr>
      <w:rPr>
        <w:rFonts w:ascii="Symbol" w:hAnsi="Symbol"/>
      </w:rPr>
    </w:lvl>
    <w:lvl w:ilvl="8" w:tplc="DC2E7E7E">
      <w:start w:val="1"/>
      <w:numFmt w:val="bullet"/>
      <w:lvlText w:val=""/>
      <w:lvlJc w:val="left"/>
      <w:pPr>
        <w:ind w:left="720" w:hanging="360"/>
      </w:pPr>
      <w:rPr>
        <w:rFonts w:ascii="Symbol" w:hAnsi="Symbol"/>
      </w:rPr>
    </w:lvl>
  </w:abstractNum>
  <w:abstractNum w:abstractNumId="18" w15:restartNumberingAfterBreak="0">
    <w:nsid w:val="396C1C01"/>
    <w:multiLevelType w:val="hybridMultilevel"/>
    <w:tmpl w:val="3170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6651FC"/>
    <w:multiLevelType w:val="hybridMultilevel"/>
    <w:tmpl w:val="49081D9A"/>
    <w:lvl w:ilvl="0" w:tplc="66B6CCEA">
      <w:start w:val="1"/>
      <w:numFmt w:val="bullet"/>
      <w:lvlText w:val=""/>
      <w:lvlJc w:val="left"/>
      <w:pPr>
        <w:ind w:left="1020" w:hanging="360"/>
      </w:pPr>
      <w:rPr>
        <w:rFonts w:ascii="Symbol" w:hAnsi="Symbol"/>
      </w:rPr>
    </w:lvl>
    <w:lvl w:ilvl="1" w:tplc="0A522A04">
      <w:start w:val="1"/>
      <w:numFmt w:val="bullet"/>
      <w:lvlText w:val=""/>
      <w:lvlJc w:val="left"/>
      <w:pPr>
        <w:ind w:left="2160" w:hanging="360"/>
      </w:pPr>
      <w:rPr>
        <w:rFonts w:ascii="Symbol" w:hAnsi="Symbol"/>
      </w:rPr>
    </w:lvl>
    <w:lvl w:ilvl="2" w:tplc="D3EA35B0">
      <w:start w:val="1"/>
      <w:numFmt w:val="bullet"/>
      <w:lvlText w:val=""/>
      <w:lvlJc w:val="left"/>
      <w:pPr>
        <w:ind w:left="1020" w:hanging="360"/>
      </w:pPr>
      <w:rPr>
        <w:rFonts w:ascii="Symbol" w:hAnsi="Symbol"/>
      </w:rPr>
    </w:lvl>
    <w:lvl w:ilvl="3" w:tplc="2BFE32AE">
      <w:start w:val="1"/>
      <w:numFmt w:val="bullet"/>
      <w:lvlText w:val=""/>
      <w:lvlJc w:val="left"/>
      <w:pPr>
        <w:ind w:left="1020" w:hanging="360"/>
      </w:pPr>
      <w:rPr>
        <w:rFonts w:ascii="Symbol" w:hAnsi="Symbol"/>
      </w:rPr>
    </w:lvl>
    <w:lvl w:ilvl="4" w:tplc="920E984A">
      <w:start w:val="1"/>
      <w:numFmt w:val="bullet"/>
      <w:lvlText w:val=""/>
      <w:lvlJc w:val="left"/>
      <w:pPr>
        <w:ind w:left="1020" w:hanging="360"/>
      </w:pPr>
      <w:rPr>
        <w:rFonts w:ascii="Symbol" w:hAnsi="Symbol"/>
      </w:rPr>
    </w:lvl>
    <w:lvl w:ilvl="5" w:tplc="DD56B980">
      <w:start w:val="1"/>
      <w:numFmt w:val="bullet"/>
      <w:lvlText w:val=""/>
      <w:lvlJc w:val="left"/>
      <w:pPr>
        <w:ind w:left="1020" w:hanging="360"/>
      </w:pPr>
      <w:rPr>
        <w:rFonts w:ascii="Symbol" w:hAnsi="Symbol"/>
      </w:rPr>
    </w:lvl>
    <w:lvl w:ilvl="6" w:tplc="DC6EED2C">
      <w:start w:val="1"/>
      <w:numFmt w:val="bullet"/>
      <w:lvlText w:val=""/>
      <w:lvlJc w:val="left"/>
      <w:pPr>
        <w:ind w:left="1020" w:hanging="360"/>
      </w:pPr>
      <w:rPr>
        <w:rFonts w:ascii="Symbol" w:hAnsi="Symbol"/>
      </w:rPr>
    </w:lvl>
    <w:lvl w:ilvl="7" w:tplc="67244D76">
      <w:start w:val="1"/>
      <w:numFmt w:val="bullet"/>
      <w:lvlText w:val=""/>
      <w:lvlJc w:val="left"/>
      <w:pPr>
        <w:ind w:left="1020" w:hanging="360"/>
      </w:pPr>
      <w:rPr>
        <w:rFonts w:ascii="Symbol" w:hAnsi="Symbol"/>
      </w:rPr>
    </w:lvl>
    <w:lvl w:ilvl="8" w:tplc="153CF2AE">
      <w:start w:val="1"/>
      <w:numFmt w:val="bullet"/>
      <w:lvlText w:val=""/>
      <w:lvlJc w:val="left"/>
      <w:pPr>
        <w:ind w:left="1020" w:hanging="360"/>
      </w:pPr>
      <w:rPr>
        <w:rFonts w:ascii="Symbol" w:hAnsi="Symbol"/>
      </w:rPr>
    </w:lvl>
  </w:abstractNum>
  <w:abstractNum w:abstractNumId="20" w15:restartNumberingAfterBreak="0">
    <w:nsid w:val="42423186"/>
    <w:multiLevelType w:val="hybridMultilevel"/>
    <w:tmpl w:val="6026F68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C10BF"/>
    <w:multiLevelType w:val="hybridMultilevel"/>
    <w:tmpl w:val="3C0E5712"/>
    <w:lvl w:ilvl="0" w:tplc="8202F07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FC63066"/>
    <w:multiLevelType w:val="hybridMultilevel"/>
    <w:tmpl w:val="E868A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33E3567"/>
    <w:multiLevelType w:val="hybridMultilevel"/>
    <w:tmpl w:val="F47AA390"/>
    <w:lvl w:ilvl="0" w:tplc="595442D2">
      <w:start w:val="1"/>
      <w:numFmt w:val="upperRoman"/>
      <w:lvlText w:val="%1."/>
      <w:lvlJc w:val="right"/>
      <w:pPr>
        <w:ind w:left="2520" w:hanging="360"/>
      </w:pPr>
      <w:rPr>
        <w:i/>
        <w:iCs/>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9E5F0C"/>
    <w:multiLevelType w:val="hybridMultilevel"/>
    <w:tmpl w:val="24680E00"/>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5E90B44A"/>
    <w:multiLevelType w:val="hybridMultilevel"/>
    <w:tmpl w:val="64962F80"/>
    <w:lvl w:ilvl="0" w:tplc="B45A69A4">
      <w:start w:val="1"/>
      <w:numFmt w:val="decimal"/>
      <w:lvlText w:val="%1."/>
      <w:lvlJc w:val="left"/>
      <w:pPr>
        <w:ind w:left="720" w:hanging="360"/>
      </w:pPr>
      <w:rPr>
        <w:i/>
        <w:iCs/>
        <w:color w:val="auto"/>
      </w:rPr>
    </w:lvl>
    <w:lvl w:ilvl="1" w:tplc="8F90262E">
      <w:start w:val="1"/>
      <w:numFmt w:val="lowerLetter"/>
      <w:lvlText w:val="%2."/>
      <w:lvlJc w:val="left"/>
      <w:pPr>
        <w:ind w:left="1440" w:hanging="360"/>
      </w:pPr>
    </w:lvl>
    <w:lvl w:ilvl="2" w:tplc="0F14B43E">
      <w:start w:val="1"/>
      <w:numFmt w:val="lowerRoman"/>
      <w:lvlText w:val="%3."/>
      <w:lvlJc w:val="right"/>
      <w:pPr>
        <w:ind w:left="2160" w:hanging="180"/>
      </w:pPr>
    </w:lvl>
    <w:lvl w:ilvl="3" w:tplc="C5668878">
      <w:start w:val="1"/>
      <w:numFmt w:val="decimal"/>
      <w:lvlText w:val="%4."/>
      <w:lvlJc w:val="left"/>
      <w:pPr>
        <w:ind w:left="2880" w:hanging="360"/>
      </w:pPr>
      <w:rPr>
        <w:i/>
        <w:iCs/>
      </w:rPr>
    </w:lvl>
    <w:lvl w:ilvl="4" w:tplc="79120F40">
      <w:start w:val="1"/>
      <w:numFmt w:val="lowerLetter"/>
      <w:lvlText w:val="%5."/>
      <w:lvlJc w:val="left"/>
      <w:pPr>
        <w:ind w:left="3600" w:hanging="360"/>
      </w:pPr>
    </w:lvl>
    <w:lvl w:ilvl="5" w:tplc="75441602">
      <w:start w:val="1"/>
      <w:numFmt w:val="lowerRoman"/>
      <w:lvlText w:val="%6."/>
      <w:lvlJc w:val="right"/>
      <w:pPr>
        <w:ind w:left="4320" w:hanging="180"/>
      </w:pPr>
    </w:lvl>
    <w:lvl w:ilvl="6" w:tplc="967A29A6">
      <w:start w:val="1"/>
      <w:numFmt w:val="decimal"/>
      <w:lvlText w:val="%7."/>
      <w:lvlJc w:val="left"/>
      <w:pPr>
        <w:ind w:left="5040" w:hanging="360"/>
      </w:pPr>
    </w:lvl>
    <w:lvl w:ilvl="7" w:tplc="20CCA094">
      <w:start w:val="1"/>
      <w:numFmt w:val="lowerLetter"/>
      <w:lvlText w:val="%8."/>
      <w:lvlJc w:val="left"/>
      <w:pPr>
        <w:ind w:left="5760" w:hanging="360"/>
      </w:pPr>
    </w:lvl>
    <w:lvl w:ilvl="8" w:tplc="D8BAE5B6">
      <w:start w:val="1"/>
      <w:numFmt w:val="lowerRoman"/>
      <w:lvlText w:val="%9."/>
      <w:lvlJc w:val="right"/>
      <w:pPr>
        <w:ind w:left="6480" w:hanging="180"/>
      </w:p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6552756"/>
    <w:multiLevelType w:val="hybridMultilevel"/>
    <w:tmpl w:val="9856C2BC"/>
    <w:lvl w:ilvl="0" w:tplc="4F88A4C8">
      <w:start w:val="1"/>
      <w:numFmt w:val="bullet"/>
      <w:lvlText w:val=""/>
      <w:lvlJc w:val="left"/>
      <w:pPr>
        <w:ind w:left="720" w:hanging="360"/>
      </w:pPr>
      <w:rPr>
        <w:rFonts w:ascii="Symbol" w:hAnsi="Symbol"/>
      </w:rPr>
    </w:lvl>
    <w:lvl w:ilvl="1" w:tplc="3314CC7E">
      <w:start w:val="1"/>
      <w:numFmt w:val="bullet"/>
      <w:lvlText w:val=""/>
      <w:lvlJc w:val="left"/>
      <w:pPr>
        <w:ind w:left="720" w:hanging="360"/>
      </w:pPr>
      <w:rPr>
        <w:rFonts w:ascii="Symbol" w:hAnsi="Symbol"/>
      </w:rPr>
    </w:lvl>
    <w:lvl w:ilvl="2" w:tplc="93080AEA">
      <w:start w:val="1"/>
      <w:numFmt w:val="bullet"/>
      <w:lvlText w:val=""/>
      <w:lvlJc w:val="left"/>
      <w:pPr>
        <w:ind w:left="720" w:hanging="360"/>
      </w:pPr>
      <w:rPr>
        <w:rFonts w:ascii="Symbol" w:hAnsi="Symbol"/>
      </w:rPr>
    </w:lvl>
    <w:lvl w:ilvl="3" w:tplc="38E0378C">
      <w:start w:val="1"/>
      <w:numFmt w:val="bullet"/>
      <w:lvlText w:val=""/>
      <w:lvlJc w:val="left"/>
      <w:pPr>
        <w:ind w:left="720" w:hanging="360"/>
      </w:pPr>
      <w:rPr>
        <w:rFonts w:ascii="Symbol" w:hAnsi="Symbol"/>
      </w:rPr>
    </w:lvl>
    <w:lvl w:ilvl="4" w:tplc="681EB414">
      <w:start w:val="1"/>
      <w:numFmt w:val="bullet"/>
      <w:lvlText w:val=""/>
      <w:lvlJc w:val="left"/>
      <w:pPr>
        <w:ind w:left="720" w:hanging="360"/>
      </w:pPr>
      <w:rPr>
        <w:rFonts w:ascii="Symbol" w:hAnsi="Symbol"/>
      </w:rPr>
    </w:lvl>
    <w:lvl w:ilvl="5" w:tplc="EC96DDA6">
      <w:start w:val="1"/>
      <w:numFmt w:val="bullet"/>
      <w:lvlText w:val=""/>
      <w:lvlJc w:val="left"/>
      <w:pPr>
        <w:ind w:left="720" w:hanging="360"/>
      </w:pPr>
      <w:rPr>
        <w:rFonts w:ascii="Symbol" w:hAnsi="Symbol"/>
      </w:rPr>
    </w:lvl>
    <w:lvl w:ilvl="6" w:tplc="CA3A9C2A">
      <w:start w:val="1"/>
      <w:numFmt w:val="bullet"/>
      <w:lvlText w:val=""/>
      <w:lvlJc w:val="left"/>
      <w:pPr>
        <w:ind w:left="720" w:hanging="360"/>
      </w:pPr>
      <w:rPr>
        <w:rFonts w:ascii="Symbol" w:hAnsi="Symbol"/>
      </w:rPr>
    </w:lvl>
    <w:lvl w:ilvl="7" w:tplc="9D86CDDC">
      <w:start w:val="1"/>
      <w:numFmt w:val="bullet"/>
      <w:lvlText w:val=""/>
      <w:lvlJc w:val="left"/>
      <w:pPr>
        <w:ind w:left="720" w:hanging="360"/>
      </w:pPr>
      <w:rPr>
        <w:rFonts w:ascii="Symbol" w:hAnsi="Symbol"/>
      </w:rPr>
    </w:lvl>
    <w:lvl w:ilvl="8" w:tplc="FD765568">
      <w:start w:val="1"/>
      <w:numFmt w:val="bullet"/>
      <w:lvlText w:val=""/>
      <w:lvlJc w:val="left"/>
      <w:pPr>
        <w:ind w:left="720" w:hanging="360"/>
      </w:pPr>
      <w:rPr>
        <w:rFonts w:ascii="Symbol" w:hAnsi="Symbol"/>
      </w:rPr>
    </w:lvl>
  </w:abstractNum>
  <w:abstractNum w:abstractNumId="32" w15:restartNumberingAfterBreak="0">
    <w:nsid w:val="66575A44"/>
    <w:multiLevelType w:val="hybridMultilevel"/>
    <w:tmpl w:val="64A80B64"/>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09067E"/>
    <w:multiLevelType w:val="hybridMultilevel"/>
    <w:tmpl w:val="E34688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90065968">
    <w:abstractNumId w:val="36"/>
  </w:num>
  <w:num w:numId="2" w16cid:durableId="1633752922">
    <w:abstractNumId w:val="21"/>
  </w:num>
  <w:num w:numId="3" w16cid:durableId="145753258">
    <w:abstractNumId w:val="22"/>
  </w:num>
  <w:num w:numId="4" w16cid:durableId="1174030193">
    <w:abstractNumId w:val="0"/>
  </w:num>
  <w:num w:numId="5" w16cid:durableId="1286084992">
    <w:abstractNumId w:val="36"/>
  </w:num>
  <w:num w:numId="6" w16cid:durableId="703676282">
    <w:abstractNumId w:val="11"/>
  </w:num>
  <w:num w:numId="7" w16cid:durableId="756488560">
    <w:abstractNumId w:val="30"/>
  </w:num>
  <w:num w:numId="8" w16cid:durableId="1881044750">
    <w:abstractNumId w:val="5"/>
  </w:num>
  <w:num w:numId="9" w16cid:durableId="1275408480">
    <w:abstractNumId w:val="24"/>
  </w:num>
  <w:num w:numId="10" w16cid:durableId="1313488199">
    <w:abstractNumId w:val="9"/>
  </w:num>
  <w:num w:numId="11" w16cid:durableId="543374206">
    <w:abstractNumId w:val="28"/>
  </w:num>
  <w:num w:numId="12" w16cid:durableId="968975742">
    <w:abstractNumId w:val="27"/>
  </w:num>
  <w:num w:numId="13" w16cid:durableId="520974322">
    <w:abstractNumId w:val="25"/>
  </w:num>
  <w:num w:numId="14" w16cid:durableId="1504587639">
    <w:abstractNumId w:val="2"/>
  </w:num>
  <w:num w:numId="15" w16cid:durableId="1664432376">
    <w:abstractNumId w:val="17"/>
  </w:num>
  <w:num w:numId="16" w16cid:durableId="345598180">
    <w:abstractNumId w:val="31"/>
  </w:num>
  <w:num w:numId="17" w16cid:durableId="218248788">
    <w:abstractNumId w:val="20"/>
  </w:num>
  <w:num w:numId="18" w16cid:durableId="927545630">
    <w:abstractNumId w:val="8"/>
  </w:num>
  <w:num w:numId="19" w16cid:durableId="892422239">
    <w:abstractNumId w:val="7"/>
  </w:num>
  <w:num w:numId="20" w16cid:durableId="1608148762">
    <w:abstractNumId w:val="18"/>
  </w:num>
  <w:num w:numId="21" w16cid:durableId="1099957255">
    <w:abstractNumId w:val="14"/>
  </w:num>
  <w:num w:numId="22" w16cid:durableId="1990328911">
    <w:abstractNumId w:val="3"/>
  </w:num>
  <w:num w:numId="23" w16cid:durableId="1440680314">
    <w:abstractNumId w:val="32"/>
  </w:num>
  <w:num w:numId="24" w16cid:durableId="1906528252">
    <w:abstractNumId w:val="26"/>
  </w:num>
  <w:num w:numId="25" w16cid:durableId="179508072">
    <w:abstractNumId w:val="4"/>
  </w:num>
  <w:num w:numId="26" w16cid:durableId="1880387111">
    <w:abstractNumId w:val="1"/>
  </w:num>
  <w:num w:numId="27" w16cid:durableId="1175458572">
    <w:abstractNumId w:val="13"/>
  </w:num>
  <w:num w:numId="28" w16cid:durableId="1055396355">
    <w:abstractNumId w:val="15"/>
  </w:num>
  <w:num w:numId="29" w16cid:durableId="726684416">
    <w:abstractNumId w:val="12"/>
  </w:num>
  <w:num w:numId="30" w16cid:durableId="71489347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4820516">
    <w:abstractNumId w:val="34"/>
  </w:num>
  <w:num w:numId="32" w16cid:durableId="1636330190">
    <w:abstractNumId w:val="16"/>
  </w:num>
  <w:num w:numId="33" w16cid:durableId="1335765571">
    <w:abstractNumId w:val="33"/>
  </w:num>
  <w:num w:numId="34" w16cid:durableId="1507859888">
    <w:abstractNumId w:val="19"/>
  </w:num>
  <w:num w:numId="35" w16cid:durableId="1154302496">
    <w:abstractNumId w:val="6"/>
  </w:num>
  <w:num w:numId="36" w16cid:durableId="1231043608">
    <w:abstractNumId w:val="23"/>
  </w:num>
  <w:num w:numId="37" w16cid:durableId="1178929092">
    <w:abstractNumId w:val="35"/>
  </w:num>
  <w:num w:numId="38" w16cid:durableId="1175069954">
    <w:abstractNumId w:val="10"/>
  </w:num>
  <w:num w:numId="39" w16cid:durableId="112407592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014"/>
    <w:rsid w:val="00000017"/>
    <w:rsid w:val="00000556"/>
    <w:rsid w:val="00000790"/>
    <w:rsid w:val="0000110B"/>
    <w:rsid w:val="0000340D"/>
    <w:rsid w:val="00003499"/>
    <w:rsid w:val="0000381B"/>
    <w:rsid w:val="000039B7"/>
    <w:rsid w:val="00004B36"/>
    <w:rsid w:val="00005169"/>
    <w:rsid w:val="000052D5"/>
    <w:rsid w:val="000056B3"/>
    <w:rsid w:val="000056B9"/>
    <w:rsid w:val="00005B2C"/>
    <w:rsid w:val="00005B86"/>
    <w:rsid w:val="0000639A"/>
    <w:rsid w:val="000064D7"/>
    <w:rsid w:val="000067C7"/>
    <w:rsid w:val="00006CD7"/>
    <w:rsid w:val="00006E08"/>
    <w:rsid w:val="00006F60"/>
    <w:rsid w:val="00010800"/>
    <w:rsid w:val="0001097E"/>
    <w:rsid w:val="00010C69"/>
    <w:rsid w:val="000116AA"/>
    <w:rsid w:val="00011F8F"/>
    <w:rsid w:val="00013247"/>
    <w:rsid w:val="00013AEE"/>
    <w:rsid w:val="00013FB3"/>
    <w:rsid w:val="0001417A"/>
    <w:rsid w:val="00014296"/>
    <w:rsid w:val="000142FA"/>
    <w:rsid w:val="00015886"/>
    <w:rsid w:val="000162EF"/>
    <w:rsid w:val="0001664C"/>
    <w:rsid w:val="00016733"/>
    <w:rsid w:val="00016C65"/>
    <w:rsid w:val="000171A7"/>
    <w:rsid w:val="00017400"/>
    <w:rsid w:val="000176AB"/>
    <w:rsid w:val="00017BA4"/>
    <w:rsid w:val="00020184"/>
    <w:rsid w:val="000202AE"/>
    <w:rsid w:val="000207C2"/>
    <w:rsid w:val="000207C9"/>
    <w:rsid w:val="00020B3A"/>
    <w:rsid w:val="000211BC"/>
    <w:rsid w:val="0002225F"/>
    <w:rsid w:val="00022293"/>
    <w:rsid w:val="000223B5"/>
    <w:rsid w:val="00022D30"/>
    <w:rsid w:val="000230CC"/>
    <w:rsid w:val="00023174"/>
    <w:rsid w:val="00023763"/>
    <w:rsid w:val="000240B4"/>
    <w:rsid w:val="00024EB5"/>
    <w:rsid w:val="0002504A"/>
    <w:rsid w:val="0002532A"/>
    <w:rsid w:val="000255CA"/>
    <w:rsid w:val="000255FA"/>
    <w:rsid w:val="0002580A"/>
    <w:rsid w:val="00025AF0"/>
    <w:rsid w:val="00025E57"/>
    <w:rsid w:val="00025F57"/>
    <w:rsid w:val="00025FAB"/>
    <w:rsid w:val="00026DDE"/>
    <w:rsid w:val="0002701A"/>
    <w:rsid w:val="0002740E"/>
    <w:rsid w:val="000274B8"/>
    <w:rsid w:val="00027593"/>
    <w:rsid w:val="00027F6D"/>
    <w:rsid w:val="00030281"/>
    <w:rsid w:val="000305FC"/>
    <w:rsid w:val="00030886"/>
    <w:rsid w:val="00030939"/>
    <w:rsid w:val="00030D70"/>
    <w:rsid w:val="00031825"/>
    <w:rsid w:val="000329DD"/>
    <w:rsid w:val="00032F2A"/>
    <w:rsid w:val="0003300D"/>
    <w:rsid w:val="00033472"/>
    <w:rsid w:val="00033863"/>
    <w:rsid w:val="00033B7F"/>
    <w:rsid w:val="000348A4"/>
    <w:rsid w:val="000350E7"/>
    <w:rsid w:val="00035352"/>
    <w:rsid w:val="000353BD"/>
    <w:rsid w:val="00035641"/>
    <w:rsid w:val="00035B79"/>
    <w:rsid w:val="00035DC0"/>
    <w:rsid w:val="00036829"/>
    <w:rsid w:val="00036D7C"/>
    <w:rsid w:val="0003702B"/>
    <w:rsid w:val="00037B75"/>
    <w:rsid w:val="00037D3C"/>
    <w:rsid w:val="00037F38"/>
    <w:rsid w:val="00040895"/>
    <w:rsid w:val="000410A0"/>
    <w:rsid w:val="00041773"/>
    <w:rsid w:val="00042C51"/>
    <w:rsid w:val="00042E2B"/>
    <w:rsid w:val="00042F2E"/>
    <w:rsid w:val="00043301"/>
    <w:rsid w:val="0004357B"/>
    <w:rsid w:val="000435EE"/>
    <w:rsid w:val="0004389A"/>
    <w:rsid w:val="00043C37"/>
    <w:rsid w:val="00044064"/>
    <w:rsid w:val="00045017"/>
    <w:rsid w:val="00045781"/>
    <w:rsid w:val="00045981"/>
    <w:rsid w:val="00045A2B"/>
    <w:rsid w:val="00045D18"/>
    <w:rsid w:val="000460DD"/>
    <w:rsid w:val="0004698F"/>
    <w:rsid w:val="00046D64"/>
    <w:rsid w:val="000478D6"/>
    <w:rsid w:val="00047A0A"/>
    <w:rsid w:val="00050184"/>
    <w:rsid w:val="000508C2"/>
    <w:rsid w:val="00050E83"/>
    <w:rsid w:val="0005122A"/>
    <w:rsid w:val="00051294"/>
    <w:rsid w:val="000519AE"/>
    <w:rsid w:val="00051D2D"/>
    <w:rsid w:val="00051D78"/>
    <w:rsid w:val="0005230A"/>
    <w:rsid w:val="00052EA7"/>
    <w:rsid w:val="000531B4"/>
    <w:rsid w:val="0005328A"/>
    <w:rsid w:val="00053563"/>
    <w:rsid w:val="00053813"/>
    <w:rsid w:val="000538EC"/>
    <w:rsid w:val="00053905"/>
    <w:rsid w:val="000539D0"/>
    <w:rsid w:val="0005428E"/>
    <w:rsid w:val="000543E2"/>
    <w:rsid w:val="000543EF"/>
    <w:rsid w:val="00054621"/>
    <w:rsid w:val="000546D7"/>
    <w:rsid w:val="00054A8D"/>
    <w:rsid w:val="0005586D"/>
    <w:rsid w:val="00055A44"/>
    <w:rsid w:val="000561EE"/>
    <w:rsid w:val="000562F3"/>
    <w:rsid w:val="00056ECF"/>
    <w:rsid w:val="00057B47"/>
    <w:rsid w:val="00060402"/>
    <w:rsid w:val="000604DF"/>
    <w:rsid w:val="00060B6D"/>
    <w:rsid w:val="000613EA"/>
    <w:rsid w:val="00061798"/>
    <w:rsid w:val="00061976"/>
    <w:rsid w:val="00061980"/>
    <w:rsid w:val="00061AD3"/>
    <w:rsid w:val="00061BF5"/>
    <w:rsid w:val="00061F72"/>
    <w:rsid w:val="0006209C"/>
    <w:rsid w:val="000628CC"/>
    <w:rsid w:val="00063D79"/>
    <w:rsid w:val="00064080"/>
    <w:rsid w:val="000645DF"/>
    <w:rsid w:val="00064A92"/>
    <w:rsid w:val="00064AB7"/>
    <w:rsid w:val="00064D1E"/>
    <w:rsid w:val="000653B5"/>
    <w:rsid w:val="0006598D"/>
    <w:rsid w:val="00065D7C"/>
    <w:rsid w:val="00066360"/>
    <w:rsid w:val="000667CB"/>
    <w:rsid w:val="000668E5"/>
    <w:rsid w:val="00066ADD"/>
    <w:rsid w:val="00066AF8"/>
    <w:rsid w:val="00067304"/>
    <w:rsid w:val="000677F6"/>
    <w:rsid w:val="000678FF"/>
    <w:rsid w:val="00067C88"/>
    <w:rsid w:val="00067D36"/>
    <w:rsid w:val="00070648"/>
    <w:rsid w:val="000707E0"/>
    <w:rsid w:val="00071248"/>
    <w:rsid w:val="000720B9"/>
    <w:rsid w:val="000726A1"/>
    <w:rsid w:val="00072C95"/>
    <w:rsid w:val="00072E92"/>
    <w:rsid w:val="00073244"/>
    <w:rsid w:val="000733FC"/>
    <w:rsid w:val="00073432"/>
    <w:rsid w:val="0007350A"/>
    <w:rsid w:val="000737F7"/>
    <w:rsid w:val="000751FC"/>
    <w:rsid w:val="000753D3"/>
    <w:rsid w:val="000754AE"/>
    <w:rsid w:val="0007672F"/>
    <w:rsid w:val="00076898"/>
    <w:rsid w:val="00076B54"/>
    <w:rsid w:val="00076F04"/>
    <w:rsid w:val="000772E3"/>
    <w:rsid w:val="0007735D"/>
    <w:rsid w:val="00077473"/>
    <w:rsid w:val="0007749B"/>
    <w:rsid w:val="000774F0"/>
    <w:rsid w:val="00077B27"/>
    <w:rsid w:val="000800FA"/>
    <w:rsid w:val="00080909"/>
    <w:rsid w:val="00080A5B"/>
    <w:rsid w:val="00080EC5"/>
    <w:rsid w:val="000812CA"/>
    <w:rsid w:val="0008196E"/>
    <w:rsid w:val="00081B3B"/>
    <w:rsid w:val="00081E63"/>
    <w:rsid w:val="0008258D"/>
    <w:rsid w:val="00082AF4"/>
    <w:rsid w:val="00082C26"/>
    <w:rsid w:val="00083E99"/>
    <w:rsid w:val="000847FB"/>
    <w:rsid w:val="000848AB"/>
    <w:rsid w:val="00084FA8"/>
    <w:rsid w:val="000856C5"/>
    <w:rsid w:val="000857DE"/>
    <w:rsid w:val="00085AF3"/>
    <w:rsid w:val="00085C31"/>
    <w:rsid w:val="00086E78"/>
    <w:rsid w:val="00087645"/>
    <w:rsid w:val="0009007E"/>
    <w:rsid w:val="000900F8"/>
    <w:rsid w:val="000902D9"/>
    <w:rsid w:val="000906D6"/>
    <w:rsid w:val="00090BD6"/>
    <w:rsid w:val="00090C7E"/>
    <w:rsid w:val="0009106C"/>
    <w:rsid w:val="000911AC"/>
    <w:rsid w:val="00091EA2"/>
    <w:rsid w:val="00092368"/>
    <w:rsid w:val="0009241D"/>
    <w:rsid w:val="000924C8"/>
    <w:rsid w:val="00092600"/>
    <w:rsid w:val="0009262B"/>
    <w:rsid w:val="00093310"/>
    <w:rsid w:val="00093834"/>
    <w:rsid w:val="00093E39"/>
    <w:rsid w:val="00093E81"/>
    <w:rsid w:val="00094255"/>
    <w:rsid w:val="0009445C"/>
    <w:rsid w:val="00094DFC"/>
    <w:rsid w:val="000951F8"/>
    <w:rsid w:val="00095200"/>
    <w:rsid w:val="00095800"/>
    <w:rsid w:val="00095DCA"/>
    <w:rsid w:val="00095E82"/>
    <w:rsid w:val="00095FE5"/>
    <w:rsid w:val="00096284"/>
    <w:rsid w:val="00096CF2"/>
    <w:rsid w:val="000976AF"/>
    <w:rsid w:val="00097723"/>
    <w:rsid w:val="00097D26"/>
    <w:rsid w:val="000A02C9"/>
    <w:rsid w:val="000A0625"/>
    <w:rsid w:val="000A0AA0"/>
    <w:rsid w:val="000A1BC0"/>
    <w:rsid w:val="000A1DC9"/>
    <w:rsid w:val="000A259B"/>
    <w:rsid w:val="000A2A0E"/>
    <w:rsid w:val="000A2F9E"/>
    <w:rsid w:val="000A333D"/>
    <w:rsid w:val="000A3360"/>
    <w:rsid w:val="000A3619"/>
    <w:rsid w:val="000A3E47"/>
    <w:rsid w:val="000A45A3"/>
    <w:rsid w:val="000A49E3"/>
    <w:rsid w:val="000A4A48"/>
    <w:rsid w:val="000A522B"/>
    <w:rsid w:val="000A55CA"/>
    <w:rsid w:val="000A5738"/>
    <w:rsid w:val="000A59D5"/>
    <w:rsid w:val="000A6039"/>
    <w:rsid w:val="000A6505"/>
    <w:rsid w:val="000A6593"/>
    <w:rsid w:val="000A65F2"/>
    <w:rsid w:val="000A6628"/>
    <w:rsid w:val="000A6AC6"/>
    <w:rsid w:val="000A6D4E"/>
    <w:rsid w:val="000A6D99"/>
    <w:rsid w:val="000A6F18"/>
    <w:rsid w:val="000A7429"/>
    <w:rsid w:val="000A7453"/>
    <w:rsid w:val="000A761A"/>
    <w:rsid w:val="000A7C65"/>
    <w:rsid w:val="000A7CAB"/>
    <w:rsid w:val="000A7D08"/>
    <w:rsid w:val="000B0121"/>
    <w:rsid w:val="000B0670"/>
    <w:rsid w:val="000B06D7"/>
    <w:rsid w:val="000B0763"/>
    <w:rsid w:val="000B0E0A"/>
    <w:rsid w:val="000B0E75"/>
    <w:rsid w:val="000B1286"/>
    <w:rsid w:val="000B1D1E"/>
    <w:rsid w:val="000B215F"/>
    <w:rsid w:val="000B24D1"/>
    <w:rsid w:val="000B2912"/>
    <w:rsid w:val="000B2DCB"/>
    <w:rsid w:val="000B442D"/>
    <w:rsid w:val="000B4ED6"/>
    <w:rsid w:val="000B4F34"/>
    <w:rsid w:val="000B5CE0"/>
    <w:rsid w:val="000B617D"/>
    <w:rsid w:val="000B676C"/>
    <w:rsid w:val="000B6A39"/>
    <w:rsid w:val="000B6CAC"/>
    <w:rsid w:val="000B748E"/>
    <w:rsid w:val="000B7612"/>
    <w:rsid w:val="000B78AE"/>
    <w:rsid w:val="000B7A74"/>
    <w:rsid w:val="000B7F74"/>
    <w:rsid w:val="000C12AB"/>
    <w:rsid w:val="000C1A4D"/>
    <w:rsid w:val="000C1ABC"/>
    <w:rsid w:val="000C1C8C"/>
    <w:rsid w:val="000C20F9"/>
    <w:rsid w:val="000C2346"/>
    <w:rsid w:val="000C27EE"/>
    <w:rsid w:val="000C31E8"/>
    <w:rsid w:val="000C33B7"/>
    <w:rsid w:val="000C3A93"/>
    <w:rsid w:val="000C3C9D"/>
    <w:rsid w:val="000C3DF9"/>
    <w:rsid w:val="000C4139"/>
    <w:rsid w:val="000C4435"/>
    <w:rsid w:val="000C4CF2"/>
    <w:rsid w:val="000C5180"/>
    <w:rsid w:val="000C5ED9"/>
    <w:rsid w:val="000C5F30"/>
    <w:rsid w:val="000C6713"/>
    <w:rsid w:val="000C6A22"/>
    <w:rsid w:val="000C71F5"/>
    <w:rsid w:val="000C754D"/>
    <w:rsid w:val="000C75E5"/>
    <w:rsid w:val="000C7FB3"/>
    <w:rsid w:val="000D0016"/>
    <w:rsid w:val="000D024A"/>
    <w:rsid w:val="000D03C2"/>
    <w:rsid w:val="000D0960"/>
    <w:rsid w:val="000D09B8"/>
    <w:rsid w:val="000D0CE7"/>
    <w:rsid w:val="000D106D"/>
    <w:rsid w:val="000D1BFC"/>
    <w:rsid w:val="000D1D5D"/>
    <w:rsid w:val="000D281A"/>
    <w:rsid w:val="000D2848"/>
    <w:rsid w:val="000D2B0F"/>
    <w:rsid w:val="000D326A"/>
    <w:rsid w:val="000D36D3"/>
    <w:rsid w:val="000D3801"/>
    <w:rsid w:val="000D3B02"/>
    <w:rsid w:val="000D3D73"/>
    <w:rsid w:val="000D436A"/>
    <w:rsid w:val="000D4842"/>
    <w:rsid w:val="000D4889"/>
    <w:rsid w:val="000D51FB"/>
    <w:rsid w:val="000D78E4"/>
    <w:rsid w:val="000E0370"/>
    <w:rsid w:val="000E0640"/>
    <w:rsid w:val="000E0804"/>
    <w:rsid w:val="000E0985"/>
    <w:rsid w:val="000E0E20"/>
    <w:rsid w:val="000E1158"/>
    <w:rsid w:val="000E1280"/>
    <w:rsid w:val="000E135D"/>
    <w:rsid w:val="000E180F"/>
    <w:rsid w:val="000E2328"/>
    <w:rsid w:val="000E2B69"/>
    <w:rsid w:val="000E38CA"/>
    <w:rsid w:val="000E396F"/>
    <w:rsid w:val="000E4668"/>
    <w:rsid w:val="000E4708"/>
    <w:rsid w:val="000E4720"/>
    <w:rsid w:val="000E53B8"/>
    <w:rsid w:val="000E5919"/>
    <w:rsid w:val="000E5C1F"/>
    <w:rsid w:val="000E5CED"/>
    <w:rsid w:val="000E7353"/>
    <w:rsid w:val="000E73FE"/>
    <w:rsid w:val="000F00BA"/>
    <w:rsid w:val="000F0B42"/>
    <w:rsid w:val="000F0BA9"/>
    <w:rsid w:val="000F0C07"/>
    <w:rsid w:val="000F0C7A"/>
    <w:rsid w:val="000F0D2D"/>
    <w:rsid w:val="000F1206"/>
    <w:rsid w:val="000F162A"/>
    <w:rsid w:val="000F19D2"/>
    <w:rsid w:val="000F2187"/>
    <w:rsid w:val="000F3017"/>
    <w:rsid w:val="000F316A"/>
    <w:rsid w:val="000F3C74"/>
    <w:rsid w:val="000F3DF8"/>
    <w:rsid w:val="000F3E9A"/>
    <w:rsid w:val="000F3FEC"/>
    <w:rsid w:val="000F4A55"/>
    <w:rsid w:val="000F4BB8"/>
    <w:rsid w:val="000F4D0A"/>
    <w:rsid w:val="000F4F5E"/>
    <w:rsid w:val="000F4FA9"/>
    <w:rsid w:val="000F53FB"/>
    <w:rsid w:val="000F5AEB"/>
    <w:rsid w:val="000F6D06"/>
    <w:rsid w:val="000F7127"/>
    <w:rsid w:val="000F7294"/>
    <w:rsid w:val="000F7613"/>
    <w:rsid w:val="000F7752"/>
    <w:rsid w:val="000F7AB7"/>
    <w:rsid w:val="000F7B54"/>
    <w:rsid w:val="001000B3"/>
    <w:rsid w:val="00100398"/>
    <w:rsid w:val="001004A4"/>
    <w:rsid w:val="00100F8A"/>
    <w:rsid w:val="001012E1"/>
    <w:rsid w:val="00101589"/>
    <w:rsid w:val="00101B7E"/>
    <w:rsid w:val="001026E2"/>
    <w:rsid w:val="00102813"/>
    <w:rsid w:val="0010452E"/>
    <w:rsid w:val="00104BBD"/>
    <w:rsid w:val="00105029"/>
    <w:rsid w:val="00105AE2"/>
    <w:rsid w:val="00105AF5"/>
    <w:rsid w:val="00105B4A"/>
    <w:rsid w:val="001060C6"/>
    <w:rsid w:val="001062D2"/>
    <w:rsid w:val="00106B80"/>
    <w:rsid w:val="00106C31"/>
    <w:rsid w:val="001074C7"/>
    <w:rsid w:val="0011018C"/>
    <w:rsid w:val="0011029E"/>
    <w:rsid w:val="0011032E"/>
    <w:rsid w:val="00110A43"/>
    <w:rsid w:val="00111CB8"/>
    <w:rsid w:val="00112135"/>
    <w:rsid w:val="001124B1"/>
    <w:rsid w:val="00112510"/>
    <w:rsid w:val="0011348B"/>
    <w:rsid w:val="0011386B"/>
    <w:rsid w:val="00113EFC"/>
    <w:rsid w:val="00114107"/>
    <w:rsid w:val="001152AF"/>
    <w:rsid w:val="00115982"/>
    <w:rsid w:val="001164FE"/>
    <w:rsid w:val="00116538"/>
    <w:rsid w:val="00116995"/>
    <w:rsid w:val="00116C53"/>
    <w:rsid w:val="00116E40"/>
    <w:rsid w:val="00117011"/>
    <w:rsid w:val="00117395"/>
    <w:rsid w:val="00117766"/>
    <w:rsid w:val="001205EA"/>
    <w:rsid w:val="001210F2"/>
    <w:rsid w:val="00121799"/>
    <w:rsid w:val="00121F87"/>
    <w:rsid w:val="00122003"/>
    <w:rsid w:val="001222FC"/>
    <w:rsid w:val="00122A53"/>
    <w:rsid w:val="00123773"/>
    <w:rsid w:val="00123902"/>
    <w:rsid w:val="001244FA"/>
    <w:rsid w:val="0012479E"/>
    <w:rsid w:val="0012482E"/>
    <w:rsid w:val="00124A51"/>
    <w:rsid w:val="00124FEA"/>
    <w:rsid w:val="001251FB"/>
    <w:rsid w:val="00125242"/>
    <w:rsid w:val="00125D55"/>
    <w:rsid w:val="00125D62"/>
    <w:rsid w:val="001260F9"/>
    <w:rsid w:val="0012620D"/>
    <w:rsid w:val="00126621"/>
    <w:rsid w:val="00126681"/>
    <w:rsid w:val="00126B1D"/>
    <w:rsid w:val="00126B22"/>
    <w:rsid w:val="00126FF1"/>
    <w:rsid w:val="00130093"/>
    <w:rsid w:val="001301E9"/>
    <w:rsid w:val="001307EA"/>
    <w:rsid w:val="00130994"/>
    <w:rsid w:val="00130B82"/>
    <w:rsid w:val="001315DD"/>
    <w:rsid w:val="001318E2"/>
    <w:rsid w:val="00131A25"/>
    <w:rsid w:val="00131D82"/>
    <w:rsid w:val="00132B22"/>
    <w:rsid w:val="001331CC"/>
    <w:rsid w:val="0013330A"/>
    <w:rsid w:val="001333F8"/>
    <w:rsid w:val="00133963"/>
    <w:rsid w:val="00133D36"/>
    <w:rsid w:val="00133FC8"/>
    <w:rsid w:val="00134C6D"/>
    <w:rsid w:val="00134CEF"/>
    <w:rsid w:val="00136541"/>
    <w:rsid w:val="00136AC8"/>
    <w:rsid w:val="00136C46"/>
    <w:rsid w:val="00136E07"/>
    <w:rsid w:val="001371BC"/>
    <w:rsid w:val="00137645"/>
    <w:rsid w:val="001376BF"/>
    <w:rsid w:val="0014015A"/>
    <w:rsid w:val="001404FD"/>
    <w:rsid w:val="001407A2"/>
    <w:rsid w:val="00140E99"/>
    <w:rsid w:val="00141983"/>
    <w:rsid w:val="00141DC4"/>
    <w:rsid w:val="00141E0C"/>
    <w:rsid w:val="00142079"/>
    <w:rsid w:val="00142284"/>
    <w:rsid w:val="00142295"/>
    <w:rsid w:val="00143F67"/>
    <w:rsid w:val="00144269"/>
    <w:rsid w:val="001447B2"/>
    <w:rsid w:val="00144C84"/>
    <w:rsid w:val="00144E5A"/>
    <w:rsid w:val="00145234"/>
    <w:rsid w:val="0014526A"/>
    <w:rsid w:val="00145540"/>
    <w:rsid w:val="001456B0"/>
    <w:rsid w:val="00145903"/>
    <w:rsid w:val="00145EE4"/>
    <w:rsid w:val="00146EAF"/>
    <w:rsid w:val="0014723D"/>
    <w:rsid w:val="001473CE"/>
    <w:rsid w:val="001479E1"/>
    <w:rsid w:val="00150504"/>
    <w:rsid w:val="0015085D"/>
    <w:rsid w:val="00150FAD"/>
    <w:rsid w:val="00151259"/>
    <w:rsid w:val="00151B24"/>
    <w:rsid w:val="001520F7"/>
    <w:rsid w:val="001522ED"/>
    <w:rsid w:val="00152CA6"/>
    <w:rsid w:val="001530CB"/>
    <w:rsid w:val="00153778"/>
    <w:rsid w:val="0015440C"/>
    <w:rsid w:val="001547AB"/>
    <w:rsid w:val="00154C3F"/>
    <w:rsid w:val="00154F6F"/>
    <w:rsid w:val="00155070"/>
    <w:rsid w:val="001558C2"/>
    <w:rsid w:val="00155E34"/>
    <w:rsid w:val="00156176"/>
    <w:rsid w:val="001564F9"/>
    <w:rsid w:val="00156F8F"/>
    <w:rsid w:val="00157092"/>
    <w:rsid w:val="00157130"/>
    <w:rsid w:val="001575E8"/>
    <w:rsid w:val="001576B1"/>
    <w:rsid w:val="001579D1"/>
    <w:rsid w:val="00157D2A"/>
    <w:rsid w:val="0016047B"/>
    <w:rsid w:val="0016068E"/>
    <w:rsid w:val="00160A4C"/>
    <w:rsid w:val="00161104"/>
    <w:rsid w:val="001614E4"/>
    <w:rsid w:val="00161C17"/>
    <w:rsid w:val="00162913"/>
    <w:rsid w:val="00162CB0"/>
    <w:rsid w:val="00162E82"/>
    <w:rsid w:val="00162EB8"/>
    <w:rsid w:val="00163E98"/>
    <w:rsid w:val="00163EFF"/>
    <w:rsid w:val="00163F66"/>
    <w:rsid w:val="00164121"/>
    <w:rsid w:val="0016478E"/>
    <w:rsid w:val="00164E91"/>
    <w:rsid w:val="00165243"/>
    <w:rsid w:val="00165EC4"/>
    <w:rsid w:val="0016610A"/>
    <w:rsid w:val="00166193"/>
    <w:rsid w:val="001661FB"/>
    <w:rsid w:val="0016664F"/>
    <w:rsid w:val="00166A47"/>
    <w:rsid w:val="00166E53"/>
    <w:rsid w:val="001671A0"/>
    <w:rsid w:val="0016767F"/>
    <w:rsid w:val="0017028D"/>
    <w:rsid w:val="001704F6"/>
    <w:rsid w:val="001713A5"/>
    <w:rsid w:val="00171487"/>
    <w:rsid w:val="00172099"/>
    <w:rsid w:val="00172184"/>
    <w:rsid w:val="0017245C"/>
    <w:rsid w:val="001730BC"/>
    <w:rsid w:val="00173565"/>
    <w:rsid w:val="00173B07"/>
    <w:rsid w:val="001741B6"/>
    <w:rsid w:val="00174FE4"/>
    <w:rsid w:val="001751FA"/>
    <w:rsid w:val="00175672"/>
    <w:rsid w:val="00176000"/>
    <w:rsid w:val="00176873"/>
    <w:rsid w:val="001773D6"/>
    <w:rsid w:val="00180FA9"/>
    <w:rsid w:val="001815D7"/>
    <w:rsid w:val="00181C10"/>
    <w:rsid w:val="00181C64"/>
    <w:rsid w:val="00181D9C"/>
    <w:rsid w:val="001823A1"/>
    <w:rsid w:val="001826E4"/>
    <w:rsid w:val="001829E9"/>
    <w:rsid w:val="001837FF"/>
    <w:rsid w:val="001839F1"/>
    <w:rsid w:val="00183A39"/>
    <w:rsid w:val="00183B37"/>
    <w:rsid w:val="00183BA0"/>
    <w:rsid w:val="00184B0E"/>
    <w:rsid w:val="00184C44"/>
    <w:rsid w:val="00184C51"/>
    <w:rsid w:val="00184C92"/>
    <w:rsid w:val="00184E48"/>
    <w:rsid w:val="00185505"/>
    <w:rsid w:val="001855B9"/>
    <w:rsid w:val="00185636"/>
    <w:rsid w:val="001858EC"/>
    <w:rsid w:val="001859DF"/>
    <w:rsid w:val="0018752F"/>
    <w:rsid w:val="00187A7B"/>
    <w:rsid w:val="00187D9F"/>
    <w:rsid w:val="00187FF4"/>
    <w:rsid w:val="00190547"/>
    <w:rsid w:val="001906A1"/>
    <w:rsid w:val="00190905"/>
    <w:rsid w:val="00190DE4"/>
    <w:rsid w:val="00190E46"/>
    <w:rsid w:val="00191427"/>
    <w:rsid w:val="0019168E"/>
    <w:rsid w:val="0019278C"/>
    <w:rsid w:val="0019297B"/>
    <w:rsid w:val="00193838"/>
    <w:rsid w:val="00193B1B"/>
    <w:rsid w:val="00193F4E"/>
    <w:rsid w:val="00194225"/>
    <w:rsid w:val="001943AB"/>
    <w:rsid w:val="00194AD8"/>
    <w:rsid w:val="001950C6"/>
    <w:rsid w:val="00195222"/>
    <w:rsid w:val="00195452"/>
    <w:rsid w:val="00195948"/>
    <w:rsid w:val="00195EF1"/>
    <w:rsid w:val="00196D5D"/>
    <w:rsid w:val="001975D8"/>
    <w:rsid w:val="00197779"/>
    <w:rsid w:val="001978D9"/>
    <w:rsid w:val="001A0045"/>
    <w:rsid w:val="001A010D"/>
    <w:rsid w:val="001A0370"/>
    <w:rsid w:val="001A0C19"/>
    <w:rsid w:val="001A178E"/>
    <w:rsid w:val="001A1DA3"/>
    <w:rsid w:val="001A1DF2"/>
    <w:rsid w:val="001A2894"/>
    <w:rsid w:val="001A29F1"/>
    <w:rsid w:val="001A2D53"/>
    <w:rsid w:val="001A3534"/>
    <w:rsid w:val="001A35E8"/>
    <w:rsid w:val="001A3A8F"/>
    <w:rsid w:val="001A3C5C"/>
    <w:rsid w:val="001A3FFC"/>
    <w:rsid w:val="001A40F4"/>
    <w:rsid w:val="001A41F7"/>
    <w:rsid w:val="001A43FA"/>
    <w:rsid w:val="001A47C5"/>
    <w:rsid w:val="001A4A6A"/>
    <w:rsid w:val="001A4AC8"/>
    <w:rsid w:val="001A4FCD"/>
    <w:rsid w:val="001A5252"/>
    <w:rsid w:val="001A59FB"/>
    <w:rsid w:val="001A5AB4"/>
    <w:rsid w:val="001A5AD0"/>
    <w:rsid w:val="001A5C2D"/>
    <w:rsid w:val="001A5E9E"/>
    <w:rsid w:val="001A6354"/>
    <w:rsid w:val="001A6366"/>
    <w:rsid w:val="001A6DD4"/>
    <w:rsid w:val="001A6F0C"/>
    <w:rsid w:val="001A70A6"/>
    <w:rsid w:val="001A78FB"/>
    <w:rsid w:val="001A7A8E"/>
    <w:rsid w:val="001A7ACA"/>
    <w:rsid w:val="001A7AE8"/>
    <w:rsid w:val="001B05EC"/>
    <w:rsid w:val="001B078E"/>
    <w:rsid w:val="001B08F9"/>
    <w:rsid w:val="001B1E06"/>
    <w:rsid w:val="001B204E"/>
    <w:rsid w:val="001B2372"/>
    <w:rsid w:val="001B329C"/>
    <w:rsid w:val="001B3443"/>
    <w:rsid w:val="001B36C2"/>
    <w:rsid w:val="001B3CB8"/>
    <w:rsid w:val="001B3E30"/>
    <w:rsid w:val="001B412C"/>
    <w:rsid w:val="001B4D20"/>
    <w:rsid w:val="001B5300"/>
    <w:rsid w:val="001B5BD0"/>
    <w:rsid w:val="001B5C77"/>
    <w:rsid w:val="001B65C2"/>
    <w:rsid w:val="001B67B8"/>
    <w:rsid w:val="001B7865"/>
    <w:rsid w:val="001B78FB"/>
    <w:rsid w:val="001B7F84"/>
    <w:rsid w:val="001C04A2"/>
    <w:rsid w:val="001C0A45"/>
    <w:rsid w:val="001C0FBA"/>
    <w:rsid w:val="001C1888"/>
    <w:rsid w:val="001C1B1A"/>
    <w:rsid w:val="001C2017"/>
    <w:rsid w:val="001C204F"/>
    <w:rsid w:val="001C2572"/>
    <w:rsid w:val="001C2A9B"/>
    <w:rsid w:val="001C3189"/>
    <w:rsid w:val="001C35C3"/>
    <w:rsid w:val="001C369E"/>
    <w:rsid w:val="001C3730"/>
    <w:rsid w:val="001C397D"/>
    <w:rsid w:val="001C3DD6"/>
    <w:rsid w:val="001C403D"/>
    <w:rsid w:val="001C4299"/>
    <w:rsid w:val="001C445D"/>
    <w:rsid w:val="001C4874"/>
    <w:rsid w:val="001C4F2C"/>
    <w:rsid w:val="001C55A9"/>
    <w:rsid w:val="001C5F94"/>
    <w:rsid w:val="001C685E"/>
    <w:rsid w:val="001C6E66"/>
    <w:rsid w:val="001C7354"/>
    <w:rsid w:val="001C7823"/>
    <w:rsid w:val="001C79AA"/>
    <w:rsid w:val="001C7EDF"/>
    <w:rsid w:val="001D0452"/>
    <w:rsid w:val="001D0713"/>
    <w:rsid w:val="001D1100"/>
    <w:rsid w:val="001D1391"/>
    <w:rsid w:val="001D17A9"/>
    <w:rsid w:val="001D1B65"/>
    <w:rsid w:val="001D1C4B"/>
    <w:rsid w:val="001D1ED0"/>
    <w:rsid w:val="001D25D7"/>
    <w:rsid w:val="001D382E"/>
    <w:rsid w:val="001D46FE"/>
    <w:rsid w:val="001D4A73"/>
    <w:rsid w:val="001D4E79"/>
    <w:rsid w:val="001D50B2"/>
    <w:rsid w:val="001D666E"/>
    <w:rsid w:val="001D6892"/>
    <w:rsid w:val="001D6BEA"/>
    <w:rsid w:val="001D70D7"/>
    <w:rsid w:val="001D71F4"/>
    <w:rsid w:val="001D7645"/>
    <w:rsid w:val="001D7BD8"/>
    <w:rsid w:val="001E062F"/>
    <w:rsid w:val="001E0B98"/>
    <w:rsid w:val="001E0EFB"/>
    <w:rsid w:val="001E0FEA"/>
    <w:rsid w:val="001E0FED"/>
    <w:rsid w:val="001E14D1"/>
    <w:rsid w:val="001E1C1C"/>
    <w:rsid w:val="001E1E86"/>
    <w:rsid w:val="001E1F25"/>
    <w:rsid w:val="001E2188"/>
    <w:rsid w:val="001E238E"/>
    <w:rsid w:val="001E2483"/>
    <w:rsid w:val="001E2A8C"/>
    <w:rsid w:val="001E2B1E"/>
    <w:rsid w:val="001E2B43"/>
    <w:rsid w:val="001E2CFF"/>
    <w:rsid w:val="001E2F24"/>
    <w:rsid w:val="001E301C"/>
    <w:rsid w:val="001E30D4"/>
    <w:rsid w:val="001E34DF"/>
    <w:rsid w:val="001E3842"/>
    <w:rsid w:val="001E385E"/>
    <w:rsid w:val="001E3F06"/>
    <w:rsid w:val="001E4340"/>
    <w:rsid w:val="001E47FF"/>
    <w:rsid w:val="001E524A"/>
    <w:rsid w:val="001E52EB"/>
    <w:rsid w:val="001E5876"/>
    <w:rsid w:val="001E5AFD"/>
    <w:rsid w:val="001E5E95"/>
    <w:rsid w:val="001E606E"/>
    <w:rsid w:val="001E60E6"/>
    <w:rsid w:val="001E61D2"/>
    <w:rsid w:val="001E740C"/>
    <w:rsid w:val="001E7C25"/>
    <w:rsid w:val="001E7C29"/>
    <w:rsid w:val="001E7C4E"/>
    <w:rsid w:val="001E7EDC"/>
    <w:rsid w:val="001F0629"/>
    <w:rsid w:val="001F1235"/>
    <w:rsid w:val="001F1573"/>
    <w:rsid w:val="001F1613"/>
    <w:rsid w:val="001F1CB3"/>
    <w:rsid w:val="001F2393"/>
    <w:rsid w:val="001F2B45"/>
    <w:rsid w:val="001F38B5"/>
    <w:rsid w:val="001F4081"/>
    <w:rsid w:val="001F440A"/>
    <w:rsid w:val="001F462D"/>
    <w:rsid w:val="001F4DB3"/>
    <w:rsid w:val="001F5004"/>
    <w:rsid w:val="001F5B0F"/>
    <w:rsid w:val="001F5B38"/>
    <w:rsid w:val="001F60AA"/>
    <w:rsid w:val="001F6228"/>
    <w:rsid w:val="001F696E"/>
    <w:rsid w:val="001F7361"/>
    <w:rsid w:val="001F76B3"/>
    <w:rsid w:val="001F7A62"/>
    <w:rsid w:val="001F7CD8"/>
    <w:rsid w:val="00200121"/>
    <w:rsid w:val="00200982"/>
    <w:rsid w:val="00200A6D"/>
    <w:rsid w:val="002011B0"/>
    <w:rsid w:val="00201E7A"/>
    <w:rsid w:val="00203181"/>
    <w:rsid w:val="00203783"/>
    <w:rsid w:val="0020385F"/>
    <w:rsid w:val="00203E59"/>
    <w:rsid w:val="0020466C"/>
    <w:rsid w:val="00205AFA"/>
    <w:rsid w:val="00205D15"/>
    <w:rsid w:val="00206139"/>
    <w:rsid w:val="002068A0"/>
    <w:rsid w:val="00206FCD"/>
    <w:rsid w:val="00207021"/>
    <w:rsid w:val="002070FE"/>
    <w:rsid w:val="0020732F"/>
    <w:rsid w:val="002074A5"/>
    <w:rsid w:val="00207818"/>
    <w:rsid w:val="00207D00"/>
    <w:rsid w:val="002105C1"/>
    <w:rsid w:val="00210749"/>
    <w:rsid w:val="00210C9B"/>
    <w:rsid w:val="00211143"/>
    <w:rsid w:val="00211288"/>
    <w:rsid w:val="002116FD"/>
    <w:rsid w:val="002118BF"/>
    <w:rsid w:val="00212B61"/>
    <w:rsid w:val="00213178"/>
    <w:rsid w:val="00213EF5"/>
    <w:rsid w:val="00214541"/>
    <w:rsid w:val="002150D3"/>
    <w:rsid w:val="00215C85"/>
    <w:rsid w:val="00216BF5"/>
    <w:rsid w:val="00216FAB"/>
    <w:rsid w:val="00217479"/>
    <w:rsid w:val="002178C1"/>
    <w:rsid w:val="00217EEB"/>
    <w:rsid w:val="0022074E"/>
    <w:rsid w:val="0022108F"/>
    <w:rsid w:val="00221671"/>
    <w:rsid w:val="002219B3"/>
    <w:rsid w:val="00221B63"/>
    <w:rsid w:val="0022236B"/>
    <w:rsid w:val="00222C3D"/>
    <w:rsid w:val="00222F00"/>
    <w:rsid w:val="00223B49"/>
    <w:rsid w:val="00223D5A"/>
    <w:rsid w:val="00224DD4"/>
    <w:rsid w:val="00225061"/>
    <w:rsid w:val="00225857"/>
    <w:rsid w:val="00226078"/>
    <w:rsid w:val="00226A91"/>
    <w:rsid w:val="002278A0"/>
    <w:rsid w:val="00227D90"/>
    <w:rsid w:val="002309CC"/>
    <w:rsid w:val="00230F52"/>
    <w:rsid w:val="002315C5"/>
    <w:rsid w:val="00231BA9"/>
    <w:rsid w:val="00231F53"/>
    <w:rsid w:val="0023209F"/>
    <w:rsid w:val="00232361"/>
    <w:rsid w:val="00233C01"/>
    <w:rsid w:val="00233DA4"/>
    <w:rsid w:val="0023413C"/>
    <w:rsid w:val="00234387"/>
    <w:rsid w:val="002346F0"/>
    <w:rsid w:val="002357C2"/>
    <w:rsid w:val="002359C3"/>
    <w:rsid w:val="00235D34"/>
    <w:rsid w:val="00235FDF"/>
    <w:rsid w:val="0023618A"/>
    <w:rsid w:val="0023629D"/>
    <w:rsid w:val="00236702"/>
    <w:rsid w:val="00236C0C"/>
    <w:rsid w:val="00236E49"/>
    <w:rsid w:val="00236E4D"/>
    <w:rsid w:val="0023707C"/>
    <w:rsid w:val="00237255"/>
    <w:rsid w:val="00237724"/>
    <w:rsid w:val="00237960"/>
    <w:rsid w:val="00240099"/>
    <w:rsid w:val="00240160"/>
    <w:rsid w:val="00240209"/>
    <w:rsid w:val="002409D6"/>
    <w:rsid w:val="002410A1"/>
    <w:rsid w:val="002411AB"/>
    <w:rsid w:val="002414BC"/>
    <w:rsid w:val="00241F0D"/>
    <w:rsid w:val="00242114"/>
    <w:rsid w:val="00242339"/>
    <w:rsid w:val="002424AF"/>
    <w:rsid w:val="0024255D"/>
    <w:rsid w:val="00242616"/>
    <w:rsid w:val="00242751"/>
    <w:rsid w:val="00242B9B"/>
    <w:rsid w:val="00242F03"/>
    <w:rsid w:val="002432CF"/>
    <w:rsid w:val="00243371"/>
    <w:rsid w:val="002434DB"/>
    <w:rsid w:val="002435AA"/>
    <w:rsid w:val="002439B6"/>
    <w:rsid w:val="002439DC"/>
    <w:rsid w:val="00243DFF"/>
    <w:rsid w:val="002441D2"/>
    <w:rsid w:val="00244CA6"/>
    <w:rsid w:val="00244D9D"/>
    <w:rsid w:val="00244DC8"/>
    <w:rsid w:val="0024521A"/>
    <w:rsid w:val="002458BA"/>
    <w:rsid w:val="00245CE9"/>
    <w:rsid w:val="00245F0E"/>
    <w:rsid w:val="0024636C"/>
    <w:rsid w:val="00247052"/>
    <w:rsid w:val="00247925"/>
    <w:rsid w:val="00251006"/>
    <w:rsid w:val="00251699"/>
    <w:rsid w:val="002524D5"/>
    <w:rsid w:val="0025252E"/>
    <w:rsid w:val="00252C42"/>
    <w:rsid w:val="00252F40"/>
    <w:rsid w:val="00253430"/>
    <w:rsid w:val="002538BE"/>
    <w:rsid w:val="00253B1D"/>
    <w:rsid w:val="00253F70"/>
    <w:rsid w:val="002547CF"/>
    <w:rsid w:val="002549AB"/>
    <w:rsid w:val="00254DCF"/>
    <w:rsid w:val="0025534B"/>
    <w:rsid w:val="002554D6"/>
    <w:rsid w:val="00255BB7"/>
    <w:rsid w:val="00255F11"/>
    <w:rsid w:val="0025703F"/>
    <w:rsid w:val="0025704E"/>
    <w:rsid w:val="002570C4"/>
    <w:rsid w:val="00257541"/>
    <w:rsid w:val="00257864"/>
    <w:rsid w:val="00257A39"/>
    <w:rsid w:val="00257AC4"/>
    <w:rsid w:val="00257BBE"/>
    <w:rsid w:val="002604C5"/>
    <w:rsid w:val="002608E0"/>
    <w:rsid w:val="00260986"/>
    <w:rsid w:val="00260EA3"/>
    <w:rsid w:val="00261157"/>
    <w:rsid w:val="00261461"/>
    <w:rsid w:val="00261C5E"/>
    <w:rsid w:val="00261EEF"/>
    <w:rsid w:val="002620FC"/>
    <w:rsid w:val="00262207"/>
    <w:rsid w:val="00262A1A"/>
    <w:rsid w:val="00262A87"/>
    <w:rsid w:val="00262F06"/>
    <w:rsid w:val="00263371"/>
    <w:rsid w:val="00263A7A"/>
    <w:rsid w:val="00264081"/>
    <w:rsid w:val="00264263"/>
    <w:rsid w:val="00264D26"/>
    <w:rsid w:val="00265054"/>
    <w:rsid w:val="002651CC"/>
    <w:rsid w:val="00265438"/>
    <w:rsid w:val="0026555B"/>
    <w:rsid w:val="002669A8"/>
    <w:rsid w:val="00266F13"/>
    <w:rsid w:val="002670D9"/>
    <w:rsid w:val="00267642"/>
    <w:rsid w:val="00267AEA"/>
    <w:rsid w:val="002700E6"/>
    <w:rsid w:val="002708B1"/>
    <w:rsid w:val="00270DC0"/>
    <w:rsid w:val="0027116D"/>
    <w:rsid w:val="002715D3"/>
    <w:rsid w:val="002716C2"/>
    <w:rsid w:val="002718BE"/>
    <w:rsid w:val="0027294B"/>
    <w:rsid w:val="002729A9"/>
    <w:rsid w:val="00272D63"/>
    <w:rsid w:val="00272E1C"/>
    <w:rsid w:val="00273771"/>
    <w:rsid w:val="00273D0C"/>
    <w:rsid w:val="00273DCB"/>
    <w:rsid w:val="00273EB4"/>
    <w:rsid w:val="00273F34"/>
    <w:rsid w:val="0027402A"/>
    <w:rsid w:val="002744AF"/>
    <w:rsid w:val="00274682"/>
    <w:rsid w:val="002746DA"/>
    <w:rsid w:val="002749DD"/>
    <w:rsid w:val="00275158"/>
    <w:rsid w:val="002752DC"/>
    <w:rsid w:val="00275491"/>
    <w:rsid w:val="00275849"/>
    <w:rsid w:val="00275C5A"/>
    <w:rsid w:val="00276F30"/>
    <w:rsid w:val="00277043"/>
    <w:rsid w:val="00277496"/>
    <w:rsid w:val="00277F88"/>
    <w:rsid w:val="00280C9E"/>
    <w:rsid w:val="00281014"/>
    <w:rsid w:val="00281E7E"/>
    <w:rsid w:val="002823A7"/>
    <w:rsid w:val="0028240E"/>
    <w:rsid w:val="00283468"/>
    <w:rsid w:val="0028365D"/>
    <w:rsid w:val="00283944"/>
    <w:rsid w:val="002841DF"/>
    <w:rsid w:val="00284440"/>
    <w:rsid w:val="002844F3"/>
    <w:rsid w:val="0028550D"/>
    <w:rsid w:val="00285755"/>
    <w:rsid w:val="00285BCE"/>
    <w:rsid w:val="002865E7"/>
    <w:rsid w:val="0028665D"/>
    <w:rsid w:val="002866F1"/>
    <w:rsid w:val="00286ADB"/>
    <w:rsid w:val="00287150"/>
    <w:rsid w:val="002878F3"/>
    <w:rsid w:val="00287DD8"/>
    <w:rsid w:val="00290AAD"/>
    <w:rsid w:val="00291065"/>
    <w:rsid w:val="0029144C"/>
    <w:rsid w:val="00291C67"/>
    <w:rsid w:val="002921D1"/>
    <w:rsid w:val="002927D2"/>
    <w:rsid w:val="002931DB"/>
    <w:rsid w:val="00293B85"/>
    <w:rsid w:val="00293C1E"/>
    <w:rsid w:val="00293CF2"/>
    <w:rsid w:val="00293D34"/>
    <w:rsid w:val="002945FA"/>
    <w:rsid w:val="00295876"/>
    <w:rsid w:val="00295EE3"/>
    <w:rsid w:val="00296409"/>
    <w:rsid w:val="00296764"/>
    <w:rsid w:val="00297646"/>
    <w:rsid w:val="0029784D"/>
    <w:rsid w:val="0029791E"/>
    <w:rsid w:val="00297CC6"/>
    <w:rsid w:val="00297DC9"/>
    <w:rsid w:val="002A00EE"/>
    <w:rsid w:val="002A0A30"/>
    <w:rsid w:val="002A0B96"/>
    <w:rsid w:val="002A109B"/>
    <w:rsid w:val="002A1311"/>
    <w:rsid w:val="002A14AB"/>
    <w:rsid w:val="002A152D"/>
    <w:rsid w:val="002A1A37"/>
    <w:rsid w:val="002A1C27"/>
    <w:rsid w:val="002A2ADE"/>
    <w:rsid w:val="002A2F50"/>
    <w:rsid w:val="002A379B"/>
    <w:rsid w:val="002A37EC"/>
    <w:rsid w:val="002A3E11"/>
    <w:rsid w:val="002A3F3B"/>
    <w:rsid w:val="002A4A7F"/>
    <w:rsid w:val="002A4D6E"/>
    <w:rsid w:val="002A577F"/>
    <w:rsid w:val="002A58C9"/>
    <w:rsid w:val="002A58E3"/>
    <w:rsid w:val="002A5AB7"/>
    <w:rsid w:val="002A5DE5"/>
    <w:rsid w:val="002A5FF5"/>
    <w:rsid w:val="002A6070"/>
    <w:rsid w:val="002A6593"/>
    <w:rsid w:val="002A662D"/>
    <w:rsid w:val="002A6923"/>
    <w:rsid w:val="002A6934"/>
    <w:rsid w:val="002A6A7B"/>
    <w:rsid w:val="002A7943"/>
    <w:rsid w:val="002A7C05"/>
    <w:rsid w:val="002B05A1"/>
    <w:rsid w:val="002B09A4"/>
    <w:rsid w:val="002B0D63"/>
    <w:rsid w:val="002B14E3"/>
    <w:rsid w:val="002B1C1F"/>
    <w:rsid w:val="002B2FF3"/>
    <w:rsid w:val="002B3D3B"/>
    <w:rsid w:val="002B432F"/>
    <w:rsid w:val="002B44A0"/>
    <w:rsid w:val="002B47E4"/>
    <w:rsid w:val="002B5D04"/>
    <w:rsid w:val="002B62B3"/>
    <w:rsid w:val="002B6754"/>
    <w:rsid w:val="002B6C5E"/>
    <w:rsid w:val="002B6CCE"/>
    <w:rsid w:val="002B6E5B"/>
    <w:rsid w:val="002B7760"/>
    <w:rsid w:val="002B7EC3"/>
    <w:rsid w:val="002C1010"/>
    <w:rsid w:val="002C151C"/>
    <w:rsid w:val="002C18A6"/>
    <w:rsid w:val="002C2510"/>
    <w:rsid w:val="002C2775"/>
    <w:rsid w:val="002C27C1"/>
    <w:rsid w:val="002C2D3B"/>
    <w:rsid w:val="002C369A"/>
    <w:rsid w:val="002C36E3"/>
    <w:rsid w:val="002C3767"/>
    <w:rsid w:val="002C3C0A"/>
    <w:rsid w:val="002C4087"/>
    <w:rsid w:val="002C410E"/>
    <w:rsid w:val="002C47C9"/>
    <w:rsid w:val="002C48FA"/>
    <w:rsid w:val="002C5099"/>
    <w:rsid w:val="002C544B"/>
    <w:rsid w:val="002C5889"/>
    <w:rsid w:val="002C5E2E"/>
    <w:rsid w:val="002C6918"/>
    <w:rsid w:val="002C6C6B"/>
    <w:rsid w:val="002C6E36"/>
    <w:rsid w:val="002C71CE"/>
    <w:rsid w:val="002C7B3B"/>
    <w:rsid w:val="002C7DA0"/>
    <w:rsid w:val="002C7F91"/>
    <w:rsid w:val="002D08F8"/>
    <w:rsid w:val="002D0B9E"/>
    <w:rsid w:val="002D12CB"/>
    <w:rsid w:val="002D1ACE"/>
    <w:rsid w:val="002D1F67"/>
    <w:rsid w:val="002D23A1"/>
    <w:rsid w:val="002D289C"/>
    <w:rsid w:val="002D2A75"/>
    <w:rsid w:val="002D32A4"/>
    <w:rsid w:val="002D3CF3"/>
    <w:rsid w:val="002D4044"/>
    <w:rsid w:val="002D577C"/>
    <w:rsid w:val="002D5A55"/>
    <w:rsid w:val="002D5AE9"/>
    <w:rsid w:val="002D5CAF"/>
    <w:rsid w:val="002D6DAB"/>
    <w:rsid w:val="002D709A"/>
    <w:rsid w:val="002D76C8"/>
    <w:rsid w:val="002D7832"/>
    <w:rsid w:val="002D7959"/>
    <w:rsid w:val="002D7FEF"/>
    <w:rsid w:val="002E0A33"/>
    <w:rsid w:val="002E0E13"/>
    <w:rsid w:val="002E1071"/>
    <w:rsid w:val="002E11B0"/>
    <w:rsid w:val="002E1243"/>
    <w:rsid w:val="002E12EA"/>
    <w:rsid w:val="002E15B9"/>
    <w:rsid w:val="002E1A8E"/>
    <w:rsid w:val="002E1BCA"/>
    <w:rsid w:val="002E1CC6"/>
    <w:rsid w:val="002E1E68"/>
    <w:rsid w:val="002E2158"/>
    <w:rsid w:val="002E2504"/>
    <w:rsid w:val="002E32B1"/>
    <w:rsid w:val="002E33EB"/>
    <w:rsid w:val="002E347D"/>
    <w:rsid w:val="002E357F"/>
    <w:rsid w:val="002E390E"/>
    <w:rsid w:val="002E3AA4"/>
    <w:rsid w:val="002E3B9A"/>
    <w:rsid w:val="002E466F"/>
    <w:rsid w:val="002E4AFF"/>
    <w:rsid w:val="002E4CB4"/>
    <w:rsid w:val="002E4F02"/>
    <w:rsid w:val="002E6476"/>
    <w:rsid w:val="002E69A6"/>
    <w:rsid w:val="002E73B6"/>
    <w:rsid w:val="002E7722"/>
    <w:rsid w:val="002F07BA"/>
    <w:rsid w:val="002F0A2E"/>
    <w:rsid w:val="002F0DA9"/>
    <w:rsid w:val="002F0EC6"/>
    <w:rsid w:val="002F1014"/>
    <w:rsid w:val="002F1825"/>
    <w:rsid w:val="002F1928"/>
    <w:rsid w:val="002F1992"/>
    <w:rsid w:val="002F1E3B"/>
    <w:rsid w:val="002F2634"/>
    <w:rsid w:val="002F28B0"/>
    <w:rsid w:val="002F2DDB"/>
    <w:rsid w:val="002F328A"/>
    <w:rsid w:val="002F343B"/>
    <w:rsid w:val="002F3465"/>
    <w:rsid w:val="002F357F"/>
    <w:rsid w:val="002F438E"/>
    <w:rsid w:val="002F5154"/>
    <w:rsid w:val="002F643C"/>
    <w:rsid w:val="002F651F"/>
    <w:rsid w:val="002F6999"/>
    <w:rsid w:val="002F708B"/>
    <w:rsid w:val="002F71C0"/>
    <w:rsid w:val="002F74F1"/>
    <w:rsid w:val="002F7518"/>
    <w:rsid w:val="002F7D4F"/>
    <w:rsid w:val="002F7F91"/>
    <w:rsid w:val="003002B3"/>
    <w:rsid w:val="00300847"/>
    <w:rsid w:val="0030086D"/>
    <w:rsid w:val="00300A55"/>
    <w:rsid w:val="00300A83"/>
    <w:rsid w:val="00300EAE"/>
    <w:rsid w:val="00301017"/>
    <w:rsid w:val="003014DE"/>
    <w:rsid w:val="0030155F"/>
    <w:rsid w:val="00301897"/>
    <w:rsid w:val="00301B3E"/>
    <w:rsid w:val="00301BCC"/>
    <w:rsid w:val="00302400"/>
    <w:rsid w:val="00302AAD"/>
    <w:rsid w:val="003039C8"/>
    <w:rsid w:val="00303A10"/>
    <w:rsid w:val="00303BD7"/>
    <w:rsid w:val="00303DB9"/>
    <w:rsid w:val="00304A88"/>
    <w:rsid w:val="003052C5"/>
    <w:rsid w:val="0030547D"/>
    <w:rsid w:val="0030587B"/>
    <w:rsid w:val="00305B43"/>
    <w:rsid w:val="0030681B"/>
    <w:rsid w:val="00306D86"/>
    <w:rsid w:val="00306D98"/>
    <w:rsid w:val="00306F65"/>
    <w:rsid w:val="003074B5"/>
    <w:rsid w:val="0030786C"/>
    <w:rsid w:val="003102E3"/>
    <w:rsid w:val="0031031A"/>
    <w:rsid w:val="00310981"/>
    <w:rsid w:val="00311D9B"/>
    <w:rsid w:val="00311E8F"/>
    <w:rsid w:val="00311EA3"/>
    <w:rsid w:val="003124D9"/>
    <w:rsid w:val="00312594"/>
    <w:rsid w:val="0031259E"/>
    <w:rsid w:val="003125B2"/>
    <w:rsid w:val="00312789"/>
    <w:rsid w:val="00312B85"/>
    <w:rsid w:val="00312D9F"/>
    <w:rsid w:val="003130C6"/>
    <w:rsid w:val="0031414D"/>
    <w:rsid w:val="00314288"/>
    <w:rsid w:val="00314DC4"/>
    <w:rsid w:val="0031523B"/>
    <w:rsid w:val="00315498"/>
    <w:rsid w:val="0031567A"/>
    <w:rsid w:val="00315F62"/>
    <w:rsid w:val="00316474"/>
    <w:rsid w:val="003166CB"/>
    <w:rsid w:val="00317366"/>
    <w:rsid w:val="00320615"/>
    <w:rsid w:val="00320D0A"/>
    <w:rsid w:val="00322107"/>
    <w:rsid w:val="00322271"/>
    <w:rsid w:val="00322355"/>
    <w:rsid w:val="00322497"/>
    <w:rsid w:val="00322846"/>
    <w:rsid w:val="00322A16"/>
    <w:rsid w:val="00322D97"/>
    <w:rsid w:val="00323886"/>
    <w:rsid w:val="00323DCD"/>
    <w:rsid w:val="00323DD4"/>
    <w:rsid w:val="00323E7E"/>
    <w:rsid w:val="00324F4C"/>
    <w:rsid w:val="003252F8"/>
    <w:rsid w:val="00325388"/>
    <w:rsid w:val="00325C7A"/>
    <w:rsid w:val="0032665A"/>
    <w:rsid w:val="003267A6"/>
    <w:rsid w:val="0032696B"/>
    <w:rsid w:val="00326B02"/>
    <w:rsid w:val="00326DA7"/>
    <w:rsid w:val="00326DBC"/>
    <w:rsid w:val="00326E81"/>
    <w:rsid w:val="00326FBD"/>
    <w:rsid w:val="003270E4"/>
    <w:rsid w:val="00327196"/>
    <w:rsid w:val="0032758C"/>
    <w:rsid w:val="003301CC"/>
    <w:rsid w:val="00330832"/>
    <w:rsid w:val="00330850"/>
    <w:rsid w:val="00330864"/>
    <w:rsid w:val="00330868"/>
    <w:rsid w:val="00330AAC"/>
    <w:rsid w:val="00330B27"/>
    <w:rsid w:val="00330DAA"/>
    <w:rsid w:val="00330F5C"/>
    <w:rsid w:val="00331761"/>
    <w:rsid w:val="00331BC2"/>
    <w:rsid w:val="0033247B"/>
    <w:rsid w:val="003331F3"/>
    <w:rsid w:val="00333326"/>
    <w:rsid w:val="00334156"/>
    <w:rsid w:val="00334694"/>
    <w:rsid w:val="0033537D"/>
    <w:rsid w:val="003355BC"/>
    <w:rsid w:val="003366C9"/>
    <w:rsid w:val="003371B0"/>
    <w:rsid w:val="00337C7E"/>
    <w:rsid w:val="0034066B"/>
    <w:rsid w:val="00340DF1"/>
    <w:rsid w:val="003418F9"/>
    <w:rsid w:val="0034204A"/>
    <w:rsid w:val="00342640"/>
    <w:rsid w:val="0034296D"/>
    <w:rsid w:val="00344344"/>
    <w:rsid w:val="00344730"/>
    <w:rsid w:val="00345064"/>
    <w:rsid w:val="00345E51"/>
    <w:rsid w:val="0034711E"/>
    <w:rsid w:val="00347683"/>
    <w:rsid w:val="00347809"/>
    <w:rsid w:val="003501B5"/>
    <w:rsid w:val="003504AD"/>
    <w:rsid w:val="003510BD"/>
    <w:rsid w:val="0035111D"/>
    <w:rsid w:val="003517F9"/>
    <w:rsid w:val="0035190C"/>
    <w:rsid w:val="00351BA9"/>
    <w:rsid w:val="0035220D"/>
    <w:rsid w:val="0035245F"/>
    <w:rsid w:val="003526B4"/>
    <w:rsid w:val="0035293D"/>
    <w:rsid w:val="00352BCB"/>
    <w:rsid w:val="00353214"/>
    <w:rsid w:val="00353427"/>
    <w:rsid w:val="00353AA1"/>
    <w:rsid w:val="0035420C"/>
    <w:rsid w:val="0035462A"/>
    <w:rsid w:val="00354A54"/>
    <w:rsid w:val="00354F64"/>
    <w:rsid w:val="00355068"/>
    <w:rsid w:val="0035620E"/>
    <w:rsid w:val="00356782"/>
    <w:rsid w:val="00356B11"/>
    <w:rsid w:val="00356BD7"/>
    <w:rsid w:val="00356EE2"/>
    <w:rsid w:val="003575BE"/>
    <w:rsid w:val="003579BC"/>
    <w:rsid w:val="00360345"/>
    <w:rsid w:val="00360FFF"/>
    <w:rsid w:val="003613F2"/>
    <w:rsid w:val="003615F7"/>
    <w:rsid w:val="00361A05"/>
    <w:rsid w:val="003624C4"/>
    <w:rsid w:val="00362B30"/>
    <w:rsid w:val="003630FE"/>
    <w:rsid w:val="00363124"/>
    <w:rsid w:val="00363568"/>
    <w:rsid w:val="003635EA"/>
    <w:rsid w:val="003638C3"/>
    <w:rsid w:val="003639CC"/>
    <w:rsid w:val="00363ADC"/>
    <w:rsid w:val="00363B00"/>
    <w:rsid w:val="00363E6E"/>
    <w:rsid w:val="00364261"/>
    <w:rsid w:val="00364C4D"/>
    <w:rsid w:val="00364C8A"/>
    <w:rsid w:val="003654AC"/>
    <w:rsid w:val="00365DE7"/>
    <w:rsid w:val="00365F5B"/>
    <w:rsid w:val="00365F61"/>
    <w:rsid w:val="00366ABA"/>
    <w:rsid w:val="00366C95"/>
    <w:rsid w:val="00367275"/>
    <w:rsid w:val="00367B6F"/>
    <w:rsid w:val="00367BF9"/>
    <w:rsid w:val="00367DA6"/>
    <w:rsid w:val="003705CB"/>
    <w:rsid w:val="00370619"/>
    <w:rsid w:val="00370925"/>
    <w:rsid w:val="003710CF"/>
    <w:rsid w:val="00371CDC"/>
    <w:rsid w:val="00371E0C"/>
    <w:rsid w:val="00371EDE"/>
    <w:rsid w:val="003725BD"/>
    <w:rsid w:val="0037316E"/>
    <w:rsid w:val="0037358A"/>
    <w:rsid w:val="0037381C"/>
    <w:rsid w:val="00373E62"/>
    <w:rsid w:val="00374DDA"/>
    <w:rsid w:val="003750F6"/>
    <w:rsid w:val="00375147"/>
    <w:rsid w:val="003755E0"/>
    <w:rsid w:val="00375AD1"/>
    <w:rsid w:val="003760EA"/>
    <w:rsid w:val="003760F8"/>
    <w:rsid w:val="003760FC"/>
    <w:rsid w:val="00376283"/>
    <w:rsid w:val="00376416"/>
    <w:rsid w:val="00376B87"/>
    <w:rsid w:val="00376D93"/>
    <w:rsid w:val="00377388"/>
    <w:rsid w:val="003773DF"/>
    <w:rsid w:val="00377750"/>
    <w:rsid w:val="003777FC"/>
    <w:rsid w:val="003813EB"/>
    <w:rsid w:val="0038220C"/>
    <w:rsid w:val="00382521"/>
    <w:rsid w:val="0038296D"/>
    <w:rsid w:val="003833A7"/>
    <w:rsid w:val="0038365C"/>
    <w:rsid w:val="0038369B"/>
    <w:rsid w:val="003837B4"/>
    <w:rsid w:val="00383A16"/>
    <w:rsid w:val="00383A6C"/>
    <w:rsid w:val="00383B78"/>
    <w:rsid w:val="00384CFD"/>
    <w:rsid w:val="0038589C"/>
    <w:rsid w:val="00385A9D"/>
    <w:rsid w:val="00385EAA"/>
    <w:rsid w:val="003867CA"/>
    <w:rsid w:val="00387121"/>
    <w:rsid w:val="00387596"/>
    <w:rsid w:val="003878DD"/>
    <w:rsid w:val="00387A01"/>
    <w:rsid w:val="00387C19"/>
    <w:rsid w:val="003902B1"/>
    <w:rsid w:val="0039101E"/>
    <w:rsid w:val="0039179C"/>
    <w:rsid w:val="00391E91"/>
    <w:rsid w:val="003923F3"/>
    <w:rsid w:val="00392CE1"/>
    <w:rsid w:val="00393588"/>
    <w:rsid w:val="00393E0E"/>
    <w:rsid w:val="00395922"/>
    <w:rsid w:val="003963F2"/>
    <w:rsid w:val="00396782"/>
    <w:rsid w:val="00396896"/>
    <w:rsid w:val="00396973"/>
    <w:rsid w:val="003969BB"/>
    <w:rsid w:val="00396F55"/>
    <w:rsid w:val="00396FD0"/>
    <w:rsid w:val="003A1A7A"/>
    <w:rsid w:val="003A1C5B"/>
    <w:rsid w:val="003A1D03"/>
    <w:rsid w:val="003A2392"/>
    <w:rsid w:val="003A2571"/>
    <w:rsid w:val="003A2831"/>
    <w:rsid w:val="003A357E"/>
    <w:rsid w:val="003A3690"/>
    <w:rsid w:val="003A3756"/>
    <w:rsid w:val="003A38EF"/>
    <w:rsid w:val="003A3B54"/>
    <w:rsid w:val="003A3CB6"/>
    <w:rsid w:val="003A3ED1"/>
    <w:rsid w:val="003A44DB"/>
    <w:rsid w:val="003A47AC"/>
    <w:rsid w:val="003A4C14"/>
    <w:rsid w:val="003A5548"/>
    <w:rsid w:val="003A5E26"/>
    <w:rsid w:val="003A6899"/>
    <w:rsid w:val="003A6B58"/>
    <w:rsid w:val="003A6FCE"/>
    <w:rsid w:val="003A75C5"/>
    <w:rsid w:val="003A7665"/>
    <w:rsid w:val="003A768A"/>
    <w:rsid w:val="003B0985"/>
    <w:rsid w:val="003B0A36"/>
    <w:rsid w:val="003B12B7"/>
    <w:rsid w:val="003B12F4"/>
    <w:rsid w:val="003B1462"/>
    <w:rsid w:val="003B1591"/>
    <w:rsid w:val="003B2626"/>
    <w:rsid w:val="003B265F"/>
    <w:rsid w:val="003B26B8"/>
    <w:rsid w:val="003B2E3A"/>
    <w:rsid w:val="003B3971"/>
    <w:rsid w:val="003B4A18"/>
    <w:rsid w:val="003B4CDB"/>
    <w:rsid w:val="003B5566"/>
    <w:rsid w:val="003B55D1"/>
    <w:rsid w:val="003B5734"/>
    <w:rsid w:val="003B5B61"/>
    <w:rsid w:val="003B7220"/>
    <w:rsid w:val="003B7290"/>
    <w:rsid w:val="003B72E0"/>
    <w:rsid w:val="003B7301"/>
    <w:rsid w:val="003B7356"/>
    <w:rsid w:val="003B7DF7"/>
    <w:rsid w:val="003B7E77"/>
    <w:rsid w:val="003C02B5"/>
    <w:rsid w:val="003C044F"/>
    <w:rsid w:val="003C08A0"/>
    <w:rsid w:val="003C1654"/>
    <w:rsid w:val="003C1CF2"/>
    <w:rsid w:val="003C2A29"/>
    <w:rsid w:val="003C2E88"/>
    <w:rsid w:val="003C32DC"/>
    <w:rsid w:val="003C33FF"/>
    <w:rsid w:val="003C36CA"/>
    <w:rsid w:val="003C44E2"/>
    <w:rsid w:val="003C4B6B"/>
    <w:rsid w:val="003C524F"/>
    <w:rsid w:val="003C5542"/>
    <w:rsid w:val="003C76D3"/>
    <w:rsid w:val="003C7C15"/>
    <w:rsid w:val="003C7D19"/>
    <w:rsid w:val="003C7D2F"/>
    <w:rsid w:val="003D071F"/>
    <w:rsid w:val="003D0C5A"/>
    <w:rsid w:val="003D1828"/>
    <w:rsid w:val="003D1C13"/>
    <w:rsid w:val="003D1DE4"/>
    <w:rsid w:val="003D1E85"/>
    <w:rsid w:val="003D1E9A"/>
    <w:rsid w:val="003D1F14"/>
    <w:rsid w:val="003D21F5"/>
    <w:rsid w:val="003D2422"/>
    <w:rsid w:val="003D357B"/>
    <w:rsid w:val="003D39A1"/>
    <w:rsid w:val="003D3DD3"/>
    <w:rsid w:val="003D3FBF"/>
    <w:rsid w:val="003D4656"/>
    <w:rsid w:val="003D4A30"/>
    <w:rsid w:val="003D4E84"/>
    <w:rsid w:val="003D539A"/>
    <w:rsid w:val="003D57C9"/>
    <w:rsid w:val="003D5DD4"/>
    <w:rsid w:val="003D5FDB"/>
    <w:rsid w:val="003D692E"/>
    <w:rsid w:val="003D71C9"/>
    <w:rsid w:val="003D7452"/>
    <w:rsid w:val="003D79BB"/>
    <w:rsid w:val="003D7B78"/>
    <w:rsid w:val="003D7C26"/>
    <w:rsid w:val="003D7C98"/>
    <w:rsid w:val="003D7D9D"/>
    <w:rsid w:val="003D7EC0"/>
    <w:rsid w:val="003D7F75"/>
    <w:rsid w:val="003E024B"/>
    <w:rsid w:val="003E02BE"/>
    <w:rsid w:val="003E0543"/>
    <w:rsid w:val="003E0A1E"/>
    <w:rsid w:val="003E0B50"/>
    <w:rsid w:val="003E142A"/>
    <w:rsid w:val="003E1CFC"/>
    <w:rsid w:val="003E1EB7"/>
    <w:rsid w:val="003E2299"/>
    <w:rsid w:val="003E2E0D"/>
    <w:rsid w:val="003E31AF"/>
    <w:rsid w:val="003E44B9"/>
    <w:rsid w:val="003E4BA3"/>
    <w:rsid w:val="003E5013"/>
    <w:rsid w:val="003E5603"/>
    <w:rsid w:val="003E56DA"/>
    <w:rsid w:val="003E56DF"/>
    <w:rsid w:val="003E5927"/>
    <w:rsid w:val="003E63A3"/>
    <w:rsid w:val="003E7242"/>
    <w:rsid w:val="003E749E"/>
    <w:rsid w:val="003E7D61"/>
    <w:rsid w:val="003F0798"/>
    <w:rsid w:val="003F0EAF"/>
    <w:rsid w:val="003F1444"/>
    <w:rsid w:val="003F204B"/>
    <w:rsid w:val="003F22A8"/>
    <w:rsid w:val="003F25A4"/>
    <w:rsid w:val="003F28AA"/>
    <w:rsid w:val="003F2906"/>
    <w:rsid w:val="003F30A1"/>
    <w:rsid w:val="003F3246"/>
    <w:rsid w:val="003F3F4A"/>
    <w:rsid w:val="003F4156"/>
    <w:rsid w:val="003F494F"/>
    <w:rsid w:val="003F4AA2"/>
    <w:rsid w:val="003F50CA"/>
    <w:rsid w:val="003F563C"/>
    <w:rsid w:val="003F5ADF"/>
    <w:rsid w:val="003F613F"/>
    <w:rsid w:val="003F653E"/>
    <w:rsid w:val="003F68BF"/>
    <w:rsid w:val="003F6B08"/>
    <w:rsid w:val="003F6D6B"/>
    <w:rsid w:val="003F749A"/>
    <w:rsid w:val="003F76C0"/>
    <w:rsid w:val="0040013F"/>
    <w:rsid w:val="00400B29"/>
    <w:rsid w:val="0040134D"/>
    <w:rsid w:val="0040142F"/>
    <w:rsid w:val="0040165D"/>
    <w:rsid w:val="004026C3"/>
    <w:rsid w:val="00402812"/>
    <w:rsid w:val="00402CC2"/>
    <w:rsid w:val="00402DD0"/>
    <w:rsid w:val="004030E2"/>
    <w:rsid w:val="00403309"/>
    <w:rsid w:val="004038AD"/>
    <w:rsid w:val="00403AEF"/>
    <w:rsid w:val="00403B0D"/>
    <w:rsid w:val="00403F3D"/>
    <w:rsid w:val="00404988"/>
    <w:rsid w:val="00404C00"/>
    <w:rsid w:val="0040504B"/>
    <w:rsid w:val="004059F4"/>
    <w:rsid w:val="00405D53"/>
    <w:rsid w:val="00405DBD"/>
    <w:rsid w:val="00407659"/>
    <w:rsid w:val="00407808"/>
    <w:rsid w:val="004079F9"/>
    <w:rsid w:val="00407FE5"/>
    <w:rsid w:val="004101B0"/>
    <w:rsid w:val="00410326"/>
    <w:rsid w:val="00410708"/>
    <w:rsid w:val="004109DC"/>
    <w:rsid w:val="00410EC7"/>
    <w:rsid w:val="004111B4"/>
    <w:rsid w:val="00411632"/>
    <w:rsid w:val="00411B39"/>
    <w:rsid w:val="00412082"/>
    <w:rsid w:val="004127A7"/>
    <w:rsid w:val="00413A1E"/>
    <w:rsid w:val="00414476"/>
    <w:rsid w:val="00414C2E"/>
    <w:rsid w:val="004151CF"/>
    <w:rsid w:val="00415304"/>
    <w:rsid w:val="0041537B"/>
    <w:rsid w:val="0041550B"/>
    <w:rsid w:val="00416364"/>
    <w:rsid w:val="0041720F"/>
    <w:rsid w:val="004174D0"/>
    <w:rsid w:val="00417790"/>
    <w:rsid w:val="00417EFF"/>
    <w:rsid w:val="00420289"/>
    <w:rsid w:val="004202A6"/>
    <w:rsid w:val="0042047F"/>
    <w:rsid w:val="004207D3"/>
    <w:rsid w:val="00420A27"/>
    <w:rsid w:val="00420AA6"/>
    <w:rsid w:val="00420B9F"/>
    <w:rsid w:val="00420FB7"/>
    <w:rsid w:val="004210B7"/>
    <w:rsid w:val="004213B0"/>
    <w:rsid w:val="00421880"/>
    <w:rsid w:val="0042192C"/>
    <w:rsid w:val="00422260"/>
    <w:rsid w:val="00422CBA"/>
    <w:rsid w:val="00422EBF"/>
    <w:rsid w:val="004236AE"/>
    <w:rsid w:val="0042413F"/>
    <w:rsid w:val="004244D0"/>
    <w:rsid w:val="0042487B"/>
    <w:rsid w:val="00424973"/>
    <w:rsid w:val="00425363"/>
    <w:rsid w:val="00425617"/>
    <w:rsid w:val="00425A03"/>
    <w:rsid w:val="0042690C"/>
    <w:rsid w:val="00426C51"/>
    <w:rsid w:val="00427DAB"/>
    <w:rsid w:val="00427FEA"/>
    <w:rsid w:val="00430C20"/>
    <w:rsid w:val="0043114F"/>
    <w:rsid w:val="004318E8"/>
    <w:rsid w:val="004319F8"/>
    <w:rsid w:val="00431BCB"/>
    <w:rsid w:val="00431E55"/>
    <w:rsid w:val="00431F80"/>
    <w:rsid w:val="00432034"/>
    <w:rsid w:val="004321F6"/>
    <w:rsid w:val="00432692"/>
    <w:rsid w:val="00432BF1"/>
    <w:rsid w:val="00433044"/>
    <w:rsid w:val="00434088"/>
    <w:rsid w:val="00434AC7"/>
    <w:rsid w:val="00434B9E"/>
    <w:rsid w:val="00434D0B"/>
    <w:rsid w:val="0043599B"/>
    <w:rsid w:val="0043647A"/>
    <w:rsid w:val="00436D0E"/>
    <w:rsid w:val="004375B9"/>
    <w:rsid w:val="00437825"/>
    <w:rsid w:val="00437C56"/>
    <w:rsid w:val="00440270"/>
    <w:rsid w:val="00440D29"/>
    <w:rsid w:val="00440FE1"/>
    <w:rsid w:val="00441440"/>
    <w:rsid w:val="004419C2"/>
    <w:rsid w:val="004428D0"/>
    <w:rsid w:val="00442E00"/>
    <w:rsid w:val="00443851"/>
    <w:rsid w:val="00443956"/>
    <w:rsid w:val="00444185"/>
    <w:rsid w:val="004443A7"/>
    <w:rsid w:val="0044442C"/>
    <w:rsid w:val="00444593"/>
    <w:rsid w:val="0044590E"/>
    <w:rsid w:val="00445941"/>
    <w:rsid w:val="00445B22"/>
    <w:rsid w:val="00445EEE"/>
    <w:rsid w:val="004464A6"/>
    <w:rsid w:val="004464EB"/>
    <w:rsid w:val="004467E2"/>
    <w:rsid w:val="004473F4"/>
    <w:rsid w:val="00447D26"/>
    <w:rsid w:val="00447DFC"/>
    <w:rsid w:val="00447F8E"/>
    <w:rsid w:val="004500B2"/>
    <w:rsid w:val="004504E1"/>
    <w:rsid w:val="00451D51"/>
    <w:rsid w:val="00451FCF"/>
    <w:rsid w:val="004521BE"/>
    <w:rsid w:val="004522A3"/>
    <w:rsid w:val="0045235F"/>
    <w:rsid w:val="00452BE5"/>
    <w:rsid w:val="00453666"/>
    <w:rsid w:val="00453BF5"/>
    <w:rsid w:val="004548C1"/>
    <w:rsid w:val="00455B5E"/>
    <w:rsid w:val="00455D45"/>
    <w:rsid w:val="00456C3C"/>
    <w:rsid w:val="00456D7B"/>
    <w:rsid w:val="00456F27"/>
    <w:rsid w:val="00457C3F"/>
    <w:rsid w:val="00460AC0"/>
    <w:rsid w:val="004615F0"/>
    <w:rsid w:val="00461A89"/>
    <w:rsid w:val="00461BAB"/>
    <w:rsid w:val="0046215B"/>
    <w:rsid w:val="00462574"/>
    <w:rsid w:val="00462A64"/>
    <w:rsid w:val="004632E0"/>
    <w:rsid w:val="004633D2"/>
    <w:rsid w:val="004643E6"/>
    <w:rsid w:val="0046441A"/>
    <w:rsid w:val="00464595"/>
    <w:rsid w:val="004654AC"/>
    <w:rsid w:val="004656F0"/>
    <w:rsid w:val="004658B5"/>
    <w:rsid w:val="004658F5"/>
    <w:rsid w:val="00466221"/>
    <w:rsid w:val="00466A25"/>
    <w:rsid w:val="00466E89"/>
    <w:rsid w:val="0046738A"/>
    <w:rsid w:val="00467CDF"/>
    <w:rsid w:val="004711A8"/>
    <w:rsid w:val="0047196B"/>
    <w:rsid w:val="00471EA5"/>
    <w:rsid w:val="004728AD"/>
    <w:rsid w:val="00472A79"/>
    <w:rsid w:val="00472DFD"/>
    <w:rsid w:val="004735F4"/>
    <w:rsid w:val="004738AE"/>
    <w:rsid w:val="00473E4C"/>
    <w:rsid w:val="00473ED9"/>
    <w:rsid w:val="00473F19"/>
    <w:rsid w:val="004748FE"/>
    <w:rsid w:val="00474A10"/>
    <w:rsid w:val="00474AC4"/>
    <w:rsid w:val="004750B8"/>
    <w:rsid w:val="00475101"/>
    <w:rsid w:val="0047510A"/>
    <w:rsid w:val="004758B9"/>
    <w:rsid w:val="00475E22"/>
    <w:rsid w:val="00475F0A"/>
    <w:rsid w:val="00477E68"/>
    <w:rsid w:val="0048088E"/>
    <w:rsid w:val="00480F2B"/>
    <w:rsid w:val="00480F52"/>
    <w:rsid w:val="00481362"/>
    <w:rsid w:val="00481435"/>
    <w:rsid w:val="00481C0E"/>
    <w:rsid w:val="00482000"/>
    <w:rsid w:val="00482720"/>
    <w:rsid w:val="004829BD"/>
    <w:rsid w:val="00482C4A"/>
    <w:rsid w:val="00483468"/>
    <w:rsid w:val="004835E7"/>
    <w:rsid w:val="00483871"/>
    <w:rsid w:val="00483970"/>
    <w:rsid w:val="00483C6B"/>
    <w:rsid w:val="00483D54"/>
    <w:rsid w:val="00483DBF"/>
    <w:rsid w:val="00484227"/>
    <w:rsid w:val="00484DE0"/>
    <w:rsid w:val="004859E1"/>
    <w:rsid w:val="00486379"/>
    <w:rsid w:val="0048640C"/>
    <w:rsid w:val="004866C3"/>
    <w:rsid w:val="004867E2"/>
    <w:rsid w:val="00486A05"/>
    <w:rsid w:val="00486C34"/>
    <w:rsid w:val="00486DF7"/>
    <w:rsid w:val="00487212"/>
    <w:rsid w:val="00487DCC"/>
    <w:rsid w:val="00487E4E"/>
    <w:rsid w:val="00487EFE"/>
    <w:rsid w:val="00490796"/>
    <w:rsid w:val="00490A22"/>
    <w:rsid w:val="00490AF1"/>
    <w:rsid w:val="00490B17"/>
    <w:rsid w:val="00491951"/>
    <w:rsid w:val="00491B3A"/>
    <w:rsid w:val="00492CFD"/>
    <w:rsid w:val="00493E06"/>
    <w:rsid w:val="00494207"/>
    <w:rsid w:val="00494AC4"/>
    <w:rsid w:val="00494DD5"/>
    <w:rsid w:val="0049528B"/>
    <w:rsid w:val="004962D2"/>
    <w:rsid w:val="004964AC"/>
    <w:rsid w:val="00496A0D"/>
    <w:rsid w:val="00496D63"/>
    <w:rsid w:val="004972D7"/>
    <w:rsid w:val="004975B3"/>
    <w:rsid w:val="004A0CDC"/>
    <w:rsid w:val="004A0DA1"/>
    <w:rsid w:val="004A1009"/>
    <w:rsid w:val="004A13D6"/>
    <w:rsid w:val="004A2791"/>
    <w:rsid w:val="004A402B"/>
    <w:rsid w:val="004A4044"/>
    <w:rsid w:val="004A417B"/>
    <w:rsid w:val="004A4443"/>
    <w:rsid w:val="004A50A6"/>
    <w:rsid w:val="004A52E9"/>
    <w:rsid w:val="004A6040"/>
    <w:rsid w:val="004A64D6"/>
    <w:rsid w:val="004A6597"/>
    <w:rsid w:val="004A7091"/>
    <w:rsid w:val="004A7848"/>
    <w:rsid w:val="004A793B"/>
    <w:rsid w:val="004A794E"/>
    <w:rsid w:val="004B0190"/>
    <w:rsid w:val="004B0787"/>
    <w:rsid w:val="004B1498"/>
    <w:rsid w:val="004B1948"/>
    <w:rsid w:val="004B1CB4"/>
    <w:rsid w:val="004B1E4E"/>
    <w:rsid w:val="004B2C77"/>
    <w:rsid w:val="004B2F18"/>
    <w:rsid w:val="004B33E5"/>
    <w:rsid w:val="004B3492"/>
    <w:rsid w:val="004B366F"/>
    <w:rsid w:val="004B3DDB"/>
    <w:rsid w:val="004B3F62"/>
    <w:rsid w:val="004B44FD"/>
    <w:rsid w:val="004B4B99"/>
    <w:rsid w:val="004B4C3E"/>
    <w:rsid w:val="004B5AE1"/>
    <w:rsid w:val="004B5C7F"/>
    <w:rsid w:val="004B5CFC"/>
    <w:rsid w:val="004B6F79"/>
    <w:rsid w:val="004B7526"/>
    <w:rsid w:val="004B774D"/>
    <w:rsid w:val="004C04E0"/>
    <w:rsid w:val="004C0FCC"/>
    <w:rsid w:val="004C1EEE"/>
    <w:rsid w:val="004C235D"/>
    <w:rsid w:val="004C2993"/>
    <w:rsid w:val="004C29EB"/>
    <w:rsid w:val="004C2AC2"/>
    <w:rsid w:val="004C2D79"/>
    <w:rsid w:val="004C33E7"/>
    <w:rsid w:val="004C35B4"/>
    <w:rsid w:val="004C360F"/>
    <w:rsid w:val="004C3720"/>
    <w:rsid w:val="004C3BFB"/>
    <w:rsid w:val="004C3DE0"/>
    <w:rsid w:val="004C43AE"/>
    <w:rsid w:val="004C4738"/>
    <w:rsid w:val="004C4AED"/>
    <w:rsid w:val="004C4B38"/>
    <w:rsid w:val="004C4D2A"/>
    <w:rsid w:val="004C4E78"/>
    <w:rsid w:val="004C529C"/>
    <w:rsid w:val="004C580E"/>
    <w:rsid w:val="004C5C5B"/>
    <w:rsid w:val="004C5E0E"/>
    <w:rsid w:val="004C75A1"/>
    <w:rsid w:val="004C7873"/>
    <w:rsid w:val="004C795C"/>
    <w:rsid w:val="004C7C35"/>
    <w:rsid w:val="004D058F"/>
    <w:rsid w:val="004D07D7"/>
    <w:rsid w:val="004D10ED"/>
    <w:rsid w:val="004D1EB2"/>
    <w:rsid w:val="004D217F"/>
    <w:rsid w:val="004D2C2D"/>
    <w:rsid w:val="004D2EC3"/>
    <w:rsid w:val="004D362C"/>
    <w:rsid w:val="004D3F15"/>
    <w:rsid w:val="004D6309"/>
    <w:rsid w:val="004D68C3"/>
    <w:rsid w:val="004D69B5"/>
    <w:rsid w:val="004D6AEF"/>
    <w:rsid w:val="004D7227"/>
    <w:rsid w:val="004D7865"/>
    <w:rsid w:val="004D7B5E"/>
    <w:rsid w:val="004E037C"/>
    <w:rsid w:val="004E0388"/>
    <w:rsid w:val="004E0606"/>
    <w:rsid w:val="004E0E7F"/>
    <w:rsid w:val="004E0EB0"/>
    <w:rsid w:val="004E0EB8"/>
    <w:rsid w:val="004E18E9"/>
    <w:rsid w:val="004E204A"/>
    <w:rsid w:val="004E2443"/>
    <w:rsid w:val="004E269F"/>
    <w:rsid w:val="004E2ADC"/>
    <w:rsid w:val="004E39DE"/>
    <w:rsid w:val="004E3CA5"/>
    <w:rsid w:val="004E431A"/>
    <w:rsid w:val="004E43B2"/>
    <w:rsid w:val="004E4651"/>
    <w:rsid w:val="004E4712"/>
    <w:rsid w:val="004E47AB"/>
    <w:rsid w:val="004E4DB7"/>
    <w:rsid w:val="004E5171"/>
    <w:rsid w:val="004E53BA"/>
    <w:rsid w:val="004E58C5"/>
    <w:rsid w:val="004E6135"/>
    <w:rsid w:val="004E6511"/>
    <w:rsid w:val="004E69F0"/>
    <w:rsid w:val="004E6D21"/>
    <w:rsid w:val="004F0968"/>
    <w:rsid w:val="004F0FD2"/>
    <w:rsid w:val="004F11B1"/>
    <w:rsid w:val="004F1BBB"/>
    <w:rsid w:val="004F1D02"/>
    <w:rsid w:val="004F2307"/>
    <w:rsid w:val="004F241A"/>
    <w:rsid w:val="004F2679"/>
    <w:rsid w:val="004F26B1"/>
    <w:rsid w:val="004F292B"/>
    <w:rsid w:val="004F2F21"/>
    <w:rsid w:val="004F3258"/>
    <w:rsid w:val="004F33A7"/>
    <w:rsid w:val="004F3734"/>
    <w:rsid w:val="004F3DE5"/>
    <w:rsid w:val="004F5030"/>
    <w:rsid w:val="004F5C49"/>
    <w:rsid w:val="004F5CCA"/>
    <w:rsid w:val="004F6913"/>
    <w:rsid w:val="004F6D29"/>
    <w:rsid w:val="004F6F70"/>
    <w:rsid w:val="004F7104"/>
    <w:rsid w:val="004F726B"/>
    <w:rsid w:val="004F77C9"/>
    <w:rsid w:val="004F7865"/>
    <w:rsid w:val="0050174E"/>
    <w:rsid w:val="00501854"/>
    <w:rsid w:val="005019C6"/>
    <w:rsid w:val="0050219B"/>
    <w:rsid w:val="00502769"/>
    <w:rsid w:val="00502981"/>
    <w:rsid w:val="005029DB"/>
    <w:rsid w:val="005030CF"/>
    <w:rsid w:val="00503F17"/>
    <w:rsid w:val="00503F3A"/>
    <w:rsid w:val="005045CE"/>
    <w:rsid w:val="00504775"/>
    <w:rsid w:val="00504A7A"/>
    <w:rsid w:val="00504D59"/>
    <w:rsid w:val="00504E1C"/>
    <w:rsid w:val="00506328"/>
    <w:rsid w:val="00506928"/>
    <w:rsid w:val="0050719D"/>
    <w:rsid w:val="005077EF"/>
    <w:rsid w:val="00507CCA"/>
    <w:rsid w:val="00507D57"/>
    <w:rsid w:val="00510314"/>
    <w:rsid w:val="005107D1"/>
    <w:rsid w:val="00510822"/>
    <w:rsid w:val="00510C04"/>
    <w:rsid w:val="00510F40"/>
    <w:rsid w:val="00511AC9"/>
    <w:rsid w:val="00511AD5"/>
    <w:rsid w:val="00511D17"/>
    <w:rsid w:val="00511DC7"/>
    <w:rsid w:val="00511EC5"/>
    <w:rsid w:val="005120AD"/>
    <w:rsid w:val="005121DC"/>
    <w:rsid w:val="005126EA"/>
    <w:rsid w:val="00512A04"/>
    <w:rsid w:val="005137BC"/>
    <w:rsid w:val="005142C5"/>
    <w:rsid w:val="005146A5"/>
    <w:rsid w:val="00514B30"/>
    <w:rsid w:val="00514B58"/>
    <w:rsid w:val="00514BBA"/>
    <w:rsid w:val="00514CA4"/>
    <w:rsid w:val="0051501B"/>
    <w:rsid w:val="00515182"/>
    <w:rsid w:val="005152B5"/>
    <w:rsid w:val="0051560F"/>
    <w:rsid w:val="00515886"/>
    <w:rsid w:val="005166A4"/>
    <w:rsid w:val="00516C23"/>
    <w:rsid w:val="00517581"/>
    <w:rsid w:val="00520175"/>
    <w:rsid w:val="00520427"/>
    <w:rsid w:val="00520A38"/>
    <w:rsid w:val="00520B38"/>
    <w:rsid w:val="00520FA3"/>
    <w:rsid w:val="00521073"/>
    <w:rsid w:val="00521144"/>
    <w:rsid w:val="0052123C"/>
    <w:rsid w:val="00521319"/>
    <w:rsid w:val="005213DD"/>
    <w:rsid w:val="005216BE"/>
    <w:rsid w:val="00521B2D"/>
    <w:rsid w:val="00522085"/>
    <w:rsid w:val="00522A7A"/>
    <w:rsid w:val="00522ACA"/>
    <w:rsid w:val="00522BC8"/>
    <w:rsid w:val="00523C28"/>
    <w:rsid w:val="00523DE7"/>
    <w:rsid w:val="00524403"/>
    <w:rsid w:val="00524492"/>
    <w:rsid w:val="00524770"/>
    <w:rsid w:val="00524D8C"/>
    <w:rsid w:val="005255A7"/>
    <w:rsid w:val="00525E27"/>
    <w:rsid w:val="005261B8"/>
    <w:rsid w:val="00526566"/>
    <w:rsid w:val="00527689"/>
    <w:rsid w:val="005307F2"/>
    <w:rsid w:val="00530C89"/>
    <w:rsid w:val="0053176B"/>
    <w:rsid w:val="00531831"/>
    <w:rsid w:val="00532246"/>
    <w:rsid w:val="00532E1E"/>
    <w:rsid w:val="005341B3"/>
    <w:rsid w:val="00534227"/>
    <w:rsid w:val="0053431B"/>
    <w:rsid w:val="00534A0E"/>
    <w:rsid w:val="00535A78"/>
    <w:rsid w:val="005361D4"/>
    <w:rsid w:val="0053696E"/>
    <w:rsid w:val="00536B7E"/>
    <w:rsid w:val="00536C5A"/>
    <w:rsid w:val="00536F42"/>
    <w:rsid w:val="00537182"/>
    <w:rsid w:val="00537D10"/>
    <w:rsid w:val="005405CE"/>
    <w:rsid w:val="00540D42"/>
    <w:rsid w:val="00541A6A"/>
    <w:rsid w:val="00541EDD"/>
    <w:rsid w:val="00542743"/>
    <w:rsid w:val="00542944"/>
    <w:rsid w:val="00542C2D"/>
    <w:rsid w:val="005431A6"/>
    <w:rsid w:val="005437FC"/>
    <w:rsid w:val="00543888"/>
    <w:rsid w:val="00544494"/>
    <w:rsid w:val="00544B18"/>
    <w:rsid w:val="00545204"/>
    <w:rsid w:val="00545D9B"/>
    <w:rsid w:val="00545FD9"/>
    <w:rsid w:val="00546149"/>
    <w:rsid w:val="005464E6"/>
    <w:rsid w:val="005478BD"/>
    <w:rsid w:val="005479E3"/>
    <w:rsid w:val="00547C50"/>
    <w:rsid w:val="00547CC4"/>
    <w:rsid w:val="00550C89"/>
    <w:rsid w:val="00550EA4"/>
    <w:rsid w:val="005512B9"/>
    <w:rsid w:val="00551528"/>
    <w:rsid w:val="0055193D"/>
    <w:rsid w:val="00551985"/>
    <w:rsid w:val="00552BD3"/>
    <w:rsid w:val="005532A0"/>
    <w:rsid w:val="005536A3"/>
    <w:rsid w:val="0055375E"/>
    <w:rsid w:val="0055388E"/>
    <w:rsid w:val="00553D9B"/>
    <w:rsid w:val="00554177"/>
    <w:rsid w:val="00554C72"/>
    <w:rsid w:val="0055503A"/>
    <w:rsid w:val="00555109"/>
    <w:rsid w:val="00555720"/>
    <w:rsid w:val="005557A0"/>
    <w:rsid w:val="00555A80"/>
    <w:rsid w:val="00555DCA"/>
    <w:rsid w:val="00556609"/>
    <w:rsid w:val="00556693"/>
    <w:rsid w:val="00556B35"/>
    <w:rsid w:val="00557331"/>
    <w:rsid w:val="0055741A"/>
    <w:rsid w:val="00560A0B"/>
    <w:rsid w:val="005611B7"/>
    <w:rsid w:val="005613A5"/>
    <w:rsid w:val="005618D4"/>
    <w:rsid w:val="00562135"/>
    <w:rsid w:val="00562818"/>
    <w:rsid w:val="00562AB4"/>
    <w:rsid w:val="00562E1B"/>
    <w:rsid w:val="00563320"/>
    <w:rsid w:val="005636A8"/>
    <w:rsid w:val="00564867"/>
    <w:rsid w:val="00564DE4"/>
    <w:rsid w:val="00565784"/>
    <w:rsid w:val="00565792"/>
    <w:rsid w:val="00565C79"/>
    <w:rsid w:val="00565DF0"/>
    <w:rsid w:val="0056696F"/>
    <w:rsid w:val="00566C94"/>
    <w:rsid w:val="005702BC"/>
    <w:rsid w:val="00570AD2"/>
    <w:rsid w:val="00571996"/>
    <w:rsid w:val="00572269"/>
    <w:rsid w:val="005723FD"/>
    <w:rsid w:val="0057244A"/>
    <w:rsid w:val="00572F26"/>
    <w:rsid w:val="00573223"/>
    <w:rsid w:val="00573447"/>
    <w:rsid w:val="00574806"/>
    <w:rsid w:val="005750C5"/>
    <w:rsid w:val="005752DE"/>
    <w:rsid w:val="00575912"/>
    <w:rsid w:val="00575D60"/>
    <w:rsid w:val="00575D8D"/>
    <w:rsid w:val="00576848"/>
    <w:rsid w:val="00576972"/>
    <w:rsid w:val="00576B6C"/>
    <w:rsid w:val="00576BEB"/>
    <w:rsid w:val="00576D81"/>
    <w:rsid w:val="00576FBD"/>
    <w:rsid w:val="00577248"/>
    <w:rsid w:val="00577C33"/>
    <w:rsid w:val="005805F2"/>
    <w:rsid w:val="00580F76"/>
    <w:rsid w:val="00580FFF"/>
    <w:rsid w:val="0058181F"/>
    <w:rsid w:val="00582107"/>
    <w:rsid w:val="0058273D"/>
    <w:rsid w:val="00582B7B"/>
    <w:rsid w:val="00583211"/>
    <w:rsid w:val="00583699"/>
    <w:rsid w:val="005848E1"/>
    <w:rsid w:val="00585013"/>
    <w:rsid w:val="005856A3"/>
    <w:rsid w:val="00585CDD"/>
    <w:rsid w:val="00585F1A"/>
    <w:rsid w:val="00586422"/>
    <w:rsid w:val="00587058"/>
    <w:rsid w:val="00587985"/>
    <w:rsid w:val="00587A58"/>
    <w:rsid w:val="0059089D"/>
    <w:rsid w:val="00591957"/>
    <w:rsid w:val="00592118"/>
    <w:rsid w:val="005928A1"/>
    <w:rsid w:val="00592B6E"/>
    <w:rsid w:val="00592C1B"/>
    <w:rsid w:val="005936D8"/>
    <w:rsid w:val="00593A69"/>
    <w:rsid w:val="00593F70"/>
    <w:rsid w:val="005945AD"/>
    <w:rsid w:val="00594618"/>
    <w:rsid w:val="005948A5"/>
    <w:rsid w:val="00594B41"/>
    <w:rsid w:val="00594BEF"/>
    <w:rsid w:val="00595AB2"/>
    <w:rsid w:val="00595FBA"/>
    <w:rsid w:val="005961DE"/>
    <w:rsid w:val="005964FC"/>
    <w:rsid w:val="00597395"/>
    <w:rsid w:val="00597475"/>
    <w:rsid w:val="005979D6"/>
    <w:rsid w:val="00597BF9"/>
    <w:rsid w:val="005A08AC"/>
    <w:rsid w:val="005A0AD1"/>
    <w:rsid w:val="005A0C11"/>
    <w:rsid w:val="005A0C8C"/>
    <w:rsid w:val="005A14F0"/>
    <w:rsid w:val="005A1681"/>
    <w:rsid w:val="005A2011"/>
    <w:rsid w:val="005A235D"/>
    <w:rsid w:val="005A2C09"/>
    <w:rsid w:val="005A2F55"/>
    <w:rsid w:val="005A309A"/>
    <w:rsid w:val="005A373D"/>
    <w:rsid w:val="005A4B92"/>
    <w:rsid w:val="005A4E8E"/>
    <w:rsid w:val="005A5DD8"/>
    <w:rsid w:val="005A6133"/>
    <w:rsid w:val="005A7B34"/>
    <w:rsid w:val="005A7DD0"/>
    <w:rsid w:val="005B0206"/>
    <w:rsid w:val="005B08D9"/>
    <w:rsid w:val="005B0B58"/>
    <w:rsid w:val="005B1257"/>
    <w:rsid w:val="005B18F5"/>
    <w:rsid w:val="005B1D2C"/>
    <w:rsid w:val="005B1F25"/>
    <w:rsid w:val="005B1FA0"/>
    <w:rsid w:val="005B2343"/>
    <w:rsid w:val="005B2D84"/>
    <w:rsid w:val="005B3170"/>
    <w:rsid w:val="005B3194"/>
    <w:rsid w:val="005B37B7"/>
    <w:rsid w:val="005B3811"/>
    <w:rsid w:val="005B4448"/>
    <w:rsid w:val="005B481C"/>
    <w:rsid w:val="005B4E53"/>
    <w:rsid w:val="005B5857"/>
    <w:rsid w:val="005B5992"/>
    <w:rsid w:val="005B6002"/>
    <w:rsid w:val="005B636D"/>
    <w:rsid w:val="005B6D9B"/>
    <w:rsid w:val="005C01C1"/>
    <w:rsid w:val="005C094E"/>
    <w:rsid w:val="005C0F33"/>
    <w:rsid w:val="005C13A5"/>
    <w:rsid w:val="005C17E6"/>
    <w:rsid w:val="005C19C4"/>
    <w:rsid w:val="005C1B04"/>
    <w:rsid w:val="005C1B83"/>
    <w:rsid w:val="005C1D2B"/>
    <w:rsid w:val="005C2525"/>
    <w:rsid w:val="005C25DE"/>
    <w:rsid w:val="005C25FF"/>
    <w:rsid w:val="005C2D55"/>
    <w:rsid w:val="005C3390"/>
    <w:rsid w:val="005C33E6"/>
    <w:rsid w:val="005C346B"/>
    <w:rsid w:val="005C3C74"/>
    <w:rsid w:val="005C40C7"/>
    <w:rsid w:val="005C440D"/>
    <w:rsid w:val="005C5ABC"/>
    <w:rsid w:val="005C5B52"/>
    <w:rsid w:val="005C5CBB"/>
    <w:rsid w:val="005C6776"/>
    <w:rsid w:val="005C6C70"/>
    <w:rsid w:val="005C7538"/>
    <w:rsid w:val="005D003F"/>
    <w:rsid w:val="005D044D"/>
    <w:rsid w:val="005D07C4"/>
    <w:rsid w:val="005D0ABD"/>
    <w:rsid w:val="005D0D8F"/>
    <w:rsid w:val="005D0F5A"/>
    <w:rsid w:val="005D1338"/>
    <w:rsid w:val="005D1372"/>
    <w:rsid w:val="005D18AD"/>
    <w:rsid w:val="005D26B4"/>
    <w:rsid w:val="005D27A8"/>
    <w:rsid w:val="005D2DAE"/>
    <w:rsid w:val="005D3D58"/>
    <w:rsid w:val="005D421E"/>
    <w:rsid w:val="005D4671"/>
    <w:rsid w:val="005D4822"/>
    <w:rsid w:val="005D5265"/>
    <w:rsid w:val="005D5657"/>
    <w:rsid w:val="005D5C91"/>
    <w:rsid w:val="005D60D2"/>
    <w:rsid w:val="005D627A"/>
    <w:rsid w:val="005D64F9"/>
    <w:rsid w:val="005D6625"/>
    <w:rsid w:val="005D6731"/>
    <w:rsid w:val="005D6B8C"/>
    <w:rsid w:val="005D7286"/>
    <w:rsid w:val="005D74BD"/>
    <w:rsid w:val="005D7600"/>
    <w:rsid w:val="005D7F07"/>
    <w:rsid w:val="005E0282"/>
    <w:rsid w:val="005E068B"/>
    <w:rsid w:val="005E0A03"/>
    <w:rsid w:val="005E14C2"/>
    <w:rsid w:val="005E1995"/>
    <w:rsid w:val="005E207B"/>
    <w:rsid w:val="005E2321"/>
    <w:rsid w:val="005E2F0E"/>
    <w:rsid w:val="005E42A6"/>
    <w:rsid w:val="005E430C"/>
    <w:rsid w:val="005E4ACB"/>
    <w:rsid w:val="005E5F21"/>
    <w:rsid w:val="005E5FCF"/>
    <w:rsid w:val="005E6247"/>
    <w:rsid w:val="005E68CE"/>
    <w:rsid w:val="005E69BD"/>
    <w:rsid w:val="005E6CBC"/>
    <w:rsid w:val="005E70BA"/>
    <w:rsid w:val="005E72FF"/>
    <w:rsid w:val="005E73C0"/>
    <w:rsid w:val="005E7734"/>
    <w:rsid w:val="005F01F3"/>
    <w:rsid w:val="005F07ED"/>
    <w:rsid w:val="005F0B6A"/>
    <w:rsid w:val="005F2706"/>
    <w:rsid w:val="005F2846"/>
    <w:rsid w:val="005F341D"/>
    <w:rsid w:val="005F37E0"/>
    <w:rsid w:val="005F4005"/>
    <w:rsid w:val="005F4330"/>
    <w:rsid w:val="005F5062"/>
    <w:rsid w:val="005F5E19"/>
    <w:rsid w:val="005F62D1"/>
    <w:rsid w:val="005F6A8F"/>
    <w:rsid w:val="005F6B73"/>
    <w:rsid w:val="005F6BB7"/>
    <w:rsid w:val="005F7022"/>
    <w:rsid w:val="005F7588"/>
    <w:rsid w:val="00600C41"/>
    <w:rsid w:val="00600F10"/>
    <w:rsid w:val="00601000"/>
    <w:rsid w:val="00601921"/>
    <w:rsid w:val="0060247C"/>
    <w:rsid w:val="00602C34"/>
    <w:rsid w:val="006034B6"/>
    <w:rsid w:val="00603722"/>
    <w:rsid w:val="00603D14"/>
    <w:rsid w:val="00603DB9"/>
    <w:rsid w:val="006052EF"/>
    <w:rsid w:val="006063E1"/>
    <w:rsid w:val="00606DF9"/>
    <w:rsid w:val="00606F0B"/>
    <w:rsid w:val="00606FBA"/>
    <w:rsid w:val="00607669"/>
    <w:rsid w:val="006076F4"/>
    <w:rsid w:val="00607AFD"/>
    <w:rsid w:val="0060EBFF"/>
    <w:rsid w:val="00610636"/>
    <w:rsid w:val="006106E1"/>
    <w:rsid w:val="006109B3"/>
    <w:rsid w:val="00610B91"/>
    <w:rsid w:val="0061153E"/>
    <w:rsid w:val="00611629"/>
    <w:rsid w:val="00611B12"/>
    <w:rsid w:val="00611D97"/>
    <w:rsid w:val="00611FA9"/>
    <w:rsid w:val="00612002"/>
    <w:rsid w:val="006123CD"/>
    <w:rsid w:val="006125EC"/>
    <w:rsid w:val="0061298B"/>
    <w:rsid w:val="00612F97"/>
    <w:rsid w:val="0061345D"/>
    <w:rsid w:val="00613665"/>
    <w:rsid w:val="00613F7E"/>
    <w:rsid w:val="006142C1"/>
    <w:rsid w:val="0061549B"/>
    <w:rsid w:val="0061561C"/>
    <w:rsid w:val="0061587D"/>
    <w:rsid w:val="00615958"/>
    <w:rsid w:val="00616802"/>
    <w:rsid w:val="006170F5"/>
    <w:rsid w:val="006174F3"/>
    <w:rsid w:val="006178B1"/>
    <w:rsid w:val="00617A87"/>
    <w:rsid w:val="00617E12"/>
    <w:rsid w:val="006206DB"/>
    <w:rsid w:val="006209F2"/>
    <w:rsid w:val="00620C25"/>
    <w:rsid w:val="00620C9B"/>
    <w:rsid w:val="00620FEC"/>
    <w:rsid w:val="00621477"/>
    <w:rsid w:val="00621585"/>
    <w:rsid w:val="0062182D"/>
    <w:rsid w:val="00621ADA"/>
    <w:rsid w:val="00622313"/>
    <w:rsid w:val="00622C7C"/>
    <w:rsid w:val="006236A0"/>
    <w:rsid w:val="00623E5C"/>
    <w:rsid w:val="00623F7B"/>
    <w:rsid w:val="00624528"/>
    <w:rsid w:val="00624B08"/>
    <w:rsid w:val="00624BD4"/>
    <w:rsid w:val="00625C3A"/>
    <w:rsid w:val="006267B1"/>
    <w:rsid w:val="006277B2"/>
    <w:rsid w:val="00627DAF"/>
    <w:rsid w:val="00630A23"/>
    <w:rsid w:val="00630E52"/>
    <w:rsid w:val="006313A1"/>
    <w:rsid w:val="0063158F"/>
    <w:rsid w:val="006315C4"/>
    <w:rsid w:val="00631D6B"/>
    <w:rsid w:val="00631E8A"/>
    <w:rsid w:val="00632183"/>
    <w:rsid w:val="00632B0D"/>
    <w:rsid w:val="00633020"/>
    <w:rsid w:val="006330A1"/>
    <w:rsid w:val="00633895"/>
    <w:rsid w:val="0063424B"/>
    <w:rsid w:val="0063475B"/>
    <w:rsid w:val="0063479F"/>
    <w:rsid w:val="006352EB"/>
    <w:rsid w:val="006353F0"/>
    <w:rsid w:val="006357B5"/>
    <w:rsid w:val="006357C7"/>
    <w:rsid w:val="00636067"/>
    <w:rsid w:val="006364A1"/>
    <w:rsid w:val="0063678E"/>
    <w:rsid w:val="00636C0C"/>
    <w:rsid w:val="00636F83"/>
    <w:rsid w:val="00636F8F"/>
    <w:rsid w:val="0063737D"/>
    <w:rsid w:val="00637BFD"/>
    <w:rsid w:val="00637C5C"/>
    <w:rsid w:val="00640717"/>
    <w:rsid w:val="00641420"/>
    <w:rsid w:val="00641AEA"/>
    <w:rsid w:val="00641C4E"/>
    <w:rsid w:val="00641C5A"/>
    <w:rsid w:val="00641FB3"/>
    <w:rsid w:val="00642219"/>
    <w:rsid w:val="0064369C"/>
    <w:rsid w:val="00643C10"/>
    <w:rsid w:val="00644264"/>
    <w:rsid w:val="0064434C"/>
    <w:rsid w:val="00645F29"/>
    <w:rsid w:val="006469F5"/>
    <w:rsid w:val="00646C40"/>
    <w:rsid w:val="00646D0A"/>
    <w:rsid w:val="006471CC"/>
    <w:rsid w:val="006472FE"/>
    <w:rsid w:val="00647A29"/>
    <w:rsid w:val="00647A63"/>
    <w:rsid w:val="00647BDD"/>
    <w:rsid w:val="00647CB9"/>
    <w:rsid w:val="00650573"/>
    <w:rsid w:val="00650693"/>
    <w:rsid w:val="0065079F"/>
    <w:rsid w:val="00650A9B"/>
    <w:rsid w:val="00650B58"/>
    <w:rsid w:val="0065153F"/>
    <w:rsid w:val="006515FA"/>
    <w:rsid w:val="006517A0"/>
    <w:rsid w:val="00651F6C"/>
    <w:rsid w:val="00652495"/>
    <w:rsid w:val="0065260C"/>
    <w:rsid w:val="00652A28"/>
    <w:rsid w:val="00652BB9"/>
    <w:rsid w:val="00652EA7"/>
    <w:rsid w:val="00652F7F"/>
    <w:rsid w:val="006530E7"/>
    <w:rsid w:val="0065379F"/>
    <w:rsid w:val="006537A2"/>
    <w:rsid w:val="00654295"/>
    <w:rsid w:val="0065455A"/>
    <w:rsid w:val="00654BDF"/>
    <w:rsid w:val="006559B0"/>
    <w:rsid w:val="00655D8C"/>
    <w:rsid w:val="00656188"/>
    <w:rsid w:val="006564F8"/>
    <w:rsid w:val="0065667E"/>
    <w:rsid w:val="00656F32"/>
    <w:rsid w:val="0065715A"/>
    <w:rsid w:val="006576C1"/>
    <w:rsid w:val="00657B17"/>
    <w:rsid w:val="00660449"/>
    <w:rsid w:val="00660482"/>
    <w:rsid w:val="006610F1"/>
    <w:rsid w:val="00661B06"/>
    <w:rsid w:val="00661C6B"/>
    <w:rsid w:val="00662624"/>
    <w:rsid w:val="0066265F"/>
    <w:rsid w:val="00662D3E"/>
    <w:rsid w:val="00662F2E"/>
    <w:rsid w:val="00663234"/>
    <w:rsid w:val="00663459"/>
    <w:rsid w:val="006639C0"/>
    <w:rsid w:val="00663B1F"/>
    <w:rsid w:val="00663B61"/>
    <w:rsid w:val="00663F23"/>
    <w:rsid w:val="006657C6"/>
    <w:rsid w:val="006665C1"/>
    <w:rsid w:val="00666663"/>
    <w:rsid w:val="00667022"/>
    <w:rsid w:val="0066746C"/>
    <w:rsid w:val="00667BE3"/>
    <w:rsid w:val="00667C4B"/>
    <w:rsid w:val="00671004"/>
    <w:rsid w:val="0067123E"/>
    <w:rsid w:val="00671CE1"/>
    <w:rsid w:val="00671DBE"/>
    <w:rsid w:val="00672104"/>
    <w:rsid w:val="00672250"/>
    <w:rsid w:val="00672646"/>
    <w:rsid w:val="006726AD"/>
    <w:rsid w:val="006728F8"/>
    <w:rsid w:val="006729BF"/>
    <w:rsid w:val="00674BEA"/>
    <w:rsid w:val="00674E42"/>
    <w:rsid w:val="00676563"/>
    <w:rsid w:val="00676C15"/>
    <w:rsid w:val="00676C59"/>
    <w:rsid w:val="006771C1"/>
    <w:rsid w:val="00677867"/>
    <w:rsid w:val="00677CD6"/>
    <w:rsid w:val="006801E1"/>
    <w:rsid w:val="00680320"/>
    <w:rsid w:val="0068066D"/>
    <w:rsid w:val="00681097"/>
    <w:rsid w:val="006813F8"/>
    <w:rsid w:val="00681402"/>
    <w:rsid w:val="006817FF"/>
    <w:rsid w:val="00682112"/>
    <w:rsid w:val="00682BA6"/>
    <w:rsid w:val="006834CF"/>
    <w:rsid w:val="006837F5"/>
    <w:rsid w:val="00683DB6"/>
    <w:rsid w:val="00685745"/>
    <w:rsid w:val="00685E4F"/>
    <w:rsid w:val="006868F0"/>
    <w:rsid w:val="00686957"/>
    <w:rsid w:val="006872BA"/>
    <w:rsid w:val="00687890"/>
    <w:rsid w:val="006902EB"/>
    <w:rsid w:val="006905C9"/>
    <w:rsid w:val="0069066E"/>
    <w:rsid w:val="00690749"/>
    <w:rsid w:val="00690795"/>
    <w:rsid w:val="00691648"/>
    <w:rsid w:val="006917D7"/>
    <w:rsid w:val="006930D7"/>
    <w:rsid w:val="00693EFC"/>
    <w:rsid w:val="0069434C"/>
    <w:rsid w:val="00694DB5"/>
    <w:rsid w:val="00694F44"/>
    <w:rsid w:val="00695195"/>
    <w:rsid w:val="006951FE"/>
    <w:rsid w:val="00695612"/>
    <w:rsid w:val="006957AB"/>
    <w:rsid w:val="00696E21"/>
    <w:rsid w:val="00696EF9"/>
    <w:rsid w:val="00696F51"/>
    <w:rsid w:val="00697521"/>
    <w:rsid w:val="006979A5"/>
    <w:rsid w:val="00697B9C"/>
    <w:rsid w:val="00697D68"/>
    <w:rsid w:val="006A016F"/>
    <w:rsid w:val="006A0495"/>
    <w:rsid w:val="006A0688"/>
    <w:rsid w:val="006A0721"/>
    <w:rsid w:val="006A0DF7"/>
    <w:rsid w:val="006A1CB6"/>
    <w:rsid w:val="006A2046"/>
    <w:rsid w:val="006A21C3"/>
    <w:rsid w:val="006A2657"/>
    <w:rsid w:val="006A3147"/>
    <w:rsid w:val="006A37C3"/>
    <w:rsid w:val="006A3E00"/>
    <w:rsid w:val="006A3F62"/>
    <w:rsid w:val="006A418F"/>
    <w:rsid w:val="006A4321"/>
    <w:rsid w:val="006A43D9"/>
    <w:rsid w:val="006A4EBD"/>
    <w:rsid w:val="006A5184"/>
    <w:rsid w:val="006A6679"/>
    <w:rsid w:val="006A6B99"/>
    <w:rsid w:val="006A789A"/>
    <w:rsid w:val="006A7DD2"/>
    <w:rsid w:val="006A7E5F"/>
    <w:rsid w:val="006B0258"/>
    <w:rsid w:val="006B0573"/>
    <w:rsid w:val="006B22B5"/>
    <w:rsid w:val="006B261B"/>
    <w:rsid w:val="006B2C90"/>
    <w:rsid w:val="006B2E36"/>
    <w:rsid w:val="006B3086"/>
    <w:rsid w:val="006B323F"/>
    <w:rsid w:val="006B3249"/>
    <w:rsid w:val="006B35E6"/>
    <w:rsid w:val="006B3677"/>
    <w:rsid w:val="006B465A"/>
    <w:rsid w:val="006B48F4"/>
    <w:rsid w:val="006B5E69"/>
    <w:rsid w:val="006B6C06"/>
    <w:rsid w:val="006B6DD0"/>
    <w:rsid w:val="006B6F0B"/>
    <w:rsid w:val="006B78F4"/>
    <w:rsid w:val="006B7B64"/>
    <w:rsid w:val="006B7E93"/>
    <w:rsid w:val="006B7FB5"/>
    <w:rsid w:val="006C0399"/>
    <w:rsid w:val="006C0400"/>
    <w:rsid w:val="006C08CE"/>
    <w:rsid w:val="006C0C30"/>
    <w:rsid w:val="006C0FB9"/>
    <w:rsid w:val="006C13E5"/>
    <w:rsid w:val="006C1B69"/>
    <w:rsid w:val="006C1BA1"/>
    <w:rsid w:val="006C2202"/>
    <w:rsid w:val="006C2207"/>
    <w:rsid w:val="006C2A8E"/>
    <w:rsid w:val="006C3255"/>
    <w:rsid w:val="006C3540"/>
    <w:rsid w:val="006C3F26"/>
    <w:rsid w:val="006C42AC"/>
    <w:rsid w:val="006C4328"/>
    <w:rsid w:val="006C441E"/>
    <w:rsid w:val="006C4BFE"/>
    <w:rsid w:val="006C5A5C"/>
    <w:rsid w:val="006C5E27"/>
    <w:rsid w:val="006C64B0"/>
    <w:rsid w:val="006D007D"/>
    <w:rsid w:val="006D04E7"/>
    <w:rsid w:val="006D0D17"/>
    <w:rsid w:val="006D1144"/>
    <w:rsid w:val="006D2379"/>
    <w:rsid w:val="006D243A"/>
    <w:rsid w:val="006D26D2"/>
    <w:rsid w:val="006D2DF6"/>
    <w:rsid w:val="006D2ECB"/>
    <w:rsid w:val="006D3A26"/>
    <w:rsid w:val="006D3C7D"/>
    <w:rsid w:val="006D4659"/>
    <w:rsid w:val="006D4804"/>
    <w:rsid w:val="006D5A6D"/>
    <w:rsid w:val="006D5D5F"/>
    <w:rsid w:val="006D600C"/>
    <w:rsid w:val="006D6874"/>
    <w:rsid w:val="006D68FB"/>
    <w:rsid w:val="006D7786"/>
    <w:rsid w:val="006D7F58"/>
    <w:rsid w:val="006E1A88"/>
    <w:rsid w:val="006E20C6"/>
    <w:rsid w:val="006E2220"/>
    <w:rsid w:val="006E2868"/>
    <w:rsid w:val="006E3653"/>
    <w:rsid w:val="006E387E"/>
    <w:rsid w:val="006E3898"/>
    <w:rsid w:val="006E3C63"/>
    <w:rsid w:val="006E3E21"/>
    <w:rsid w:val="006E40D2"/>
    <w:rsid w:val="006E43AE"/>
    <w:rsid w:val="006E457E"/>
    <w:rsid w:val="006E46EB"/>
    <w:rsid w:val="006E4711"/>
    <w:rsid w:val="006E514D"/>
    <w:rsid w:val="006E6102"/>
    <w:rsid w:val="006E647B"/>
    <w:rsid w:val="006E73CD"/>
    <w:rsid w:val="006E7CA8"/>
    <w:rsid w:val="006E7D42"/>
    <w:rsid w:val="006E7EC0"/>
    <w:rsid w:val="006F08D8"/>
    <w:rsid w:val="006F0D5D"/>
    <w:rsid w:val="006F121B"/>
    <w:rsid w:val="006F13E8"/>
    <w:rsid w:val="006F1454"/>
    <w:rsid w:val="006F1ED5"/>
    <w:rsid w:val="006F2206"/>
    <w:rsid w:val="006F221F"/>
    <w:rsid w:val="006F276C"/>
    <w:rsid w:val="006F29D9"/>
    <w:rsid w:val="006F306C"/>
    <w:rsid w:val="006F3823"/>
    <w:rsid w:val="006F385E"/>
    <w:rsid w:val="006F5B3C"/>
    <w:rsid w:val="006F5CB8"/>
    <w:rsid w:val="006F63A5"/>
    <w:rsid w:val="006F6883"/>
    <w:rsid w:val="006F6DB6"/>
    <w:rsid w:val="006F78A4"/>
    <w:rsid w:val="006F78B6"/>
    <w:rsid w:val="007005C2"/>
    <w:rsid w:val="0070142B"/>
    <w:rsid w:val="0070276E"/>
    <w:rsid w:val="00702F8F"/>
    <w:rsid w:val="00703027"/>
    <w:rsid w:val="0070347E"/>
    <w:rsid w:val="00703B60"/>
    <w:rsid w:val="0070460A"/>
    <w:rsid w:val="00705096"/>
    <w:rsid w:val="0070536F"/>
    <w:rsid w:val="00705371"/>
    <w:rsid w:val="00706420"/>
    <w:rsid w:val="0070703C"/>
    <w:rsid w:val="007079FC"/>
    <w:rsid w:val="00710165"/>
    <w:rsid w:val="00710945"/>
    <w:rsid w:val="00711056"/>
    <w:rsid w:val="007112DD"/>
    <w:rsid w:val="007113A3"/>
    <w:rsid w:val="00711A36"/>
    <w:rsid w:val="007123AF"/>
    <w:rsid w:val="007125D3"/>
    <w:rsid w:val="00712ABE"/>
    <w:rsid w:val="00712F86"/>
    <w:rsid w:val="00713118"/>
    <w:rsid w:val="00713122"/>
    <w:rsid w:val="00713A90"/>
    <w:rsid w:val="0071473F"/>
    <w:rsid w:val="00714C26"/>
    <w:rsid w:val="00714C4C"/>
    <w:rsid w:val="00714F14"/>
    <w:rsid w:val="0071529C"/>
    <w:rsid w:val="00715428"/>
    <w:rsid w:val="00715472"/>
    <w:rsid w:val="00715BAD"/>
    <w:rsid w:val="00715DD0"/>
    <w:rsid w:val="007167A2"/>
    <w:rsid w:val="007170DA"/>
    <w:rsid w:val="007172AD"/>
    <w:rsid w:val="00717546"/>
    <w:rsid w:val="007201D7"/>
    <w:rsid w:val="00720801"/>
    <w:rsid w:val="007209B8"/>
    <w:rsid w:val="00720C0F"/>
    <w:rsid w:val="0072199E"/>
    <w:rsid w:val="00722974"/>
    <w:rsid w:val="00722B1B"/>
    <w:rsid w:val="00723735"/>
    <w:rsid w:val="00723DCA"/>
    <w:rsid w:val="0072416F"/>
    <w:rsid w:val="00724708"/>
    <w:rsid w:val="0072488D"/>
    <w:rsid w:val="00724A88"/>
    <w:rsid w:val="00724A8E"/>
    <w:rsid w:val="00724CD1"/>
    <w:rsid w:val="00725D3E"/>
    <w:rsid w:val="00726B41"/>
    <w:rsid w:val="00726C0A"/>
    <w:rsid w:val="00726CDB"/>
    <w:rsid w:val="00726D62"/>
    <w:rsid w:val="00727048"/>
    <w:rsid w:val="007273F8"/>
    <w:rsid w:val="00727BAA"/>
    <w:rsid w:val="00727C94"/>
    <w:rsid w:val="00727F23"/>
    <w:rsid w:val="00730562"/>
    <w:rsid w:val="00730DF8"/>
    <w:rsid w:val="007311F6"/>
    <w:rsid w:val="00731B0A"/>
    <w:rsid w:val="00731EAE"/>
    <w:rsid w:val="007321AD"/>
    <w:rsid w:val="0073228C"/>
    <w:rsid w:val="00732431"/>
    <w:rsid w:val="00733073"/>
    <w:rsid w:val="0073378D"/>
    <w:rsid w:val="00733E03"/>
    <w:rsid w:val="00735033"/>
    <w:rsid w:val="0073512F"/>
    <w:rsid w:val="0073526C"/>
    <w:rsid w:val="00735328"/>
    <w:rsid w:val="00735C65"/>
    <w:rsid w:val="0073685B"/>
    <w:rsid w:val="00737875"/>
    <w:rsid w:val="00737FB1"/>
    <w:rsid w:val="0074100B"/>
    <w:rsid w:val="007415A7"/>
    <w:rsid w:val="007415B5"/>
    <w:rsid w:val="00741D93"/>
    <w:rsid w:val="00742005"/>
    <w:rsid w:val="007424B4"/>
    <w:rsid w:val="0074259C"/>
    <w:rsid w:val="00742DF6"/>
    <w:rsid w:val="00743021"/>
    <w:rsid w:val="007449BF"/>
    <w:rsid w:val="00744DDF"/>
    <w:rsid w:val="00745FE7"/>
    <w:rsid w:val="007463FE"/>
    <w:rsid w:val="00746735"/>
    <w:rsid w:val="00746BC0"/>
    <w:rsid w:val="00747B0A"/>
    <w:rsid w:val="00747CE1"/>
    <w:rsid w:val="00747D8D"/>
    <w:rsid w:val="00750197"/>
    <w:rsid w:val="007504D7"/>
    <w:rsid w:val="007510B4"/>
    <w:rsid w:val="00751307"/>
    <w:rsid w:val="007520D3"/>
    <w:rsid w:val="00752142"/>
    <w:rsid w:val="007522AB"/>
    <w:rsid w:val="007523F9"/>
    <w:rsid w:val="00752478"/>
    <w:rsid w:val="0075294E"/>
    <w:rsid w:val="00752ECB"/>
    <w:rsid w:val="0075357E"/>
    <w:rsid w:val="00753A63"/>
    <w:rsid w:val="00753B29"/>
    <w:rsid w:val="00753C31"/>
    <w:rsid w:val="00754B0C"/>
    <w:rsid w:val="00754F13"/>
    <w:rsid w:val="00754F8A"/>
    <w:rsid w:val="0075568A"/>
    <w:rsid w:val="00756185"/>
    <w:rsid w:val="007562F8"/>
    <w:rsid w:val="007568D5"/>
    <w:rsid w:val="00756948"/>
    <w:rsid w:val="0075696A"/>
    <w:rsid w:val="00756F29"/>
    <w:rsid w:val="007573E8"/>
    <w:rsid w:val="00757874"/>
    <w:rsid w:val="00757C12"/>
    <w:rsid w:val="00760254"/>
    <w:rsid w:val="0076044D"/>
    <w:rsid w:val="00760C4E"/>
    <w:rsid w:val="00760DA7"/>
    <w:rsid w:val="00760F9E"/>
    <w:rsid w:val="007615D1"/>
    <w:rsid w:val="007616E6"/>
    <w:rsid w:val="007617D4"/>
    <w:rsid w:val="00761AFC"/>
    <w:rsid w:val="00761C4F"/>
    <w:rsid w:val="00762237"/>
    <w:rsid w:val="007627BE"/>
    <w:rsid w:val="00762A1D"/>
    <w:rsid w:val="007639B0"/>
    <w:rsid w:val="00763BB0"/>
    <w:rsid w:val="00764153"/>
    <w:rsid w:val="007645DA"/>
    <w:rsid w:val="00764F03"/>
    <w:rsid w:val="007653AB"/>
    <w:rsid w:val="00765B1A"/>
    <w:rsid w:val="00765D5B"/>
    <w:rsid w:val="00765DC1"/>
    <w:rsid w:val="007667A5"/>
    <w:rsid w:val="007669A7"/>
    <w:rsid w:val="007671D1"/>
    <w:rsid w:val="0076723F"/>
    <w:rsid w:val="007678C1"/>
    <w:rsid w:val="00767CF1"/>
    <w:rsid w:val="00770426"/>
    <w:rsid w:val="00772316"/>
    <w:rsid w:val="00772C86"/>
    <w:rsid w:val="00772E2F"/>
    <w:rsid w:val="00773011"/>
    <w:rsid w:val="00773113"/>
    <w:rsid w:val="00773507"/>
    <w:rsid w:val="00773663"/>
    <w:rsid w:val="007738C5"/>
    <w:rsid w:val="00773EB6"/>
    <w:rsid w:val="0077422E"/>
    <w:rsid w:val="00774699"/>
    <w:rsid w:val="00774850"/>
    <w:rsid w:val="007750D2"/>
    <w:rsid w:val="00775418"/>
    <w:rsid w:val="00775661"/>
    <w:rsid w:val="00776050"/>
    <w:rsid w:val="007761DF"/>
    <w:rsid w:val="00776D04"/>
    <w:rsid w:val="00776DA0"/>
    <w:rsid w:val="00777335"/>
    <w:rsid w:val="0077789A"/>
    <w:rsid w:val="00777A88"/>
    <w:rsid w:val="00777CE3"/>
    <w:rsid w:val="00777FEB"/>
    <w:rsid w:val="007816BD"/>
    <w:rsid w:val="007831B9"/>
    <w:rsid w:val="007843F2"/>
    <w:rsid w:val="007846FA"/>
    <w:rsid w:val="00784ACD"/>
    <w:rsid w:val="00784DEB"/>
    <w:rsid w:val="00784ED0"/>
    <w:rsid w:val="00785344"/>
    <w:rsid w:val="00785A9F"/>
    <w:rsid w:val="007860B9"/>
    <w:rsid w:val="00786421"/>
    <w:rsid w:val="007873C4"/>
    <w:rsid w:val="007874BF"/>
    <w:rsid w:val="007878AA"/>
    <w:rsid w:val="00787985"/>
    <w:rsid w:val="00790194"/>
    <w:rsid w:val="00791DF9"/>
    <w:rsid w:val="007925DF"/>
    <w:rsid w:val="007926E8"/>
    <w:rsid w:val="007935D1"/>
    <w:rsid w:val="00793AB4"/>
    <w:rsid w:val="00793B0B"/>
    <w:rsid w:val="00793EAD"/>
    <w:rsid w:val="00793ED9"/>
    <w:rsid w:val="0079405D"/>
    <w:rsid w:val="007941F2"/>
    <w:rsid w:val="00794C44"/>
    <w:rsid w:val="007955F4"/>
    <w:rsid w:val="0079594B"/>
    <w:rsid w:val="00795F66"/>
    <w:rsid w:val="00796073"/>
    <w:rsid w:val="00796262"/>
    <w:rsid w:val="00796843"/>
    <w:rsid w:val="00796CF2"/>
    <w:rsid w:val="007977D2"/>
    <w:rsid w:val="00797F44"/>
    <w:rsid w:val="007A01F9"/>
    <w:rsid w:val="007A042C"/>
    <w:rsid w:val="007A08AA"/>
    <w:rsid w:val="007A0A12"/>
    <w:rsid w:val="007A132D"/>
    <w:rsid w:val="007A1345"/>
    <w:rsid w:val="007A1352"/>
    <w:rsid w:val="007A2153"/>
    <w:rsid w:val="007A2800"/>
    <w:rsid w:val="007A293A"/>
    <w:rsid w:val="007A2DDB"/>
    <w:rsid w:val="007A319D"/>
    <w:rsid w:val="007A320E"/>
    <w:rsid w:val="007A44B9"/>
    <w:rsid w:val="007A51E7"/>
    <w:rsid w:val="007A6AA8"/>
    <w:rsid w:val="007A70BA"/>
    <w:rsid w:val="007A721A"/>
    <w:rsid w:val="007A75EF"/>
    <w:rsid w:val="007A7924"/>
    <w:rsid w:val="007B0B83"/>
    <w:rsid w:val="007B0D68"/>
    <w:rsid w:val="007B11CC"/>
    <w:rsid w:val="007B1782"/>
    <w:rsid w:val="007B1AC4"/>
    <w:rsid w:val="007B1C24"/>
    <w:rsid w:val="007B251D"/>
    <w:rsid w:val="007B2A05"/>
    <w:rsid w:val="007B3533"/>
    <w:rsid w:val="007B3CF7"/>
    <w:rsid w:val="007B3D59"/>
    <w:rsid w:val="007B473A"/>
    <w:rsid w:val="007B47B4"/>
    <w:rsid w:val="007B4F58"/>
    <w:rsid w:val="007B5022"/>
    <w:rsid w:val="007B528D"/>
    <w:rsid w:val="007B52FA"/>
    <w:rsid w:val="007B5478"/>
    <w:rsid w:val="007B5695"/>
    <w:rsid w:val="007B5F97"/>
    <w:rsid w:val="007B63CA"/>
    <w:rsid w:val="007B6F2B"/>
    <w:rsid w:val="007B6F88"/>
    <w:rsid w:val="007B77D1"/>
    <w:rsid w:val="007C060A"/>
    <w:rsid w:val="007C07C7"/>
    <w:rsid w:val="007C092A"/>
    <w:rsid w:val="007C0AF9"/>
    <w:rsid w:val="007C1722"/>
    <w:rsid w:val="007C179F"/>
    <w:rsid w:val="007C1CD9"/>
    <w:rsid w:val="007C32EF"/>
    <w:rsid w:val="007C361D"/>
    <w:rsid w:val="007C464B"/>
    <w:rsid w:val="007C4785"/>
    <w:rsid w:val="007C4B84"/>
    <w:rsid w:val="007C4F36"/>
    <w:rsid w:val="007C54B7"/>
    <w:rsid w:val="007C60CA"/>
    <w:rsid w:val="007C6E2A"/>
    <w:rsid w:val="007C70FF"/>
    <w:rsid w:val="007C74E0"/>
    <w:rsid w:val="007C7814"/>
    <w:rsid w:val="007C7942"/>
    <w:rsid w:val="007C7B2D"/>
    <w:rsid w:val="007C7C25"/>
    <w:rsid w:val="007D004F"/>
    <w:rsid w:val="007D0138"/>
    <w:rsid w:val="007D0156"/>
    <w:rsid w:val="007D035F"/>
    <w:rsid w:val="007D067E"/>
    <w:rsid w:val="007D06B2"/>
    <w:rsid w:val="007D0953"/>
    <w:rsid w:val="007D0AEF"/>
    <w:rsid w:val="007D0B38"/>
    <w:rsid w:val="007D0CD0"/>
    <w:rsid w:val="007D0E3A"/>
    <w:rsid w:val="007D1EA8"/>
    <w:rsid w:val="007D2738"/>
    <w:rsid w:val="007D3497"/>
    <w:rsid w:val="007D3683"/>
    <w:rsid w:val="007D410E"/>
    <w:rsid w:val="007D4985"/>
    <w:rsid w:val="007D4D25"/>
    <w:rsid w:val="007D5440"/>
    <w:rsid w:val="007D583D"/>
    <w:rsid w:val="007D5A90"/>
    <w:rsid w:val="007D5ABE"/>
    <w:rsid w:val="007D6371"/>
    <w:rsid w:val="007D69EB"/>
    <w:rsid w:val="007D6C71"/>
    <w:rsid w:val="007D6C7A"/>
    <w:rsid w:val="007D7F3C"/>
    <w:rsid w:val="007E009D"/>
    <w:rsid w:val="007E0826"/>
    <w:rsid w:val="007E0C4F"/>
    <w:rsid w:val="007E0C79"/>
    <w:rsid w:val="007E10FC"/>
    <w:rsid w:val="007E128F"/>
    <w:rsid w:val="007E14EB"/>
    <w:rsid w:val="007E2181"/>
    <w:rsid w:val="007E24D9"/>
    <w:rsid w:val="007E2CE8"/>
    <w:rsid w:val="007E2D27"/>
    <w:rsid w:val="007E313F"/>
    <w:rsid w:val="007E3AEA"/>
    <w:rsid w:val="007E3B62"/>
    <w:rsid w:val="007E3BAE"/>
    <w:rsid w:val="007E4698"/>
    <w:rsid w:val="007E5B83"/>
    <w:rsid w:val="007E5C15"/>
    <w:rsid w:val="007E626D"/>
    <w:rsid w:val="007E69E5"/>
    <w:rsid w:val="007E6CC3"/>
    <w:rsid w:val="007E753F"/>
    <w:rsid w:val="007E790E"/>
    <w:rsid w:val="007F08D5"/>
    <w:rsid w:val="007F0B07"/>
    <w:rsid w:val="007F1017"/>
    <w:rsid w:val="007F1EDA"/>
    <w:rsid w:val="007F2363"/>
    <w:rsid w:val="007F2BAA"/>
    <w:rsid w:val="007F376B"/>
    <w:rsid w:val="007F39BD"/>
    <w:rsid w:val="007F3CB3"/>
    <w:rsid w:val="007F487B"/>
    <w:rsid w:val="007F498F"/>
    <w:rsid w:val="007F4A3F"/>
    <w:rsid w:val="007F4A61"/>
    <w:rsid w:val="007F4AE0"/>
    <w:rsid w:val="007F5255"/>
    <w:rsid w:val="007F56CC"/>
    <w:rsid w:val="007F5D34"/>
    <w:rsid w:val="007F61C2"/>
    <w:rsid w:val="007F6479"/>
    <w:rsid w:val="007F6694"/>
    <w:rsid w:val="007F68BE"/>
    <w:rsid w:val="007F6E47"/>
    <w:rsid w:val="00800AC6"/>
    <w:rsid w:val="00800DC6"/>
    <w:rsid w:val="008015ED"/>
    <w:rsid w:val="00801609"/>
    <w:rsid w:val="008025B2"/>
    <w:rsid w:val="0080290B"/>
    <w:rsid w:val="00802C54"/>
    <w:rsid w:val="0080388F"/>
    <w:rsid w:val="008041B1"/>
    <w:rsid w:val="00804F01"/>
    <w:rsid w:val="008050BF"/>
    <w:rsid w:val="00805142"/>
    <w:rsid w:val="008054A8"/>
    <w:rsid w:val="00805FCE"/>
    <w:rsid w:val="00805FF8"/>
    <w:rsid w:val="0080626F"/>
    <w:rsid w:val="008063A6"/>
    <w:rsid w:val="00806FF0"/>
    <w:rsid w:val="008076DC"/>
    <w:rsid w:val="00807A8B"/>
    <w:rsid w:val="00807BDA"/>
    <w:rsid w:val="00807D17"/>
    <w:rsid w:val="0081002D"/>
    <w:rsid w:val="008107C8"/>
    <w:rsid w:val="008110F9"/>
    <w:rsid w:val="00811383"/>
    <w:rsid w:val="008114A2"/>
    <w:rsid w:val="00811BD6"/>
    <w:rsid w:val="00812149"/>
    <w:rsid w:val="00812B95"/>
    <w:rsid w:val="00812CAC"/>
    <w:rsid w:val="00812D2B"/>
    <w:rsid w:val="0081338E"/>
    <w:rsid w:val="00813B86"/>
    <w:rsid w:val="0081417B"/>
    <w:rsid w:val="0081450E"/>
    <w:rsid w:val="00814584"/>
    <w:rsid w:val="00815017"/>
    <w:rsid w:val="00815AA2"/>
    <w:rsid w:val="008162CF"/>
    <w:rsid w:val="00816361"/>
    <w:rsid w:val="008166EF"/>
    <w:rsid w:val="008169C7"/>
    <w:rsid w:val="00816D0A"/>
    <w:rsid w:val="00816F96"/>
    <w:rsid w:val="00816FEF"/>
    <w:rsid w:val="00820125"/>
    <w:rsid w:val="00820A8C"/>
    <w:rsid w:val="00820C8A"/>
    <w:rsid w:val="008215FB"/>
    <w:rsid w:val="00821687"/>
    <w:rsid w:val="0082178C"/>
    <w:rsid w:val="00821A0D"/>
    <w:rsid w:val="008220CC"/>
    <w:rsid w:val="00822D07"/>
    <w:rsid w:val="0082309E"/>
    <w:rsid w:val="00823174"/>
    <w:rsid w:val="00824B62"/>
    <w:rsid w:val="00825751"/>
    <w:rsid w:val="0082603F"/>
    <w:rsid w:val="008264EB"/>
    <w:rsid w:val="00826533"/>
    <w:rsid w:val="008265CE"/>
    <w:rsid w:val="00826618"/>
    <w:rsid w:val="008268CE"/>
    <w:rsid w:val="00826F9B"/>
    <w:rsid w:val="008275AE"/>
    <w:rsid w:val="00827C09"/>
    <w:rsid w:val="00827C23"/>
    <w:rsid w:val="00830E8C"/>
    <w:rsid w:val="008312E8"/>
    <w:rsid w:val="00831505"/>
    <w:rsid w:val="00831C6C"/>
    <w:rsid w:val="00832420"/>
    <w:rsid w:val="0083256D"/>
    <w:rsid w:val="00832924"/>
    <w:rsid w:val="00832AFF"/>
    <w:rsid w:val="00832DF4"/>
    <w:rsid w:val="00832EE9"/>
    <w:rsid w:val="00832F8C"/>
    <w:rsid w:val="00833235"/>
    <w:rsid w:val="00833B05"/>
    <w:rsid w:val="00834400"/>
    <w:rsid w:val="00834A5C"/>
    <w:rsid w:val="0083538B"/>
    <w:rsid w:val="00835791"/>
    <w:rsid w:val="008362B4"/>
    <w:rsid w:val="0083687F"/>
    <w:rsid w:val="00837846"/>
    <w:rsid w:val="00837C28"/>
    <w:rsid w:val="008400EF"/>
    <w:rsid w:val="0084039D"/>
    <w:rsid w:val="00840CA2"/>
    <w:rsid w:val="0084117C"/>
    <w:rsid w:val="008411B7"/>
    <w:rsid w:val="00841604"/>
    <w:rsid w:val="00841DB6"/>
    <w:rsid w:val="00841EF3"/>
    <w:rsid w:val="0084262E"/>
    <w:rsid w:val="00842772"/>
    <w:rsid w:val="008429B8"/>
    <w:rsid w:val="008432EA"/>
    <w:rsid w:val="00843319"/>
    <w:rsid w:val="008435F0"/>
    <w:rsid w:val="0084374F"/>
    <w:rsid w:val="0084391A"/>
    <w:rsid w:val="00843924"/>
    <w:rsid w:val="0084483A"/>
    <w:rsid w:val="0084490E"/>
    <w:rsid w:val="00844A22"/>
    <w:rsid w:val="0084515F"/>
    <w:rsid w:val="0084556E"/>
    <w:rsid w:val="00845D53"/>
    <w:rsid w:val="00845E3B"/>
    <w:rsid w:val="00845F6D"/>
    <w:rsid w:val="008465E2"/>
    <w:rsid w:val="0084674B"/>
    <w:rsid w:val="00847478"/>
    <w:rsid w:val="00847703"/>
    <w:rsid w:val="00847A99"/>
    <w:rsid w:val="00847DB5"/>
    <w:rsid w:val="00847DF5"/>
    <w:rsid w:val="00850739"/>
    <w:rsid w:val="00850D90"/>
    <w:rsid w:val="0085309D"/>
    <w:rsid w:val="008537C5"/>
    <w:rsid w:val="0085380E"/>
    <w:rsid w:val="00856680"/>
    <w:rsid w:val="00856897"/>
    <w:rsid w:val="00856E9A"/>
    <w:rsid w:val="00857003"/>
    <w:rsid w:val="0085743A"/>
    <w:rsid w:val="008576D6"/>
    <w:rsid w:val="00860413"/>
    <w:rsid w:val="00860720"/>
    <w:rsid w:val="0086075D"/>
    <w:rsid w:val="00861E33"/>
    <w:rsid w:val="008621FF"/>
    <w:rsid w:val="0086221D"/>
    <w:rsid w:val="00862502"/>
    <w:rsid w:val="008628D3"/>
    <w:rsid w:val="00862CC1"/>
    <w:rsid w:val="008630C7"/>
    <w:rsid w:val="00863F3A"/>
    <w:rsid w:val="0086400F"/>
    <w:rsid w:val="008640BC"/>
    <w:rsid w:val="008642A7"/>
    <w:rsid w:val="008648A1"/>
    <w:rsid w:val="00864BA5"/>
    <w:rsid w:val="00865337"/>
    <w:rsid w:val="00865F82"/>
    <w:rsid w:val="008660D4"/>
    <w:rsid w:val="00866CF5"/>
    <w:rsid w:val="00866DE0"/>
    <w:rsid w:val="008674BA"/>
    <w:rsid w:val="008704CA"/>
    <w:rsid w:val="008707A7"/>
    <w:rsid w:val="008709E1"/>
    <w:rsid w:val="00871FA9"/>
    <w:rsid w:val="00872035"/>
    <w:rsid w:val="00872248"/>
    <w:rsid w:val="0087224A"/>
    <w:rsid w:val="008728E9"/>
    <w:rsid w:val="008728EC"/>
    <w:rsid w:val="008733D9"/>
    <w:rsid w:val="008733FE"/>
    <w:rsid w:val="00873589"/>
    <w:rsid w:val="00873AE6"/>
    <w:rsid w:val="00873ECD"/>
    <w:rsid w:val="00874262"/>
    <w:rsid w:val="00874AFC"/>
    <w:rsid w:val="00875EE3"/>
    <w:rsid w:val="00875F2B"/>
    <w:rsid w:val="00876189"/>
    <w:rsid w:val="00876999"/>
    <w:rsid w:val="00876F17"/>
    <w:rsid w:val="008808E2"/>
    <w:rsid w:val="00881A0F"/>
    <w:rsid w:val="00882680"/>
    <w:rsid w:val="00882874"/>
    <w:rsid w:val="00882D71"/>
    <w:rsid w:val="00882E3C"/>
    <w:rsid w:val="0088308A"/>
    <w:rsid w:val="00883787"/>
    <w:rsid w:val="00883F76"/>
    <w:rsid w:val="008842B3"/>
    <w:rsid w:val="00884D4F"/>
    <w:rsid w:val="00884F32"/>
    <w:rsid w:val="00884F72"/>
    <w:rsid w:val="008855E4"/>
    <w:rsid w:val="00886016"/>
    <w:rsid w:val="00886A3C"/>
    <w:rsid w:val="00886CD2"/>
    <w:rsid w:val="008878FE"/>
    <w:rsid w:val="00887A31"/>
    <w:rsid w:val="00887DB3"/>
    <w:rsid w:val="00887F2F"/>
    <w:rsid w:val="008909C8"/>
    <w:rsid w:val="00890B0E"/>
    <w:rsid w:val="00891E6F"/>
    <w:rsid w:val="00892057"/>
    <w:rsid w:val="0089275D"/>
    <w:rsid w:val="00892A36"/>
    <w:rsid w:val="00892C5A"/>
    <w:rsid w:val="00892F2B"/>
    <w:rsid w:val="00893239"/>
    <w:rsid w:val="00894489"/>
    <w:rsid w:val="00894941"/>
    <w:rsid w:val="00894CD6"/>
    <w:rsid w:val="008953BA"/>
    <w:rsid w:val="008954CA"/>
    <w:rsid w:val="00895788"/>
    <w:rsid w:val="008963A5"/>
    <w:rsid w:val="00896D5D"/>
    <w:rsid w:val="00897168"/>
    <w:rsid w:val="008973D2"/>
    <w:rsid w:val="00897620"/>
    <w:rsid w:val="00897F8F"/>
    <w:rsid w:val="008A0BEE"/>
    <w:rsid w:val="008A1617"/>
    <w:rsid w:val="008A1B41"/>
    <w:rsid w:val="008A2BE3"/>
    <w:rsid w:val="008A2D21"/>
    <w:rsid w:val="008A2D31"/>
    <w:rsid w:val="008A3158"/>
    <w:rsid w:val="008A3363"/>
    <w:rsid w:val="008A3371"/>
    <w:rsid w:val="008A3C3E"/>
    <w:rsid w:val="008A3E0B"/>
    <w:rsid w:val="008A42FB"/>
    <w:rsid w:val="008A497F"/>
    <w:rsid w:val="008A4E06"/>
    <w:rsid w:val="008A4F40"/>
    <w:rsid w:val="008A5006"/>
    <w:rsid w:val="008A550C"/>
    <w:rsid w:val="008A5A75"/>
    <w:rsid w:val="008A6115"/>
    <w:rsid w:val="008A6F8B"/>
    <w:rsid w:val="008A7192"/>
    <w:rsid w:val="008A79DE"/>
    <w:rsid w:val="008A7C07"/>
    <w:rsid w:val="008B0411"/>
    <w:rsid w:val="008B0AAB"/>
    <w:rsid w:val="008B0D05"/>
    <w:rsid w:val="008B1176"/>
    <w:rsid w:val="008B140B"/>
    <w:rsid w:val="008B1757"/>
    <w:rsid w:val="008B1B7C"/>
    <w:rsid w:val="008B1C33"/>
    <w:rsid w:val="008B2000"/>
    <w:rsid w:val="008B21AF"/>
    <w:rsid w:val="008B274C"/>
    <w:rsid w:val="008B3290"/>
    <w:rsid w:val="008B3554"/>
    <w:rsid w:val="008B3C2B"/>
    <w:rsid w:val="008B4523"/>
    <w:rsid w:val="008B4698"/>
    <w:rsid w:val="008B4B6F"/>
    <w:rsid w:val="008B5265"/>
    <w:rsid w:val="008B75DB"/>
    <w:rsid w:val="008B7992"/>
    <w:rsid w:val="008B7A4A"/>
    <w:rsid w:val="008B7D7E"/>
    <w:rsid w:val="008C0990"/>
    <w:rsid w:val="008C0B8F"/>
    <w:rsid w:val="008C19C4"/>
    <w:rsid w:val="008C23F8"/>
    <w:rsid w:val="008C2A81"/>
    <w:rsid w:val="008C30A7"/>
    <w:rsid w:val="008C31C4"/>
    <w:rsid w:val="008C3214"/>
    <w:rsid w:val="008C3453"/>
    <w:rsid w:val="008C4DF9"/>
    <w:rsid w:val="008C527F"/>
    <w:rsid w:val="008C55E5"/>
    <w:rsid w:val="008C5610"/>
    <w:rsid w:val="008C5684"/>
    <w:rsid w:val="008C5739"/>
    <w:rsid w:val="008C57AE"/>
    <w:rsid w:val="008C5DA2"/>
    <w:rsid w:val="008C6D81"/>
    <w:rsid w:val="008C7282"/>
    <w:rsid w:val="008C75CA"/>
    <w:rsid w:val="008C76D6"/>
    <w:rsid w:val="008C7ECB"/>
    <w:rsid w:val="008D0275"/>
    <w:rsid w:val="008D0780"/>
    <w:rsid w:val="008D1043"/>
    <w:rsid w:val="008D1228"/>
    <w:rsid w:val="008D12D7"/>
    <w:rsid w:val="008D15BC"/>
    <w:rsid w:val="008D18E8"/>
    <w:rsid w:val="008D1ABA"/>
    <w:rsid w:val="008D2354"/>
    <w:rsid w:val="008D29E8"/>
    <w:rsid w:val="008D2B60"/>
    <w:rsid w:val="008D2DBD"/>
    <w:rsid w:val="008D3B3D"/>
    <w:rsid w:val="008D3B86"/>
    <w:rsid w:val="008D4063"/>
    <w:rsid w:val="008D43FD"/>
    <w:rsid w:val="008D4755"/>
    <w:rsid w:val="008D4B5E"/>
    <w:rsid w:val="008D4C3D"/>
    <w:rsid w:val="008D6488"/>
    <w:rsid w:val="008D67E5"/>
    <w:rsid w:val="008D71E0"/>
    <w:rsid w:val="008D743C"/>
    <w:rsid w:val="008D764A"/>
    <w:rsid w:val="008E0456"/>
    <w:rsid w:val="008E0D3C"/>
    <w:rsid w:val="008E0E94"/>
    <w:rsid w:val="008E1386"/>
    <w:rsid w:val="008E139B"/>
    <w:rsid w:val="008E1B9E"/>
    <w:rsid w:val="008E20B4"/>
    <w:rsid w:val="008E2334"/>
    <w:rsid w:val="008E2F9A"/>
    <w:rsid w:val="008E30B8"/>
    <w:rsid w:val="008E3697"/>
    <w:rsid w:val="008E37E6"/>
    <w:rsid w:val="008E3883"/>
    <w:rsid w:val="008E38C4"/>
    <w:rsid w:val="008E429D"/>
    <w:rsid w:val="008E55AB"/>
    <w:rsid w:val="008E5930"/>
    <w:rsid w:val="008E688B"/>
    <w:rsid w:val="008E6A55"/>
    <w:rsid w:val="008E6B9F"/>
    <w:rsid w:val="008E729C"/>
    <w:rsid w:val="008E7AA5"/>
    <w:rsid w:val="008E7FB4"/>
    <w:rsid w:val="008F028F"/>
    <w:rsid w:val="008F0360"/>
    <w:rsid w:val="008F0BD0"/>
    <w:rsid w:val="008F120A"/>
    <w:rsid w:val="008F1233"/>
    <w:rsid w:val="008F14B3"/>
    <w:rsid w:val="008F15ED"/>
    <w:rsid w:val="008F1DD9"/>
    <w:rsid w:val="008F1E26"/>
    <w:rsid w:val="008F27E0"/>
    <w:rsid w:val="008F2AF4"/>
    <w:rsid w:val="008F2C47"/>
    <w:rsid w:val="008F2F89"/>
    <w:rsid w:val="008F3588"/>
    <w:rsid w:val="008F423C"/>
    <w:rsid w:val="008F48EB"/>
    <w:rsid w:val="008F4A72"/>
    <w:rsid w:val="008F4B17"/>
    <w:rsid w:val="008F4D30"/>
    <w:rsid w:val="008F4F0B"/>
    <w:rsid w:val="008F52DC"/>
    <w:rsid w:val="008F5BC9"/>
    <w:rsid w:val="008F5CC2"/>
    <w:rsid w:val="008F6248"/>
    <w:rsid w:val="008F63F7"/>
    <w:rsid w:val="008F697C"/>
    <w:rsid w:val="008F76B9"/>
    <w:rsid w:val="008F7A65"/>
    <w:rsid w:val="00902D55"/>
    <w:rsid w:val="00903BC3"/>
    <w:rsid w:val="00903E92"/>
    <w:rsid w:val="0090404B"/>
    <w:rsid w:val="009046C4"/>
    <w:rsid w:val="00904B78"/>
    <w:rsid w:val="00904B7D"/>
    <w:rsid w:val="00904F12"/>
    <w:rsid w:val="00905F1E"/>
    <w:rsid w:val="009062A5"/>
    <w:rsid w:val="00906D38"/>
    <w:rsid w:val="00907699"/>
    <w:rsid w:val="009077CA"/>
    <w:rsid w:val="00907A28"/>
    <w:rsid w:val="00907C9B"/>
    <w:rsid w:val="009102F5"/>
    <w:rsid w:val="00910FA7"/>
    <w:rsid w:val="00911272"/>
    <w:rsid w:val="00911339"/>
    <w:rsid w:val="00912BBB"/>
    <w:rsid w:val="00912F2D"/>
    <w:rsid w:val="009130C3"/>
    <w:rsid w:val="0091320D"/>
    <w:rsid w:val="009135D6"/>
    <w:rsid w:val="0091365E"/>
    <w:rsid w:val="00913853"/>
    <w:rsid w:val="00914284"/>
    <w:rsid w:val="00914C77"/>
    <w:rsid w:val="00915080"/>
    <w:rsid w:val="00915AE4"/>
    <w:rsid w:val="009163ED"/>
    <w:rsid w:val="00916F72"/>
    <w:rsid w:val="00917590"/>
    <w:rsid w:val="009178A1"/>
    <w:rsid w:val="009200E1"/>
    <w:rsid w:val="00920415"/>
    <w:rsid w:val="0092062B"/>
    <w:rsid w:val="009206C1"/>
    <w:rsid w:val="00920E2B"/>
    <w:rsid w:val="00921590"/>
    <w:rsid w:val="0092166B"/>
    <w:rsid w:val="009219D7"/>
    <w:rsid w:val="00921ACB"/>
    <w:rsid w:val="00921F7A"/>
    <w:rsid w:val="00922DF2"/>
    <w:rsid w:val="009235AC"/>
    <w:rsid w:val="0092369B"/>
    <w:rsid w:val="00923A10"/>
    <w:rsid w:val="00923EC7"/>
    <w:rsid w:val="00923EE7"/>
    <w:rsid w:val="00924050"/>
    <w:rsid w:val="009242B2"/>
    <w:rsid w:val="009243FC"/>
    <w:rsid w:val="009246CA"/>
    <w:rsid w:val="0092478F"/>
    <w:rsid w:val="00924A86"/>
    <w:rsid w:val="009251A1"/>
    <w:rsid w:val="009253E1"/>
    <w:rsid w:val="00925474"/>
    <w:rsid w:val="00925E77"/>
    <w:rsid w:val="00925ED3"/>
    <w:rsid w:val="00926751"/>
    <w:rsid w:val="00926969"/>
    <w:rsid w:val="009308F3"/>
    <w:rsid w:val="009310C2"/>
    <w:rsid w:val="00931B98"/>
    <w:rsid w:val="00931E33"/>
    <w:rsid w:val="00932EFF"/>
    <w:rsid w:val="00933638"/>
    <w:rsid w:val="00934988"/>
    <w:rsid w:val="00934CF8"/>
    <w:rsid w:val="00934D70"/>
    <w:rsid w:val="009353A4"/>
    <w:rsid w:val="00935462"/>
    <w:rsid w:val="00935C89"/>
    <w:rsid w:val="00936319"/>
    <w:rsid w:val="00936F3B"/>
    <w:rsid w:val="00937089"/>
    <w:rsid w:val="009375EE"/>
    <w:rsid w:val="00937A5F"/>
    <w:rsid w:val="009403FF"/>
    <w:rsid w:val="00940852"/>
    <w:rsid w:val="00941044"/>
    <w:rsid w:val="00941951"/>
    <w:rsid w:val="00941C11"/>
    <w:rsid w:val="00941EF0"/>
    <w:rsid w:val="00942D36"/>
    <w:rsid w:val="009440F6"/>
    <w:rsid w:val="00944102"/>
    <w:rsid w:val="0094464C"/>
    <w:rsid w:val="00944852"/>
    <w:rsid w:val="00944A14"/>
    <w:rsid w:val="00944CAF"/>
    <w:rsid w:val="00944F8A"/>
    <w:rsid w:val="0094635B"/>
    <w:rsid w:val="0095009A"/>
    <w:rsid w:val="009501C9"/>
    <w:rsid w:val="00950FC4"/>
    <w:rsid w:val="009510A2"/>
    <w:rsid w:val="009513BE"/>
    <w:rsid w:val="00951907"/>
    <w:rsid w:val="00951A70"/>
    <w:rsid w:val="00951A9D"/>
    <w:rsid w:val="00952903"/>
    <w:rsid w:val="00953257"/>
    <w:rsid w:val="0095474C"/>
    <w:rsid w:val="00955809"/>
    <w:rsid w:val="00956394"/>
    <w:rsid w:val="009564C1"/>
    <w:rsid w:val="00956F2D"/>
    <w:rsid w:val="00957BF8"/>
    <w:rsid w:val="00957D92"/>
    <w:rsid w:val="00957E8B"/>
    <w:rsid w:val="00960946"/>
    <w:rsid w:val="00960DDC"/>
    <w:rsid w:val="00960FAC"/>
    <w:rsid w:val="00962159"/>
    <w:rsid w:val="00962623"/>
    <w:rsid w:val="0096282E"/>
    <w:rsid w:val="00962CB9"/>
    <w:rsid w:val="009636E1"/>
    <w:rsid w:val="00963BEF"/>
    <w:rsid w:val="00963F40"/>
    <w:rsid w:val="00963F6D"/>
    <w:rsid w:val="00964312"/>
    <w:rsid w:val="0096447D"/>
    <w:rsid w:val="0096462D"/>
    <w:rsid w:val="00964728"/>
    <w:rsid w:val="00964AA7"/>
    <w:rsid w:val="00964AE1"/>
    <w:rsid w:val="00965A1F"/>
    <w:rsid w:val="00965B8A"/>
    <w:rsid w:val="009669E5"/>
    <w:rsid w:val="00967BED"/>
    <w:rsid w:val="0097060C"/>
    <w:rsid w:val="0097071F"/>
    <w:rsid w:val="00970FB1"/>
    <w:rsid w:val="009717AC"/>
    <w:rsid w:val="00972AB9"/>
    <w:rsid w:val="009734E9"/>
    <w:rsid w:val="0097355F"/>
    <w:rsid w:val="00973E14"/>
    <w:rsid w:val="00973F2D"/>
    <w:rsid w:val="009741C4"/>
    <w:rsid w:val="00974C14"/>
    <w:rsid w:val="00974DE0"/>
    <w:rsid w:val="00974E16"/>
    <w:rsid w:val="009751C1"/>
    <w:rsid w:val="0097533E"/>
    <w:rsid w:val="00975A88"/>
    <w:rsid w:val="009760B5"/>
    <w:rsid w:val="00976883"/>
    <w:rsid w:val="00976FF1"/>
    <w:rsid w:val="00977885"/>
    <w:rsid w:val="009809B6"/>
    <w:rsid w:val="009811F1"/>
    <w:rsid w:val="009819D1"/>
    <w:rsid w:val="00981A43"/>
    <w:rsid w:val="00982BB9"/>
    <w:rsid w:val="009835E5"/>
    <w:rsid w:val="00983899"/>
    <w:rsid w:val="009839F5"/>
    <w:rsid w:val="00983E57"/>
    <w:rsid w:val="0098413D"/>
    <w:rsid w:val="00984FC0"/>
    <w:rsid w:val="00985101"/>
    <w:rsid w:val="00985B85"/>
    <w:rsid w:val="00985DE2"/>
    <w:rsid w:val="0098675D"/>
    <w:rsid w:val="00986DB9"/>
    <w:rsid w:val="00986DDE"/>
    <w:rsid w:val="00987305"/>
    <w:rsid w:val="00987871"/>
    <w:rsid w:val="00987B36"/>
    <w:rsid w:val="00987BA4"/>
    <w:rsid w:val="00990BD3"/>
    <w:rsid w:val="00990E6A"/>
    <w:rsid w:val="009913F1"/>
    <w:rsid w:val="00991865"/>
    <w:rsid w:val="00991B37"/>
    <w:rsid w:val="0099230A"/>
    <w:rsid w:val="009926E0"/>
    <w:rsid w:val="00992CF7"/>
    <w:rsid w:val="00993FF5"/>
    <w:rsid w:val="00994426"/>
    <w:rsid w:val="0099451E"/>
    <w:rsid w:val="00994C0A"/>
    <w:rsid w:val="009952A9"/>
    <w:rsid w:val="00995728"/>
    <w:rsid w:val="00996B1A"/>
    <w:rsid w:val="00996CB4"/>
    <w:rsid w:val="00997277"/>
    <w:rsid w:val="00997F2B"/>
    <w:rsid w:val="009A0BAE"/>
    <w:rsid w:val="009A18F6"/>
    <w:rsid w:val="009A2823"/>
    <w:rsid w:val="009A2DCC"/>
    <w:rsid w:val="009A3CC9"/>
    <w:rsid w:val="009A431D"/>
    <w:rsid w:val="009A505C"/>
    <w:rsid w:val="009A50B0"/>
    <w:rsid w:val="009A514D"/>
    <w:rsid w:val="009A52B6"/>
    <w:rsid w:val="009A584F"/>
    <w:rsid w:val="009A5ABC"/>
    <w:rsid w:val="009A5CE1"/>
    <w:rsid w:val="009A6A81"/>
    <w:rsid w:val="009A6C2B"/>
    <w:rsid w:val="009A6D0D"/>
    <w:rsid w:val="009A7C79"/>
    <w:rsid w:val="009A7F10"/>
    <w:rsid w:val="009B01E8"/>
    <w:rsid w:val="009B0A21"/>
    <w:rsid w:val="009B0B68"/>
    <w:rsid w:val="009B1068"/>
    <w:rsid w:val="009B12D4"/>
    <w:rsid w:val="009B1E0B"/>
    <w:rsid w:val="009B3E26"/>
    <w:rsid w:val="009B492B"/>
    <w:rsid w:val="009B4CC5"/>
    <w:rsid w:val="009B51B7"/>
    <w:rsid w:val="009B5A33"/>
    <w:rsid w:val="009B6A97"/>
    <w:rsid w:val="009B6BA4"/>
    <w:rsid w:val="009B6EA5"/>
    <w:rsid w:val="009B7B73"/>
    <w:rsid w:val="009C0D34"/>
    <w:rsid w:val="009C10CC"/>
    <w:rsid w:val="009C1271"/>
    <w:rsid w:val="009C1348"/>
    <w:rsid w:val="009C16C3"/>
    <w:rsid w:val="009C176E"/>
    <w:rsid w:val="009C230F"/>
    <w:rsid w:val="009C25CB"/>
    <w:rsid w:val="009C27FE"/>
    <w:rsid w:val="009C2E5D"/>
    <w:rsid w:val="009C30E3"/>
    <w:rsid w:val="009C3706"/>
    <w:rsid w:val="009C3A3A"/>
    <w:rsid w:val="009C3EBC"/>
    <w:rsid w:val="009C46A0"/>
    <w:rsid w:val="009C5472"/>
    <w:rsid w:val="009C567C"/>
    <w:rsid w:val="009C6466"/>
    <w:rsid w:val="009C68A1"/>
    <w:rsid w:val="009C6CEA"/>
    <w:rsid w:val="009C7341"/>
    <w:rsid w:val="009C7B85"/>
    <w:rsid w:val="009C7F82"/>
    <w:rsid w:val="009D0254"/>
    <w:rsid w:val="009D0CB8"/>
    <w:rsid w:val="009D1534"/>
    <w:rsid w:val="009D1A64"/>
    <w:rsid w:val="009D1C88"/>
    <w:rsid w:val="009D20F7"/>
    <w:rsid w:val="009D2380"/>
    <w:rsid w:val="009D39BE"/>
    <w:rsid w:val="009D3E3D"/>
    <w:rsid w:val="009D48A8"/>
    <w:rsid w:val="009D49AB"/>
    <w:rsid w:val="009D4B70"/>
    <w:rsid w:val="009D4F19"/>
    <w:rsid w:val="009D59A2"/>
    <w:rsid w:val="009D5AFE"/>
    <w:rsid w:val="009D5B91"/>
    <w:rsid w:val="009D5F23"/>
    <w:rsid w:val="009D608B"/>
    <w:rsid w:val="009D6262"/>
    <w:rsid w:val="009D6F46"/>
    <w:rsid w:val="009D72A3"/>
    <w:rsid w:val="009D7782"/>
    <w:rsid w:val="009D792E"/>
    <w:rsid w:val="009E0075"/>
    <w:rsid w:val="009E0DFE"/>
    <w:rsid w:val="009E182D"/>
    <w:rsid w:val="009E204A"/>
    <w:rsid w:val="009E249B"/>
    <w:rsid w:val="009E3173"/>
    <w:rsid w:val="009E31F6"/>
    <w:rsid w:val="009E34F9"/>
    <w:rsid w:val="009E3513"/>
    <w:rsid w:val="009E3C1A"/>
    <w:rsid w:val="009E43C0"/>
    <w:rsid w:val="009E4770"/>
    <w:rsid w:val="009E4A63"/>
    <w:rsid w:val="009E4C07"/>
    <w:rsid w:val="009E5E3B"/>
    <w:rsid w:val="009E6677"/>
    <w:rsid w:val="009E69C9"/>
    <w:rsid w:val="009E6E29"/>
    <w:rsid w:val="009E777F"/>
    <w:rsid w:val="009E7F6C"/>
    <w:rsid w:val="009F0666"/>
    <w:rsid w:val="009F06CA"/>
    <w:rsid w:val="009F0CD8"/>
    <w:rsid w:val="009F0D62"/>
    <w:rsid w:val="009F203A"/>
    <w:rsid w:val="009F256C"/>
    <w:rsid w:val="009F27D5"/>
    <w:rsid w:val="009F3407"/>
    <w:rsid w:val="009F4075"/>
    <w:rsid w:val="009F42FA"/>
    <w:rsid w:val="009F47B6"/>
    <w:rsid w:val="009F4CD4"/>
    <w:rsid w:val="009F5A6D"/>
    <w:rsid w:val="009F5DBD"/>
    <w:rsid w:val="009F6120"/>
    <w:rsid w:val="009F70B9"/>
    <w:rsid w:val="009F76A7"/>
    <w:rsid w:val="00A0043D"/>
    <w:rsid w:val="00A00D76"/>
    <w:rsid w:val="00A01184"/>
    <w:rsid w:val="00A01449"/>
    <w:rsid w:val="00A01549"/>
    <w:rsid w:val="00A016A8"/>
    <w:rsid w:val="00A01ED5"/>
    <w:rsid w:val="00A021B0"/>
    <w:rsid w:val="00A026F1"/>
    <w:rsid w:val="00A02C8C"/>
    <w:rsid w:val="00A037C2"/>
    <w:rsid w:val="00A038B8"/>
    <w:rsid w:val="00A03A0B"/>
    <w:rsid w:val="00A03D43"/>
    <w:rsid w:val="00A04380"/>
    <w:rsid w:val="00A0465A"/>
    <w:rsid w:val="00A0477F"/>
    <w:rsid w:val="00A04786"/>
    <w:rsid w:val="00A04A04"/>
    <w:rsid w:val="00A04AFC"/>
    <w:rsid w:val="00A04DFE"/>
    <w:rsid w:val="00A05472"/>
    <w:rsid w:val="00A05787"/>
    <w:rsid w:val="00A05C32"/>
    <w:rsid w:val="00A0653F"/>
    <w:rsid w:val="00A06DD4"/>
    <w:rsid w:val="00A07024"/>
    <w:rsid w:val="00A07326"/>
    <w:rsid w:val="00A10722"/>
    <w:rsid w:val="00A108E8"/>
    <w:rsid w:val="00A108F0"/>
    <w:rsid w:val="00A10A3D"/>
    <w:rsid w:val="00A11010"/>
    <w:rsid w:val="00A11AA9"/>
    <w:rsid w:val="00A11CD0"/>
    <w:rsid w:val="00A121A2"/>
    <w:rsid w:val="00A127A7"/>
    <w:rsid w:val="00A129F9"/>
    <w:rsid w:val="00A1327D"/>
    <w:rsid w:val="00A133FD"/>
    <w:rsid w:val="00A13471"/>
    <w:rsid w:val="00A13524"/>
    <w:rsid w:val="00A13948"/>
    <w:rsid w:val="00A1555B"/>
    <w:rsid w:val="00A155C5"/>
    <w:rsid w:val="00A155E0"/>
    <w:rsid w:val="00A156FC"/>
    <w:rsid w:val="00A15A6A"/>
    <w:rsid w:val="00A16995"/>
    <w:rsid w:val="00A16AD8"/>
    <w:rsid w:val="00A17094"/>
    <w:rsid w:val="00A2021E"/>
    <w:rsid w:val="00A209AE"/>
    <w:rsid w:val="00A20B87"/>
    <w:rsid w:val="00A21284"/>
    <w:rsid w:val="00A21732"/>
    <w:rsid w:val="00A21773"/>
    <w:rsid w:val="00A21C95"/>
    <w:rsid w:val="00A21CF3"/>
    <w:rsid w:val="00A22CFD"/>
    <w:rsid w:val="00A235C8"/>
    <w:rsid w:val="00A238E0"/>
    <w:rsid w:val="00A23B7F"/>
    <w:rsid w:val="00A241CE"/>
    <w:rsid w:val="00A247AC"/>
    <w:rsid w:val="00A24813"/>
    <w:rsid w:val="00A249F7"/>
    <w:rsid w:val="00A24FD4"/>
    <w:rsid w:val="00A252A5"/>
    <w:rsid w:val="00A2548E"/>
    <w:rsid w:val="00A254AB"/>
    <w:rsid w:val="00A25D1D"/>
    <w:rsid w:val="00A25EA0"/>
    <w:rsid w:val="00A26227"/>
    <w:rsid w:val="00A26267"/>
    <w:rsid w:val="00A269DD"/>
    <w:rsid w:val="00A271AE"/>
    <w:rsid w:val="00A27AEC"/>
    <w:rsid w:val="00A27B8D"/>
    <w:rsid w:val="00A27BE2"/>
    <w:rsid w:val="00A3035F"/>
    <w:rsid w:val="00A303B6"/>
    <w:rsid w:val="00A304A9"/>
    <w:rsid w:val="00A320DB"/>
    <w:rsid w:val="00A329EF"/>
    <w:rsid w:val="00A32CBF"/>
    <w:rsid w:val="00A332EC"/>
    <w:rsid w:val="00A3356D"/>
    <w:rsid w:val="00A33DF1"/>
    <w:rsid w:val="00A343EF"/>
    <w:rsid w:val="00A3459E"/>
    <w:rsid w:val="00A357A3"/>
    <w:rsid w:val="00A3597A"/>
    <w:rsid w:val="00A35D16"/>
    <w:rsid w:val="00A379E5"/>
    <w:rsid w:val="00A37BCD"/>
    <w:rsid w:val="00A40742"/>
    <w:rsid w:val="00A41689"/>
    <w:rsid w:val="00A41898"/>
    <w:rsid w:val="00A420BF"/>
    <w:rsid w:val="00A42592"/>
    <w:rsid w:val="00A432C5"/>
    <w:rsid w:val="00A43C59"/>
    <w:rsid w:val="00A43FAE"/>
    <w:rsid w:val="00A451FD"/>
    <w:rsid w:val="00A4566E"/>
    <w:rsid w:val="00A4721F"/>
    <w:rsid w:val="00A5001D"/>
    <w:rsid w:val="00A50950"/>
    <w:rsid w:val="00A509FC"/>
    <w:rsid w:val="00A50A63"/>
    <w:rsid w:val="00A50ECD"/>
    <w:rsid w:val="00A511A1"/>
    <w:rsid w:val="00A518F3"/>
    <w:rsid w:val="00A51B60"/>
    <w:rsid w:val="00A51B72"/>
    <w:rsid w:val="00A52280"/>
    <w:rsid w:val="00A52729"/>
    <w:rsid w:val="00A52B65"/>
    <w:rsid w:val="00A53590"/>
    <w:rsid w:val="00A53675"/>
    <w:rsid w:val="00A54B3D"/>
    <w:rsid w:val="00A556DC"/>
    <w:rsid w:val="00A561F5"/>
    <w:rsid w:val="00A564D7"/>
    <w:rsid w:val="00A5658C"/>
    <w:rsid w:val="00A56B6A"/>
    <w:rsid w:val="00A56BA4"/>
    <w:rsid w:val="00A56F97"/>
    <w:rsid w:val="00A578DC"/>
    <w:rsid w:val="00A60543"/>
    <w:rsid w:val="00A60558"/>
    <w:rsid w:val="00A60F7B"/>
    <w:rsid w:val="00A615D1"/>
    <w:rsid w:val="00A62423"/>
    <w:rsid w:val="00A62C20"/>
    <w:rsid w:val="00A62C93"/>
    <w:rsid w:val="00A63105"/>
    <w:rsid w:val="00A63156"/>
    <w:rsid w:val="00A638FD"/>
    <w:rsid w:val="00A63E9D"/>
    <w:rsid w:val="00A640E2"/>
    <w:rsid w:val="00A64359"/>
    <w:rsid w:val="00A6466D"/>
    <w:rsid w:val="00A64BFF"/>
    <w:rsid w:val="00A64D65"/>
    <w:rsid w:val="00A65413"/>
    <w:rsid w:val="00A65919"/>
    <w:rsid w:val="00A65C67"/>
    <w:rsid w:val="00A665FF"/>
    <w:rsid w:val="00A66652"/>
    <w:rsid w:val="00A66A99"/>
    <w:rsid w:val="00A6725B"/>
    <w:rsid w:val="00A67408"/>
    <w:rsid w:val="00A677B1"/>
    <w:rsid w:val="00A70579"/>
    <w:rsid w:val="00A70605"/>
    <w:rsid w:val="00A70C35"/>
    <w:rsid w:val="00A71CA3"/>
    <w:rsid w:val="00A71D3A"/>
    <w:rsid w:val="00A73134"/>
    <w:rsid w:val="00A73372"/>
    <w:rsid w:val="00A733DE"/>
    <w:rsid w:val="00A734C9"/>
    <w:rsid w:val="00A7365A"/>
    <w:rsid w:val="00A73C78"/>
    <w:rsid w:val="00A73FEE"/>
    <w:rsid w:val="00A7447E"/>
    <w:rsid w:val="00A745CC"/>
    <w:rsid w:val="00A7474E"/>
    <w:rsid w:val="00A747E7"/>
    <w:rsid w:val="00A759F6"/>
    <w:rsid w:val="00A76001"/>
    <w:rsid w:val="00A763BF"/>
    <w:rsid w:val="00A7665A"/>
    <w:rsid w:val="00A76688"/>
    <w:rsid w:val="00A77293"/>
    <w:rsid w:val="00A777B2"/>
    <w:rsid w:val="00A802AD"/>
    <w:rsid w:val="00A804EA"/>
    <w:rsid w:val="00A81FDA"/>
    <w:rsid w:val="00A82243"/>
    <w:rsid w:val="00A82251"/>
    <w:rsid w:val="00A82585"/>
    <w:rsid w:val="00A825D4"/>
    <w:rsid w:val="00A828F6"/>
    <w:rsid w:val="00A82B73"/>
    <w:rsid w:val="00A83B52"/>
    <w:rsid w:val="00A83D35"/>
    <w:rsid w:val="00A84C13"/>
    <w:rsid w:val="00A84E9D"/>
    <w:rsid w:val="00A853FA"/>
    <w:rsid w:val="00A85447"/>
    <w:rsid w:val="00A86E8B"/>
    <w:rsid w:val="00A87164"/>
    <w:rsid w:val="00A87A76"/>
    <w:rsid w:val="00A91102"/>
    <w:rsid w:val="00A913AC"/>
    <w:rsid w:val="00A9191D"/>
    <w:rsid w:val="00A91965"/>
    <w:rsid w:val="00A92C30"/>
    <w:rsid w:val="00A92CBF"/>
    <w:rsid w:val="00A92FB0"/>
    <w:rsid w:val="00A93072"/>
    <w:rsid w:val="00A93407"/>
    <w:rsid w:val="00A9388B"/>
    <w:rsid w:val="00A938BD"/>
    <w:rsid w:val="00A93953"/>
    <w:rsid w:val="00A943FD"/>
    <w:rsid w:val="00A94E32"/>
    <w:rsid w:val="00A952E6"/>
    <w:rsid w:val="00A958F1"/>
    <w:rsid w:val="00A959D8"/>
    <w:rsid w:val="00A9696D"/>
    <w:rsid w:val="00A96A87"/>
    <w:rsid w:val="00A96BBD"/>
    <w:rsid w:val="00A97241"/>
    <w:rsid w:val="00A97BD6"/>
    <w:rsid w:val="00AA00B2"/>
    <w:rsid w:val="00AA09CD"/>
    <w:rsid w:val="00AA0F0E"/>
    <w:rsid w:val="00AA1071"/>
    <w:rsid w:val="00AA113D"/>
    <w:rsid w:val="00AA1240"/>
    <w:rsid w:val="00AA1318"/>
    <w:rsid w:val="00AA1C80"/>
    <w:rsid w:val="00AA1D6B"/>
    <w:rsid w:val="00AA1D9F"/>
    <w:rsid w:val="00AA218E"/>
    <w:rsid w:val="00AA2B19"/>
    <w:rsid w:val="00AA2DAC"/>
    <w:rsid w:val="00AA3392"/>
    <w:rsid w:val="00AA3427"/>
    <w:rsid w:val="00AA351A"/>
    <w:rsid w:val="00AA415C"/>
    <w:rsid w:val="00AA45C4"/>
    <w:rsid w:val="00AA46FC"/>
    <w:rsid w:val="00AA4AA8"/>
    <w:rsid w:val="00AA509C"/>
    <w:rsid w:val="00AA543A"/>
    <w:rsid w:val="00AA584B"/>
    <w:rsid w:val="00AA651E"/>
    <w:rsid w:val="00AA6BD5"/>
    <w:rsid w:val="00AA6BD8"/>
    <w:rsid w:val="00AA6C7D"/>
    <w:rsid w:val="00AA712A"/>
    <w:rsid w:val="00AA7FB6"/>
    <w:rsid w:val="00AA7FD6"/>
    <w:rsid w:val="00AB042A"/>
    <w:rsid w:val="00AB0B30"/>
    <w:rsid w:val="00AB0C54"/>
    <w:rsid w:val="00AB11AD"/>
    <w:rsid w:val="00AB12E4"/>
    <w:rsid w:val="00AB1474"/>
    <w:rsid w:val="00AB16BB"/>
    <w:rsid w:val="00AB1824"/>
    <w:rsid w:val="00AB19EF"/>
    <w:rsid w:val="00AB22F5"/>
    <w:rsid w:val="00AB2495"/>
    <w:rsid w:val="00AB25EE"/>
    <w:rsid w:val="00AB2D34"/>
    <w:rsid w:val="00AB3430"/>
    <w:rsid w:val="00AB3681"/>
    <w:rsid w:val="00AB37B9"/>
    <w:rsid w:val="00AB39D0"/>
    <w:rsid w:val="00AB3B56"/>
    <w:rsid w:val="00AB451A"/>
    <w:rsid w:val="00AB4AD1"/>
    <w:rsid w:val="00AB4CB5"/>
    <w:rsid w:val="00AB5AF6"/>
    <w:rsid w:val="00AB5D7B"/>
    <w:rsid w:val="00AB5E07"/>
    <w:rsid w:val="00AB5FC9"/>
    <w:rsid w:val="00AB62F0"/>
    <w:rsid w:val="00AB7B86"/>
    <w:rsid w:val="00AB7C48"/>
    <w:rsid w:val="00AB7CFA"/>
    <w:rsid w:val="00AC03E4"/>
    <w:rsid w:val="00AC066D"/>
    <w:rsid w:val="00AC1CC2"/>
    <w:rsid w:val="00AC248B"/>
    <w:rsid w:val="00AC2EB8"/>
    <w:rsid w:val="00AC454E"/>
    <w:rsid w:val="00AC4B92"/>
    <w:rsid w:val="00AC4E70"/>
    <w:rsid w:val="00AC550A"/>
    <w:rsid w:val="00AC5A6D"/>
    <w:rsid w:val="00AC5B42"/>
    <w:rsid w:val="00AC5B48"/>
    <w:rsid w:val="00AC5D0A"/>
    <w:rsid w:val="00AC5F45"/>
    <w:rsid w:val="00AC61DE"/>
    <w:rsid w:val="00AC65D3"/>
    <w:rsid w:val="00AC6FBC"/>
    <w:rsid w:val="00AC784B"/>
    <w:rsid w:val="00AC7AFD"/>
    <w:rsid w:val="00AC7D24"/>
    <w:rsid w:val="00AC7E21"/>
    <w:rsid w:val="00AC7F60"/>
    <w:rsid w:val="00AD0062"/>
    <w:rsid w:val="00AD00E3"/>
    <w:rsid w:val="00AD0307"/>
    <w:rsid w:val="00AD0D9C"/>
    <w:rsid w:val="00AD0FAE"/>
    <w:rsid w:val="00AD1450"/>
    <w:rsid w:val="00AD153E"/>
    <w:rsid w:val="00AD15E8"/>
    <w:rsid w:val="00AD1682"/>
    <w:rsid w:val="00AD23BD"/>
    <w:rsid w:val="00AD243A"/>
    <w:rsid w:val="00AD2D93"/>
    <w:rsid w:val="00AD356D"/>
    <w:rsid w:val="00AD3935"/>
    <w:rsid w:val="00AD3A60"/>
    <w:rsid w:val="00AD3A9A"/>
    <w:rsid w:val="00AD46AC"/>
    <w:rsid w:val="00AD4EA6"/>
    <w:rsid w:val="00AD5827"/>
    <w:rsid w:val="00AD642C"/>
    <w:rsid w:val="00AD6502"/>
    <w:rsid w:val="00AD7523"/>
    <w:rsid w:val="00AD768B"/>
    <w:rsid w:val="00AD7C89"/>
    <w:rsid w:val="00AD7F7D"/>
    <w:rsid w:val="00AE0260"/>
    <w:rsid w:val="00AE0695"/>
    <w:rsid w:val="00AE06FC"/>
    <w:rsid w:val="00AE085C"/>
    <w:rsid w:val="00AE108D"/>
    <w:rsid w:val="00AE1281"/>
    <w:rsid w:val="00AE14F2"/>
    <w:rsid w:val="00AE1600"/>
    <w:rsid w:val="00AE1AC4"/>
    <w:rsid w:val="00AE3E7E"/>
    <w:rsid w:val="00AE425C"/>
    <w:rsid w:val="00AE55FF"/>
    <w:rsid w:val="00AE570B"/>
    <w:rsid w:val="00AE57C1"/>
    <w:rsid w:val="00AE5815"/>
    <w:rsid w:val="00AE79DB"/>
    <w:rsid w:val="00AE7E53"/>
    <w:rsid w:val="00AF0006"/>
    <w:rsid w:val="00AF0971"/>
    <w:rsid w:val="00AF11F7"/>
    <w:rsid w:val="00AF1315"/>
    <w:rsid w:val="00AF19BF"/>
    <w:rsid w:val="00AF1FCC"/>
    <w:rsid w:val="00AF1FCF"/>
    <w:rsid w:val="00AF2AB7"/>
    <w:rsid w:val="00AF2DC3"/>
    <w:rsid w:val="00AF3EC6"/>
    <w:rsid w:val="00AF4380"/>
    <w:rsid w:val="00AF4A72"/>
    <w:rsid w:val="00AF55ED"/>
    <w:rsid w:val="00AF5827"/>
    <w:rsid w:val="00AF5B7C"/>
    <w:rsid w:val="00AF6DB3"/>
    <w:rsid w:val="00AF7538"/>
    <w:rsid w:val="00B006CF"/>
    <w:rsid w:val="00B01A40"/>
    <w:rsid w:val="00B01D80"/>
    <w:rsid w:val="00B0304C"/>
    <w:rsid w:val="00B033E5"/>
    <w:rsid w:val="00B0385B"/>
    <w:rsid w:val="00B03A63"/>
    <w:rsid w:val="00B03D84"/>
    <w:rsid w:val="00B04149"/>
    <w:rsid w:val="00B04844"/>
    <w:rsid w:val="00B04B4C"/>
    <w:rsid w:val="00B04FFC"/>
    <w:rsid w:val="00B05264"/>
    <w:rsid w:val="00B05F2F"/>
    <w:rsid w:val="00B069D6"/>
    <w:rsid w:val="00B06E92"/>
    <w:rsid w:val="00B0740C"/>
    <w:rsid w:val="00B07D58"/>
    <w:rsid w:val="00B07FF3"/>
    <w:rsid w:val="00B10B0D"/>
    <w:rsid w:val="00B10D01"/>
    <w:rsid w:val="00B10EDC"/>
    <w:rsid w:val="00B1125E"/>
    <w:rsid w:val="00B11973"/>
    <w:rsid w:val="00B1210A"/>
    <w:rsid w:val="00B127BE"/>
    <w:rsid w:val="00B129A4"/>
    <w:rsid w:val="00B132AC"/>
    <w:rsid w:val="00B132B6"/>
    <w:rsid w:val="00B13658"/>
    <w:rsid w:val="00B138CE"/>
    <w:rsid w:val="00B13D9E"/>
    <w:rsid w:val="00B13E4A"/>
    <w:rsid w:val="00B14029"/>
    <w:rsid w:val="00B1465D"/>
    <w:rsid w:val="00B1785D"/>
    <w:rsid w:val="00B17DB6"/>
    <w:rsid w:val="00B201A4"/>
    <w:rsid w:val="00B201D1"/>
    <w:rsid w:val="00B209DE"/>
    <w:rsid w:val="00B20A2A"/>
    <w:rsid w:val="00B20A51"/>
    <w:rsid w:val="00B2121D"/>
    <w:rsid w:val="00B21271"/>
    <w:rsid w:val="00B213A6"/>
    <w:rsid w:val="00B21DDF"/>
    <w:rsid w:val="00B226AB"/>
    <w:rsid w:val="00B235B0"/>
    <w:rsid w:val="00B23C86"/>
    <w:rsid w:val="00B24DF6"/>
    <w:rsid w:val="00B253B7"/>
    <w:rsid w:val="00B26B96"/>
    <w:rsid w:val="00B26BE5"/>
    <w:rsid w:val="00B27783"/>
    <w:rsid w:val="00B27A61"/>
    <w:rsid w:val="00B3028A"/>
    <w:rsid w:val="00B306C4"/>
    <w:rsid w:val="00B31C89"/>
    <w:rsid w:val="00B32303"/>
    <w:rsid w:val="00B323B7"/>
    <w:rsid w:val="00B32C3B"/>
    <w:rsid w:val="00B337E1"/>
    <w:rsid w:val="00B34D12"/>
    <w:rsid w:val="00B34FE2"/>
    <w:rsid w:val="00B35166"/>
    <w:rsid w:val="00B357D8"/>
    <w:rsid w:val="00B358C5"/>
    <w:rsid w:val="00B35A1A"/>
    <w:rsid w:val="00B360F4"/>
    <w:rsid w:val="00B36125"/>
    <w:rsid w:val="00B363C6"/>
    <w:rsid w:val="00B36541"/>
    <w:rsid w:val="00B366D0"/>
    <w:rsid w:val="00B36A00"/>
    <w:rsid w:val="00B376A6"/>
    <w:rsid w:val="00B377A0"/>
    <w:rsid w:val="00B378AE"/>
    <w:rsid w:val="00B3792B"/>
    <w:rsid w:val="00B37BFC"/>
    <w:rsid w:val="00B40281"/>
    <w:rsid w:val="00B40358"/>
    <w:rsid w:val="00B40F27"/>
    <w:rsid w:val="00B41614"/>
    <w:rsid w:val="00B42851"/>
    <w:rsid w:val="00B429BE"/>
    <w:rsid w:val="00B42F80"/>
    <w:rsid w:val="00B435CB"/>
    <w:rsid w:val="00B43822"/>
    <w:rsid w:val="00B44171"/>
    <w:rsid w:val="00B44C39"/>
    <w:rsid w:val="00B4567D"/>
    <w:rsid w:val="00B458AF"/>
    <w:rsid w:val="00B45DD9"/>
    <w:rsid w:val="00B465EC"/>
    <w:rsid w:val="00B465F2"/>
    <w:rsid w:val="00B46FF2"/>
    <w:rsid w:val="00B47358"/>
    <w:rsid w:val="00B50528"/>
    <w:rsid w:val="00B505C8"/>
    <w:rsid w:val="00B50B8A"/>
    <w:rsid w:val="00B50DB8"/>
    <w:rsid w:val="00B517EF"/>
    <w:rsid w:val="00B51B8C"/>
    <w:rsid w:val="00B51C58"/>
    <w:rsid w:val="00B522C3"/>
    <w:rsid w:val="00B524D5"/>
    <w:rsid w:val="00B53654"/>
    <w:rsid w:val="00B5383E"/>
    <w:rsid w:val="00B53905"/>
    <w:rsid w:val="00B53CED"/>
    <w:rsid w:val="00B53F72"/>
    <w:rsid w:val="00B54127"/>
    <w:rsid w:val="00B54376"/>
    <w:rsid w:val="00B546DB"/>
    <w:rsid w:val="00B54B2C"/>
    <w:rsid w:val="00B54B5B"/>
    <w:rsid w:val="00B55028"/>
    <w:rsid w:val="00B5514F"/>
    <w:rsid w:val="00B555B3"/>
    <w:rsid w:val="00B5562E"/>
    <w:rsid w:val="00B55862"/>
    <w:rsid w:val="00B55D65"/>
    <w:rsid w:val="00B55E62"/>
    <w:rsid w:val="00B55E9A"/>
    <w:rsid w:val="00B56305"/>
    <w:rsid w:val="00B56BC9"/>
    <w:rsid w:val="00B56CEF"/>
    <w:rsid w:val="00B57000"/>
    <w:rsid w:val="00B571BC"/>
    <w:rsid w:val="00B606B2"/>
    <w:rsid w:val="00B607C3"/>
    <w:rsid w:val="00B60939"/>
    <w:rsid w:val="00B60AFD"/>
    <w:rsid w:val="00B60B7F"/>
    <w:rsid w:val="00B60FD8"/>
    <w:rsid w:val="00B60FDC"/>
    <w:rsid w:val="00B612C9"/>
    <w:rsid w:val="00B614CD"/>
    <w:rsid w:val="00B614EC"/>
    <w:rsid w:val="00B61DE2"/>
    <w:rsid w:val="00B62068"/>
    <w:rsid w:val="00B62085"/>
    <w:rsid w:val="00B626F4"/>
    <w:rsid w:val="00B62715"/>
    <w:rsid w:val="00B62B94"/>
    <w:rsid w:val="00B62C4D"/>
    <w:rsid w:val="00B631EE"/>
    <w:rsid w:val="00B6335E"/>
    <w:rsid w:val="00B64790"/>
    <w:rsid w:val="00B650C9"/>
    <w:rsid w:val="00B65611"/>
    <w:rsid w:val="00B6580A"/>
    <w:rsid w:val="00B660C2"/>
    <w:rsid w:val="00B66239"/>
    <w:rsid w:val="00B67A36"/>
    <w:rsid w:val="00B67C88"/>
    <w:rsid w:val="00B67E21"/>
    <w:rsid w:val="00B70366"/>
    <w:rsid w:val="00B70DA6"/>
    <w:rsid w:val="00B70E8E"/>
    <w:rsid w:val="00B70EBF"/>
    <w:rsid w:val="00B727AE"/>
    <w:rsid w:val="00B72865"/>
    <w:rsid w:val="00B72C3B"/>
    <w:rsid w:val="00B736F1"/>
    <w:rsid w:val="00B73C05"/>
    <w:rsid w:val="00B74A86"/>
    <w:rsid w:val="00B7573A"/>
    <w:rsid w:val="00B757FF"/>
    <w:rsid w:val="00B76057"/>
    <w:rsid w:val="00B766CB"/>
    <w:rsid w:val="00B7673C"/>
    <w:rsid w:val="00B76AB2"/>
    <w:rsid w:val="00B76C92"/>
    <w:rsid w:val="00B806BB"/>
    <w:rsid w:val="00B80996"/>
    <w:rsid w:val="00B80EFD"/>
    <w:rsid w:val="00B81409"/>
    <w:rsid w:val="00B81879"/>
    <w:rsid w:val="00B818A4"/>
    <w:rsid w:val="00B81A0D"/>
    <w:rsid w:val="00B8259F"/>
    <w:rsid w:val="00B83422"/>
    <w:rsid w:val="00B83617"/>
    <w:rsid w:val="00B83739"/>
    <w:rsid w:val="00B83770"/>
    <w:rsid w:val="00B84117"/>
    <w:rsid w:val="00B847DC"/>
    <w:rsid w:val="00B84B65"/>
    <w:rsid w:val="00B84B82"/>
    <w:rsid w:val="00B8505F"/>
    <w:rsid w:val="00B852D5"/>
    <w:rsid w:val="00B856A7"/>
    <w:rsid w:val="00B858F0"/>
    <w:rsid w:val="00B85AA2"/>
    <w:rsid w:val="00B85E0F"/>
    <w:rsid w:val="00B8604D"/>
    <w:rsid w:val="00B8649C"/>
    <w:rsid w:val="00B8655C"/>
    <w:rsid w:val="00B865A9"/>
    <w:rsid w:val="00B8695D"/>
    <w:rsid w:val="00B86F6E"/>
    <w:rsid w:val="00B87A7C"/>
    <w:rsid w:val="00B87F0A"/>
    <w:rsid w:val="00B9013C"/>
    <w:rsid w:val="00B90647"/>
    <w:rsid w:val="00B90B2A"/>
    <w:rsid w:val="00B90E4D"/>
    <w:rsid w:val="00B90FDB"/>
    <w:rsid w:val="00B91391"/>
    <w:rsid w:val="00B9155D"/>
    <w:rsid w:val="00B91BEA"/>
    <w:rsid w:val="00B91E5A"/>
    <w:rsid w:val="00B92421"/>
    <w:rsid w:val="00B92426"/>
    <w:rsid w:val="00B924C2"/>
    <w:rsid w:val="00B92CFA"/>
    <w:rsid w:val="00B92D0B"/>
    <w:rsid w:val="00B930C1"/>
    <w:rsid w:val="00B937C4"/>
    <w:rsid w:val="00B93CB9"/>
    <w:rsid w:val="00B9400D"/>
    <w:rsid w:val="00B94945"/>
    <w:rsid w:val="00B94DD6"/>
    <w:rsid w:val="00B961AA"/>
    <w:rsid w:val="00B963DF"/>
    <w:rsid w:val="00B96FC6"/>
    <w:rsid w:val="00B97FF3"/>
    <w:rsid w:val="00BA0194"/>
    <w:rsid w:val="00BA01FC"/>
    <w:rsid w:val="00BA03A1"/>
    <w:rsid w:val="00BA0707"/>
    <w:rsid w:val="00BA1A1C"/>
    <w:rsid w:val="00BA200F"/>
    <w:rsid w:val="00BA2714"/>
    <w:rsid w:val="00BA322D"/>
    <w:rsid w:val="00BA3599"/>
    <w:rsid w:val="00BA35DC"/>
    <w:rsid w:val="00BA3981"/>
    <w:rsid w:val="00BA4736"/>
    <w:rsid w:val="00BA50CF"/>
    <w:rsid w:val="00BA5866"/>
    <w:rsid w:val="00BA5A00"/>
    <w:rsid w:val="00BA5C9B"/>
    <w:rsid w:val="00BA6327"/>
    <w:rsid w:val="00BA63FA"/>
    <w:rsid w:val="00BA650C"/>
    <w:rsid w:val="00BA7628"/>
    <w:rsid w:val="00BA7F63"/>
    <w:rsid w:val="00BB00B3"/>
    <w:rsid w:val="00BB0ABC"/>
    <w:rsid w:val="00BB0BDD"/>
    <w:rsid w:val="00BB0E9D"/>
    <w:rsid w:val="00BB176C"/>
    <w:rsid w:val="00BB1CB4"/>
    <w:rsid w:val="00BB2A73"/>
    <w:rsid w:val="00BB2E0B"/>
    <w:rsid w:val="00BB3306"/>
    <w:rsid w:val="00BB3A45"/>
    <w:rsid w:val="00BB3F71"/>
    <w:rsid w:val="00BB405D"/>
    <w:rsid w:val="00BB4442"/>
    <w:rsid w:val="00BB4ACC"/>
    <w:rsid w:val="00BB6002"/>
    <w:rsid w:val="00BB6273"/>
    <w:rsid w:val="00BB6896"/>
    <w:rsid w:val="00BB6C76"/>
    <w:rsid w:val="00BB6E9B"/>
    <w:rsid w:val="00BB703E"/>
    <w:rsid w:val="00BB727F"/>
    <w:rsid w:val="00BB732D"/>
    <w:rsid w:val="00BB7405"/>
    <w:rsid w:val="00BB7623"/>
    <w:rsid w:val="00BB7D2A"/>
    <w:rsid w:val="00BB7D75"/>
    <w:rsid w:val="00BC0D0C"/>
    <w:rsid w:val="00BC1006"/>
    <w:rsid w:val="00BC15E7"/>
    <w:rsid w:val="00BC1A6A"/>
    <w:rsid w:val="00BC28FB"/>
    <w:rsid w:val="00BC2A01"/>
    <w:rsid w:val="00BC2A09"/>
    <w:rsid w:val="00BC2D78"/>
    <w:rsid w:val="00BC3631"/>
    <w:rsid w:val="00BC411F"/>
    <w:rsid w:val="00BC483E"/>
    <w:rsid w:val="00BC4B3C"/>
    <w:rsid w:val="00BC591F"/>
    <w:rsid w:val="00BC5931"/>
    <w:rsid w:val="00BC594C"/>
    <w:rsid w:val="00BC5B7A"/>
    <w:rsid w:val="00BC5F21"/>
    <w:rsid w:val="00BC73E2"/>
    <w:rsid w:val="00BC7752"/>
    <w:rsid w:val="00BC7D6D"/>
    <w:rsid w:val="00BD1539"/>
    <w:rsid w:val="00BD1A72"/>
    <w:rsid w:val="00BD1D08"/>
    <w:rsid w:val="00BD1E2D"/>
    <w:rsid w:val="00BD2108"/>
    <w:rsid w:val="00BD28FD"/>
    <w:rsid w:val="00BD2B3E"/>
    <w:rsid w:val="00BD2CB0"/>
    <w:rsid w:val="00BD2DD4"/>
    <w:rsid w:val="00BD3693"/>
    <w:rsid w:val="00BD475C"/>
    <w:rsid w:val="00BD48E9"/>
    <w:rsid w:val="00BD5087"/>
    <w:rsid w:val="00BD5831"/>
    <w:rsid w:val="00BD58C4"/>
    <w:rsid w:val="00BD5BE1"/>
    <w:rsid w:val="00BD5DA5"/>
    <w:rsid w:val="00BD634E"/>
    <w:rsid w:val="00BD68A3"/>
    <w:rsid w:val="00BD6938"/>
    <w:rsid w:val="00BD6942"/>
    <w:rsid w:val="00BD6CF3"/>
    <w:rsid w:val="00BD719C"/>
    <w:rsid w:val="00BD76B8"/>
    <w:rsid w:val="00BD7DAC"/>
    <w:rsid w:val="00BD7F72"/>
    <w:rsid w:val="00BE067A"/>
    <w:rsid w:val="00BE0776"/>
    <w:rsid w:val="00BE09E6"/>
    <w:rsid w:val="00BE0CDD"/>
    <w:rsid w:val="00BE0ECA"/>
    <w:rsid w:val="00BE0F32"/>
    <w:rsid w:val="00BE1405"/>
    <w:rsid w:val="00BE14B4"/>
    <w:rsid w:val="00BE2081"/>
    <w:rsid w:val="00BE2180"/>
    <w:rsid w:val="00BE21F2"/>
    <w:rsid w:val="00BE3099"/>
    <w:rsid w:val="00BE31DA"/>
    <w:rsid w:val="00BE3322"/>
    <w:rsid w:val="00BE3523"/>
    <w:rsid w:val="00BE3624"/>
    <w:rsid w:val="00BE4275"/>
    <w:rsid w:val="00BE56CF"/>
    <w:rsid w:val="00BE696E"/>
    <w:rsid w:val="00BE75FC"/>
    <w:rsid w:val="00BE769E"/>
    <w:rsid w:val="00BE77AF"/>
    <w:rsid w:val="00BE7978"/>
    <w:rsid w:val="00BF0302"/>
    <w:rsid w:val="00BF04FD"/>
    <w:rsid w:val="00BF06AE"/>
    <w:rsid w:val="00BF0F95"/>
    <w:rsid w:val="00BF2433"/>
    <w:rsid w:val="00BF24A5"/>
    <w:rsid w:val="00BF25EA"/>
    <w:rsid w:val="00BF2964"/>
    <w:rsid w:val="00BF2E6E"/>
    <w:rsid w:val="00BF3339"/>
    <w:rsid w:val="00BF357C"/>
    <w:rsid w:val="00BF38DF"/>
    <w:rsid w:val="00BF38E5"/>
    <w:rsid w:val="00BF3DC6"/>
    <w:rsid w:val="00BF4162"/>
    <w:rsid w:val="00BF478D"/>
    <w:rsid w:val="00BF4AA9"/>
    <w:rsid w:val="00BF5990"/>
    <w:rsid w:val="00BF5D9B"/>
    <w:rsid w:val="00BF61C9"/>
    <w:rsid w:val="00BF634E"/>
    <w:rsid w:val="00BF6594"/>
    <w:rsid w:val="00BF6C94"/>
    <w:rsid w:val="00BF6DF5"/>
    <w:rsid w:val="00BF6EB6"/>
    <w:rsid w:val="00BF71B8"/>
    <w:rsid w:val="00BF7E0E"/>
    <w:rsid w:val="00C0006D"/>
    <w:rsid w:val="00C0032C"/>
    <w:rsid w:val="00C00424"/>
    <w:rsid w:val="00C006C5"/>
    <w:rsid w:val="00C00BB0"/>
    <w:rsid w:val="00C01297"/>
    <w:rsid w:val="00C0169C"/>
    <w:rsid w:val="00C022B4"/>
    <w:rsid w:val="00C025FD"/>
    <w:rsid w:val="00C026D6"/>
    <w:rsid w:val="00C026DA"/>
    <w:rsid w:val="00C029A0"/>
    <w:rsid w:val="00C02A42"/>
    <w:rsid w:val="00C02DAD"/>
    <w:rsid w:val="00C034EA"/>
    <w:rsid w:val="00C03B77"/>
    <w:rsid w:val="00C03B81"/>
    <w:rsid w:val="00C04025"/>
    <w:rsid w:val="00C0480C"/>
    <w:rsid w:val="00C04D08"/>
    <w:rsid w:val="00C05350"/>
    <w:rsid w:val="00C05DD0"/>
    <w:rsid w:val="00C05EF0"/>
    <w:rsid w:val="00C0694B"/>
    <w:rsid w:val="00C069BA"/>
    <w:rsid w:val="00C07931"/>
    <w:rsid w:val="00C07978"/>
    <w:rsid w:val="00C07C0B"/>
    <w:rsid w:val="00C1010F"/>
    <w:rsid w:val="00C1097B"/>
    <w:rsid w:val="00C115F0"/>
    <w:rsid w:val="00C1179F"/>
    <w:rsid w:val="00C11BA9"/>
    <w:rsid w:val="00C1273B"/>
    <w:rsid w:val="00C127B9"/>
    <w:rsid w:val="00C128FA"/>
    <w:rsid w:val="00C12901"/>
    <w:rsid w:val="00C12C05"/>
    <w:rsid w:val="00C12C14"/>
    <w:rsid w:val="00C136B9"/>
    <w:rsid w:val="00C1373F"/>
    <w:rsid w:val="00C13D31"/>
    <w:rsid w:val="00C142A9"/>
    <w:rsid w:val="00C146D1"/>
    <w:rsid w:val="00C15C24"/>
    <w:rsid w:val="00C15C3F"/>
    <w:rsid w:val="00C15F04"/>
    <w:rsid w:val="00C160EB"/>
    <w:rsid w:val="00C16D99"/>
    <w:rsid w:val="00C179B3"/>
    <w:rsid w:val="00C17AA0"/>
    <w:rsid w:val="00C17DC7"/>
    <w:rsid w:val="00C17E3F"/>
    <w:rsid w:val="00C200AA"/>
    <w:rsid w:val="00C203CC"/>
    <w:rsid w:val="00C211F3"/>
    <w:rsid w:val="00C2158F"/>
    <w:rsid w:val="00C218FF"/>
    <w:rsid w:val="00C21D20"/>
    <w:rsid w:val="00C21D82"/>
    <w:rsid w:val="00C23334"/>
    <w:rsid w:val="00C237ED"/>
    <w:rsid w:val="00C23F38"/>
    <w:rsid w:val="00C24189"/>
    <w:rsid w:val="00C24632"/>
    <w:rsid w:val="00C24713"/>
    <w:rsid w:val="00C24EFB"/>
    <w:rsid w:val="00C25418"/>
    <w:rsid w:val="00C2572C"/>
    <w:rsid w:val="00C25D9C"/>
    <w:rsid w:val="00C269F9"/>
    <w:rsid w:val="00C26C28"/>
    <w:rsid w:val="00C27575"/>
    <w:rsid w:val="00C2778B"/>
    <w:rsid w:val="00C27E6E"/>
    <w:rsid w:val="00C31649"/>
    <w:rsid w:val="00C3216A"/>
    <w:rsid w:val="00C3228B"/>
    <w:rsid w:val="00C3258A"/>
    <w:rsid w:val="00C329AF"/>
    <w:rsid w:val="00C33078"/>
    <w:rsid w:val="00C3404C"/>
    <w:rsid w:val="00C340AD"/>
    <w:rsid w:val="00C3434C"/>
    <w:rsid w:val="00C346AE"/>
    <w:rsid w:val="00C349E8"/>
    <w:rsid w:val="00C354B7"/>
    <w:rsid w:val="00C36197"/>
    <w:rsid w:val="00C365B8"/>
    <w:rsid w:val="00C36A40"/>
    <w:rsid w:val="00C3718F"/>
    <w:rsid w:val="00C4001D"/>
    <w:rsid w:val="00C40385"/>
    <w:rsid w:val="00C403B6"/>
    <w:rsid w:val="00C4052E"/>
    <w:rsid w:val="00C40542"/>
    <w:rsid w:val="00C40898"/>
    <w:rsid w:val="00C40F2F"/>
    <w:rsid w:val="00C41768"/>
    <w:rsid w:val="00C41CCF"/>
    <w:rsid w:val="00C43D2B"/>
    <w:rsid w:val="00C44A64"/>
    <w:rsid w:val="00C44B78"/>
    <w:rsid w:val="00C454C5"/>
    <w:rsid w:val="00C457B3"/>
    <w:rsid w:val="00C45AA4"/>
    <w:rsid w:val="00C45FBC"/>
    <w:rsid w:val="00C46076"/>
    <w:rsid w:val="00C465CC"/>
    <w:rsid w:val="00C46B50"/>
    <w:rsid w:val="00C46D7A"/>
    <w:rsid w:val="00C46D98"/>
    <w:rsid w:val="00C46F9E"/>
    <w:rsid w:val="00C47161"/>
    <w:rsid w:val="00C474A5"/>
    <w:rsid w:val="00C475AA"/>
    <w:rsid w:val="00C47864"/>
    <w:rsid w:val="00C478AE"/>
    <w:rsid w:val="00C5045F"/>
    <w:rsid w:val="00C507B2"/>
    <w:rsid w:val="00C5245B"/>
    <w:rsid w:val="00C527C7"/>
    <w:rsid w:val="00C52A10"/>
    <w:rsid w:val="00C53290"/>
    <w:rsid w:val="00C536B1"/>
    <w:rsid w:val="00C53C98"/>
    <w:rsid w:val="00C5437D"/>
    <w:rsid w:val="00C554E2"/>
    <w:rsid w:val="00C56A72"/>
    <w:rsid w:val="00C56FCF"/>
    <w:rsid w:val="00C5764C"/>
    <w:rsid w:val="00C57A24"/>
    <w:rsid w:val="00C57B6C"/>
    <w:rsid w:val="00C57CA7"/>
    <w:rsid w:val="00C6014A"/>
    <w:rsid w:val="00C604AB"/>
    <w:rsid w:val="00C60670"/>
    <w:rsid w:val="00C607BF"/>
    <w:rsid w:val="00C61744"/>
    <w:rsid w:val="00C61A59"/>
    <w:rsid w:val="00C61C0F"/>
    <w:rsid w:val="00C628A6"/>
    <w:rsid w:val="00C63447"/>
    <w:rsid w:val="00C6382E"/>
    <w:rsid w:val="00C63837"/>
    <w:rsid w:val="00C64344"/>
    <w:rsid w:val="00C6464C"/>
    <w:rsid w:val="00C64869"/>
    <w:rsid w:val="00C649BC"/>
    <w:rsid w:val="00C64A05"/>
    <w:rsid w:val="00C64B0F"/>
    <w:rsid w:val="00C64F75"/>
    <w:rsid w:val="00C65108"/>
    <w:rsid w:val="00C65576"/>
    <w:rsid w:val="00C65D92"/>
    <w:rsid w:val="00C66165"/>
    <w:rsid w:val="00C6619B"/>
    <w:rsid w:val="00C67948"/>
    <w:rsid w:val="00C679DF"/>
    <w:rsid w:val="00C7060A"/>
    <w:rsid w:val="00C71074"/>
    <w:rsid w:val="00C7151A"/>
    <w:rsid w:val="00C716EB"/>
    <w:rsid w:val="00C717E3"/>
    <w:rsid w:val="00C71D33"/>
    <w:rsid w:val="00C71DDC"/>
    <w:rsid w:val="00C71EED"/>
    <w:rsid w:val="00C71F60"/>
    <w:rsid w:val="00C72241"/>
    <w:rsid w:val="00C723C5"/>
    <w:rsid w:val="00C7265A"/>
    <w:rsid w:val="00C729C5"/>
    <w:rsid w:val="00C7371D"/>
    <w:rsid w:val="00C737C9"/>
    <w:rsid w:val="00C73D9B"/>
    <w:rsid w:val="00C7407D"/>
    <w:rsid w:val="00C74C7A"/>
    <w:rsid w:val="00C750C8"/>
    <w:rsid w:val="00C75312"/>
    <w:rsid w:val="00C7560F"/>
    <w:rsid w:val="00C758BC"/>
    <w:rsid w:val="00C760DC"/>
    <w:rsid w:val="00C76F31"/>
    <w:rsid w:val="00C803CB"/>
    <w:rsid w:val="00C807A7"/>
    <w:rsid w:val="00C80A0E"/>
    <w:rsid w:val="00C8213F"/>
    <w:rsid w:val="00C82566"/>
    <w:rsid w:val="00C8275A"/>
    <w:rsid w:val="00C82F40"/>
    <w:rsid w:val="00C8303F"/>
    <w:rsid w:val="00C83292"/>
    <w:rsid w:val="00C8384A"/>
    <w:rsid w:val="00C83BDB"/>
    <w:rsid w:val="00C83F35"/>
    <w:rsid w:val="00C8440D"/>
    <w:rsid w:val="00C84D41"/>
    <w:rsid w:val="00C85154"/>
    <w:rsid w:val="00C85420"/>
    <w:rsid w:val="00C85A2A"/>
    <w:rsid w:val="00C85A70"/>
    <w:rsid w:val="00C85BD5"/>
    <w:rsid w:val="00C85FD3"/>
    <w:rsid w:val="00C872D4"/>
    <w:rsid w:val="00C8797A"/>
    <w:rsid w:val="00C87BAB"/>
    <w:rsid w:val="00C87C07"/>
    <w:rsid w:val="00C900B8"/>
    <w:rsid w:val="00C90197"/>
    <w:rsid w:val="00C90C71"/>
    <w:rsid w:val="00C91101"/>
    <w:rsid w:val="00C91DA7"/>
    <w:rsid w:val="00C91E76"/>
    <w:rsid w:val="00C91ECB"/>
    <w:rsid w:val="00C91FD1"/>
    <w:rsid w:val="00C929D5"/>
    <w:rsid w:val="00C92EBA"/>
    <w:rsid w:val="00C93087"/>
    <w:rsid w:val="00C931CF"/>
    <w:rsid w:val="00C938CF"/>
    <w:rsid w:val="00C93E05"/>
    <w:rsid w:val="00C94053"/>
    <w:rsid w:val="00C9553D"/>
    <w:rsid w:val="00C95554"/>
    <w:rsid w:val="00C9624D"/>
    <w:rsid w:val="00C9696A"/>
    <w:rsid w:val="00C969DA"/>
    <w:rsid w:val="00C96E70"/>
    <w:rsid w:val="00CA0441"/>
    <w:rsid w:val="00CA1C26"/>
    <w:rsid w:val="00CA1CB3"/>
    <w:rsid w:val="00CA1E49"/>
    <w:rsid w:val="00CA1F68"/>
    <w:rsid w:val="00CA2071"/>
    <w:rsid w:val="00CA2903"/>
    <w:rsid w:val="00CA2C56"/>
    <w:rsid w:val="00CA2C77"/>
    <w:rsid w:val="00CA3020"/>
    <w:rsid w:val="00CA314E"/>
    <w:rsid w:val="00CA3EEB"/>
    <w:rsid w:val="00CA444F"/>
    <w:rsid w:val="00CA5245"/>
    <w:rsid w:val="00CA60DB"/>
    <w:rsid w:val="00CA61A2"/>
    <w:rsid w:val="00CA621C"/>
    <w:rsid w:val="00CA63E3"/>
    <w:rsid w:val="00CA71F4"/>
    <w:rsid w:val="00CA7A95"/>
    <w:rsid w:val="00CA7B09"/>
    <w:rsid w:val="00CA7BF4"/>
    <w:rsid w:val="00CB0C8A"/>
    <w:rsid w:val="00CB12A5"/>
    <w:rsid w:val="00CB1CAC"/>
    <w:rsid w:val="00CB21EC"/>
    <w:rsid w:val="00CB2AA6"/>
    <w:rsid w:val="00CB2E55"/>
    <w:rsid w:val="00CB2EEE"/>
    <w:rsid w:val="00CB2F2A"/>
    <w:rsid w:val="00CB35B3"/>
    <w:rsid w:val="00CB3DAF"/>
    <w:rsid w:val="00CB48C2"/>
    <w:rsid w:val="00CB4E04"/>
    <w:rsid w:val="00CB5B1A"/>
    <w:rsid w:val="00CB5D05"/>
    <w:rsid w:val="00CB63DB"/>
    <w:rsid w:val="00CB6B22"/>
    <w:rsid w:val="00CB7559"/>
    <w:rsid w:val="00CB799F"/>
    <w:rsid w:val="00CB7F5F"/>
    <w:rsid w:val="00CC0623"/>
    <w:rsid w:val="00CC1379"/>
    <w:rsid w:val="00CC1A1A"/>
    <w:rsid w:val="00CC1B39"/>
    <w:rsid w:val="00CC1BB8"/>
    <w:rsid w:val="00CC1BFA"/>
    <w:rsid w:val="00CC252F"/>
    <w:rsid w:val="00CC2E8A"/>
    <w:rsid w:val="00CC2E9F"/>
    <w:rsid w:val="00CC30B6"/>
    <w:rsid w:val="00CC35EA"/>
    <w:rsid w:val="00CC3848"/>
    <w:rsid w:val="00CC390D"/>
    <w:rsid w:val="00CC3A65"/>
    <w:rsid w:val="00CC4CE0"/>
    <w:rsid w:val="00CC4DA2"/>
    <w:rsid w:val="00CC5321"/>
    <w:rsid w:val="00CC54C5"/>
    <w:rsid w:val="00CC5A13"/>
    <w:rsid w:val="00CC61C0"/>
    <w:rsid w:val="00CC6D5E"/>
    <w:rsid w:val="00CC723A"/>
    <w:rsid w:val="00CC74C0"/>
    <w:rsid w:val="00CC7C4B"/>
    <w:rsid w:val="00CC7C90"/>
    <w:rsid w:val="00CD0200"/>
    <w:rsid w:val="00CD0A7F"/>
    <w:rsid w:val="00CD1BDC"/>
    <w:rsid w:val="00CD1EF9"/>
    <w:rsid w:val="00CD2792"/>
    <w:rsid w:val="00CD296C"/>
    <w:rsid w:val="00CD2B7B"/>
    <w:rsid w:val="00CD35A1"/>
    <w:rsid w:val="00CD3F77"/>
    <w:rsid w:val="00CD4563"/>
    <w:rsid w:val="00CD4E92"/>
    <w:rsid w:val="00CD53CC"/>
    <w:rsid w:val="00CD5A4E"/>
    <w:rsid w:val="00CD64F5"/>
    <w:rsid w:val="00CD66B4"/>
    <w:rsid w:val="00CD6ADC"/>
    <w:rsid w:val="00CD6B64"/>
    <w:rsid w:val="00CD6BFC"/>
    <w:rsid w:val="00CD7193"/>
    <w:rsid w:val="00CD71EF"/>
    <w:rsid w:val="00CD762F"/>
    <w:rsid w:val="00CD7D56"/>
    <w:rsid w:val="00CE0455"/>
    <w:rsid w:val="00CE0B8D"/>
    <w:rsid w:val="00CE120E"/>
    <w:rsid w:val="00CE1DD5"/>
    <w:rsid w:val="00CE24F5"/>
    <w:rsid w:val="00CE2715"/>
    <w:rsid w:val="00CE384E"/>
    <w:rsid w:val="00CE38C8"/>
    <w:rsid w:val="00CE43D5"/>
    <w:rsid w:val="00CE4C8F"/>
    <w:rsid w:val="00CE5092"/>
    <w:rsid w:val="00CE524F"/>
    <w:rsid w:val="00CE539A"/>
    <w:rsid w:val="00CE56B7"/>
    <w:rsid w:val="00CE58CC"/>
    <w:rsid w:val="00CE5B7E"/>
    <w:rsid w:val="00CE5D2A"/>
    <w:rsid w:val="00CE6274"/>
    <w:rsid w:val="00CE63A9"/>
    <w:rsid w:val="00CE663A"/>
    <w:rsid w:val="00CE6AE1"/>
    <w:rsid w:val="00CE77B6"/>
    <w:rsid w:val="00CF03F7"/>
    <w:rsid w:val="00CF09B4"/>
    <w:rsid w:val="00CF0CB0"/>
    <w:rsid w:val="00CF2462"/>
    <w:rsid w:val="00CF2B8D"/>
    <w:rsid w:val="00CF3A1B"/>
    <w:rsid w:val="00CF3B82"/>
    <w:rsid w:val="00CF3CF6"/>
    <w:rsid w:val="00CF3D7A"/>
    <w:rsid w:val="00CF3DC9"/>
    <w:rsid w:val="00CF456B"/>
    <w:rsid w:val="00CF5354"/>
    <w:rsid w:val="00CF56F8"/>
    <w:rsid w:val="00CF5A22"/>
    <w:rsid w:val="00CF5D06"/>
    <w:rsid w:val="00CF65E7"/>
    <w:rsid w:val="00CF6688"/>
    <w:rsid w:val="00CF6A9D"/>
    <w:rsid w:val="00CF6C11"/>
    <w:rsid w:val="00CF6D90"/>
    <w:rsid w:val="00CF7179"/>
    <w:rsid w:val="00CF776D"/>
    <w:rsid w:val="00D001D0"/>
    <w:rsid w:val="00D008FD"/>
    <w:rsid w:val="00D0096F"/>
    <w:rsid w:val="00D01180"/>
    <w:rsid w:val="00D01A43"/>
    <w:rsid w:val="00D01EE3"/>
    <w:rsid w:val="00D0262E"/>
    <w:rsid w:val="00D02D0E"/>
    <w:rsid w:val="00D030CB"/>
    <w:rsid w:val="00D035BF"/>
    <w:rsid w:val="00D03679"/>
    <w:rsid w:val="00D0378F"/>
    <w:rsid w:val="00D04376"/>
    <w:rsid w:val="00D04F5E"/>
    <w:rsid w:val="00D052E4"/>
    <w:rsid w:val="00D05326"/>
    <w:rsid w:val="00D05E3D"/>
    <w:rsid w:val="00D06139"/>
    <w:rsid w:val="00D06B57"/>
    <w:rsid w:val="00D07198"/>
    <w:rsid w:val="00D07CD6"/>
    <w:rsid w:val="00D104CC"/>
    <w:rsid w:val="00D1073D"/>
    <w:rsid w:val="00D108B4"/>
    <w:rsid w:val="00D10956"/>
    <w:rsid w:val="00D10BFC"/>
    <w:rsid w:val="00D10E69"/>
    <w:rsid w:val="00D10FAB"/>
    <w:rsid w:val="00D110BD"/>
    <w:rsid w:val="00D11D68"/>
    <w:rsid w:val="00D11F7E"/>
    <w:rsid w:val="00D1246D"/>
    <w:rsid w:val="00D12ADA"/>
    <w:rsid w:val="00D13675"/>
    <w:rsid w:val="00D137A3"/>
    <w:rsid w:val="00D141E1"/>
    <w:rsid w:val="00D147AA"/>
    <w:rsid w:val="00D14B0C"/>
    <w:rsid w:val="00D14D9E"/>
    <w:rsid w:val="00D15314"/>
    <w:rsid w:val="00D15344"/>
    <w:rsid w:val="00D1554D"/>
    <w:rsid w:val="00D15B48"/>
    <w:rsid w:val="00D15BE1"/>
    <w:rsid w:val="00D17D6C"/>
    <w:rsid w:val="00D17F78"/>
    <w:rsid w:val="00D20734"/>
    <w:rsid w:val="00D20C75"/>
    <w:rsid w:val="00D211C8"/>
    <w:rsid w:val="00D21536"/>
    <w:rsid w:val="00D2155B"/>
    <w:rsid w:val="00D21E50"/>
    <w:rsid w:val="00D22600"/>
    <w:rsid w:val="00D22B10"/>
    <w:rsid w:val="00D2346B"/>
    <w:rsid w:val="00D23D11"/>
    <w:rsid w:val="00D244B6"/>
    <w:rsid w:val="00D2461D"/>
    <w:rsid w:val="00D248A6"/>
    <w:rsid w:val="00D25068"/>
    <w:rsid w:val="00D25220"/>
    <w:rsid w:val="00D25D57"/>
    <w:rsid w:val="00D25DB5"/>
    <w:rsid w:val="00D25ECE"/>
    <w:rsid w:val="00D26F8B"/>
    <w:rsid w:val="00D273BD"/>
    <w:rsid w:val="00D2754D"/>
    <w:rsid w:val="00D278CB"/>
    <w:rsid w:val="00D27B27"/>
    <w:rsid w:val="00D309F1"/>
    <w:rsid w:val="00D30A7E"/>
    <w:rsid w:val="00D30BA4"/>
    <w:rsid w:val="00D30D5B"/>
    <w:rsid w:val="00D311FB"/>
    <w:rsid w:val="00D3125C"/>
    <w:rsid w:val="00D312A7"/>
    <w:rsid w:val="00D31DE5"/>
    <w:rsid w:val="00D31EB0"/>
    <w:rsid w:val="00D321FD"/>
    <w:rsid w:val="00D32614"/>
    <w:rsid w:val="00D330FC"/>
    <w:rsid w:val="00D33BE9"/>
    <w:rsid w:val="00D33D6A"/>
    <w:rsid w:val="00D33F93"/>
    <w:rsid w:val="00D348F4"/>
    <w:rsid w:val="00D349FD"/>
    <w:rsid w:val="00D34E3F"/>
    <w:rsid w:val="00D350CA"/>
    <w:rsid w:val="00D3560C"/>
    <w:rsid w:val="00D357FF"/>
    <w:rsid w:val="00D3589F"/>
    <w:rsid w:val="00D377FA"/>
    <w:rsid w:val="00D37D69"/>
    <w:rsid w:val="00D403F3"/>
    <w:rsid w:val="00D40752"/>
    <w:rsid w:val="00D4080B"/>
    <w:rsid w:val="00D40CC4"/>
    <w:rsid w:val="00D41144"/>
    <w:rsid w:val="00D41387"/>
    <w:rsid w:val="00D422DF"/>
    <w:rsid w:val="00D424C7"/>
    <w:rsid w:val="00D42C98"/>
    <w:rsid w:val="00D42EFE"/>
    <w:rsid w:val="00D432D5"/>
    <w:rsid w:val="00D43424"/>
    <w:rsid w:val="00D43B2A"/>
    <w:rsid w:val="00D43CCD"/>
    <w:rsid w:val="00D43CF1"/>
    <w:rsid w:val="00D43D83"/>
    <w:rsid w:val="00D44824"/>
    <w:rsid w:val="00D44A0A"/>
    <w:rsid w:val="00D458E6"/>
    <w:rsid w:val="00D45CA5"/>
    <w:rsid w:val="00D460D3"/>
    <w:rsid w:val="00D46881"/>
    <w:rsid w:val="00D47575"/>
    <w:rsid w:val="00D479D7"/>
    <w:rsid w:val="00D5067E"/>
    <w:rsid w:val="00D50789"/>
    <w:rsid w:val="00D50C85"/>
    <w:rsid w:val="00D5184D"/>
    <w:rsid w:val="00D51882"/>
    <w:rsid w:val="00D52096"/>
    <w:rsid w:val="00D5243B"/>
    <w:rsid w:val="00D526F8"/>
    <w:rsid w:val="00D533EC"/>
    <w:rsid w:val="00D5351A"/>
    <w:rsid w:val="00D546C3"/>
    <w:rsid w:val="00D54A6C"/>
    <w:rsid w:val="00D54F45"/>
    <w:rsid w:val="00D55581"/>
    <w:rsid w:val="00D55C10"/>
    <w:rsid w:val="00D56A95"/>
    <w:rsid w:val="00D56F2E"/>
    <w:rsid w:val="00D56FF5"/>
    <w:rsid w:val="00D60463"/>
    <w:rsid w:val="00D6076E"/>
    <w:rsid w:val="00D610A2"/>
    <w:rsid w:val="00D61F73"/>
    <w:rsid w:val="00D62066"/>
    <w:rsid w:val="00D627F0"/>
    <w:rsid w:val="00D6289D"/>
    <w:rsid w:val="00D6355A"/>
    <w:rsid w:val="00D637E9"/>
    <w:rsid w:val="00D64862"/>
    <w:rsid w:val="00D66DF0"/>
    <w:rsid w:val="00D7008E"/>
    <w:rsid w:val="00D70F16"/>
    <w:rsid w:val="00D72229"/>
    <w:rsid w:val="00D722CC"/>
    <w:rsid w:val="00D72617"/>
    <w:rsid w:val="00D72A0B"/>
    <w:rsid w:val="00D72BCD"/>
    <w:rsid w:val="00D72CBD"/>
    <w:rsid w:val="00D72F57"/>
    <w:rsid w:val="00D73E1E"/>
    <w:rsid w:val="00D73F8B"/>
    <w:rsid w:val="00D751E0"/>
    <w:rsid w:val="00D75A2E"/>
    <w:rsid w:val="00D75BED"/>
    <w:rsid w:val="00D75C47"/>
    <w:rsid w:val="00D75FB8"/>
    <w:rsid w:val="00D76A44"/>
    <w:rsid w:val="00D77912"/>
    <w:rsid w:val="00D80091"/>
    <w:rsid w:val="00D80140"/>
    <w:rsid w:val="00D80E2F"/>
    <w:rsid w:val="00D80F11"/>
    <w:rsid w:val="00D812C4"/>
    <w:rsid w:val="00D815EF"/>
    <w:rsid w:val="00D81949"/>
    <w:rsid w:val="00D81F26"/>
    <w:rsid w:val="00D822E2"/>
    <w:rsid w:val="00D82706"/>
    <w:rsid w:val="00D82852"/>
    <w:rsid w:val="00D82D3D"/>
    <w:rsid w:val="00D82DAD"/>
    <w:rsid w:val="00D8360E"/>
    <w:rsid w:val="00D839B5"/>
    <w:rsid w:val="00D83A0A"/>
    <w:rsid w:val="00D843CA"/>
    <w:rsid w:val="00D843F2"/>
    <w:rsid w:val="00D85487"/>
    <w:rsid w:val="00D86231"/>
    <w:rsid w:val="00D900FC"/>
    <w:rsid w:val="00D9028D"/>
    <w:rsid w:val="00D907DA"/>
    <w:rsid w:val="00D912AB"/>
    <w:rsid w:val="00D9167F"/>
    <w:rsid w:val="00D91923"/>
    <w:rsid w:val="00D91F72"/>
    <w:rsid w:val="00D93753"/>
    <w:rsid w:val="00D937F0"/>
    <w:rsid w:val="00D9395C"/>
    <w:rsid w:val="00D93E25"/>
    <w:rsid w:val="00D973A2"/>
    <w:rsid w:val="00D97779"/>
    <w:rsid w:val="00D9798E"/>
    <w:rsid w:val="00DA0024"/>
    <w:rsid w:val="00DA002D"/>
    <w:rsid w:val="00DA0922"/>
    <w:rsid w:val="00DA11D9"/>
    <w:rsid w:val="00DA2244"/>
    <w:rsid w:val="00DA2699"/>
    <w:rsid w:val="00DA2B0F"/>
    <w:rsid w:val="00DA3167"/>
    <w:rsid w:val="00DA385B"/>
    <w:rsid w:val="00DA45BD"/>
    <w:rsid w:val="00DA4DC3"/>
    <w:rsid w:val="00DA4DFC"/>
    <w:rsid w:val="00DA5267"/>
    <w:rsid w:val="00DA5D9E"/>
    <w:rsid w:val="00DA6160"/>
    <w:rsid w:val="00DA65C1"/>
    <w:rsid w:val="00DA673E"/>
    <w:rsid w:val="00DA680A"/>
    <w:rsid w:val="00DA7488"/>
    <w:rsid w:val="00DA77A5"/>
    <w:rsid w:val="00DA7CAA"/>
    <w:rsid w:val="00DA7F33"/>
    <w:rsid w:val="00DB0E36"/>
    <w:rsid w:val="00DB1D57"/>
    <w:rsid w:val="00DB2329"/>
    <w:rsid w:val="00DB3DBF"/>
    <w:rsid w:val="00DB484F"/>
    <w:rsid w:val="00DB4D6D"/>
    <w:rsid w:val="00DB5A16"/>
    <w:rsid w:val="00DB5A30"/>
    <w:rsid w:val="00DB64B3"/>
    <w:rsid w:val="00DB6C4D"/>
    <w:rsid w:val="00DB6F8A"/>
    <w:rsid w:val="00DB751E"/>
    <w:rsid w:val="00DB7972"/>
    <w:rsid w:val="00DB7ADB"/>
    <w:rsid w:val="00DC0049"/>
    <w:rsid w:val="00DC04F6"/>
    <w:rsid w:val="00DC0690"/>
    <w:rsid w:val="00DC1538"/>
    <w:rsid w:val="00DC15C5"/>
    <w:rsid w:val="00DC1940"/>
    <w:rsid w:val="00DC19BF"/>
    <w:rsid w:val="00DC1D65"/>
    <w:rsid w:val="00DC1EA4"/>
    <w:rsid w:val="00DC1FE9"/>
    <w:rsid w:val="00DC21B2"/>
    <w:rsid w:val="00DC26C1"/>
    <w:rsid w:val="00DC304D"/>
    <w:rsid w:val="00DC3C57"/>
    <w:rsid w:val="00DC43FF"/>
    <w:rsid w:val="00DC471B"/>
    <w:rsid w:val="00DC51C1"/>
    <w:rsid w:val="00DC5501"/>
    <w:rsid w:val="00DC556A"/>
    <w:rsid w:val="00DC58CD"/>
    <w:rsid w:val="00DC5C35"/>
    <w:rsid w:val="00DC5DCE"/>
    <w:rsid w:val="00DC5DE4"/>
    <w:rsid w:val="00DC61B8"/>
    <w:rsid w:val="00DC6897"/>
    <w:rsid w:val="00DC6A08"/>
    <w:rsid w:val="00DC7154"/>
    <w:rsid w:val="00DC7852"/>
    <w:rsid w:val="00DC7E34"/>
    <w:rsid w:val="00DC7E8A"/>
    <w:rsid w:val="00DD062E"/>
    <w:rsid w:val="00DD0660"/>
    <w:rsid w:val="00DD0F78"/>
    <w:rsid w:val="00DD0FE1"/>
    <w:rsid w:val="00DD119A"/>
    <w:rsid w:val="00DD13F5"/>
    <w:rsid w:val="00DD1E98"/>
    <w:rsid w:val="00DD2360"/>
    <w:rsid w:val="00DD26D5"/>
    <w:rsid w:val="00DD273C"/>
    <w:rsid w:val="00DD298E"/>
    <w:rsid w:val="00DD2FB6"/>
    <w:rsid w:val="00DD2FF0"/>
    <w:rsid w:val="00DD3174"/>
    <w:rsid w:val="00DD39FD"/>
    <w:rsid w:val="00DD3F28"/>
    <w:rsid w:val="00DD4370"/>
    <w:rsid w:val="00DD4401"/>
    <w:rsid w:val="00DD4446"/>
    <w:rsid w:val="00DD4537"/>
    <w:rsid w:val="00DD4923"/>
    <w:rsid w:val="00DD4E15"/>
    <w:rsid w:val="00DD5186"/>
    <w:rsid w:val="00DD5472"/>
    <w:rsid w:val="00DD5608"/>
    <w:rsid w:val="00DD5D08"/>
    <w:rsid w:val="00DD6281"/>
    <w:rsid w:val="00DD62AC"/>
    <w:rsid w:val="00DD63D7"/>
    <w:rsid w:val="00DD6CFA"/>
    <w:rsid w:val="00DD6CFF"/>
    <w:rsid w:val="00DD71AE"/>
    <w:rsid w:val="00DD73CD"/>
    <w:rsid w:val="00DD767E"/>
    <w:rsid w:val="00DE0A1D"/>
    <w:rsid w:val="00DE0BED"/>
    <w:rsid w:val="00DE0C2C"/>
    <w:rsid w:val="00DE1B36"/>
    <w:rsid w:val="00DE2304"/>
    <w:rsid w:val="00DE263A"/>
    <w:rsid w:val="00DE2EE3"/>
    <w:rsid w:val="00DE302C"/>
    <w:rsid w:val="00DE3138"/>
    <w:rsid w:val="00DE3214"/>
    <w:rsid w:val="00DE37F8"/>
    <w:rsid w:val="00DE3ADC"/>
    <w:rsid w:val="00DE4273"/>
    <w:rsid w:val="00DE43BB"/>
    <w:rsid w:val="00DE4E1C"/>
    <w:rsid w:val="00DE4FCB"/>
    <w:rsid w:val="00DE57C9"/>
    <w:rsid w:val="00DE5BD5"/>
    <w:rsid w:val="00DE5D07"/>
    <w:rsid w:val="00DE5EB9"/>
    <w:rsid w:val="00DE6212"/>
    <w:rsid w:val="00DE6F97"/>
    <w:rsid w:val="00DE72A7"/>
    <w:rsid w:val="00DE76FD"/>
    <w:rsid w:val="00DE779A"/>
    <w:rsid w:val="00DE7832"/>
    <w:rsid w:val="00DE7A82"/>
    <w:rsid w:val="00DE7AF4"/>
    <w:rsid w:val="00DE7CC7"/>
    <w:rsid w:val="00DE7D24"/>
    <w:rsid w:val="00DF18FC"/>
    <w:rsid w:val="00DF2897"/>
    <w:rsid w:val="00DF306F"/>
    <w:rsid w:val="00DF32C1"/>
    <w:rsid w:val="00DF33BD"/>
    <w:rsid w:val="00DF3515"/>
    <w:rsid w:val="00DF39CA"/>
    <w:rsid w:val="00DF4298"/>
    <w:rsid w:val="00DF4752"/>
    <w:rsid w:val="00DF5D2B"/>
    <w:rsid w:val="00DF6341"/>
    <w:rsid w:val="00DF6495"/>
    <w:rsid w:val="00DF7242"/>
    <w:rsid w:val="00DF7725"/>
    <w:rsid w:val="00DF7999"/>
    <w:rsid w:val="00E000D6"/>
    <w:rsid w:val="00E00604"/>
    <w:rsid w:val="00E00701"/>
    <w:rsid w:val="00E00DE6"/>
    <w:rsid w:val="00E00E8E"/>
    <w:rsid w:val="00E01023"/>
    <w:rsid w:val="00E01B4E"/>
    <w:rsid w:val="00E026F3"/>
    <w:rsid w:val="00E02CBA"/>
    <w:rsid w:val="00E02D55"/>
    <w:rsid w:val="00E02F7C"/>
    <w:rsid w:val="00E03827"/>
    <w:rsid w:val="00E03BA3"/>
    <w:rsid w:val="00E03E9B"/>
    <w:rsid w:val="00E04291"/>
    <w:rsid w:val="00E04C04"/>
    <w:rsid w:val="00E05630"/>
    <w:rsid w:val="00E056C2"/>
    <w:rsid w:val="00E058E9"/>
    <w:rsid w:val="00E05F0F"/>
    <w:rsid w:val="00E06555"/>
    <w:rsid w:val="00E066D3"/>
    <w:rsid w:val="00E0687D"/>
    <w:rsid w:val="00E069D8"/>
    <w:rsid w:val="00E06A49"/>
    <w:rsid w:val="00E06DBB"/>
    <w:rsid w:val="00E06EBB"/>
    <w:rsid w:val="00E07886"/>
    <w:rsid w:val="00E07B05"/>
    <w:rsid w:val="00E07B55"/>
    <w:rsid w:val="00E10149"/>
    <w:rsid w:val="00E1043B"/>
    <w:rsid w:val="00E10A6A"/>
    <w:rsid w:val="00E10E66"/>
    <w:rsid w:val="00E1129A"/>
    <w:rsid w:val="00E11340"/>
    <w:rsid w:val="00E11E9B"/>
    <w:rsid w:val="00E11EFF"/>
    <w:rsid w:val="00E122A1"/>
    <w:rsid w:val="00E13EF7"/>
    <w:rsid w:val="00E147C8"/>
    <w:rsid w:val="00E150FD"/>
    <w:rsid w:val="00E1549F"/>
    <w:rsid w:val="00E15ACC"/>
    <w:rsid w:val="00E16372"/>
    <w:rsid w:val="00E16458"/>
    <w:rsid w:val="00E1665D"/>
    <w:rsid w:val="00E16AD8"/>
    <w:rsid w:val="00E16C1E"/>
    <w:rsid w:val="00E16EDA"/>
    <w:rsid w:val="00E17715"/>
    <w:rsid w:val="00E177E9"/>
    <w:rsid w:val="00E17AA2"/>
    <w:rsid w:val="00E17FFA"/>
    <w:rsid w:val="00E2001B"/>
    <w:rsid w:val="00E20E4D"/>
    <w:rsid w:val="00E20ED6"/>
    <w:rsid w:val="00E21358"/>
    <w:rsid w:val="00E21ACB"/>
    <w:rsid w:val="00E21F74"/>
    <w:rsid w:val="00E2249B"/>
    <w:rsid w:val="00E22A0D"/>
    <w:rsid w:val="00E22A36"/>
    <w:rsid w:val="00E22BA6"/>
    <w:rsid w:val="00E237AA"/>
    <w:rsid w:val="00E2396D"/>
    <w:rsid w:val="00E23F40"/>
    <w:rsid w:val="00E24023"/>
    <w:rsid w:val="00E243DA"/>
    <w:rsid w:val="00E244F6"/>
    <w:rsid w:val="00E24781"/>
    <w:rsid w:val="00E24F44"/>
    <w:rsid w:val="00E258DB"/>
    <w:rsid w:val="00E26131"/>
    <w:rsid w:val="00E2641D"/>
    <w:rsid w:val="00E26873"/>
    <w:rsid w:val="00E26E3B"/>
    <w:rsid w:val="00E26E5A"/>
    <w:rsid w:val="00E273AC"/>
    <w:rsid w:val="00E2769B"/>
    <w:rsid w:val="00E2771E"/>
    <w:rsid w:val="00E27E76"/>
    <w:rsid w:val="00E301EE"/>
    <w:rsid w:val="00E30685"/>
    <w:rsid w:val="00E30E1B"/>
    <w:rsid w:val="00E311EF"/>
    <w:rsid w:val="00E3164E"/>
    <w:rsid w:val="00E318DC"/>
    <w:rsid w:val="00E32180"/>
    <w:rsid w:val="00E32332"/>
    <w:rsid w:val="00E32537"/>
    <w:rsid w:val="00E32B37"/>
    <w:rsid w:val="00E33613"/>
    <w:rsid w:val="00E338FD"/>
    <w:rsid w:val="00E3391B"/>
    <w:rsid w:val="00E33EBA"/>
    <w:rsid w:val="00E34948"/>
    <w:rsid w:val="00E35A79"/>
    <w:rsid w:val="00E367E3"/>
    <w:rsid w:val="00E3695A"/>
    <w:rsid w:val="00E36F8D"/>
    <w:rsid w:val="00E3742D"/>
    <w:rsid w:val="00E37569"/>
    <w:rsid w:val="00E401B2"/>
    <w:rsid w:val="00E405FB"/>
    <w:rsid w:val="00E4080F"/>
    <w:rsid w:val="00E408CC"/>
    <w:rsid w:val="00E41006"/>
    <w:rsid w:val="00E41C23"/>
    <w:rsid w:val="00E41D3E"/>
    <w:rsid w:val="00E41E30"/>
    <w:rsid w:val="00E422D6"/>
    <w:rsid w:val="00E42F73"/>
    <w:rsid w:val="00E43D70"/>
    <w:rsid w:val="00E44870"/>
    <w:rsid w:val="00E4552D"/>
    <w:rsid w:val="00E466F3"/>
    <w:rsid w:val="00E4676C"/>
    <w:rsid w:val="00E46C8E"/>
    <w:rsid w:val="00E4789B"/>
    <w:rsid w:val="00E47B2C"/>
    <w:rsid w:val="00E504EB"/>
    <w:rsid w:val="00E50AD1"/>
    <w:rsid w:val="00E50E4C"/>
    <w:rsid w:val="00E50F19"/>
    <w:rsid w:val="00E50FCD"/>
    <w:rsid w:val="00E51560"/>
    <w:rsid w:val="00E51821"/>
    <w:rsid w:val="00E51C00"/>
    <w:rsid w:val="00E51D7C"/>
    <w:rsid w:val="00E51D82"/>
    <w:rsid w:val="00E521DA"/>
    <w:rsid w:val="00E52924"/>
    <w:rsid w:val="00E52956"/>
    <w:rsid w:val="00E53210"/>
    <w:rsid w:val="00E53637"/>
    <w:rsid w:val="00E53850"/>
    <w:rsid w:val="00E53A46"/>
    <w:rsid w:val="00E53FC8"/>
    <w:rsid w:val="00E54347"/>
    <w:rsid w:val="00E54B34"/>
    <w:rsid w:val="00E54CA2"/>
    <w:rsid w:val="00E55424"/>
    <w:rsid w:val="00E55429"/>
    <w:rsid w:val="00E55915"/>
    <w:rsid w:val="00E55BB5"/>
    <w:rsid w:val="00E55CB2"/>
    <w:rsid w:val="00E55F5C"/>
    <w:rsid w:val="00E56127"/>
    <w:rsid w:val="00E56B13"/>
    <w:rsid w:val="00E57009"/>
    <w:rsid w:val="00E57A79"/>
    <w:rsid w:val="00E60C2A"/>
    <w:rsid w:val="00E60EC5"/>
    <w:rsid w:val="00E611DF"/>
    <w:rsid w:val="00E619B3"/>
    <w:rsid w:val="00E61AED"/>
    <w:rsid w:val="00E6263B"/>
    <w:rsid w:val="00E62F48"/>
    <w:rsid w:val="00E6304A"/>
    <w:rsid w:val="00E63219"/>
    <w:rsid w:val="00E64081"/>
    <w:rsid w:val="00E64902"/>
    <w:rsid w:val="00E64A6E"/>
    <w:rsid w:val="00E65E79"/>
    <w:rsid w:val="00E6652A"/>
    <w:rsid w:val="00E665BC"/>
    <w:rsid w:val="00E66BA2"/>
    <w:rsid w:val="00E67153"/>
    <w:rsid w:val="00E67416"/>
    <w:rsid w:val="00E67AF2"/>
    <w:rsid w:val="00E67DC0"/>
    <w:rsid w:val="00E70122"/>
    <w:rsid w:val="00E70B6A"/>
    <w:rsid w:val="00E710C1"/>
    <w:rsid w:val="00E718B6"/>
    <w:rsid w:val="00E71901"/>
    <w:rsid w:val="00E720AA"/>
    <w:rsid w:val="00E721EA"/>
    <w:rsid w:val="00E723BA"/>
    <w:rsid w:val="00E725DF"/>
    <w:rsid w:val="00E72ADB"/>
    <w:rsid w:val="00E73581"/>
    <w:rsid w:val="00E7376A"/>
    <w:rsid w:val="00E742A9"/>
    <w:rsid w:val="00E749A5"/>
    <w:rsid w:val="00E749AF"/>
    <w:rsid w:val="00E74D87"/>
    <w:rsid w:val="00E7567E"/>
    <w:rsid w:val="00E75C5D"/>
    <w:rsid w:val="00E768FF"/>
    <w:rsid w:val="00E76F19"/>
    <w:rsid w:val="00E7774F"/>
    <w:rsid w:val="00E77952"/>
    <w:rsid w:val="00E77E3E"/>
    <w:rsid w:val="00E803D3"/>
    <w:rsid w:val="00E812C3"/>
    <w:rsid w:val="00E812D0"/>
    <w:rsid w:val="00E816EC"/>
    <w:rsid w:val="00E81B49"/>
    <w:rsid w:val="00E81FB4"/>
    <w:rsid w:val="00E8200F"/>
    <w:rsid w:val="00E82679"/>
    <w:rsid w:val="00E833F7"/>
    <w:rsid w:val="00E83927"/>
    <w:rsid w:val="00E83BDF"/>
    <w:rsid w:val="00E849D5"/>
    <w:rsid w:val="00E85514"/>
    <w:rsid w:val="00E863E3"/>
    <w:rsid w:val="00E86A5A"/>
    <w:rsid w:val="00E86FCC"/>
    <w:rsid w:val="00E87A1D"/>
    <w:rsid w:val="00E87AB0"/>
    <w:rsid w:val="00E90390"/>
    <w:rsid w:val="00E907B6"/>
    <w:rsid w:val="00E9094A"/>
    <w:rsid w:val="00E90DFD"/>
    <w:rsid w:val="00E90E67"/>
    <w:rsid w:val="00E91726"/>
    <w:rsid w:val="00E919B2"/>
    <w:rsid w:val="00E91BA1"/>
    <w:rsid w:val="00E91D35"/>
    <w:rsid w:val="00E91D64"/>
    <w:rsid w:val="00E926A5"/>
    <w:rsid w:val="00E92E0E"/>
    <w:rsid w:val="00E9323E"/>
    <w:rsid w:val="00E93CC7"/>
    <w:rsid w:val="00E9432A"/>
    <w:rsid w:val="00E9494F"/>
    <w:rsid w:val="00E94EC6"/>
    <w:rsid w:val="00E94FF1"/>
    <w:rsid w:val="00E962CC"/>
    <w:rsid w:val="00E96301"/>
    <w:rsid w:val="00E967AF"/>
    <w:rsid w:val="00E96D1D"/>
    <w:rsid w:val="00E974D5"/>
    <w:rsid w:val="00EA023F"/>
    <w:rsid w:val="00EA05B2"/>
    <w:rsid w:val="00EA13F6"/>
    <w:rsid w:val="00EA17C3"/>
    <w:rsid w:val="00EA2C78"/>
    <w:rsid w:val="00EA2CAA"/>
    <w:rsid w:val="00EA3388"/>
    <w:rsid w:val="00EA3864"/>
    <w:rsid w:val="00EA396E"/>
    <w:rsid w:val="00EA3A6F"/>
    <w:rsid w:val="00EA45D5"/>
    <w:rsid w:val="00EA4D5F"/>
    <w:rsid w:val="00EA5AE5"/>
    <w:rsid w:val="00EA5B2E"/>
    <w:rsid w:val="00EA5C0E"/>
    <w:rsid w:val="00EA7F1C"/>
    <w:rsid w:val="00EB0AF0"/>
    <w:rsid w:val="00EB0B3C"/>
    <w:rsid w:val="00EB0B51"/>
    <w:rsid w:val="00EB0C9C"/>
    <w:rsid w:val="00EB0FD6"/>
    <w:rsid w:val="00EB15B6"/>
    <w:rsid w:val="00EB1984"/>
    <w:rsid w:val="00EB1B63"/>
    <w:rsid w:val="00EB2492"/>
    <w:rsid w:val="00EB2861"/>
    <w:rsid w:val="00EB2BFB"/>
    <w:rsid w:val="00EB30CD"/>
    <w:rsid w:val="00EB3C98"/>
    <w:rsid w:val="00EB3D06"/>
    <w:rsid w:val="00EB3F7F"/>
    <w:rsid w:val="00EB4916"/>
    <w:rsid w:val="00EB591B"/>
    <w:rsid w:val="00EB5F9E"/>
    <w:rsid w:val="00EB6769"/>
    <w:rsid w:val="00EB6B69"/>
    <w:rsid w:val="00EB6C52"/>
    <w:rsid w:val="00EB6E61"/>
    <w:rsid w:val="00EB795E"/>
    <w:rsid w:val="00EC00C9"/>
    <w:rsid w:val="00EC0DD9"/>
    <w:rsid w:val="00EC2649"/>
    <w:rsid w:val="00EC29B2"/>
    <w:rsid w:val="00EC2A57"/>
    <w:rsid w:val="00EC31ED"/>
    <w:rsid w:val="00EC41D0"/>
    <w:rsid w:val="00EC4ADD"/>
    <w:rsid w:val="00EC513E"/>
    <w:rsid w:val="00EC576F"/>
    <w:rsid w:val="00EC5836"/>
    <w:rsid w:val="00EC5AA4"/>
    <w:rsid w:val="00EC5F76"/>
    <w:rsid w:val="00EC6405"/>
    <w:rsid w:val="00EC6510"/>
    <w:rsid w:val="00EC688C"/>
    <w:rsid w:val="00EC71AA"/>
    <w:rsid w:val="00EC748D"/>
    <w:rsid w:val="00EC75A1"/>
    <w:rsid w:val="00ED0345"/>
    <w:rsid w:val="00ED0386"/>
    <w:rsid w:val="00ED0608"/>
    <w:rsid w:val="00ED12AF"/>
    <w:rsid w:val="00ED12E3"/>
    <w:rsid w:val="00ED17ED"/>
    <w:rsid w:val="00ED2608"/>
    <w:rsid w:val="00ED3B1F"/>
    <w:rsid w:val="00ED3CAA"/>
    <w:rsid w:val="00ED4B04"/>
    <w:rsid w:val="00ED4FB9"/>
    <w:rsid w:val="00ED57EA"/>
    <w:rsid w:val="00ED5BD4"/>
    <w:rsid w:val="00ED5DAE"/>
    <w:rsid w:val="00ED607D"/>
    <w:rsid w:val="00ED63ED"/>
    <w:rsid w:val="00ED69A2"/>
    <w:rsid w:val="00ED6FAA"/>
    <w:rsid w:val="00ED73ED"/>
    <w:rsid w:val="00ED753D"/>
    <w:rsid w:val="00ED769C"/>
    <w:rsid w:val="00ED7B3C"/>
    <w:rsid w:val="00ED7E82"/>
    <w:rsid w:val="00EDCEC3"/>
    <w:rsid w:val="00EE07D3"/>
    <w:rsid w:val="00EE0E65"/>
    <w:rsid w:val="00EE165D"/>
    <w:rsid w:val="00EE1996"/>
    <w:rsid w:val="00EE1C01"/>
    <w:rsid w:val="00EE22AF"/>
    <w:rsid w:val="00EE2AE2"/>
    <w:rsid w:val="00EE3F5A"/>
    <w:rsid w:val="00EE439C"/>
    <w:rsid w:val="00EE646B"/>
    <w:rsid w:val="00EE66A1"/>
    <w:rsid w:val="00EE6DB7"/>
    <w:rsid w:val="00EE6EC8"/>
    <w:rsid w:val="00EE760A"/>
    <w:rsid w:val="00EE7985"/>
    <w:rsid w:val="00EE7AA7"/>
    <w:rsid w:val="00EE7AA8"/>
    <w:rsid w:val="00EF0171"/>
    <w:rsid w:val="00EF049B"/>
    <w:rsid w:val="00EF0DED"/>
    <w:rsid w:val="00EF1B25"/>
    <w:rsid w:val="00EF1DA0"/>
    <w:rsid w:val="00EF228D"/>
    <w:rsid w:val="00EF298C"/>
    <w:rsid w:val="00EF32CB"/>
    <w:rsid w:val="00EF3BD9"/>
    <w:rsid w:val="00EF4257"/>
    <w:rsid w:val="00EF45F1"/>
    <w:rsid w:val="00EF4608"/>
    <w:rsid w:val="00EF4747"/>
    <w:rsid w:val="00EF4A77"/>
    <w:rsid w:val="00EF4BF8"/>
    <w:rsid w:val="00EF58BF"/>
    <w:rsid w:val="00EF6818"/>
    <w:rsid w:val="00EF6B11"/>
    <w:rsid w:val="00EF6C3E"/>
    <w:rsid w:val="00EF6D66"/>
    <w:rsid w:val="00EF7F05"/>
    <w:rsid w:val="00F00082"/>
    <w:rsid w:val="00F005AD"/>
    <w:rsid w:val="00F01CF1"/>
    <w:rsid w:val="00F02253"/>
    <w:rsid w:val="00F039F9"/>
    <w:rsid w:val="00F03AB4"/>
    <w:rsid w:val="00F03C2E"/>
    <w:rsid w:val="00F03D28"/>
    <w:rsid w:val="00F0409B"/>
    <w:rsid w:val="00F04A66"/>
    <w:rsid w:val="00F04B4B"/>
    <w:rsid w:val="00F04FCE"/>
    <w:rsid w:val="00F0516C"/>
    <w:rsid w:val="00F05514"/>
    <w:rsid w:val="00F05C93"/>
    <w:rsid w:val="00F05E45"/>
    <w:rsid w:val="00F05F75"/>
    <w:rsid w:val="00F062A6"/>
    <w:rsid w:val="00F067A2"/>
    <w:rsid w:val="00F06CA3"/>
    <w:rsid w:val="00F07B9E"/>
    <w:rsid w:val="00F1116F"/>
    <w:rsid w:val="00F116FD"/>
    <w:rsid w:val="00F11CF4"/>
    <w:rsid w:val="00F1263A"/>
    <w:rsid w:val="00F12E2A"/>
    <w:rsid w:val="00F12F83"/>
    <w:rsid w:val="00F13860"/>
    <w:rsid w:val="00F139C5"/>
    <w:rsid w:val="00F13F26"/>
    <w:rsid w:val="00F14EBC"/>
    <w:rsid w:val="00F15531"/>
    <w:rsid w:val="00F1582C"/>
    <w:rsid w:val="00F15B77"/>
    <w:rsid w:val="00F15E35"/>
    <w:rsid w:val="00F165A0"/>
    <w:rsid w:val="00F169F8"/>
    <w:rsid w:val="00F17103"/>
    <w:rsid w:val="00F209D0"/>
    <w:rsid w:val="00F21236"/>
    <w:rsid w:val="00F214D6"/>
    <w:rsid w:val="00F21EB0"/>
    <w:rsid w:val="00F2325C"/>
    <w:rsid w:val="00F236AE"/>
    <w:rsid w:val="00F24837"/>
    <w:rsid w:val="00F2575F"/>
    <w:rsid w:val="00F25A56"/>
    <w:rsid w:val="00F25EE6"/>
    <w:rsid w:val="00F26156"/>
    <w:rsid w:val="00F26B2C"/>
    <w:rsid w:val="00F27565"/>
    <w:rsid w:val="00F27696"/>
    <w:rsid w:val="00F307B3"/>
    <w:rsid w:val="00F310D4"/>
    <w:rsid w:val="00F31372"/>
    <w:rsid w:val="00F31D5A"/>
    <w:rsid w:val="00F3212F"/>
    <w:rsid w:val="00F3219B"/>
    <w:rsid w:val="00F327B8"/>
    <w:rsid w:val="00F3295A"/>
    <w:rsid w:val="00F33757"/>
    <w:rsid w:val="00F33975"/>
    <w:rsid w:val="00F33DE9"/>
    <w:rsid w:val="00F34D59"/>
    <w:rsid w:val="00F35E6D"/>
    <w:rsid w:val="00F35EF4"/>
    <w:rsid w:val="00F3619A"/>
    <w:rsid w:val="00F36E2A"/>
    <w:rsid w:val="00F36FF6"/>
    <w:rsid w:val="00F375F5"/>
    <w:rsid w:val="00F40940"/>
    <w:rsid w:val="00F40AAA"/>
    <w:rsid w:val="00F40BA7"/>
    <w:rsid w:val="00F40F9D"/>
    <w:rsid w:val="00F411AF"/>
    <w:rsid w:val="00F4164D"/>
    <w:rsid w:val="00F416D6"/>
    <w:rsid w:val="00F41ACD"/>
    <w:rsid w:val="00F41C3B"/>
    <w:rsid w:val="00F42496"/>
    <w:rsid w:val="00F424EC"/>
    <w:rsid w:val="00F4256B"/>
    <w:rsid w:val="00F426C7"/>
    <w:rsid w:val="00F42725"/>
    <w:rsid w:val="00F42A95"/>
    <w:rsid w:val="00F432A5"/>
    <w:rsid w:val="00F436D3"/>
    <w:rsid w:val="00F437C9"/>
    <w:rsid w:val="00F43D07"/>
    <w:rsid w:val="00F43DB5"/>
    <w:rsid w:val="00F4481D"/>
    <w:rsid w:val="00F44C33"/>
    <w:rsid w:val="00F450A0"/>
    <w:rsid w:val="00F458E2"/>
    <w:rsid w:val="00F46937"/>
    <w:rsid w:val="00F46B79"/>
    <w:rsid w:val="00F46CB6"/>
    <w:rsid w:val="00F47094"/>
    <w:rsid w:val="00F4756D"/>
    <w:rsid w:val="00F47651"/>
    <w:rsid w:val="00F47DE8"/>
    <w:rsid w:val="00F47E44"/>
    <w:rsid w:val="00F50093"/>
    <w:rsid w:val="00F50514"/>
    <w:rsid w:val="00F50588"/>
    <w:rsid w:val="00F5088F"/>
    <w:rsid w:val="00F509D0"/>
    <w:rsid w:val="00F50B68"/>
    <w:rsid w:val="00F50B72"/>
    <w:rsid w:val="00F50C98"/>
    <w:rsid w:val="00F52285"/>
    <w:rsid w:val="00F527C7"/>
    <w:rsid w:val="00F52E03"/>
    <w:rsid w:val="00F53762"/>
    <w:rsid w:val="00F53FD1"/>
    <w:rsid w:val="00F542C1"/>
    <w:rsid w:val="00F54348"/>
    <w:rsid w:val="00F550E3"/>
    <w:rsid w:val="00F5565B"/>
    <w:rsid w:val="00F55B92"/>
    <w:rsid w:val="00F55E73"/>
    <w:rsid w:val="00F55EDA"/>
    <w:rsid w:val="00F56236"/>
    <w:rsid w:val="00F56C80"/>
    <w:rsid w:val="00F56DB6"/>
    <w:rsid w:val="00F60092"/>
    <w:rsid w:val="00F606DC"/>
    <w:rsid w:val="00F60F15"/>
    <w:rsid w:val="00F61295"/>
    <w:rsid w:val="00F6146F"/>
    <w:rsid w:val="00F61C18"/>
    <w:rsid w:val="00F634DE"/>
    <w:rsid w:val="00F6550D"/>
    <w:rsid w:val="00F65F4B"/>
    <w:rsid w:val="00F665A0"/>
    <w:rsid w:val="00F66AD2"/>
    <w:rsid w:val="00F66E28"/>
    <w:rsid w:val="00F6759F"/>
    <w:rsid w:val="00F67A69"/>
    <w:rsid w:val="00F67E3B"/>
    <w:rsid w:val="00F67F27"/>
    <w:rsid w:val="00F70BFF"/>
    <w:rsid w:val="00F70C9D"/>
    <w:rsid w:val="00F71751"/>
    <w:rsid w:val="00F720B2"/>
    <w:rsid w:val="00F720CD"/>
    <w:rsid w:val="00F723F7"/>
    <w:rsid w:val="00F72E37"/>
    <w:rsid w:val="00F72F0B"/>
    <w:rsid w:val="00F732D2"/>
    <w:rsid w:val="00F73E08"/>
    <w:rsid w:val="00F73EFE"/>
    <w:rsid w:val="00F7434B"/>
    <w:rsid w:val="00F74418"/>
    <w:rsid w:val="00F74572"/>
    <w:rsid w:val="00F7485B"/>
    <w:rsid w:val="00F74C9D"/>
    <w:rsid w:val="00F74CD9"/>
    <w:rsid w:val="00F7645D"/>
    <w:rsid w:val="00F76886"/>
    <w:rsid w:val="00F7688D"/>
    <w:rsid w:val="00F76E28"/>
    <w:rsid w:val="00F77004"/>
    <w:rsid w:val="00F77B60"/>
    <w:rsid w:val="00F8028B"/>
    <w:rsid w:val="00F806B3"/>
    <w:rsid w:val="00F80A7B"/>
    <w:rsid w:val="00F80E5D"/>
    <w:rsid w:val="00F80F2C"/>
    <w:rsid w:val="00F8158E"/>
    <w:rsid w:val="00F81A97"/>
    <w:rsid w:val="00F81C5D"/>
    <w:rsid w:val="00F81E29"/>
    <w:rsid w:val="00F81E78"/>
    <w:rsid w:val="00F820DB"/>
    <w:rsid w:val="00F837E7"/>
    <w:rsid w:val="00F83916"/>
    <w:rsid w:val="00F839C2"/>
    <w:rsid w:val="00F83D3F"/>
    <w:rsid w:val="00F83D67"/>
    <w:rsid w:val="00F841A6"/>
    <w:rsid w:val="00F8450A"/>
    <w:rsid w:val="00F8451F"/>
    <w:rsid w:val="00F84530"/>
    <w:rsid w:val="00F8484B"/>
    <w:rsid w:val="00F851CE"/>
    <w:rsid w:val="00F85854"/>
    <w:rsid w:val="00F8585E"/>
    <w:rsid w:val="00F858BC"/>
    <w:rsid w:val="00F8592F"/>
    <w:rsid w:val="00F85DF3"/>
    <w:rsid w:val="00F86102"/>
    <w:rsid w:val="00F86B1F"/>
    <w:rsid w:val="00F9072D"/>
    <w:rsid w:val="00F91219"/>
    <w:rsid w:val="00F914C7"/>
    <w:rsid w:val="00F92444"/>
    <w:rsid w:val="00F92C23"/>
    <w:rsid w:val="00F93210"/>
    <w:rsid w:val="00F93413"/>
    <w:rsid w:val="00F934E4"/>
    <w:rsid w:val="00F93911"/>
    <w:rsid w:val="00F9393E"/>
    <w:rsid w:val="00F948E5"/>
    <w:rsid w:val="00F96088"/>
    <w:rsid w:val="00F96308"/>
    <w:rsid w:val="00F96907"/>
    <w:rsid w:val="00F96A21"/>
    <w:rsid w:val="00F96FD0"/>
    <w:rsid w:val="00F979AB"/>
    <w:rsid w:val="00F979D8"/>
    <w:rsid w:val="00F97A78"/>
    <w:rsid w:val="00F97FE5"/>
    <w:rsid w:val="00FA06BD"/>
    <w:rsid w:val="00FA0765"/>
    <w:rsid w:val="00FA0B20"/>
    <w:rsid w:val="00FA0C94"/>
    <w:rsid w:val="00FA1248"/>
    <w:rsid w:val="00FA1DA3"/>
    <w:rsid w:val="00FA24E7"/>
    <w:rsid w:val="00FA2518"/>
    <w:rsid w:val="00FA2CEF"/>
    <w:rsid w:val="00FA2E1A"/>
    <w:rsid w:val="00FA3D9B"/>
    <w:rsid w:val="00FA3E95"/>
    <w:rsid w:val="00FA4CCC"/>
    <w:rsid w:val="00FA5A8F"/>
    <w:rsid w:val="00FA5EE6"/>
    <w:rsid w:val="00FA6ACE"/>
    <w:rsid w:val="00FA765F"/>
    <w:rsid w:val="00FA7949"/>
    <w:rsid w:val="00FA7956"/>
    <w:rsid w:val="00FB0824"/>
    <w:rsid w:val="00FB1200"/>
    <w:rsid w:val="00FB241A"/>
    <w:rsid w:val="00FB2FCB"/>
    <w:rsid w:val="00FB31C7"/>
    <w:rsid w:val="00FB426D"/>
    <w:rsid w:val="00FB46B4"/>
    <w:rsid w:val="00FB4832"/>
    <w:rsid w:val="00FB4C9C"/>
    <w:rsid w:val="00FB4E9D"/>
    <w:rsid w:val="00FB5108"/>
    <w:rsid w:val="00FB51BA"/>
    <w:rsid w:val="00FB5538"/>
    <w:rsid w:val="00FB5BC4"/>
    <w:rsid w:val="00FB5D7E"/>
    <w:rsid w:val="00FB5D8D"/>
    <w:rsid w:val="00FB63E2"/>
    <w:rsid w:val="00FB673D"/>
    <w:rsid w:val="00FB6BA9"/>
    <w:rsid w:val="00FB7009"/>
    <w:rsid w:val="00FB769C"/>
    <w:rsid w:val="00FB7734"/>
    <w:rsid w:val="00FB7C55"/>
    <w:rsid w:val="00FC037F"/>
    <w:rsid w:val="00FC0BC5"/>
    <w:rsid w:val="00FC1074"/>
    <w:rsid w:val="00FC1884"/>
    <w:rsid w:val="00FC1B9C"/>
    <w:rsid w:val="00FC2F7E"/>
    <w:rsid w:val="00FC371D"/>
    <w:rsid w:val="00FC49E2"/>
    <w:rsid w:val="00FC5C4A"/>
    <w:rsid w:val="00FC5F0B"/>
    <w:rsid w:val="00FC7671"/>
    <w:rsid w:val="00FC7E31"/>
    <w:rsid w:val="00FD0EDB"/>
    <w:rsid w:val="00FD160B"/>
    <w:rsid w:val="00FD2100"/>
    <w:rsid w:val="00FD2185"/>
    <w:rsid w:val="00FD24F8"/>
    <w:rsid w:val="00FD257B"/>
    <w:rsid w:val="00FD2C09"/>
    <w:rsid w:val="00FD2E94"/>
    <w:rsid w:val="00FD33FC"/>
    <w:rsid w:val="00FD3F34"/>
    <w:rsid w:val="00FD3FA0"/>
    <w:rsid w:val="00FD436C"/>
    <w:rsid w:val="00FD446D"/>
    <w:rsid w:val="00FD4535"/>
    <w:rsid w:val="00FD4844"/>
    <w:rsid w:val="00FD4F2C"/>
    <w:rsid w:val="00FD4FC7"/>
    <w:rsid w:val="00FD5035"/>
    <w:rsid w:val="00FD5238"/>
    <w:rsid w:val="00FD5C04"/>
    <w:rsid w:val="00FD6394"/>
    <w:rsid w:val="00FD7489"/>
    <w:rsid w:val="00FD7CD8"/>
    <w:rsid w:val="00FE0B5C"/>
    <w:rsid w:val="00FE0CD2"/>
    <w:rsid w:val="00FE0E6C"/>
    <w:rsid w:val="00FE1714"/>
    <w:rsid w:val="00FE1C86"/>
    <w:rsid w:val="00FE1CDC"/>
    <w:rsid w:val="00FE25A3"/>
    <w:rsid w:val="00FE2920"/>
    <w:rsid w:val="00FE32E3"/>
    <w:rsid w:val="00FE438C"/>
    <w:rsid w:val="00FE4735"/>
    <w:rsid w:val="00FE4876"/>
    <w:rsid w:val="00FE4A5A"/>
    <w:rsid w:val="00FE5115"/>
    <w:rsid w:val="00FE5B05"/>
    <w:rsid w:val="00FE5FD3"/>
    <w:rsid w:val="00FE67C6"/>
    <w:rsid w:val="00FE70C3"/>
    <w:rsid w:val="00FE72AE"/>
    <w:rsid w:val="00FE7535"/>
    <w:rsid w:val="00FE7BF0"/>
    <w:rsid w:val="00FE7C42"/>
    <w:rsid w:val="00FE7EE7"/>
    <w:rsid w:val="00FF06CA"/>
    <w:rsid w:val="00FF1008"/>
    <w:rsid w:val="00FF1227"/>
    <w:rsid w:val="00FF1A8B"/>
    <w:rsid w:val="00FF24D5"/>
    <w:rsid w:val="00FF2615"/>
    <w:rsid w:val="00FF28CC"/>
    <w:rsid w:val="00FF2A6D"/>
    <w:rsid w:val="00FF2AD9"/>
    <w:rsid w:val="00FF2C11"/>
    <w:rsid w:val="00FF359F"/>
    <w:rsid w:val="00FF35D2"/>
    <w:rsid w:val="00FF3DCF"/>
    <w:rsid w:val="00FF3FFF"/>
    <w:rsid w:val="00FF412D"/>
    <w:rsid w:val="00FF41C4"/>
    <w:rsid w:val="00FF4501"/>
    <w:rsid w:val="00FF450E"/>
    <w:rsid w:val="00FF464B"/>
    <w:rsid w:val="00FF492C"/>
    <w:rsid w:val="00FF4A21"/>
    <w:rsid w:val="00FF4C4D"/>
    <w:rsid w:val="00FF5237"/>
    <w:rsid w:val="00FF5317"/>
    <w:rsid w:val="00FF552F"/>
    <w:rsid w:val="00FF5AA3"/>
    <w:rsid w:val="00FF5AB7"/>
    <w:rsid w:val="00FF5AD8"/>
    <w:rsid w:val="00FF5B03"/>
    <w:rsid w:val="00FF5BF2"/>
    <w:rsid w:val="00FF64BF"/>
    <w:rsid w:val="00FF6688"/>
    <w:rsid w:val="00FF6FF9"/>
    <w:rsid w:val="00FF74AE"/>
    <w:rsid w:val="01A81230"/>
    <w:rsid w:val="01B20B80"/>
    <w:rsid w:val="01BAEB07"/>
    <w:rsid w:val="01BB7896"/>
    <w:rsid w:val="02079A87"/>
    <w:rsid w:val="02877888"/>
    <w:rsid w:val="03167645"/>
    <w:rsid w:val="041E4F8E"/>
    <w:rsid w:val="05D837E2"/>
    <w:rsid w:val="0619D85B"/>
    <w:rsid w:val="061D71B7"/>
    <w:rsid w:val="066E4BD7"/>
    <w:rsid w:val="06A0E374"/>
    <w:rsid w:val="06E22BC9"/>
    <w:rsid w:val="0720DA90"/>
    <w:rsid w:val="07791651"/>
    <w:rsid w:val="078087BD"/>
    <w:rsid w:val="08045A90"/>
    <w:rsid w:val="083B9343"/>
    <w:rsid w:val="087C40AB"/>
    <w:rsid w:val="0A83613B"/>
    <w:rsid w:val="0AC3E21F"/>
    <w:rsid w:val="0B3FCCC3"/>
    <w:rsid w:val="0B4D2ED5"/>
    <w:rsid w:val="0B81EA6A"/>
    <w:rsid w:val="0BC5519A"/>
    <w:rsid w:val="0C581D51"/>
    <w:rsid w:val="0C7CA55B"/>
    <w:rsid w:val="0CAD9EC8"/>
    <w:rsid w:val="0CC25A8C"/>
    <w:rsid w:val="0D56C016"/>
    <w:rsid w:val="0DAEE7B4"/>
    <w:rsid w:val="0E5A41FC"/>
    <w:rsid w:val="0F9865B8"/>
    <w:rsid w:val="0FEB174D"/>
    <w:rsid w:val="105C9807"/>
    <w:rsid w:val="1086CB2D"/>
    <w:rsid w:val="10E8F61C"/>
    <w:rsid w:val="1152D737"/>
    <w:rsid w:val="117F8D2B"/>
    <w:rsid w:val="11BFD840"/>
    <w:rsid w:val="12359736"/>
    <w:rsid w:val="1277D4AD"/>
    <w:rsid w:val="130193B9"/>
    <w:rsid w:val="1343E5CD"/>
    <w:rsid w:val="1390EB55"/>
    <w:rsid w:val="142D09CB"/>
    <w:rsid w:val="14AA0AE4"/>
    <w:rsid w:val="14BCBCEF"/>
    <w:rsid w:val="14F18D79"/>
    <w:rsid w:val="14FC2CEF"/>
    <w:rsid w:val="1538F5A9"/>
    <w:rsid w:val="15B52966"/>
    <w:rsid w:val="166447F8"/>
    <w:rsid w:val="183111DE"/>
    <w:rsid w:val="18E15496"/>
    <w:rsid w:val="1A291D62"/>
    <w:rsid w:val="1A9152FD"/>
    <w:rsid w:val="1AEC4DD2"/>
    <w:rsid w:val="1B446864"/>
    <w:rsid w:val="1BED5D54"/>
    <w:rsid w:val="1C1543ED"/>
    <w:rsid w:val="1C752E31"/>
    <w:rsid w:val="1C9F9E16"/>
    <w:rsid w:val="1CBB016D"/>
    <w:rsid w:val="1CEBDD05"/>
    <w:rsid w:val="1E9B691B"/>
    <w:rsid w:val="1EA03934"/>
    <w:rsid w:val="1ECAA7AC"/>
    <w:rsid w:val="1EFAB4FB"/>
    <w:rsid w:val="1F064C84"/>
    <w:rsid w:val="1F1A4C37"/>
    <w:rsid w:val="20095574"/>
    <w:rsid w:val="202A49CC"/>
    <w:rsid w:val="20F10E1F"/>
    <w:rsid w:val="21A96A8B"/>
    <w:rsid w:val="21DB966B"/>
    <w:rsid w:val="21E60AFF"/>
    <w:rsid w:val="222C4C2D"/>
    <w:rsid w:val="226FA029"/>
    <w:rsid w:val="24AD5935"/>
    <w:rsid w:val="24FC0B01"/>
    <w:rsid w:val="2538DCF3"/>
    <w:rsid w:val="25B5D1C2"/>
    <w:rsid w:val="25B7DB15"/>
    <w:rsid w:val="25D3026A"/>
    <w:rsid w:val="25F39510"/>
    <w:rsid w:val="261AA757"/>
    <w:rsid w:val="2641BF95"/>
    <w:rsid w:val="26774D2E"/>
    <w:rsid w:val="26AFFB0F"/>
    <w:rsid w:val="2723A331"/>
    <w:rsid w:val="27A3EF01"/>
    <w:rsid w:val="28386442"/>
    <w:rsid w:val="2842C94C"/>
    <w:rsid w:val="2B9782D5"/>
    <w:rsid w:val="2B9F6F60"/>
    <w:rsid w:val="2C507490"/>
    <w:rsid w:val="2E1443E6"/>
    <w:rsid w:val="2F1F83A5"/>
    <w:rsid w:val="2F2A3CF7"/>
    <w:rsid w:val="2F901AA8"/>
    <w:rsid w:val="306EB3FA"/>
    <w:rsid w:val="30878404"/>
    <w:rsid w:val="30C5FA61"/>
    <w:rsid w:val="314D771C"/>
    <w:rsid w:val="319D6076"/>
    <w:rsid w:val="322956BC"/>
    <w:rsid w:val="32807741"/>
    <w:rsid w:val="32A6A5FD"/>
    <w:rsid w:val="33B596FB"/>
    <w:rsid w:val="33C9D5C6"/>
    <w:rsid w:val="346B19BE"/>
    <w:rsid w:val="34831F94"/>
    <w:rsid w:val="34BCC286"/>
    <w:rsid w:val="34D1E8E6"/>
    <w:rsid w:val="357BC737"/>
    <w:rsid w:val="35B4F971"/>
    <w:rsid w:val="35BA8B28"/>
    <w:rsid w:val="362B62E8"/>
    <w:rsid w:val="36607002"/>
    <w:rsid w:val="36C315C3"/>
    <w:rsid w:val="3700E880"/>
    <w:rsid w:val="37647426"/>
    <w:rsid w:val="38049DCC"/>
    <w:rsid w:val="388CD6C7"/>
    <w:rsid w:val="3906D596"/>
    <w:rsid w:val="3B9E01FA"/>
    <w:rsid w:val="3BBDFA54"/>
    <w:rsid w:val="3C911339"/>
    <w:rsid w:val="3DE383C1"/>
    <w:rsid w:val="3DFDE474"/>
    <w:rsid w:val="3EBE8FA5"/>
    <w:rsid w:val="3EDE0334"/>
    <w:rsid w:val="3F8F0D1C"/>
    <w:rsid w:val="4039C7F7"/>
    <w:rsid w:val="40679183"/>
    <w:rsid w:val="406A0A27"/>
    <w:rsid w:val="40AFAA71"/>
    <w:rsid w:val="40F9487D"/>
    <w:rsid w:val="430A4211"/>
    <w:rsid w:val="435E6B30"/>
    <w:rsid w:val="44061516"/>
    <w:rsid w:val="442FF5C1"/>
    <w:rsid w:val="44700D16"/>
    <w:rsid w:val="44A7A2C4"/>
    <w:rsid w:val="44D2401D"/>
    <w:rsid w:val="44DC21DE"/>
    <w:rsid w:val="4574F041"/>
    <w:rsid w:val="45A03E5A"/>
    <w:rsid w:val="45C6F446"/>
    <w:rsid w:val="46069E53"/>
    <w:rsid w:val="4610428B"/>
    <w:rsid w:val="47CB5BAC"/>
    <w:rsid w:val="495221AA"/>
    <w:rsid w:val="49842D0A"/>
    <w:rsid w:val="499EBE59"/>
    <w:rsid w:val="49C3C77B"/>
    <w:rsid w:val="4A7EFE21"/>
    <w:rsid w:val="4AD970A2"/>
    <w:rsid w:val="4B0EB28E"/>
    <w:rsid w:val="4B1E6924"/>
    <w:rsid w:val="4B5D8BE9"/>
    <w:rsid w:val="4BB24D04"/>
    <w:rsid w:val="4BFD5C1E"/>
    <w:rsid w:val="4C009ED3"/>
    <w:rsid w:val="4C38ABF5"/>
    <w:rsid w:val="4C5207B9"/>
    <w:rsid w:val="4CCF7100"/>
    <w:rsid w:val="4CED59F9"/>
    <w:rsid w:val="4D41E083"/>
    <w:rsid w:val="4D6248FB"/>
    <w:rsid w:val="4D9C48A2"/>
    <w:rsid w:val="4DF0E92E"/>
    <w:rsid w:val="4E6C06EF"/>
    <w:rsid w:val="4EB255D8"/>
    <w:rsid w:val="4EE52262"/>
    <w:rsid w:val="4F747FDC"/>
    <w:rsid w:val="50269E3C"/>
    <w:rsid w:val="503B5DE9"/>
    <w:rsid w:val="505C6DED"/>
    <w:rsid w:val="511E822E"/>
    <w:rsid w:val="517056EF"/>
    <w:rsid w:val="51E2CFC0"/>
    <w:rsid w:val="51EDE8BC"/>
    <w:rsid w:val="524BE298"/>
    <w:rsid w:val="52BCF093"/>
    <w:rsid w:val="53F389FA"/>
    <w:rsid w:val="548A78F5"/>
    <w:rsid w:val="55835CB6"/>
    <w:rsid w:val="559ACD2B"/>
    <w:rsid w:val="56C9ED9A"/>
    <w:rsid w:val="56E1CAB6"/>
    <w:rsid w:val="57656ED7"/>
    <w:rsid w:val="5779F55A"/>
    <w:rsid w:val="580D3CE8"/>
    <w:rsid w:val="5822BE0D"/>
    <w:rsid w:val="58429C5F"/>
    <w:rsid w:val="588193FA"/>
    <w:rsid w:val="58891E48"/>
    <w:rsid w:val="58F16B8D"/>
    <w:rsid w:val="591E1253"/>
    <w:rsid w:val="5957ED12"/>
    <w:rsid w:val="59EB4703"/>
    <w:rsid w:val="5A816FD8"/>
    <w:rsid w:val="5B288DB6"/>
    <w:rsid w:val="5B7AA5E2"/>
    <w:rsid w:val="5BFAA6AB"/>
    <w:rsid w:val="5C9CF224"/>
    <w:rsid w:val="5CEF4B34"/>
    <w:rsid w:val="5D4110CE"/>
    <w:rsid w:val="5DA910B5"/>
    <w:rsid w:val="5DDEAC37"/>
    <w:rsid w:val="5E7596CC"/>
    <w:rsid w:val="5E7D7809"/>
    <w:rsid w:val="5EC4F6E8"/>
    <w:rsid w:val="5F767C38"/>
    <w:rsid w:val="60102BAC"/>
    <w:rsid w:val="613C015B"/>
    <w:rsid w:val="61C0C5B8"/>
    <w:rsid w:val="61D5973C"/>
    <w:rsid w:val="6215EA65"/>
    <w:rsid w:val="6222A53A"/>
    <w:rsid w:val="62CD3296"/>
    <w:rsid w:val="630260B6"/>
    <w:rsid w:val="6386E239"/>
    <w:rsid w:val="63A9113D"/>
    <w:rsid w:val="63DDE9EE"/>
    <w:rsid w:val="64DAAE4C"/>
    <w:rsid w:val="64E68D93"/>
    <w:rsid w:val="65DFD19E"/>
    <w:rsid w:val="663CC080"/>
    <w:rsid w:val="664B37EF"/>
    <w:rsid w:val="66F220C5"/>
    <w:rsid w:val="6712C52E"/>
    <w:rsid w:val="6743A2F4"/>
    <w:rsid w:val="67C184EC"/>
    <w:rsid w:val="67EA89F5"/>
    <w:rsid w:val="67F326DC"/>
    <w:rsid w:val="688ED421"/>
    <w:rsid w:val="69083AB2"/>
    <w:rsid w:val="6914815C"/>
    <w:rsid w:val="69C86101"/>
    <w:rsid w:val="6A187976"/>
    <w:rsid w:val="6A2234A5"/>
    <w:rsid w:val="6ABA72C3"/>
    <w:rsid w:val="6B933D1B"/>
    <w:rsid w:val="6C590A2E"/>
    <w:rsid w:val="6CAD02E1"/>
    <w:rsid w:val="6D19FB96"/>
    <w:rsid w:val="6D945664"/>
    <w:rsid w:val="6E26E6D6"/>
    <w:rsid w:val="6E2DFB90"/>
    <w:rsid w:val="6E54849F"/>
    <w:rsid w:val="6EDA5BC1"/>
    <w:rsid w:val="6EF94B67"/>
    <w:rsid w:val="6FEEA7DA"/>
    <w:rsid w:val="70115F33"/>
    <w:rsid w:val="71B25D5D"/>
    <w:rsid w:val="7356D028"/>
    <w:rsid w:val="739197C0"/>
    <w:rsid w:val="73D02BBD"/>
    <w:rsid w:val="742F00E5"/>
    <w:rsid w:val="74805B7D"/>
    <w:rsid w:val="748DA6EF"/>
    <w:rsid w:val="74DAC0B1"/>
    <w:rsid w:val="74F2C45C"/>
    <w:rsid w:val="759444A0"/>
    <w:rsid w:val="7698F87B"/>
    <w:rsid w:val="76B6F9DD"/>
    <w:rsid w:val="76C7BEB6"/>
    <w:rsid w:val="77768691"/>
    <w:rsid w:val="77A0D056"/>
    <w:rsid w:val="792EA0D3"/>
    <w:rsid w:val="798BC5FE"/>
    <w:rsid w:val="79E83196"/>
    <w:rsid w:val="7AD6B775"/>
    <w:rsid w:val="7B513DF0"/>
    <w:rsid w:val="7B602A82"/>
    <w:rsid w:val="7BF79152"/>
    <w:rsid w:val="7C0B56EB"/>
    <w:rsid w:val="7C451952"/>
    <w:rsid w:val="7CB88238"/>
    <w:rsid w:val="7D23B847"/>
    <w:rsid w:val="7D68B2CF"/>
    <w:rsid w:val="7DABA822"/>
    <w:rsid w:val="7DEA4BA0"/>
    <w:rsid w:val="7DFBF859"/>
    <w:rsid w:val="7E23466B"/>
    <w:rsid w:val="7EBA4218"/>
    <w:rsid w:val="7F2A1B4F"/>
    <w:rsid w:val="7F987B9B"/>
    <w:rsid w:val="7FBADD08"/>
    <w:rsid w:val="7FED3D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876"/>
    <w:pPr>
      <w:jc w:val="both"/>
    </w:pPr>
    <w:rPr>
      <w:rFonts w:ascii="Calibri" w:hAnsi="Calibri" w:cs="Arial"/>
      <w:sz w:val="24"/>
      <w:szCs w:val="24"/>
    </w:rPr>
  </w:style>
  <w:style w:type="paragraph" w:styleId="Heading1">
    <w:name w:val="heading 1"/>
    <w:aliases w:val="Heading 1 Char1 Char,Heading 1 Char Char Char,Heading 1 Char1,Heading 1 Char Char,Kopje"/>
    <w:basedOn w:val="Normal"/>
    <w:next w:val="Normal"/>
    <w:uiPriority w:val="1"/>
    <w:qFormat/>
    <w:rsid w:val="001B204E"/>
    <w:pPr>
      <w:ind w:left="720" w:hanging="720"/>
      <w:outlineLvl w:val="0"/>
    </w:pPr>
    <w:rPr>
      <w:b/>
      <w:caps/>
      <w:sz w:val="32"/>
    </w:rPr>
  </w:style>
  <w:style w:type="paragraph" w:styleId="Heading2">
    <w:name w:val="heading 2"/>
    <w:aliases w:val="Heading 2 Char1 Char,Heading 2 Char Char Char,Heading 2 Char1,Heading 2 Char Char"/>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aliases w:val="Heading 4 Char2"/>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DO NOT USE"/>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 Char,Heading 2 Char Char Char Char,Heading 2 Char1 Char1,Heading 2 Char Char Char1"/>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HMR,TabFig title/caption,Caption for Figures and Tables,fig cadre,Caption Char Char,Caption Char Char Char Char,fig cadre Char2,Caption Char2,fig cadre Char Char,NICE Caption,Char1,c,AW Caption,Char,SMC Caption,IB Caption,- H17,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NICE Caption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Styl moj,Akapit z listą1,Akapit z listą11,Table Legend,Bullet1,Bullet 1,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Styl moj Char,Table Legend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HealthConsult,Source table_,NICE instructions,Header Table,Tabellengitternetz 9pt,PBAC table,MSD Table Grid,Dossier table,Summary Table,RTI AMCP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FE4876"/>
    <w:pPr>
      <w:numPr>
        <w:ilvl w:val="1"/>
        <w:numId w:val="1"/>
      </w:numPr>
      <w:spacing w:before="60"/>
    </w:pPr>
  </w:style>
  <w:style w:type="character" w:customStyle="1" w:styleId="3-BodyTextChar">
    <w:name w:val="3-Body Text Char"/>
    <w:basedOn w:val="ListParagraphChar"/>
    <w:link w:val="3-BodyText"/>
    <w:rsid w:val="00FE4876"/>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table" w:customStyle="1" w:styleId="PBAClayout">
    <w:name w:val="PBAC_layout"/>
    <w:basedOn w:val="TableNormal"/>
    <w:uiPriority w:val="99"/>
    <w:rsid w:val="003E229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1">
    <w:name w:val="Table Grid1"/>
    <w:basedOn w:val="TableNormal"/>
    <w:next w:val="TableGrid"/>
    <w:uiPriority w:val="39"/>
    <w:rsid w:val="001C6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KMC16 - Footnote Text"/>
    <w:basedOn w:val="Normal"/>
    <w:link w:val="FootnoteTextChar"/>
    <w:unhideWhenUsed/>
    <w:rsid w:val="001C685E"/>
    <w:rPr>
      <w:sz w:val="20"/>
      <w:szCs w:val="20"/>
    </w:rPr>
  </w:style>
  <w:style w:type="character" w:customStyle="1" w:styleId="FootnoteTextChar">
    <w:name w:val="Footnote Text Char"/>
    <w:aliases w:val="KMC16 - Footnote Text Char"/>
    <w:basedOn w:val="DefaultParagraphFont"/>
    <w:link w:val="FootnoteText"/>
    <w:rsid w:val="001C685E"/>
    <w:rPr>
      <w:rFonts w:ascii="Calibri" w:hAnsi="Calibri" w:cs="Arial"/>
    </w:rPr>
  </w:style>
  <w:style w:type="character" w:styleId="FootnoteReference">
    <w:name w:val="footnote reference"/>
    <w:aliases w:val="KMC16 - Footnote Reference"/>
    <w:basedOn w:val="DefaultParagraphFont"/>
    <w:unhideWhenUsed/>
    <w:rsid w:val="001C685E"/>
    <w:rPr>
      <w:vertAlign w:val="superscript"/>
    </w:rPr>
  </w:style>
  <w:style w:type="character" w:customStyle="1" w:styleId="SmallBold">
    <w:name w:val="Small Bold"/>
    <w:basedOn w:val="DefaultParagraphFont"/>
    <w:uiPriority w:val="4"/>
    <w:qFormat/>
    <w:rsid w:val="001C685E"/>
    <w:rPr>
      <w:rFonts w:ascii="Calibri" w:hAnsi="Calibri"/>
      <w:b/>
      <w:sz w:val="20"/>
      <w:lang w:val="en-AU"/>
    </w:rPr>
  </w:style>
  <w:style w:type="character" w:styleId="UnresolvedMention">
    <w:name w:val="Unresolved Mention"/>
    <w:basedOn w:val="DefaultParagraphFont"/>
    <w:uiPriority w:val="99"/>
    <w:semiHidden/>
    <w:unhideWhenUsed/>
    <w:rsid w:val="001C685E"/>
    <w:rPr>
      <w:color w:val="605E5C"/>
      <w:shd w:val="clear" w:color="auto" w:fill="E1DFDD"/>
    </w:rPr>
  </w:style>
  <w:style w:type="character" w:customStyle="1" w:styleId="CaptionFootnoteChar">
    <w:name w:val="Caption Footnote Char"/>
    <w:basedOn w:val="DefaultParagraphFont"/>
    <w:link w:val="CaptionFootnote"/>
    <w:locked/>
    <w:rsid w:val="001C685E"/>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1C685E"/>
    <w:pPr>
      <w:jc w:val="left"/>
    </w:pPr>
    <w:rPr>
      <w:rFonts w:asciiTheme="minorHAnsi" w:hAnsiTheme="minorHAnsi" w:cs="Times New Roman"/>
      <w:kern w:val="28"/>
      <w:sz w:val="16"/>
      <w:lang w:eastAsia="en-GB"/>
    </w:rPr>
  </w:style>
  <w:style w:type="character" w:customStyle="1" w:styleId="Small">
    <w:name w:val="Small"/>
    <w:basedOn w:val="DefaultParagraphFont"/>
    <w:uiPriority w:val="4"/>
    <w:qFormat/>
    <w:rsid w:val="001C685E"/>
    <w:rPr>
      <w:rFonts w:ascii="Calibri" w:hAnsi="Calibri"/>
      <w:sz w:val="20"/>
    </w:rPr>
  </w:style>
  <w:style w:type="character" w:customStyle="1" w:styleId="Heading4Char">
    <w:name w:val="Heading 4 Char"/>
    <w:aliases w:val="Heading 4 Char2 Char"/>
    <w:basedOn w:val="DefaultParagraphFont"/>
    <w:link w:val="Heading4"/>
    <w:rsid w:val="001C685E"/>
    <w:rPr>
      <w:rFonts w:ascii="Calibri" w:hAnsi="Calibri" w:cs="Arial"/>
      <w:b/>
      <w:bCs/>
      <w:i/>
      <w:sz w:val="26"/>
      <w:szCs w:val="28"/>
    </w:rPr>
  </w:style>
  <w:style w:type="character" w:customStyle="1" w:styleId="TableLeftChar">
    <w:name w:val="Table Left Char"/>
    <w:basedOn w:val="DefaultParagraphFont"/>
    <w:link w:val="TableLeft"/>
    <w:uiPriority w:val="99"/>
    <w:locked/>
    <w:rsid w:val="001C685E"/>
    <w:rPr>
      <w:rFonts w:ascii="Calibri" w:hAnsi="Calibri" w:cs="Calibri"/>
      <w:sz w:val="18"/>
    </w:rPr>
  </w:style>
  <w:style w:type="paragraph" w:customStyle="1" w:styleId="TableLeft">
    <w:name w:val="Table Left"/>
    <w:basedOn w:val="Normal"/>
    <w:link w:val="TableLeftChar"/>
    <w:uiPriority w:val="99"/>
    <w:qFormat/>
    <w:rsid w:val="001C685E"/>
    <w:pPr>
      <w:jc w:val="left"/>
    </w:pPr>
    <w:rPr>
      <w:rFonts w:cs="Calibri"/>
      <w:sz w:val="18"/>
      <w:szCs w:val="20"/>
    </w:rPr>
  </w:style>
  <w:style w:type="character" w:customStyle="1" w:styleId="normaltextrun">
    <w:name w:val="normaltextrun"/>
    <w:basedOn w:val="DefaultParagraphFont"/>
    <w:rsid w:val="001C685E"/>
  </w:style>
  <w:style w:type="character" w:customStyle="1" w:styleId="eop">
    <w:name w:val="eop"/>
    <w:basedOn w:val="DefaultParagraphFont"/>
    <w:rsid w:val="001C685E"/>
  </w:style>
  <w:style w:type="paragraph" w:customStyle="1" w:styleId="TableHeading0">
    <w:name w:val="Table Heading"/>
    <w:basedOn w:val="TableofFigures"/>
    <w:rsid w:val="001C685E"/>
    <w:pPr>
      <w:spacing w:line="259" w:lineRule="auto"/>
      <w:jc w:val="left"/>
    </w:pPr>
    <w:rPr>
      <w:rFonts w:ascii="Arial Narrow" w:eastAsiaTheme="minorEastAsia" w:hAnsi="Arial Narrow" w:cstheme="minorBidi"/>
      <w:b/>
      <w:sz w:val="20"/>
      <w:szCs w:val="22"/>
      <w:lang w:eastAsia="zh-CN"/>
    </w:rPr>
  </w:style>
  <w:style w:type="table" w:customStyle="1" w:styleId="ASDTable2">
    <w:name w:val="ASD Table2"/>
    <w:basedOn w:val="TableNormal"/>
    <w:next w:val="TableGrid"/>
    <w:uiPriority w:val="39"/>
    <w:rsid w:val="001C68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unhideWhenUsed/>
    <w:rsid w:val="001C685E"/>
  </w:style>
  <w:style w:type="paragraph" w:customStyle="1" w:styleId="paragraph">
    <w:name w:val="paragraph"/>
    <w:basedOn w:val="Normal"/>
    <w:rsid w:val="00BD2DD4"/>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E2613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26131"/>
    <w:rPr>
      <w:rFonts w:asciiTheme="minorHAnsi" w:eastAsiaTheme="majorEastAsia" w:hAnsiTheme="minorHAnsi" w:cstheme="majorBidi"/>
      <w:b/>
      <w:i/>
      <w:snapToGrid/>
      <w:spacing w:val="5"/>
      <w:kern w:val="28"/>
      <w:sz w:val="28"/>
      <w:szCs w:val="36"/>
      <w:lang w:eastAsia="en-US"/>
    </w:rPr>
  </w:style>
  <w:style w:type="character" w:styleId="Strong">
    <w:name w:val="Strong"/>
    <w:basedOn w:val="DefaultParagraphFont"/>
    <w:uiPriority w:val="22"/>
    <w:qFormat/>
    <w:rsid w:val="00066ADD"/>
    <w:rPr>
      <w:b/>
      <w:bCs/>
    </w:rPr>
  </w:style>
  <w:style w:type="character" w:styleId="Mention">
    <w:name w:val="Mention"/>
    <w:basedOn w:val="DefaultParagraphFont"/>
    <w:uiPriority w:val="99"/>
    <w:unhideWhenUsed/>
    <w:rsid w:val="008062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25169638">
      <w:bodyDiv w:val="1"/>
      <w:marLeft w:val="0"/>
      <w:marRight w:val="0"/>
      <w:marTop w:val="0"/>
      <w:marBottom w:val="0"/>
      <w:divBdr>
        <w:top w:val="none" w:sz="0" w:space="0" w:color="auto"/>
        <w:left w:val="none" w:sz="0" w:space="0" w:color="auto"/>
        <w:bottom w:val="none" w:sz="0" w:space="0" w:color="auto"/>
        <w:right w:val="none" w:sz="0" w:space="0" w:color="auto"/>
      </w:divBdr>
    </w:div>
    <w:div w:id="76770191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1082970">
      <w:bodyDiv w:val="1"/>
      <w:marLeft w:val="0"/>
      <w:marRight w:val="0"/>
      <w:marTop w:val="0"/>
      <w:marBottom w:val="0"/>
      <w:divBdr>
        <w:top w:val="none" w:sz="0" w:space="0" w:color="auto"/>
        <w:left w:val="none" w:sz="0" w:space="0" w:color="auto"/>
        <w:bottom w:val="none" w:sz="0" w:space="0" w:color="auto"/>
        <w:right w:val="none" w:sz="0" w:space="0" w:color="auto"/>
      </w:divBdr>
    </w:div>
    <w:div w:id="1416249230">
      <w:bodyDiv w:val="1"/>
      <w:marLeft w:val="0"/>
      <w:marRight w:val="0"/>
      <w:marTop w:val="0"/>
      <w:marBottom w:val="0"/>
      <w:divBdr>
        <w:top w:val="none" w:sz="0" w:space="0" w:color="auto"/>
        <w:left w:val="none" w:sz="0" w:space="0" w:color="auto"/>
        <w:bottom w:val="none" w:sz="0" w:space="0" w:color="auto"/>
        <w:right w:val="none" w:sz="0" w:space="0" w:color="auto"/>
      </w:divBdr>
    </w:div>
    <w:div w:id="1466705296">
      <w:bodyDiv w:val="1"/>
      <w:marLeft w:val="0"/>
      <w:marRight w:val="0"/>
      <w:marTop w:val="0"/>
      <w:marBottom w:val="0"/>
      <w:divBdr>
        <w:top w:val="none" w:sz="0" w:space="0" w:color="auto"/>
        <w:left w:val="none" w:sz="0" w:space="0" w:color="auto"/>
        <w:bottom w:val="none" w:sz="0" w:space="0" w:color="auto"/>
        <w:right w:val="none" w:sz="0" w:space="0" w:color="auto"/>
      </w:divBdr>
    </w:div>
    <w:div w:id="155060569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rvicesaustralia.gov.au/hpo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servicesaustralia.gov.a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www.servicesaustralia.gov.au/HPOS" TargetMode="External"/><Relationship Id="rId19" Type="http://schemas.openxmlformats.org/officeDocument/2006/relationships/hyperlink" Target="https://www.msac.gov.au/applications/1791" TargetMode="Externa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image" Target="media/image4.emf"/><Relationship Id="rId22" Type="http://schemas.openxmlformats.org/officeDocument/2006/relationships/hyperlink" Target="http://www.servicesaustralia.gov.au/HPOS"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accessdata.fda.gov/drugsatfda_docs/nda/2024/215500Orig1s000MultidisciplineR.pdf" TargetMode="External"/><Relationship Id="rId2" Type="http://schemas.openxmlformats.org/officeDocument/2006/relationships/hyperlink" Target="https://www.health.gov.au/ministers/the-hon-mark-butler-mp/media/ensuring-access-to-rare-cancer-treatment-for-patients-with-neuroblastoma?language=en" TargetMode="External"/><Relationship Id="rId1" Type="http://schemas.openxmlformats.org/officeDocument/2006/relationships/hyperlink" Target="https://www.health.gov.au/ministers/the-hon-mark-butler-mp/media/hope-for-children-with-neuroblastoma-as-government-provides-free-access-to-dfmo?language=en" TargetMode="External"/><Relationship Id="rId5" Type="http://schemas.openxmlformats.org/officeDocument/2006/relationships/hyperlink" Target="https://www.accessdata.fda.gov/drugsatfda_docs/appletter/2023/215500Orig1s000ltr.pdf" TargetMode="External"/><Relationship Id="rId4" Type="http://schemas.openxmlformats.org/officeDocument/2006/relationships/hyperlink" Target="https://www.accessdata.fda.gov/drugsatfda_docs/nda/2024/215500Orig1s000Multidisciplin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2C68408E-73AA-4903-BABA-C41F477F8B88}">
  <ds:schemaRefs>
    <ds:schemaRef ds:uri="http://schemas.openxmlformats.org/officeDocument/2006/bibliography"/>
  </ds:schemaRefs>
</ds:datastoreItem>
</file>

<file path=customXml/itemProps2.xml><?xml version="1.0" encoding="utf-8"?>
<ds:datastoreItem xmlns:ds="http://schemas.openxmlformats.org/officeDocument/2006/customXml" ds:itemID="{2596D77A-7E8B-4509-B307-458A521CD83F}"/>
</file>

<file path=customXml/itemProps3.xml><?xml version="1.0" encoding="utf-8"?>
<ds:datastoreItem xmlns:ds="http://schemas.openxmlformats.org/officeDocument/2006/customXml" ds:itemID="{26C6941E-8B6D-4C70-8E2C-80A83022B6B1}"/>
</file>

<file path=customXml/itemProps4.xml><?xml version="1.0" encoding="utf-8"?>
<ds:datastoreItem xmlns:ds="http://schemas.openxmlformats.org/officeDocument/2006/customXml" ds:itemID="{F7C71C8E-EE3D-4320-8F1F-7E058CD00625}"/>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17630</Words>
  <Characters>100492</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117887</CharactersWithSpaces>
  <SharedDoc>false</SharedDoc>
  <HLinks>
    <vt:vector size="72" baseType="variant">
      <vt:variant>
        <vt:i4>1507399</vt:i4>
      </vt:variant>
      <vt:variant>
        <vt:i4>183</vt:i4>
      </vt:variant>
      <vt:variant>
        <vt:i4>0</vt:i4>
      </vt:variant>
      <vt:variant>
        <vt:i4>5</vt:i4>
      </vt:variant>
      <vt:variant>
        <vt:lpwstr>http://www.servicesaustralia.gov.au/HPOS</vt:lpwstr>
      </vt:variant>
      <vt:variant>
        <vt:lpwstr/>
      </vt:variant>
      <vt:variant>
        <vt:i4>1507399</vt:i4>
      </vt:variant>
      <vt:variant>
        <vt:i4>168</vt:i4>
      </vt:variant>
      <vt:variant>
        <vt:i4>0</vt:i4>
      </vt:variant>
      <vt:variant>
        <vt:i4>5</vt:i4>
      </vt:variant>
      <vt:variant>
        <vt:lpwstr>http://www.servicesaustralia.gov.au/hpos</vt:lpwstr>
      </vt:variant>
      <vt:variant>
        <vt:lpwstr/>
      </vt:variant>
      <vt:variant>
        <vt:i4>1310784</vt:i4>
      </vt:variant>
      <vt:variant>
        <vt:i4>165</vt:i4>
      </vt:variant>
      <vt:variant>
        <vt:i4>0</vt:i4>
      </vt:variant>
      <vt:variant>
        <vt:i4>5</vt:i4>
      </vt:variant>
      <vt:variant>
        <vt:lpwstr>http://www.servicesaustralia.gov.au/</vt:lpwstr>
      </vt:variant>
      <vt:variant>
        <vt:lpwstr/>
      </vt:variant>
      <vt:variant>
        <vt:i4>1572944</vt:i4>
      </vt:variant>
      <vt:variant>
        <vt:i4>135</vt:i4>
      </vt:variant>
      <vt:variant>
        <vt:i4>0</vt:i4>
      </vt:variant>
      <vt:variant>
        <vt:i4>5</vt:i4>
      </vt:variant>
      <vt:variant>
        <vt:lpwstr>https://www.msac.gov.au/applications/1791</vt:lpwstr>
      </vt:variant>
      <vt:variant>
        <vt:lpwstr/>
      </vt:variant>
      <vt:variant>
        <vt:i4>1507399</vt:i4>
      </vt:variant>
      <vt:variant>
        <vt:i4>27</vt:i4>
      </vt:variant>
      <vt:variant>
        <vt:i4>0</vt:i4>
      </vt:variant>
      <vt:variant>
        <vt:i4>5</vt:i4>
      </vt:variant>
      <vt:variant>
        <vt:lpwstr>http://www.servicesaustralia.gov.au/HPOS</vt:lpwstr>
      </vt:variant>
      <vt:variant>
        <vt:lpwstr/>
      </vt:variant>
      <vt:variant>
        <vt:i4>1507399</vt:i4>
      </vt:variant>
      <vt:variant>
        <vt:i4>15</vt:i4>
      </vt:variant>
      <vt:variant>
        <vt:i4>0</vt:i4>
      </vt:variant>
      <vt:variant>
        <vt:i4>5</vt:i4>
      </vt:variant>
      <vt:variant>
        <vt:lpwstr>http://www.servicesaustralia.gov.au/hpos</vt:lpwstr>
      </vt:variant>
      <vt:variant>
        <vt:lpwstr/>
      </vt:variant>
      <vt:variant>
        <vt:i4>1310784</vt:i4>
      </vt:variant>
      <vt:variant>
        <vt:i4>12</vt:i4>
      </vt:variant>
      <vt:variant>
        <vt:i4>0</vt:i4>
      </vt:variant>
      <vt:variant>
        <vt:i4>5</vt:i4>
      </vt:variant>
      <vt:variant>
        <vt:lpwstr>http://www.servicesaustralia.gov.au/</vt:lpwstr>
      </vt:variant>
      <vt:variant>
        <vt:lpwstr/>
      </vt:variant>
      <vt:variant>
        <vt:i4>2949185</vt:i4>
      </vt:variant>
      <vt:variant>
        <vt:i4>15</vt:i4>
      </vt:variant>
      <vt:variant>
        <vt:i4>0</vt:i4>
      </vt:variant>
      <vt:variant>
        <vt:i4>5</vt:i4>
      </vt:variant>
      <vt:variant>
        <vt:lpwstr>https://www.accessdata.fda.gov/drugsatfda_docs/appletter/2023/215500Orig1s000ltr.pdf</vt:lpwstr>
      </vt:variant>
      <vt:variant>
        <vt:lpwstr/>
      </vt:variant>
      <vt:variant>
        <vt:i4>786542</vt:i4>
      </vt:variant>
      <vt:variant>
        <vt:i4>12</vt:i4>
      </vt:variant>
      <vt:variant>
        <vt:i4>0</vt:i4>
      </vt:variant>
      <vt:variant>
        <vt:i4>5</vt:i4>
      </vt:variant>
      <vt:variant>
        <vt:lpwstr>https://www.accessdata.fda.gov/drugsatfda_docs/nda/2024/215500Orig1s000MultidisciplineR.pdf</vt:lpwstr>
      </vt:variant>
      <vt:variant>
        <vt:lpwstr/>
      </vt:variant>
      <vt:variant>
        <vt:i4>786542</vt:i4>
      </vt:variant>
      <vt:variant>
        <vt:i4>9</vt:i4>
      </vt:variant>
      <vt:variant>
        <vt:i4>0</vt:i4>
      </vt:variant>
      <vt:variant>
        <vt:i4>5</vt:i4>
      </vt:variant>
      <vt:variant>
        <vt:lpwstr>https://www.accessdata.fda.gov/drugsatfda_docs/nda/2024/215500Orig1s000MultidisciplineR.pdf</vt:lpwstr>
      </vt:variant>
      <vt:variant>
        <vt:lpwstr/>
      </vt:variant>
      <vt:variant>
        <vt:i4>5177348</vt:i4>
      </vt:variant>
      <vt:variant>
        <vt:i4>3</vt:i4>
      </vt:variant>
      <vt:variant>
        <vt:i4>0</vt:i4>
      </vt:variant>
      <vt:variant>
        <vt:i4>5</vt:i4>
      </vt:variant>
      <vt:variant>
        <vt:lpwstr>https://www.health.gov.au/ministers/the-hon-mark-butler-mp/media/ensuring-access-to-rare-cancer-treatment-for-patients-with-neuroblastoma?language=en</vt:lpwstr>
      </vt:variant>
      <vt:variant>
        <vt:lpwstr/>
      </vt:variant>
      <vt:variant>
        <vt:i4>1048640</vt:i4>
      </vt:variant>
      <vt:variant>
        <vt:i4>0</vt:i4>
      </vt:variant>
      <vt:variant>
        <vt:i4>0</vt:i4>
      </vt:variant>
      <vt:variant>
        <vt:i4>5</vt:i4>
      </vt:variant>
      <vt:variant>
        <vt:lpwstr>https://www.health.gov.au/ministers/the-hon-mark-butler-mp/media/hope-for-children-with-neuroblastoma-as-government-provides-free-access-to-dfmo?language=en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2025-07-01T02:07:00Z</dcterms:created>
  <dcterms:modified xsi:type="dcterms:W3CDTF">2025-07-01T02:08:00Z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