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34ED5CF" w:rsidR="00B60939" w:rsidRPr="0098262F" w:rsidRDefault="007A68C2" w:rsidP="00245A85">
      <w:pPr>
        <w:pStyle w:val="1-MainHeading"/>
      </w:pPr>
      <w:bookmarkStart w:id="0" w:name="_Toc187576318"/>
      <w:r>
        <w:t>5</w:t>
      </w:r>
      <w:r w:rsidR="00433044" w:rsidRPr="0098262F">
        <w:t>.</w:t>
      </w:r>
      <w:r>
        <w:t>02</w:t>
      </w:r>
      <w:r w:rsidR="00163F66" w:rsidRPr="0098262F">
        <w:tab/>
      </w:r>
      <w:r w:rsidR="00245A85">
        <w:t>CIPAGLUCOSIDASE</w:t>
      </w:r>
      <w:r w:rsidR="00F4604A">
        <w:t xml:space="preserve"> ALFA</w:t>
      </w:r>
      <w:r w:rsidR="00163F66" w:rsidRPr="0098262F">
        <w:br/>
      </w:r>
      <w:r w:rsidR="00B96A3C">
        <w:t>Powder for</w:t>
      </w:r>
      <w:r w:rsidR="009F34D4">
        <w:t xml:space="preserve"> I.V infusion </w:t>
      </w:r>
      <w:r w:rsidR="00245A85">
        <w:t>105</w:t>
      </w:r>
      <w:r w:rsidR="00EE482A">
        <w:t xml:space="preserve"> </w:t>
      </w:r>
      <w:r w:rsidR="00245A85">
        <w:t>mg</w:t>
      </w:r>
      <w:r w:rsidR="0034080B">
        <w:t>,</w:t>
      </w:r>
      <w:r w:rsidR="00AC6FE1">
        <w:br/>
      </w:r>
      <w:proofErr w:type="spellStart"/>
      <w:r w:rsidR="00AC6FE1">
        <w:t>Pombiliti</w:t>
      </w:r>
      <w:proofErr w:type="spellEnd"/>
      <w:r w:rsidR="00AC6FE1" w:rsidRPr="0098262F">
        <w:rPr>
          <w:vertAlign w:val="superscript"/>
        </w:rPr>
        <w:t>®</w:t>
      </w:r>
      <w:r w:rsidR="0034080B">
        <w:br/>
      </w:r>
      <w:r w:rsidR="000E3DA3">
        <w:t xml:space="preserve">MIGLUSTAT </w:t>
      </w:r>
      <w:r w:rsidR="0034080B">
        <w:br/>
        <w:t>C</w:t>
      </w:r>
      <w:r w:rsidR="00245A85">
        <w:t>apsule 65</w:t>
      </w:r>
      <w:r w:rsidR="00EE482A">
        <w:t xml:space="preserve"> </w:t>
      </w:r>
      <w:r w:rsidR="00245A85">
        <w:t>mg,</w:t>
      </w:r>
      <w:r w:rsidR="00163F66" w:rsidRPr="0098262F">
        <w:br/>
      </w:r>
      <w:proofErr w:type="spellStart"/>
      <w:r w:rsidR="00245A85">
        <w:t>Opfolda</w:t>
      </w:r>
      <w:proofErr w:type="spellEnd"/>
      <w:r w:rsidR="00245A85" w:rsidRPr="0098262F">
        <w:rPr>
          <w:vertAlign w:val="superscript"/>
        </w:rPr>
        <w:t>®</w:t>
      </w:r>
      <w:r w:rsidR="004A6040" w:rsidRPr="0098262F">
        <w:br/>
      </w:r>
      <w:r w:rsidR="00245A85">
        <w:t>Amicus Therapeutics</w:t>
      </w:r>
      <w:bookmarkEnd w:id="0"/>
      <w:r w:rsidR="00F4604A">
        <w:t xml:space="preserve"> Pty Ltd</w:t>
      </w:r>
    </w:p>
    <w:p w14:paraId="11C00795" w14:textId="3DFB6D23" w:rsidR="00B50DB8" w:rsidRPr="0098262F" w:rsidRDefault="00B50DB8" w:rsidP="004A6040">
      <w:pPr>
        <w:pStyle w:val="2-SectionHeading"/>
      </w:pPr>
      <w:bookmarkStart w:id="1" w:name="_Toc187576320"/>
      <w:r w:rsidRPr="0098262F">
        <w:t xml:space="preserve">Purpose of </w:t>
      </w:r>
      <w:r w:rsidR="00CD7193" w:rsidRPr="0098262F">
        <w:t>s</w:t>
      </w:r>
      <w:r w:rsidR="00BB3A45" w:rsidRPr="0098262F">
        <w:t>ubmission</w:t>
      </w:r>
      <w:bookmarkEnd w:id="1"/>
    </w:p>
    <w:p w14:paraId="19414AA1" w14:textId="0233A046" w:rsidR="002C2775" w:rsidRPr="0098262F" w:rsidRDefault="2EEA2B4E" w:rsidP="004E18E9">
      <w:pPr>
        <w:pStyle w:val="3-BodyText"/>
      </w:pPr>
      <w:r>
        <w:t xml:space="preserve">The </w:t>
      </w:r>
      <w:r w:rsidR="45089A27">
        <w:t xml:space="preserve">Category </w:t>
      </w:r>
      <w:r w:rsidR="227BB95C">
        <w:t>2</w:t>
      </w:r>
      <w:r w:rsidR="45089A27">
        <w:t xml:space="preserve"> </w:t>
      </w:r>
      <w:r>
        <w:t xml:space="preserve">submission requested </w:t>
      </w:r>
      <w:r w:rsidR="3D5CCE56">
        <w:t xml:space="preserve">listing for </w:t>
      </w:r>
      <w:r w:rsidR="5AB175DE">
        <w:t xml:space="preserve">cipaglucosidase </w:t>
      </w:r>
      <w:r w:rsidR="3B8C1E28">
        <w:t xml:space="preserve">with </w:t>
      </w:r>
      <w:proofErr w:type="spellStart"/>
      <w:r w:rsidR="68F7EC1D">
        <w:t>miglustat</w:t>
      </w:r>
      <w:proofErr w:type="spellEnd"/>
      <w:r w:rsidR="68F7EC1D">
        <w:t xml:space="preserve"> (</w:t>
      </w:r>
      <w:r w:rsidR="04D682A8">
        <w:t xml:space="preserve">CIPAMIG) </w:t>
      </w:r>
      <w:r w:rsidR="24EA0EFC">
        <w:t>on the Pharmaceutical Benefits Scheme</w:t>
      </w:r>
      <w:r w:rsidR="6A8387B2">
        <w:t xml:space="preserve"> (PBS) </w:t>
      </w:r>
      <w:r w:rsidR="3D5CCE56">
        <w:t xml:space="preserve">for </w:t>
      </w:r>
      <w:r w:rsidR="6FFEAECB">
        <w:t xml:space="preserve">the </w:t>
      </w:r>
      <w:r w:rsidR="3D5CCE56">
        <w:t xml:space="preserve">treatment of </w:t>
      </w:r>
      <w:r w:rsidR="04D682A8">
        <w:t xml:space="preserve">adults with </w:t>
      </w:r>
      <w:r w:rsidR="64B01C7D">
        <w:t>late</w:t>
      </w:r>
      <w:r w:rsidR="54F41DB8">
        <w:t>-</w:t>
      </w:r>
      <w:r w:rsidR="64B01C7D">
        <w:t xml:space="preserve">onset </w:t>
      </w:r>
      <w:r w:rsidR="04D682A8">
        <w:t xml:space="preserve">Pompe </w:t>
      </w:r>
      <w:r w:rsidR="00340B9A">
        <w:t xml:space="preserve">disease </w:t>
      </w:r>
      <w:r w:rsidR="54F41DB8">
        <w:t>(LOPD)</w:t>
      </w:r>
      <w:r w:rsidR="2A627FCB">
        <w:t>,</w:t>
      </w:r>
      <w:r w:rsidR="6A8387B2">
        <w:t xml:space="preserve"> with the </w:t>
      </w:r>
      <w:r w:rsidR="2F2C9F4C">
        <w:t xml:space="preserve">aim of </w:t>
      </w:r>
      <w:r w:rsidR="3F9F8183">
        <w:t>funding through the Life Saving Drugs Program (LSDP</w:t>
      </w:r>
      <w:r w:rsidR="4B0E448D">
        <w:t>)</w:t>
      </w:r>
      <w:r w:rsidR="04D682A8">
        <w:t>.</w:t>
      </w:r>
      <w:r w:rsidR="3F9F8183">
        <w:t xml:space="preserve"> </w:t>
      </w:r>
      <w:r w:rsidR="2AFEAD76">
        <w:t xml:space="preserve">The </w:t>
      </w:r>
      <w:r w:rsidR="00D402B2">
        <w:t>P</w:t>
      </w:r>
      <w:r w:rsidR="2AFEAD76">
        <w:t>re-Sub Committee Response (PSCR) affirmed that the submission’s objective was for CIPAMIG to be included on the LSDP.</w:t>
      </w:r>
    </w:p>
    <w:p w14:paraId="4E9FBCB5" w14:textId="412DF46D" w:rsidR="00C2778B" w:rsidRPr="0098262F" w:rsidRDefault="00C43278" w:rsidP="004E18E9">
      <w:pPr>
        <w:pStyle w:val="3-BodyText"/>
      </w:pPr>
      <w:r w:rsidRPr="26403EC0">
        <w:t>The l</w:t>
      </w:r>
      <w:r w:rsidR="005750C5" w:rsidRPr="26403EC0">
        <w:t>isting was requested on the basis of a cost-minimisation</w:t>
      </w:r>
      <w:r w:rsidR="001D71F4" w:rsidRPr="26403EC0">
        <w:t xml:space="preserve"> approac</w:t>
      </w:r>
      <w:r w:rsidR="0050473F" w:rsidRPr="26403EC0">
        <w:t>h</w:t>
      </w:r>
      <w:r w:rsidR="005750C5" w:rsidRPr="26403EC0">
        <w:t xml:space="preserve"> versus </w:t>
      </w:r>
      <w:r w:rsidR="0050473F" w:rsidRPr="26403EC0">
        <w:t>alglucosidase alfa-</w:t>
      </w:r>
      <w:proofErr w:type="spellStart"/>
      <w:r w:rsidR="0050473F" w:rsidRPr="26403EC0">
        <w:t>rcg</w:t>
      </w:r>
      <w:proofErr w:type="spellEnd"/>
      <w:r w:rsidR="000B6318" w:rsidRPr="26403EC0">
        <w:t xml:space="preserve"> (ALGLU)</w:t>
      </w:r>
      <w:r w:rsidR="0050473F" w:rsidRPr="26403EC0">
        <w:t xml:space="preserve"> and </w:t>
      </w:r>
      <w:proofErr w:type="spellStart"/>
      <w:r w:rsidR="0050473F" w:rsidRPr="26403EC0">
        <w:t>avalglucosidase</w:t>
      </w:r>
      <w:proofErr w:type="spellEnd"/>
      <w:r w:rsidR="0050473F" w:rsidRPr="26403EC0">
        <w:t xml:space="preserve"> alfa </w:t>
      </w:r>
      <w:r w:rsidR="000B6318" w:rsidRPr="26403EC0">
        <w:t>(AVAL).</w:t>
      </w:r>
    </w:p>
    <w:p w14:paraId="3718DE61" w14:textId="78BF66F9" w:rsidR="008B1757" w:rsidRPr="0098262F" w:rsidRDefault="00696EF9" w:rsidP="26403EC0">
      <w:pPr>
        <w:pStyle w:val="TableFigureHeading"/>
        <w:rPr>
          <w:rStyle w:val="CommentReference"/>
          <w:b/>
        </w:rPr>
      </w:pPr>
      <w:r w:rsidRPr="26403EC0">
        <w:t xml:space="preserve">Table </w:t>
      </w:r>
      <w:r w:rsidRPr="26403EC0">
        <w:fldChar w:fldCharType="begin"/>
      </w:r>
      <w:r>
        <w:instrText xml:space="preserve"> SEQ Table \* ARABIC </w:instrText>
      </w:r>
      <w:r w:rsidRPr="26403EC0">
        <w:fldChar w:fldCharType="separate"/>
      </w:r>
      <w:r w:rsidR="007A62D0">
        <w:rPr>
          <w:noProof/>
        </w:rPr>
        <w:t>1</w:t>
      </w:r>
      <w:r w:rsidRPr="26403EC0">
        <w:rPr>
          <w:noProof/>
        </w:rPr>
        <w:fldChar w:fldCharType="end"/>
      </w:r>
      <w:r w:rsidRPr="26403EC0">
        <w:t>:</w:t>
      </w:r>
      <w:r w:rsidR="00BC591F" w:rsidRPr="26403EC0">
        <w:rPr>
          <w:rStyle w:val="CommentReference"/>
          <w:b/>
        </w:rPr>
        <w:t xml:space="preserve"> </w:t>
      </w:r>
      <w:r w:rsidR="008B1757" w:rsidRPr="26403EC0">
        <w:rPr>
          <w:rStyle w:val="CommentReference"/>
          <w:b/>
        </w:rPr>
        <w:t>Key components of the clinical issue addressed by the submission</w:t>
      </w:r>
      <w:r w:rsidR="007170DA" w:rsidRPr="26403EC0">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8B1757" w:rsidRPr="0098262F" w14:paraId="569F5103" w14:textId="77777777" w:rsidTr="26403EC0">
        <w:trPr>
          <w:cantSplit/>
          <w:tblHeader/>
        </w:trPr>
        <w:tc>
          <w:tcPr>
            <w:tcW w:w="924" w:type="pct"/>
            <w:shd w:val="clear" w:color="auto" w:fill="auto"/>
          </w:tcPr>
          <w:p w14:paraId="501803FB" w14:textId="77777777" w:rsidR="008B1757" w:rsidRPr="0098262F" w:rsidRDefault="008B1757" w:rsidP="000D2D05">
            <w:pPr>
              <w:pStyle w:val="In-tableHeading"/>
              <w:rPr>
                <w:szCs w:val="20"/>
              </w:rPr>
            </w:pPr>
            <w:r w:rsidRPr="0098262F">
              <w:t>Component</w:t>
            </w:r>
          </w:p>
        </w:tc>
        <w:tc>
          <w:tcPr>
            <w:tcW w:w="4076" w:type="pct"/>
            <w:shd w:val="clear" w:color="auto" w:fill="auto"/>
          </w:tcPr>
          <w:p w14:paraId="445D9EBB" w14:textId="77777777" w:rsidR="008B1757" w:rsidRPr="0098262F" w:rsidRDefault="008B1757" w:rsidP="000D2D05">
            <w:pPr>
              <w:pStyle w:val="In-tableHeading"/>
            </w:pPr>
            <w:r w:rsidRPr="0098262F">
              <w:t>Description</w:t>
            </w:r>
          </w:p>
        </w:tc>
      </w:tr>
      <w:tr w:rsidR="008B1757" w:rsidRPr="0098262F" w14:paraId="2EB546E2" w14:textId="77777777" w:rsidTr="26403EC0">
        <w:trPr>
          <w:cantSplit/>
        </w:trPr>
        <w:tc>
          <w:tcPr>
            <w:tcW w:w="924" w:type="pct"/>
            <w:shd w:val="clear" w:color="auto" w:fill="auto"/>
          </w:tcPr>
          <w:p w14:paraId="38F3BB34" w14:textId="77777777" w:rsidR="008B1757" w:rsidRPr="0098262F" w:rsidRDefault="008B1757" w:rsidP="0050473F">
            <w:pPr>
              <w:pStyle w:val="TableText0"/>
            </w:pPr>
            <w:r w:rsidRPr="0098262F">
              <w:t>Population</w:t>
            </w:r>
          </w:p>
        </w:tc>
        <w:tc>
          <w:tcPr>
            <w:tcW w:w="4076" w:type="pct"/>
            <w:shd w:val="clear" w:color="auto" w:fill="auto"/>
          </w:tcPr>
          <w:p w14:paraId="79618EEE" w14:textId="6EC44170" w:rsidR="00233C01" w:rsidRPr="0098262F" w:rsidRDefault="0050473F" w:rsidP="0050473F">
            <w:pPr>
              <w:pStyle w:val="TableText0"/>
            </w:pPr>
            <w:r>
              <w:t xml:space="preserve">Adults with late-onset Pompe </w:t>
            </w:r>
            <w:r w:rsidR="00CE670B">
              <w:t>D</w:t>
            </w:r>
            <w:r>
              <w:t>isease</w:t>
            </w:r>
          </w:p>
        </w:tc>
      </w:tr>
      <w:tr w:rsidR="008B1757" w:rsidRPr="0098262F" w14:paraId="0CA523AF" w14:textId="77777777" w:rsidTr="26403EC0">
        <w:trPr>
          <w:cantSplit/>
        </w:trPr>
        <w:tc>
          <w:tcPr>
            <w:tcW w:w="924" w:type="pct"/>
            <w:shd w:val="clear" w:color="auto" w:fill="auto"/>
          </w:tcPr>
          <w:p w14:paraId="7B6D20D8" w14:textId="77777777" w:rsidR="008B1757" w:rsidRPr="0098262F" w:rsidRDefault="008B1757" w:rsidP="0050473F">
            <w:pPr>
              <w:pStyle w:val="TableText0"/>
            </w:pPr>
            <w:r w:rsidRPr="0098262F">
              <w:t>Intervention</w:t>
            </w:r>
          </w:p>
        </w:tc>
        <w:tc>
          <w:tcPr>
            <w:tcW w:w="4076" w:type="pct"/>
            <w:shd w:val="clear" w:color="auto" w:fill="auto"/>
          </w:tcPr>
          <w:p w14:paraId="2491E905" w14:textId="4C26088E" w:rsidR="00233C01" w:rsidRPr="0098262F" w:rsidRDefault="003909E0" w:rsidP="0050473F">
            <w:pPr>
              <w:pStyle w:val="TableText0"/>
            </w:pPr>
            <w:r>
              <w:t>Cipaglucosidase</w:t>
            </w:r>
            <w:r w:rsidR="0050473F">
              <w:t xml:space="preserve"> alfa </w:t>
            </w:r>
            <w:r w:rsidR="001330C1">
              <w:t xml:space="preserve">with </w:t>
            </w:r>
            <w:proofErr w:type="spellStart"/>
            <w:r w:rsidR="0050473F">
              <w:t>miglustat</w:t>
            </w:r>
            <w:proofErr w:type="spellEnd"/>
          </w:p>
        </w:tc>
      </w:tr>
      <w:tr w:rsidR="008B1757" w:rsidRPr="0098262F" w14:paraId="0F81EBE4" w14:textId="77777777" w:rsidTr="26403EC0">
        <w:trPr>
          <w:cantSplit/>
        </w:trPr>
        <w:tc>
          <w:tcPr>
            <w:tcW w:w="924" w:type="pct"/>
            <w:shd w:val="clear" w:color="auto" w:fill="auto"/>
          </w:tcPr>
          <w:p w14:paraId="3656B343" w14:textId="77777777" w:rsidR="008B1757" w:rsidRPr="0098262F" w:rsidRDefault="008B1757" w:rsidP="0050473F">
            <w:pPr>
              <w:pStyle w:val="TableText0"/>
            </w:pPr>
            <w:r w:rsidRPr="0098262F">
              <w:t>Comparator</w:t>
            </w:r>
          </w:p>
        </w:tc>
        <w:tc>
          <w:tcPr>
            <w:tcW w:w="4076" w:type="pct"/>
            <w:shd w:val="clear" w:color="auto" w:fill="auto"/>
          </w:tcPr>
          <w:p w14:paraId="3727DE24" w14:textId="6E19DE76" w:rsidR="00233C01" w:rsidRPr="0098262F" w:rsidRDefault="0050473F" w:rsidP="0050473F">
            <w:pPr>
              <w:pStyle w:val="TableText0"/>
            </w:pPr>
            <w:r>
              <w:t xml:space="preserve">Alglucosidase alfa and </w:t>
            </w:r>
            <w:proofErr w:type="spellStart"/>
            <w:r>
              <w:t>avalglucosidase</w:t>
            </w:r>
            <w:proofErr w:type="spellEnd"/>
            <w:r>
              <w:t xml:space="preserve"> alfa</w:t>
            </w:r>
          </w:p>
        </w:tc>
      </w:tr>
      <w:tr w:rsidR="008B1757" w:rsidRPr="0098262F" w14:paraId="02F86F0D" w14:textId="77777777" w:rsidTr="26403EC0">
        <w:trPr>
          <w:cantSplit/>
        </w:trPr>
        <w:tc>
          <w:tcPr>
            <w:tcW w:w="924" w:type="pct"/>
            <w:shd w:val="clear" w:color="auto" w:fill="auto"/>
          </w:tcPr>
          <w:p w14:paraId="06433105" w14:textId="77777777" w:rsidR="008B1757" w:rsidRPr="0098262F" w:rsidRDefault="008B1757" w:rsidP="0050473F">
            <w:pPr>
              <w:pStyle w:val="TableText0"/>
            </w:pPr>
            <w:r w:rsidRPr="0098262F">
              <w:t>Outcomes</w:t>
            </w:r>
          </w:p>
        </w:tc>
        <w:tc>
          <w:tcPr>
            <w:tcW w:w="4076" w:type="pct"/>
            <w:shd w:val="clear" w:color="auto" w:fill="auto"/>
          </w:tcPr>
          <w:p w14:paraId="4D191A4F" w14:textId="77777777" w:rsidR="0050473F" w:rsidRPr="0050473F" w:rsidRDefault="0050473F" w:rsidP="0050473F">
            <w:pPr>
              <w:pStyle w:val="TableText0"/>
            </w:pPr>
            <w:r w:rsidRPr="0050473F">
              <w:t>6 Minute Walk Distance (6MWD)</w:t>
            </w:r>
          </w:p>
          <w:p w14:paraId="5713295B" w14:textId="77777777" w:rsidR="0050473F" w:rsidRPr="0050473F" w:rsidRDefault="0050473F" w:rsidP="0050473F">
            <w:pPr>
              <w:pStyle w:val="TableText0"/>
            </w:pPr>
            <w:r w:rsidRPr="0050473F">
              <w:t>Sitting Forced Vital Capacity (FVC)</w:t>
            </w:r>
          </w:p>
          <w:p w14:paraId="15266E0A" w14:textId="77777777" w:rsidR="0050473F" w:rsidRPr="0050473F" w:rsidRDefault="0050473F" w:rsidP="0050473F">
            <w:pPr>
              <w:pStyle w:val="TableText0"/>
            </w:pPr>
            <w:r w:rsidRPr="0050473F">
              <w:t>Manual Muscle Test (MMT)</w:t>
            </w:r>
          </w:p>
          <w:p w14:paraId="7E583146" w14:textId="77777777" w:rsidR="0050473F" w:rsidRPr="0050473F" w:rsidRDefault="0050473F" w:rsidP="0050473F">
            <w:pPr>
              <w:pStyle w:val="TableText0"/>
            </w:pPr>
            <w:r w:rsidRPr="0050473F">
              <w:t>PROMIS questionnaire</w:t>
            </w:r>
          </w:p>
          <w:p w14:paraId="18673AC0" w14:textId="77777777" w:rsidR="0050473F" w:rsidRPr="0050473F" w:rsidRDefault="0050473F" w:rsidP="0050473F">
            <w:pPr>
              <w:pStyle w:val="TableText0"/>
            </w:pPr>
            <w:r w:rsidRPr="0050473F">
              <w:t>Subject’s Global Impression of Change (SGIC)</w:t>
            </w:r>
          </w:p>
          <w:p w14:paraId="4B459604" w14:textId="66B2617F" w:rsidR="0050473F" w:rsidRPr="0050473F" w:rsidRDefault="0050473F" w:rsidP="0050473F">
            <w:pPr>
              <w:pStyle w:val="TableText0"/>
            </w:pPr>
            <w:r w:rsidRPr="0050473F">
              <w:t>Gait, Stairs, Gowers’ Man</w:t>
            </w:r>
            <w:r w:rsidR="00EC57C7">
              <w:t>o</w:t>
            </w:r>
            <w:r w:rsidRPr="0050473F">
              <w:t>euv</w:t>
            </w:r>
            <w:r w:rsidR="00EC57C7">
              <w:t>re</w:t>
            </w:r>
            <w:r w:rsidRPr="0050473F">
              <w:t xml:space="preserve"> and Chair (GSGC)</w:t>
            </w:r>
          </w:p>
          <w:p w14:paraId="4798EF1E" w14:textId="77777777" w:rsidR="0050473F" w:rsidRPr="0050473F" w:rsidRDefault="0050473F" w:rsidP="0050473F">
            <w:pPr>
              <w:pStyle w:val="TableText0"/>
            </w:pPr>
            <w:r w:rsidRPr="0050473F">
              <w:t>Treatment-emergent adverse events (TEAEs)</w:t>
            </w:r>
          </w:p>
          <w:p w14:paraId="511A3FAB" w14:textId="77777777" w:rsidR="0050473F" w:rsidRPr="0050473F" w:rsidRDefault="0050473F" w:rsidP="0050473F">
            <w:pPr>
              <w:pStyle w:val="TableText0"/>
            </w:pPr>
            <w:r w:rsidRPr="0050473F">
              <w:t>Serious TEAEs</w:t>
            </w:r>
          </w:p>
          <w:p w14:paraId="5ABC4037" w14:textId="770960EE" w:rsidR="00233C01" w:rsidRPr="0098262F" w:rsidRDefault="0050473F" w:rsidP="0050473F">
            <w:pPr>
              <w:pStyle w:val="TableText0"/>
              <w:rPr>
                <w:bCs/>
                <w:color w:val="0066FF"/>
              </w:rPr>
            </w:pPr>
            <w:r w:rsidRPr="0050473F">
              <w:t>Infusion-associated reactions (IARs)</w:t>
            </w:r>
          </w:p>
        </w:tc>
      </w:tr>
      <w:tr w:rsidR="008B1757" w:rsidRPr="0098262F" w14:paraId="22223890" w14:textId="77777777" w:rsidTr="26403EC0">
        <w:trPr>
          <w:cantSplit/>
        </w:trPr>
        <w:tc>
          <w:tcPr>
            <w:tcW w:w="924" w:type="pct"/>
            <w:shd w:val="clear" w:color="auto" w:fill="auto"/>
          </w:tcPr>
          <w:p w14:paraId="0FC8FCE0" w14:textId="77777777" w:rsidR="008B1757" w:rsidRPr="0098262F" w:rsidRDefault="008B1757" w:rsidP="0050473F">
            <w:pPr>
              <w:pStyle w:val="TableText0"/>
            </w:pPr>
            <w:r w:rsidRPr="0098262F">
              <w:t>Clinical claim</w:t>
            </w:r>
          </w:p>
        </w:tc>
        <w:tc>
          <w:tcPr>
            <w:tcW w:w="4076" w:type="pct"/>
            <w:shd w:val="clear" w:color="auto" w:fill="auto"/>
          </w:tcPr>
          <w:p w14:paraId="2C99C4DE" w14:textId="3A58F5D1" w:rsidR="00233C01" w:rsidRPr="0098262F" w:rsidRDefault="0050473F" w:rsidP="26403EC0">
            <w:pPr>
              <w:pStyle w:val="TableText0"/>
              <w:rPr>
                <w:color w:val="0066FF"/>
              </w:rPr>
            </w:pPr>
            <w:r w:rsidRPr="26403EC0">
              <w:t xml:space="preserve">Cipaglucosidase alfa plus </w:t>
            </w:r>
            <w:proofErr w:type="spellStart"/>
            <w:r w:rsidRPr="26403EC0">
              <w:t>miglustat</w:t>
            </w:r>
            <w:proofErr w:type="spellEnd"/>
            <w:r w:rsidRPr="26403EC0">
              <w:t xml:space="preserve"> (CIPAMIG) has at least non-inferior efficacy and non-inferior safety compared to (i) alglucosidase alfa (ALGLU) and (ii) </w:t>
            </w:r>
            <w:proofErr w:type="spellStart"/>
            <w:r w:rsidRPr="26403EC0">
              <w:t>avalglucosidase</w:t>
            </w:r>
            <w:proofErr w:type="spellEnd"/>
            <w:r w:rsidRPr="26403EC0">
              <w:t xml:space="preserve"> alfa (AVAL).</w:t>
            </w:r>
          </w:p>
        </w:tc>
      </w:tr>
    </w:tbl>
    <w:p w14:paraId="527CA7F0" w14:textId="677B6219" w:rsidR="004E43B2" w:rsidRPr="0098262F" w:rsidRDefault="008B1757" w:rsidP="004A6040">
      <w:pPr>
        <w:pStyle w:val="FooterTableFigure"/>
        <w:rPr>
          <w:sz w:val="20"/>
        </w:rPr>
      </w:pPr>
      <w:r w:rsidRPr="0098262F">
        <w:t>Source: Table</w:t>
      </w:r>
      <w:r w:rsidR="0050473F">
        <w:t xml:space="preserve"> 1</w:t>
      </w:r>
      <w:r w:rsidRPr="0098262F">
        <w:t>, p</w:t>
      </w:r>
      <w:r w:rsidR="0050473F">
        <w:t>6</w:t>
      </w:r>
      <w:r w:rsidRPr="0098262F">
        <w:t xml:space="preserve"> of the submission.</w:t>
      </w:r>
    </w:p>
    <w:p w14:paraId="6B4AB6C2" w14:textId="22733323" w:rsidR="005C25FF" w:rsidRPr="0098262F" w:rsidRDefault="005C25FF" w:rsidP="004A6040">
      <w:pPr>
        <w:pStyle w:val="2-SectionHeading"/>
      </w:pPr>
      <w:bookmarkStart w:id="2" w:name="_Toc187576321"/>
      <w:r w:rsidRPr="0098262F">
        <w:t>Background</w:t>
      </w:r>
      <w:bookmarkEnd w:id="2"/>
    </w:p>
    <w:p w14:paraId="2C521D6D" w14:textId="78CF03EE" w:rsidR="005C25FF" w:rsidRPr="0098262F" w:rsidRDefault="005C25FF" w:rsidP="004A6040">
      <w:pPr>
        <w:pStyle w:val="4-SubsectionHeading"/>
      </w:pPr>
      <w:bookmarkStart w:id="3" w:name="_Toc22897638"/>
      <w:bookmarkStart w:id="4" w:name="_Toc187576322"/>
      <w:r w:rsidRPr="0098262F">
        <w:t>Registration status</w:t>
      </w:r>
      <w:bookmarkEnd w:id="3"/>
      <w:bookmarkEnd w:id="4"/>
    </w:p>
    <w:p w14:paraId="448F30A6" w14:textId="77777777" w:rsidR="00D02E6D" w:rsidRPr="00421CB6" w:rsidRDefault="00D73E00" w:rsidP="000B6318">
      <w:pPr>
        <w:pStyle w:val="3-BodyText"/>
      </w:pPr>
      <w:r w:rsidRPr="00421CB6">
        <w:t>T</w:t>
      </w:r>
      <w:r w:rsidR="00022C00" w:rsidRPr="00421CB6">
        <w:t xml:space="preserve">he </w:t>
      </w:r>
      <w:r w:rsidR="00945225" w:rsidRPr="00421CB6">
        <w:t xml:space="preserve">TGA </w:t>
      </w:r>
      <w:r w:rsidR="007F187B" w:rsidRPr="00421CB6">
        <w:t>status at the time of PBAC consideration</w:t>
      </w:r>
      <w:r w:rsidR="00B874AD" w:rsidRPr="00421CB6">
        <w:t xml:space="preserve"> – from ART</w:t>
      </w:r>
      <w:r w:rsidR="00D02E6D" w:rsidRPr="00421CB6">
        <w:t>G</w:t>
      </w:r>
      <w:r w:rsidR="00B874AD" w:rsidRPr="00421CB6">
        <w:t xml:space="preserve"> certificate:</w:t>
      </w:r>
      <w:r w:rsidR="00D02E6D" w:rsidRPr="00421CB6">
        <w:t xml:space="preserve"> </w:t>
      </w:r>
    </w:p>
    <w:p w14:paraId="0AAE0420" w14:textId="3119C45F" w:rsidR="00022C00" w:rsidRPr="00421CB6" w:rsidRDefault="00B874AD" w:rsidP="00D02E6D">
      <w:pPr>
        <w:pStyle w:val="3-BodyText"/>
        <w:numPr>
          <w:ilvl w:val="0"/>
          <w:numId w:val="21"/>
        </w:numPr>
      </w:pPr>
      <w:r w:rsidRPr="00421CB6">
        <w:t>cipaglucosidase alfa</w:t>
      </w:r>
      <w:r w:rsidR="00F65712" w:rsidRPr="00421CB6">
        <w:t xml:space="preserve"> was TGA registered on </w:t>
      </w:r>
      <w:r w:rsidR="00D02E6D" w:rsidRPr="00421CB6">
        <w:t>17 February 2025</w:t>
      </w:r>
    </w:p>
    <w:p w14:paraId="42E13013" w14:textId="109FD314" w:rsidR="00D02E6D" w:rsidRPr="00421CB6" w:rsidRDefault="00EA5986" w:rsidP="00D02E6D">
      <w:pPr>
        <w:pStyle w:val="3-BodyText"/>
        <w:numPr>
          <w:ilvl w:val="0"/>
          <w:numId w:val="21"/>
        </w:numPr>
      </w:pPr>
      <w:proofErr w:type="spellStart"/>
      <w:r w:rsidRPr="00421CB6">
        <w:t>m</w:t>
      </w:r>
      <w:r w:rsidR="005620EC" w:rsidRPr="00421CB6">
        <w:t>iglustat</w:t>
      </w:r>
      <w:proofErr w:type="spellEnd"/>
      <w:r w:rsidR="005620EC" w:rsidRPr="00421CB6">
        <w:t xml:space="preserve"> was TGA registered on 16 December 2024</w:t>
      </w:r>
    </w:p>
    <w:p w14:paraId="106DF1FA" w14:textId="310B00B1" w:rsidR="00022C00" w:rsidRDefault="00022C00" w:rsidP="00FE0687">
      <w:pPr>
        <w:pStyle w:val="3-BodyText"/>
      </w:pPr>
      <w:r w:rsidRPr="26403EC0">
        <w:lastRenderedPageBreak/>
        <w:t>CIPAMIG was approved for use by the E</w:t>
      </w:r>
      <w:r w:rsidR="00EC57C7" w:rsidRPr="26403EC0">
        <w:t>uropean Medicines Agency (EMA)</w:t>
      </w:r>
      <w:r w:rsidRPr="26403EC0">
        <w:t xml:space="preserve"> in March</w:t>
      </w:r>
      <w:r w:rsidR="001D2CBF">
        <w:t> </w:t>
      </w:r>
      <w:r w:rsidRPr="26403EC0">
        <w:t xml:space="preserve">2023 for the treatment of adults with late-onset Pompe </w:t>
      </w:r>
      <w:r w:rsidR="00275E79" w:rsidRPr="26403EC0">
        <w:t>D</w:t>
      </w:r>
      <w:r w:rsidRPr="26403EC0">
        <w:t>isease (</w:t>
      </w:r>
      <w:r w:rsidR="00D87F06" w:rsidRPr="26403EC0">
        <w:t xml:space="preserve">lysosomal </w:t>
      </w:r>
      <w:r w:rsidRPr="26403EC0">
        <w:t xml:space="preserve">acid α-glucosidase [GAA] deficiency). The approved indication in the US from September 2023 is for the treatment of adult patients with late-onset Pompe </w:t>
      </w:r>
      <w:r w:rsidR="00275E79" w:rsidRPr="26403EC0">
        <w:t>D</w:t>
      </w:r>
      <w:r w:rsidRPr="26403EC0">
        <w:t xml:space="preserve">isease (lysosomal acid alpha-glucosidase [GAA] deficiency) weighing ≥ 40 kg who are not improving on their current enzyme </w:t>
      </w:r>
      <w:bookmarkStart w:id="5" w:name="_Hlk190159233"/>
      <w:r w:rsidRPr="26403EC0">
        <w:t>replacement therapy (ERT).</w:t>
      </w:r>
      <w:r w:rsidR="00BF68F8" w:rsidRPr="26403EC0">
        <w:t xml:space="preserve"> </w:t>
      </w:r>
      <w:bookmarkEnd w:id="5"/>
    </w:p>
    <w:p w14:paraId="3E2A6EAB" w14:textId="469C8C0C" w:rsidR="005C25FF" w:rsidRPr="0098262F" w:rsidRDefault="005C25FF" w:rsidP="004E18E9">
      <w:pPr>
        <w:pStyle w:val="4-SubsectionHeading"/>
      </w:pPr>
      <w:bookmarkStart w:id="6" w:name="_Toc22897639"/>
      <w:bookmarkStart w:id="7" w:name="_Toc187576323"/>
      <w:r w:rsidRPr="26403EC0">
        <w:t>Previous PBAC consideration</w:t>
      </w:r>
      <w:bookmarkEnd w:id="6"/>
      <w:bookmarkEnd w:id="7"/>
    </w:p>
    <w:p w14:paraId="77C5F3A0" w14:textId="73969762" w:rsidR="009C0C7E" w:rsidRDefault="54184A7B" w:rsidP="009C0C7E">
      <w:pPr>
        <w:pStyle w:val="3-BodyText"/>
      </w:pPr>
      <w:r>
        <w:t xml:space="preserve">The PBAC has not previously considered a submission for CIPAMIG. </w:t>
      </w:r>
      <w:r w:rsidR="75A8C108">
        <w:t>The PBAC considered a submission for AVAL</w:t>
      </w:r>
      <w:r>
        <w:t xml:space="preserve"> </w:t>
      </w:r>
      <w:r w:rsidR="75A8C108">
        <w:t xml:space="preserve">for the treatment of </w:t>
      </w:r>
      <w:r w:rsidR="54F41DB8">
        <w:t>LOPD</w:t>
      </w:r>
      <w:r w:rsidR="75A8C108">
        <w:t xml:space="preserve"> in </w:t>
      </w:r>
      <w:r w:rsidR="46F90CE1">
        <w:t>November 2021</w:t>
      </w:r>
      <w:r w:rsidR="2A76990F">
        <w:t xml:space="preserve"> (</w:t>
      </w:r>
      <w:proofErr w:type="spellStart"/>
      <w:r w:rsidR="46F90CE1">
        <w:t>avalglucosidase</w:t>
      </w:r>
      <w:proofErr w:type="spellEnd"/>
      <w:r w:rsidR="46F90CE1">
        <w:t xml:space="preserve"> </w:t>
      </w:r>
      <w:r w:rsidR="73DD3DCB">
        <w:t>alfa</w:t>
      </w:r>
      <w:r w:rsidR="00946D5C" w:rsidRPr="00946D5C">
        <w:t xml:space="preserve"> Public Summary Document</w:t>
      </w:r>
      <w:r w:rsidR="46F90CE1">
        <w:t xml:space="preserve"> </w:t>
      </w:r>
      <w:r w:rsidR="00946D5C">
        <w:t>(</w:t>
      </w:r>
      <w:r w:rsidR="46F90CE1">
        <w:t>PSD</w:t>
      </w:r>
      <w:r w:rsidR="00946D5C">
        <w:t>)</w:t>
      </w:r>
      <w:r w:rsidR="46F90CE1">
        <w:t>, November 2021)</w:t>
      </w:r>
      <w:r w:rsidR="75A8C108">
        <w:t xml:space="preserve"> and rejected it for listing on the PBS based on a high </w:t>
      </w:r>
      <w:r w:rsidR="6A776CB2">
        <w:t>and uncertain</w:t>
      </w:r>
      <w:r w:rsidR="75A8C108">
        <w:t xml:space="preserve"> incremental cost-effectiveness ratio compared to </w:t>
      </w:r>
      <w:r w:rsidR="6A776CB2">
        <w:t>no treatment</w:t>
      </w:r>
      <w:r w:rsidR="75A8C108">
        <w:t>. It was subsequently included on the LSDP. ALGLU was first included on the LSDP for infantile</w:t>
      </w:r>
      <w:r w:rsidR="54F41DB8">
        <w:t>-</w:t>
      </w:r>
      <w:r w:rsidR="75A8C108">
        <w:t xml:space="preserve">onset Pompe </w:t>
      </w:r>
      <w:r w:rsidR="3ADB5772">
        <w:t>D</w:t>
      </w:r>
      <w:r w:rsidR="75A8C108">
        <w:t>isease</w:t>
      </w:r>
      <w:r w:rsidR="54F41DB8">
        <w:t xml:space="preserve"> (IOPD)</w:t>
      </w:r>
      <w:r w:rsidR="75A8C108">
        <w:t xml:space="preserve"> in 2010</w:t>
      </w:r>
      <w:r w:rsidR="5AD94693">
        <w:t>,</w:t>
      </w:r>
      <w:r w:rsidR="0105EFC3">
        <w:t xml:space="preserve"> after the PBAC rejected listing on the PBS</w:t>
      </w:r>
      <w:r w:rsidR="5BF50992">
        <w:t xml:space="preserve"> in November</w:t>
      </w:r>
      <w:r w:rsidR="008DEF7D">
        <w:t xml:space="preserve"> 2010</w:t>
      </w:r>
      <w:r w:rsidR="46F90CE1">
        <w:t xml:space="preserve"> (al</w:t>
      </w:r>
      <w:r w:rsidR="23164727">
        <w:t xml:space="preserve">glucosidase </w:t>
      </w:r>
      <w:r w:rsidR="7039876B">
        <w:t xml:space="preserve">alfa PSD, </w:t>
      </w:r>
      <w:r w:rsidR="2D01F0B4">
        <w:t>November 2010)</w:t>
      </w:r>
      <w:r w:rsidR="0105EFC3">
        <w:t>.</w:t>
      </w:r>
      <w:r w:rsidR="75A8C108">
        <w:t xml:space="preserve"> </w:t>
      </w:r>
      <w:r w:rsidR="0105EFC3">
        <w:t>T</w:t>
      </w:r>
      <w:r w:rsidR="75A8C108">
        <w:t>he</w:t>
      </w:r>
      <w:r w:rsidR="173E1150">
        <w:t xml:space="preserve"> LSDP</w:t>
      </w:r>
      <w:r w:rsidR="75A8C108">
        <w:t xml:space="preserve"> listing was expanded to include juvenile</w:t>
      </w:r>
      <w:r w:rsidR="54F41DB8">
        <w:t>-</w:t>
      </w:r>
      <w:r w:rsidR="75A8C108">
        <w:t xml:space="preserve">onset Pompe </w:t>
      </w:r>
      <w:r w:rsidR="54F41DB8">
        <w:t>D</w:t>
      </w:r>
      <w:r w:rsidR="75A8C108">
        <w:t>isease in Feb</w:t>
      </w:r>
      <w:r w:rsidR="23495FC3">
        <w:t>ruary</w:t>
      </w:r>
      <w:r w:rsidR="75A8C108">
        <w:t xml:space="preserve"> 2015 and </w:t>
      </w:r>
      <w:r w:rsidR="54F41DB8">
        <w:t>late</w:t>
      </w:r>
      <w:r w:rsidR="707122F1">
        <w:t>-</w:t>
      </w:r>
      <w:r w:rsidR="75A8C108">
        <w:t xml:space="preserve">onset Pompe </w:t>
      </w:r>
      <w:r w:rsidR="54F41DB8">
        <w:t>D</w:t>
      </w:r>
      <w:r w:rsidR="75A8C108">
        <w:t>isease in September 2015</w:t>
      </w:r>
      <w:r w:rsidR="36901FDE">
        <w:t>. The classification of Pompe disease is now either infantile-onset or late-onset</w:t>
      </w:r>
      <w:r w:rsidR="688B2F0A">
        <w:t>, l</w:t>
      </w:r>
      <w:r w:rsidR="36901FDE">
        <w:t xml:space="preserve">ate-onset </w:t>
      </w:r>
      <w:r w:rsidR="688B2F0A">
        <w:t>including</w:t>
      </w:r>
      <w:r w:rsidR="36901FDE">
        <w:t xml:space="preserve"> both juvenile-onset and adult-onset. This change was made following the LSDP Expert Panel Review of Pompe disease</w:t>
      </w:r>
      <w:r w:rsidR="4BBFFDC9">
        <w:t xml:space="preserve"> in 2020</w:t>
      </w:r>
      <w:r w:rsidR="36901FDE">
        <w:t>.</w:t>
      </w:r>
      <w:r w:rsidR="54F41DB8">
        <w:t xml:space="preserve"> </w:t>
      </w:r>
      <w:r w:rsidR="501E9577">
        <w:t>R</w:t>
      </w:r>
      <w:r w:rsidR="094DEA18">
        <w:t xml:space="preserve">ecommendations from </w:t>
      </w:r>
      <w:r w:rsidR="501E9577">
        <w:t>this</w:t>
      </w:r>
      <w:r w:rsidR="094DEA18">
        <w:t xml:space="preserve"> review </w:t>
      </w:r>
      <w:r w:rsidR="501E9577">
        <w:t>included</w:t>
      </w:r>
      <w:r w:rsidR="094DEA18">
        <w:t xml:space="preserve"> that the prevalence of Pompe disease be reviewed within 5 years to determine whether it continues to meet the LSDP definition of a</w:t>
      </w:r>
      <w:r w:rsidR="7854259B">
        <w:t>n</w:t>
      </w:r>
      <w:r w:rsidR="094DEA18">
        <w:t xml:space="preserve"> </w:t>
      </w:r>
      <w:r w:rsidR="5792DC82">
        <w:t>ultra-</w:t>
      </w:r>
      <w:r w:rsidR="094DEA18">
        <w:t xml:space="preserve">rare disease and that </w:t>
      </w:r>
      <w:r w:rsidR="501E9577">
        <w:t>t</w:t>
      </w:r>
      <w:r w:rsidR="094DEA18">
        <w:t>he pricing and listing arrangements for alglucosidase alfa be reassessed with the goal of improving value for money when:</w:t>
      </w:r>
    </w:p>
    <w:p w14:paraId="00202E60" w14:textId="77777777" w:rsidR="009C0C7E" w:rsidRDefault="009C0C7E" w:rsidP="009C0C7E">
      <w:pPr>
        <w:pStyle w:val="3-BodyText"/>
        <w:numPr>
          <w:ilvl w:val="0"/>
          <w:numId w:val="0"/>
        </w:numPr>
        <w:ind w:left="720"/>
      </w:pPr>
      <w:r w:rsidRPr="26403EC0">
        <w:t>(i) current deeds of agreements with sponsors expire; and/or</w:t>
      </w:r>
    </w:p>
    <w:p w14:paraId="6D9FC5E8" w14:textId="77777777" w:rsidR="009C0C7E" w:rsidRDefault="009C0C7E" w:rsidP="009C0C7E">
      <w:pPr>
        <w:pStyle w:val="3-BodyText"/>
        <w:numPr>
          <w:ilvl w:val="0"/>
          <w:numId w:val="0"/>
        </w:numPr>
        <w:ind w:left="720"/>
      </w:pPr>
      <w:r>
        <w:t>(ii) new medicines for Pompe disease are considered for entry onto the LSDP or other</w:t>
      </w:r>
    </w:p>
    <w:p w14:paraId="2578357E" w14:textId="77777777" w:rsidR="009C0C7E" w:rsidRDefault="009C0C7E" w:rsidP="009C0C7E">
      <w:pPr>
        <w:pStyle w:val="3-BodyText"/>
        <w:numPr>
          <w:ilvl w:val="0"/>
          <w:numId w:val="0"/>
        </w:numPr>
        <w:ind w:left="720"/>
      </w:pPr>
      <w:r>
        <w:t>subsidy programs; and/or</w:t>
      </w:r>
    </w:p>
    <w:p w14:paraId="27105E2F" w14:textId="7C680AC6" w:rsidR="000B6318" w:rsidRPr="00AA5189" w:rsidRDefault="009C0C7E" w:rsidP="009C0C7E">
      <w:pPr>
        <w:pStyle w:val="3-BodyText"/>
        <w:numPr>
          <w:ilvl w:val="0"/>
          <w:numId w:val="0"/>
        </w:numPr>
        <w:ind w:left="720"/>
        <w:rPr>
          <w:color w:val="0066FF"/>
        </w:rPr>
      </w:pPr>
      <w:r>
        <w:t>(iii) changes in eligibility criteria are being considered.</w:t>
      </w:r>
    </w:p>
    <w:p w14:paraId="2F777B90" w14:textId="3DD04D55" w:rsidR="00AA5189" w:rsidRPr="00875DCB" w:rsidRDefault="00AA5189" w:rsidP="26403EC0">
      <w:pPr>
        <w:pStyle w:val="3-BodyText"/>
      </w:pPr>
      <w:bookmarkStart w:id="8" w:name="_Hlk190158791"/>
      <w:proofErr w:type="spellStart"/>
      <w:r w:rsidRPr="26403EC0">
        <w:t>Miglustat</w:t>
      </w:r>
      <w:proofErr w:type="spellEnd"/>
      <w:r w:rsidRPr="26403EC0">
        <w:t xml:space="preserve"> has been considered by the PBAC previously for use in Gaucher </w:t>
      </w:r>
      <w:r w:rsidR="00CE670B" w:rsidRPr="26403EC0">
        <w:t>D</w:t>
      </w:r>
      <w:r w:rsidRPr="26403EC0">
        <w:t>isease (</w:t>
      </w:r>
      <w:proofErr w:type="spellStart"/>
      <w:r w:rsidR="00295458" w:rsidRPr="26403EC0">
        <w:t>miglustat</w:t>
      </w:r>
      <w:proofErr w:type="spellEnd"/>
      <w:r w:rsidR="00295458" w:rsidRPr="26403EC0">
        <w:t xml:space="preserve"> PSD, </w:t>
      </w:r>
      <w:r w:rsidRPr="26403EC0">
        <w:t xml:space="preserve">March 2008), and in Niemann-Pick Type C </w:t>
      </w:r>
      <w:r w:rsidR="00CE670B" w:rsidRPr="26403EC0">
        <w:t>D</w:t>
      </w:r>
      <w:r w:rsidRPr="26403EC0">
        <w:t>isease (</w:t>
      </w:r>
      <w:proofErr w:type="spellStart"/>
      <w:r w:rsidR="005A6ECF" w:rsidRPr="26403EC0">
        <w:t>miglustat</w:t>
      </w:r>
      <w:proofErr w:type="spellEnd"/>
      <w:r w:rsidR="005A6ECF" w:rsidRPr="26403EC0">
        <w:t xml:space="preserve"> PSD, </w:t>
      </w:r>
      <w:r w:rsidRPr="26403EC0">
        <w:t>Nov</w:t>
      </w:r>
      <w:r w:rsidR="0094554B" w:rsidRPr="26403EC0">
        <w:t>ember</w:t>
      </w:r>
      <w:r w:rsidRPr="26403EC0">
        <w:t xml:space="preserve"> 2011). It was included </w:t>
      </w:r>
      <w:r w:rsidR="00B501F6" w:rsidRPr="26403EC0">
        <w:t>o</w:t>
      </w:r>
      <w:r w:rsidRPr="26403EC0">
        <w:t xml:space="preserve">n the LSDP for Gaucher </w:t>
      </w:r>
      <w:r w:rsidR="00CE670B" w:rsidRPr="26403EC0">
        <w:t>D</w:t>
      </w:r>
      <w:r w:rsidRPr="26403EC0">
        <w:t xml:space="preserve">isease </w:t>
      </w:r>
      <w:r w:rsidR="00CE670B" w:rsidRPr="26403EC0">
        <w:t>between</w:t>
      </w:r>
      <w:r w:rsidRPr="26403EC0">
        <w:t xml:space="preserve"> </w:t>
      </w:r>
      <w:r w:rsidR="00727616" w:rsidRPr="26403EC0">
        <w:t xml:space="preserve">2009 </w:t>
      </w:r>
      <w:r w:rsidR="00CE670B" w:rsidRPr="26403EC0">
        <w:t>and</w:t>
      </w:r>
      <w:r w:rsidR="00727616" w:rsidRPr="26403EC0">
        <w:t xml:space="preserve"> 2022 </w:t>
      </w:r>
      <w:r w:rsidRPr="26403EC0">
        <w:t xml:space="preserve">but was </w:t>
      </w:r>
      <w:r w:rsidR="008667A1" w:rsidRPr="26403EC0">
        <w:t xml:space="preserve">subsequently </w:t>
      </w:r>
      <w:r w:rsidRPr="26403EC0">
        <w:t>delisted</w:t>
      </w:r>
      <w:bookmarkEnd w:id="8"/>
      <w:r w:rsidR="00CE670B" w:rsidRPr="26403EC0">
        <w:t xml:space="preserve">. </w:t>
      </w:r>
    </w:p>
    <w:p w14:paraId="616FA348" w14:textId="77777777" w:rsidR="006F4732" w:rsidRPr="006F4732" w:rsidRDefault="007C2A66" w:rsidP="003320BE">
      <w:pPr>
        <w:pStyle w:val="3-BodyText"/>
        <w:rPr>
          <w:color w:val="0066FF"/>
        </w:rPr>
      </w:pPr>
      <w:bookmarkStart w:id="9" w:name="_Hlk190158801"/>
      <w:r w:rsidRPr="26403EC0">
        <w:t xml:space="preserve">The </w:t>
      </w:r>
      <w:r w:rsidR="003A489A" w:rsidRPr="26403EC0">
        <w:t>LSDP</w:t>
      </w:r>
      <w:r w:rsidRPr="26403EC0">
        <w:t xml:space="preserve"> has commenced </w:t>
      </w:r>
      <w:r w:rsidR="00CE670B" w:rsidRPr="26403EC0">
        <w:t>a</w:t>
      </w:r>
      <w:r w:rsidRPr="26403EC0">
        <w:t xml:space="preserve"> 24-month review of </w:t>
      </w:r>
      <w:r w:rsidR="00D13E74" w:rsidRPr="26403EC0">
        <w:t>AVAL</w:t>
      </w:r>
      <w:r w:rsidRPr="26403EC0">
        <w:t xml:space="preserve">, which is due to be completed in February 2025. The terms of reference for the review are </w:t>
      </w:r>
      <w:r w:rsidR="00E36659" w:rsidRPr="26403EC0">
        <w:t xml:space="preserve">outlined on the </w:t>
      </w:r>
      <w:hyperlink r:id="rId11">
        <w:r w:rsidR="00E36659" w:rsidRPr="26403EC0">
          <w:rPr>
            <w:rStyle w:val="Hyperlink"/>
          </w:rPr>
          <w:t>Department of Health and Aged Care’s website</w:t>
        </w:r>
      </w:hyperlink>
      <w:bookmarkEnd w:id="9"/>
      <w:r w:rsidR="00E36659" w:rsidRPr="26403EC0">
        <w:t>.</w:t>
      </w:r>
    </w:p>
    <w:p w14:paraId="7CCFF4A5" w14:textId="6CFA828F" w:rsidR="002F3ABC" w:rsidRPr="006F4732" w:rsidRDefault="002F3ABC" w:rsidP="006F4732">
      <w:pPr>
        <w:pStyle w:val="3-BodyText"/>
        <w:numPr>
          <w:ilvl w:val="0"/>
          <w:numId w:val="0"/>
        </w:numPr>
        <w:ind w:left="720"/>
        <w:rPr>
          <w:color w:val="0066FF"/>
        </w:rPr>
      </w:pPr>
      <w:r w:rsidRPr="006F4732">
        <w:rPr>
          <w:i/>
          <w:iCs/>
        </w:rPr>
        <w:t>For more detail on PBAC’s view, see section 7 PBAC outcome.</w:t>
      </w:r>
    </w:p>
    <w:p w14:paraId="76E4EF3C" w14:textId="13040F70" w:rsidR="00B60939" w:rsidRDefault="00B50DB8" w:rsidP="004E18E9">
      <w:pPr>
        <w:pStyle w:val="2-SectionHeading"/>
      </w:pPr>
      <w:bookmarkStart w:id="10" w:name="_Toc107902078"/>
      <w:bookmarkStart w:id="11" w:name="_Toc187576324"/>
      <w:bookmarkEnd w:id="10"/>
      <w:r w:rsidRPr="0098262F">
        <w:t>Requested listing</w:t>
      </w:r>
      <w:bookmarkEnd w:id="11"/>
    </w:p>
    <w:p w14:paraId="51828812" w14:textId="76759E83" w:rsidR="00026BC4" w:rsidRDefault="00A57038" w:rsidP="001A3D1B">
      <w:pPr>
        <w:pStyle w:val="3-BodyText"/>
      </w:pPr>
      <w:r>
        <w:t xml:space="preserve">The submission proposed initial and continuing restrictions which were modelled on the current LSDP criteria for </w:t>
      </w:r>
      <w:r w:rsidR="00E71851" w:rsidRPr="005717A1">
        <w:t xml:space="preserve">alglucosidase alfa and </w:t>
      </w:r>
      <w:proofErr w:type="spellStart"/>
      <w:r w:rsidR="00E71851" w:rsidRPr="005717A1">
        <w:t>avalglucosidase</w:t>
      </w:r>
      <w:proofErr w:type="spellEnd"/>
      <w:r w:rsidR="00E71851" w:rsidRPr="005717A1">
        <w:t xml:space="preserve"> alfa</w:t>
      </w:r>
      <w:r w:rsidR="00C6378B" w:rsidRPr="005717A1">
        <w:t xml:space="preserve"> for </w:t>
      </w:r>
      <w:r w:rsidR="00666285" w:rsidRPr="005717A1">
        <w:t>the</w:t>
      </w:r>
      <w:r w:rsidR="00E71851" w:rsidRPr="00E71851">
        <w:t xml:space="preserve"> </w:t>
      </w:r>
      <w:r>
        <w:t>treatment of Pompe</w:t>
      </w:r>
      <w:r w:rsidR="00275E79">
        <w:t xml:space="preserve"> D</w:t>
      </w:r>
      <w:r>
        <w:t>isease.</w:t>
      </w:r>
      <w:r w:rsidR="00666285">
        <w:t xml:space="preserve"> </w:t>
      </w:r>
    </w:p>
    <w:p w14:paraId="622787BF" w14:textId="59CABB5B" w:rsidR="001A3D1B" w:rsidRPr="00026BC4" w:rsidRDefault="00026BC4" w:rsidP="001A3D1B">
      <w:pPr>
        <w:pStyle w:val="3-BodyText"/>
      </w:pPr>
      <w:r w:rsidRPr="00026BC4">
        <w:rPr>
          <w:rFonts w:cstheme="minorHAnsi"/>
          <w:iCs/>
        </w:rPr>
        <w:t>Suggestions and additions proposed by the Secretariat are added in italics and suggested deletions are crossed out with strikethrough.</w:t>
      </w:r>
    </w:p>
    <w:p w14:paraId="346CB849" w14:textId="77777777" w:rsidR="007A7F37" w:rsidRPr="006A4ACE" w:rsidRDefault="007A7F37" w:rsidP="001A3D1B">
      <w:pPr>
        <w:pStyle w:val="TableFigureHeading"/>
      </w:pPr>
      <w:r w:rsidRPr="006A4ACE">
        <w:t>Cipaglucosidase alfa (initial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562"/>
        <w:gridCol w:w="710"/>
        <w:gridCol w:w="2668"/>
        <w:gridCol w:w="811"/>
        <w:gridCol w:w="812"/>
        <w:gridCol w:w="811"/>
        <w:gridCol w:w="812"/>
        <w:gridCol w:w="1831"/>
      </w:tblGrid>
      <w:tr w:rsidR="007A7F37" w:rsidRPr="006A4ACE" w14:paraId="384CEBF6" w14:textId="77777777" w:rsidTr="0088124E">
        <w:trPr>
          <w:cantSplit/>
          <w:trHeight w:val="20"/>
        </w:trPr>
        <w:tc>
          <w:tcPr>
            <w:tcW w:w="3940" w:type="dxa"/>
            <w:gridSpan w:val="3"/>
            <w:vAlign w:val="center"/>
          </w:tcPr>
          <w:p w14:paraId="49E698FE" w14:textId="77777777" w:rsidR="007A7F37" w:rsidRPr="006A4ACE" w:rsidRDefault="007A7F37">
            <w:pPr>
              <w:keepLines/>
              <w:rPr>
                <w:rFonts w:ascii="Arial Narrow" w:hAnsi="Arial Narrow"/>
                <w:b/>
                <w:bCs/>
                <w:sz w:val="20"/>
                <w:szCs w:val="20"/>
              </w:rPr>
            </w:pPr>
            <w:r w:rsidRPr="006A4ACE">
              <w:rPr>
                <w:rFonts w:ascii="Arial Narrow" w:hAnsi="Arial Narrow"/>
                <w:b/>
                <w:bCs/>
                <w:sz w:val="20"/>
                <w:szCs w:val="20"/>
              </w:rPr>
              <w:t>MEDICINAL PRODUCT</w:t>
            </w:r>
          </w:p>
          <w:p w14:paraId="2E882543" w14:textId="77777777" w:rsidR="007A7F37" w:rsidRPr="006A4ACE" w:rsidRDefault="007A7F37">
            <w:pPr>
              <w:keepLines/>
              <w:rPr>
                <w:rFonts w:ascii="Arial Narrow" w:hAnsi="Arial Narrow"/>
                <w:b/>
                <w:sz w:val="20"/>
                <w:szCs w:val="20"/>
              </w:rPr>
            </w:pPr>
            <w:r w:rsidRPr="006A4ACE">
              <w:rPr>
                <w:rFonts w:ascii="Arial Narrow" w:hAnsi="Arial Narrow"/>
                <w:b/>
                <w:bCs/>
                <w:sz w:val="20"/>
                <w:szCs w:val="20"/>
              </w:rPr>
              <w:t>medicinal product pack</w:t>
            </w:r>
          </w:p>
        </w:tc>
        <w:tc>
          <w:tcPr>
            <w:tcW w:w="811" w:type="dxa"/>
            <w:vAlign w:val="center"/>
          </w:tcPr>
          <w:p w14:paraId="380A3EC7"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PBS item code</w:t>
            </w:r>
          </w:p>
        </w:tc>
        <w:tc>
          <w:tcPr>
            <w:tcW w:w="812" w:type="dxa"/>
            <w:vAlign w:val="center"/>
          </w:tcPr>
          <w:p w14:paraId="7C171E0C"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Max. qty packs</w:t>
            </w:r>
          </w:p>
        </w:tc>
        <w:tc>
          <w:tcPr>
            <w:tcW w:w="811" w:type="dxa"/>
            <w:vAlign w:val="center"/>
          </w:tcPr>
          <w:p w14:paraId="1DE8B6AF"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Max. qty units</w:t>
            </w:r>
          </w:p>
        </w:tc>
        <w:tc>
          <w:tcPr>
            <w:tcW w:w="812" w:type="dxa"/>
            <w:vAlign w:val="center"/>
          </w:tcPr>
          <w:p w14:paraId="03B52906" w14:textId="77777777" w:rsidR="007A7F37" w:rsidRPr="006A4ACE" w:rsidRDefault="007A7F37">
            <w:pPr>
              <w:keepLines/>
              <w:jc w:val="center"/>
              <w:rPr>
                <w:rFonts w:ascii="Arial Narrow" w:hAnsi="Arial Narrow"/>
                <w:b/>
                <w:bCs/>
                <w:sz w:val="20"/>
                <w:szCs w:val="20"/>
              </w:rPr>
            </w:pPr>
            <w:r w:rsidRPr="006A4ACE">
              <w:rPr>
                <w:rFonts w:ascii="Arial Narrow" w:hAnsi="Arial Narrow"/>
                <w:b/>
                <w:bCs/>
                <w:sz w:val="20"/>
                <w:szCs w:val="20"/>
              </w:rPr>
              <w:t>№.of</w:t>
            </w:r>
          </w:p>
          <w:p w14:paraId="57F38FAA"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Rpts</w:t>
            </w:r>
          </w:p>
        </w:tc>
        <w:tc>
          <w:tcPr>
            <w:tcW w:w="1831" w:type="dxa"/>
            <w:vAlign w:val="center"/>
          </w:tcPr>
          <w:p w14:paraId="35DB4759" w14:textId="77777777" w:rsidR="007A7F37" w:rsidRPr="006A4ACE" w:rsidRDefault="007A7F37">
            <w:pPr>
              <w:keepLines/>
              <w:rPr>
                <w:rFonts w:ascii="Arial Narrow" w:hAnsi="Arial Narrow"/>
                <w:b/>
                <w:sz w:val="20"/>
                <w:szCs w:val="20"/>
                <w:lang w:val="fr-FR"/>
              </w:rPr>
            </w:pPr>
            <w:r w:rsidRPr="006A4ACE">
              <w:rPr>
                <w:rFonts w:ascii="Arial Narrow" w:hAnsi="Arial Narrow"/>
                <w:b/>
                <w:sz w:val="20"/>
                <w:szCs w:val="20"/>
              </w:rPr>
              <w:t>Available brands</w:t>
            </w:r>
          </w:p>
        </w:tc>
      </w:tr>
      <w:tr w:rsidR="007A7F37" w:rsidRPr="006A4ACE" w14:paraId="2FB3469E" w14:textId="77777777" w:rsidTr="0088124E">
        <w:trPr>
          <w:cantSplit/>
          <w:trHeight w:val="20"/>
        </w:trPr>
        <w:tc>
          <w:tcPr>
            <w:tcW w:w="9017" w:type="dxa"/>
            <w:gridSpan w:val="8"/>
            <w:vAlign w:val="center"/>
          </w:tcPr>
          <w:p w14:paraId="7A0512E8" w14:textId="77777777" w:rsidR="007A7F37" w:rsidRPr="006A4ACE" w:rsidRDefault="007A7F37">
            <w:pPr>
              <w:keepLines/>
              <w:rPr>
                <w:rFonts w:ascii="Arial Narrow" w:hAnsi="Arial Narrow"/>
                <w:sz w:val="20"/>
                <w:szCs w:val="20"/>
              </w:rPr>
            </w:pPr>
            <w:r w:rsidRPr="006A4ACE">
              <w:rPr>
                <w:rFonts w:ascii="Arial Narrow" w:hAnsi="Arial Narrow"/>
                <w:sz w:val="20"/>
                <w:szCs w:val="20"/>
              </w:rPr>
              <w:t>CIPAGLUCOSIDASE ALFA</w:t>
            </w:r>
          </w:p>
        </w:tc>
      </w:tr>
      <w:tr w:rsidR="007A7F37" w:rsidRPr="006A4ACE" w14:paraId="5F9974F6" w14:textId="77777777" w:rsidTr="0088124E">
        <w:trPr>
          <w:cantSplit/>
          <w:trHeight w:val="20"/>
        </w:trPr>
        <w:tc>
          <w:tcPr>
            <w:tcW w:w="3940" w:type="dxa"/>
            <w:gridSpan w:val="3"/>
            <w:vAlign w:val="center"/>
          </w:tcPr>
          <w:p w14:paraId="0BA8EA74" w14:textId="77777777" w:rsidR="007A7F37" w:rsidRPr="006A4ACE" w:rsidRDefault="007A7F37">
            <w:pPr>
              <w:keepLines/>
              <w:rPr>
                <w:rFonts w:ascii="Arial Narrow" w:hAnsi="Arial Narrow"/>
                <w:sz w:val="20"/>
                <w:szCs w:val="20"/>
              </w:rPr>
            </w:pPr>
            <w:r w:rsidRPr="006A4ACE">
              <w:rPr>
                <w:rFonts w:ascii="Arial Narrow" w:hAnsi="Arial Narrow"/>
                <w:sz w:val="20"/>
                <w:szCs w:val="20"/>
              </w:rPr>
              <w:t>Cipaglucosidase alfa, 105 mg injection , 1 vial</w:t>
            </w:r>
          </w:p>
        </w:tc>
        <w:tc>
          <w:tcPr>
            <w:tcW w:w="811" w:type="dxa"/>
            <w:vAlign w:val="center"/>
          </w:tcPr>
          <w:p w14:paraId="6A370974" w14:textId="77777777" w:rsidR="007A7F37" w:rsidRPr="006A4ACE" w:rsidRDefault="007A7F37">
            <w:pPr>
              <w:keepLines/>
              <w:jc w:val="center"/>
              <w:rPr>
                <w:rFonts w:ascii="Arial Narrow" w:hAnsi="Arial Narrow"/>
                <w:sz w:val="20"/>
                <w:szCs w:val="20"/>
              </w:rPr>
            </w:pPr>
            <w:r w:rsidRPr="006A4ACE">
              <w:rPr>
                <w:rFonts w:ascii="Arial Narrow" w:hAnsi="Arial Narrow"/>
                <w:sz w:val="20"/>
                <w:szCs w:val="20"/>
              </w:rPr>
              <w:t>NEW</w:t>
            </w:r>
          </w:p>
        </w:tc>
        <w:tc>
          <w:tcPr>
            <w:tcW w:w="812" w:type="dxa"/>
            <w:vAlign w:val="center"/>
          </w:tcPr>
          <w:p w14:paraId="5C729283" w14:textId="77777777" w:rsidR="007A7F37" w:rsidRPr="006A4ACE" w:rsidRDefault="007A7F37">
            <w:pPr>
              <w:keepLines/>
              <w:jc w:val="center"/>
              <w:rPr>
                <w:rFonts w:ascii="Arial Narrow" w:hAnsi="Arial Narrow"/>
                <w:sz w:val="20"/>
                <w:szCs w:val="20"/>
              </w:rPr>
            </w:pPr>
            <w:r w:rsidRPr="006A4ACE">
              <w:rPr>
                <w:rFonts w:ascii="Arial Narrow" w:hAnsi="Arial Narrow"/>
                <w:sz w:val="20"/>
                <w:szCs w:val="20"/>
              </w:rPr>
              <w:t>1</w:t>
            </w:r>
          </w:p>
        </w:tc>
        <w:tc>
          <w:tcPr>
            <w:tcW w:w="811" w:type="dxa"/>
            <w:vAlign w:val="center"/>
          </w:tcPr>
          <w:p w14:paraId="326B9098" w14:textId="77777777" w:rsidR="007A7F37" w:rsidRPr="006A4ACE" w:rsidRDefault="007A7F37">
            <w:pPr>
              <w:keepLines/>
              <w:jc w:val="center"/>
              <w:rPr>
                <w:rFonts w:ascii="Arial Narrow" w:hAnsi="Arial Narrow"/>
                <w:sz w:val="20"/>
                <w:szCs w:val="20"/>
              </w:rPr>
            </w:pPr>
            <w:r w:rsidRPr="006A4ACE">
              <w:rPr>
                <w:rFonts w:ascii="Arial Narrow" w:hAnsi="Arial Narrow"/>
                <w:sz w:val="20"/>
                <w:szCs w:val="20"/>
              </w:rPr>
              <w:t>1</w:t>
            </w:r>
          </w:p>
        </w:tc>
        <w:tc>
          <w:tcPr>
            <w:tcW w:w="812" w:type="dxa"/>
            <w:vAlign w:val="center"/>
          </w:tcPr>
          <w:p w14:paraId="6396EB5D" w14:textId="77777777" w:rsidR="007A7F37" w:rsidRPr="006A4ACE" w:rsidRDefault="007A7F37">
            <w:pPr>
              <w:keepLines/>
              <w:jc w:val="center"/>
              <w:rPr>
                <w:rFonts w:ascii="Arial Narrow" w:hAnsi="Arial Narrow"/>
                <w:sz w:val="20"/>
                <w:szCs w:val="20"/>
              </w:rPr>
            </w:pPr>
            <w:r w:rsidRPr="006A4ACE">
              <w:rPr>
                <w:rFonts w:ascii="Arial Narrow" w:hAnsi="Arial Narrow"/>
                <w:strike/>
                <w:sz w:val="20"/>
                <w:szCs w:val="20"/>
              </w:rPr>
              <w:t>11</w:t>
            </w:r>
            <w:r w:rsidRPr="003451F2">
              <w:rPr>
                <w:rFonts w:ascii="Arial Narrow" w:hAnsi="Arial Narrow"/>
                <w:i/>
                <w:iCs/>
                <w:sz w:val="20"/>
                <w:szCs w:val="20"/>
              </w:rPr>
              <w:t>5</w:t>
            </w:r>
          </w:p>
        </w:tc>
        <w:tc>
          <w:tcPr>
            <w:tcW w:w="1831" w:type="dxa"/>
            <w:vAlign w:val="center"/>
          </w:tcPr>
          <w:p w14:paraId="2FD027F3" w14:textId="6C4312A9" w:rsidR="007A7F37" w:rsidRPr="006A4ACE" w:rsidRDefault="007A7F37">
            <w:pPr>
              <w:keepLines/>
              <w:rPr>
                <w:rFonts w:ascii="Arial Narrow" w:hAnsi="Arial Narrow"/>
                <w:sz w:val="20"/>
                <w:szCs w:val="20"/>
              </w:rPr>
            </w:pPr>
            <w:proofErr w:type="spellStart"/>
            <w:r w:rsidRPr="006A4ACE">
              <w:rPr>
                <w:rFonts w:ascii="Arial Narrow" w:hAnsi="Arial Narrow"/>
                <w:sz w:val="20"/>
                <w:szCs w:val="20"/>
              </w:rPr>
              <w:t>Pombiliti</w:t>
            </w:r>
            <w:proofErr w:type="spellEnd"/>
          </w:p>
        </w:tc>
      </w:tr>
      <w:tr w:rsidR="007A7F37" w:rsidRPr="006A4ACE" w14:paraId="432C34E6" w14:textId="77777777" w:rsidTr="0088124E">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1D28D97C" w14:textId="77777777" w:rsidR="007A7F37" w:rsidRPr="006A4ACE" w:rsidRDefault="007A7F37">
            <w:pPr>
              <w:rPr>
                <w:rFonts w:ascii="Arial Narrow" w:hAnsi="Arial Narrow"/>
                <w:sz w:val="20"/>
                <w:szCs w:val="20"/>
              </w:rPr>
            </w:pPr>
          </w:p>
        </w:tc>
      </w:tr>
      <w:tr w:rsidR="007A7F37" w:rsidRPr="006A4ACE" w14:paraId="300EB6F9" w14:textId="77777777" w:rsidTr="0088124E">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11F64701" w14:textId="1E7BA733" w:rsidR="007A7F37" w:rsidRPr="006A4ACE" w:rsidRDefault="007A7F37">
            <w:pPr>
              <w:keepLines/>
              <w:rPr>
                <w:rFonts w:ascii="Arial Narrow" w:hAnsi="Arial Narrow"/>
                <w:b/>
                <w:sz w:val="20"/>
                <w:szCs w:val="20"/>
              </w:rPr>
            </w:pPr>
            <w:r w:rsidRPr="006A4ACE">
              <w:rPr>
                <w:rFonts w:ascii="Arial Narrow" w:hAnsi="Arial Narrow"/>
                <w:b/>
                <w:sz w:val="20"/>
                <w:szCs w:val="20"/>
              </w:rPr>
              <w:t xml:space="preserve">Restriction Summary </w:t>
            </w:r>
            <w:r w:rsidRPr="006A4ACE">
              <w:rPr>
                <w:rFonts w:ascii="Arial Narrow" w:hAnsi="Arial Narrow"/>
                <w:b/>
                <w:color w:val="FF0000"/>
                <w:sz w:val="20"/>
                <w:szCs w:val="20"/>
              </w:rPr>
              <w:t xml:space="preserve"> </w:t>
            </w:r>
            <w:r w:rsidRPr="006A4ACE">
              <w:rPr>
                <w:rFonts w:ascii="Arial Narrow" w:hAnsi="Arial Narrow"/>
                <w:b/>
                <w:sz w:val="20"/>
                <w:szCs w:val="20"/>
              </w:rPr>
              <w:t xml:space="preserve">/ Treatment of Concept:  </w:t>
            </w:r>
          </w:p>
        </w:tc>
      </w:tr>
      <w:tr w:rsidR="007A7F37" w:rsidRPr="006A4ACE" w14:paraId="46973CDE" w14:textId="77777777" w:rsidTr="0088124E">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3F8E3E7B" w14:textId="5D25B8F1" w:rsidR="007A7F37" w:rsidRPr="006A4ACE" w:rsidRDefault="007A7F37">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FFCE39" w14:textId="77777777" w:rsidR="007A7F37" w:rsidRPr="006A4ACE" w:rsidRDefault="007A7F37">
            <w:pPr>
              <w:keepLines/>
              <w:jc w:val="left"/>
              <w:rPr>
                <w:rFonts w:ascii="Arial Narrow" w:hAnsi="Arial Narrow"/>
                <w:sz w:val="20"/>
                <w:szCs w:val="20"/>
              </w:rPr>
            </w:pPr>
            <w:r w:rsidRPr="006A4ACE">
              <w:rPr>
                <w:rFonts w:ascii="Arial Narrow" w:hAnsi="Arial Narrow"/>
                <w:b/>
                <w:sz w:val="20"/>
                <w:szCs w:val="20"/>
              </w:rPr>
              <w:t>Category / Program:</w:t>
            </w:r>
            <w:r w:rsidRPr="006A4ACE">
              <w:rPr>
                <w:rFonts w:ascii="Arial Narrow" w:hAnsi="Arial Narrow"/>
                <w:color w:val="FF0000"/>
                <w:sz w:val="20"/>
                <w:szCs w:val="20"/>
              </w:rPr>
              <w:t xml:space="preserv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Section 100 – Highly Specialised Drugs Program – Public (Code HB)</w:t>
            </w:r>
            <w:r w:rsidRPr="006A4ACE">
              <w:rPr>
                <w:rFonts w:ascii="Arial Narrow" w:eastAsia="Calibri" w:hAnsi="Arial Narrow"/>
                <w:color w:val="FF0000"/>
                <w:sz w:val="20"/>
                <w:szCs w:val="20"/>
              </w:rPr>
              <w:t xml:space="preserve"> </w:t>
            </w:r>
            <w:r w:rsidRPr="006A4ACE">
              <w:rPr>
                <w:rFonts w:ascii="Arial Narrow" w:eastAsia="Calibri" w:hAnsi="Arial Narrow"/>
                <w:sz w:val="20"/>
                <w:szCs w:val="20"/>
              </w:rPr>
              <w:t>/ Private (Code HS)</w:t>
            </w:r>
          </w:p>
        </w:tc>
      </w:tr>
      <w:tr w:rsidR="007A7F37" w:rsidRPr="006A4ACE" w14:paraId="1F538370" w14:textId="77777777" w:rsidTr="0088124E">
        <w:tblPrEx>
          <w:tblCellMar>
            <w:top w:w="15" w:type="dxa"/>
            <w:bottom w:w="15" w:type="dxa"/>
          </w:tblCellMar>
          <w:tblLook w:val="04A0" w:firstRow="1" w:lastRow="0" w:firstColumn="1" w:lastColumn="0" w:noHBand="0" w:noVBand="1"/>
        </w:tblPrEx>
        <w:trPr>
          <w:trHeight w:val="20"/>
        </w:trPr>
        <w:tc>
          <w:tcPr>
            <w:tcW w:w="1272" w:type="dxa"/>
            <w:gridSpan w:val="2"/>
            <w:vMerge/>
          </w:tcPr>
          <w:p w14:paraId="3306FA86" w14:textId="77777777" w:rsidR="007A7F37" w:rsidRPr="006A4ACE" w:rsidRDefault="007A7F3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C5B368" w14:textId="77777777" w:rsidR="007A7F37" w:rsidRPr="006A4ACE" w:rsidRDefault="007A7F37">
            <w:pPr>
              <w:keepLines/>
              <w:rPr>
                <w:rFonts w:ascii="Arial Narrow" w:hAnsi="Arial Narrow"/>
                <w:b/>
                <w:sz w:val="20"/>
                <w:szCs w:val="20"/>
              </w:rPr>
            </w:pPr>
            <w:r w:rsidRPr="006A4ACE">
              <w:rPr>
                <w:rFonts w:ascii="Arial Narrow" w:hAnsi="Arial Narrow"/>
                <w:b/>
                <w:sz w:val="20"/>
                <w:szCs w:val="20"/>
              </w:rPr>
              <w:t xml:space="preserve">Prescriber type: </w:t>
            </w:r>
          </w:p>
          <w:p w14:paraId="148076A0" w14:textId="77777777" w:rsidR="007A7F37" w:rsidRPr="006A4ACE" w:rsidRDefault="007A7F37">
            <w:pPr>
              <w:keepLines/>
              <w:rPr>
                <w:rFonts w:ascii="Arial Narrow" w:hAnsi="Arial Narrow"/>
                <w:b/>
                <w:sz w:val="20"/>
                <w:szCs w:val="20"/>
              </w:rPr>
            </w:pPr>
            <w:r w:rsidRPr="006A4ACE">
              <w:rPr>
                <w:rFonts w:ascii="Arial Narrow" w:hAnsi="Arial Narrow"/>
                <w:sz w:val="20"/>
                <w:szCs w:val="20"/>
              </w:rPr>
              <w:fldChar w:fldCharType="begin">
                <w:ffData>
                  <w:name w:val=""/>
                  <w:enabled/>
                  <w:calcOnExit w:val="0"/>
                  <w:checkBox>
                    <w:sizeAuto/>
                    <w:default w:val="1"/>
                  </w:checkBox>
                </w:ffData>
              </w:fldChar>
            </w:r>
            <w:r w:rsidRPr="006A4ACE">
              <w:rPr>
                <w:rFonts w:ascii="Arial Narrow" w:hAnsi="Arial Narrow"/>
                <w:sz w:val="20"/>
                <w:szCs w:val="20"/>
              </w:rPr>
              <w:instrText xml:space="preserve"> FORMCHECKBOX </w:instrText>
            </w:r>
            <w:r w:rsidRPr="006A4ACE">
              <w:rPr>
                <w:rFonts w:ascii="Arial Narrow" w:hAnsi="Arial Narrow"/>
                <w:sz w:val="20"/>
                <w:szCs w:val="20"/>
              </w:rPr>
            </w:r>
            <w:r w:rsidRPr="006A4ACE">
              <w:rPr>
                <w:rFonts w:ascii="Arial Narrow" w:hAnsi="Arial Narrow"/>
                <w:sz w:val="20"/>
                <w:szCs w:val="20"/>
              </w:rPr>
              <w:fldChar w:fldCharType="separate"/>
            </w:r>
            <w:r w:rsidRPr="006A4ACE">
              <w:rPr>
                <w:rFonts w:ascii="Arial Narrow" w:hAnsi="Arial Narrow"/>
                <w:sz w:val="20"/>
                <w:szCs w:val="20"/>
              </w:rPr>
              <w:fldChar w:fldCharType="end"/>
            </w:r>
            <w:r w:rsidRPr="006A4ACE">
              <w:rPr>
                <w:rFonts w:ascii="Arial Narrow" w:hAnsi="Arial Narrow"/>
                <w:sz w:val="20"/>
                <w:szCs w:val="20"/>
              </w:rPr>
              <w:t xml:space="preserve">Medical Practitioners </w:t>
            </w:r>
          </w:p>
        </w:tc>
      </w:tr>
      <w:tr w:rsidR="007A7F37" w:rsidRPr="006A4ACE" w14:paraId="184F1F82" w14:textId="77777777" w:rsidTr="0088124E">
        <w:tblPrEx>
          <w:tblCellMar>
            <w:top w:w="15" w:type="dxa"/>
            <w:bottom w:w="15" w:type="dxa"/>
          </w:tblCellMar>
          <w:tblLook w:val="04A0" w:firstRow="1" w:lastRow="0" w:firstColumn="1" w:lastColumn="0" w:noHBand="0" w:noVBand="1"/>
        </w:tblPrEx>
        <w:trPr>
          <w:trHeight w:val="20"/>
        </w:trPr>
        <w:tc>
          <w:tcPr>
            <w:tcW w:w="1272" w:type="dxa"/>
            <w:gridSpan w:val="2"/>
            <w:vMerge/>
          </w:tcPr>
          <w:p w14:paraId="61E612B6" w14:textId="77777777" w:rsidR="007A7F37" w:rsidRPr="006A4ACE" w:rsidRDefault="007A7F3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268C4B4" w14:textId="77777777" w:rsidR="007A7F37" w:rsidRPr="006A4ACE" w:rsidRDefault="007A7F37">
            <w:pPr>
              <w:keepLines/>
              <w:jc w:val="left"/>
              <w:rPr>
                <w:rFonts w:ascii="Arial Narrow" w:hAnsi="Arial Narrow"/>
                <w:b/>
                <w:sz w:val="20"/>
                <w:szCs w:val="20"/>
              </w:rPr>
            </w:pPr>
            <w:r w:rsidRPr="006A4ACE">
              <w:rPr>
                <w:rFonts w:ascii="Arial Narrow" w:hAnsi="Arial Narrow"/>
                <w:b/>
                <w:sz w:val="20"/>
                <w:szCs w:val="20"/>
              </w:rPr>
              <w:t xml:space="preserve">Restriction type: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Authority Required (Written Authority) [new/existing code] </w:t>
            </w:r>
          </w:p>
        </w:tc>
      </w:tr>
      <w:tr w:rsidR="007A7F37" w:rsidRPr="006A4ACE" w14:paraId="7394F972" w14:textId="77777777" w:rsidTr="0088124E">
        <w:tblPrEx>
          <w:tblCellMar>
            <w:top w:w="15" w:type="dxa"/>
            <w:bottom w:w="15" w:type="dxa"/>
          </w:tblCellMar>
          <w:tblLook w:val="04A0" w:firstRow="1" w:lastRow="0" w:firstColumn="1" w:lastColumn="0" w:noHBand="0" w:noVBand="1"/>
        </w:tblPrEx>
        <w:trPr>
          <w:trHeight w:val="20"/>
        </w:trPr>
        <w:tc>
          <w:tcPr>
            <w:tcW w:w="1272" w:type="dxa"/>
            <w:gridSpan w:val="2"/>
            <w:vMerge/>
          </w:tcPr>
          <w:p w14:paraId="2E788A35" w14:textId="77777777" w:rsidR="007A7F37" w:rsidRPr="006A4ACE" w:rsidRDefault="007A7F3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15ACDC5" w14:textId="77777777" w:rsidR="007A7F37" w:rsidRPr="006A4ACE" w:rsidRDefault="007A7F37">
            <w:pPr>
              <w:keepLines/>
              <w:jc w:val="left"/>
              <w:rPr>
                <w:rFonts w:ascii="Arial Narrow" w:hAnsi="Arial Narrow"/>
                <w:b/>
                <w:color w:val="FF0000"/>
                <w:sz w:val="20"/>
                <w:szCs w:val="20"/>
              </w:rPr>
            </w:pPr>
            <w:r w:rsidRPr="006A4ACE">
              <w:rPr>
                <w:rFonts w:ascii="Arial Narrow" w:hAnsi="Arial Narrow"/>
                <w:b/>
                <w:sz w:val="20"/>
                <w:szCs w:val="20"/>
              </w:rPr>
              <w:t xml:space="preserve">Authority type: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Check1"/>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Non-complex Authority Required (non-CAR)</w:t>
            </w:r>
          </w:p>
        </w:tc>
      </w:tr>
      <w:tr w:rsidR="007A7F37" w:rsidRPr="006A4ACE" w14:paraId="3A443F5F" w14:textId="77777777" w:rsidTr="0088124E">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3532866C" w14:textId="3688A576" w:rsidR="007A7F37" w:rsidRPr="006A4ACE" w:rsidRDefault="007A7F37">
            <w:pPr>
              <w:jc w:val="center"/>
              <w:rPr>
                <w:rFonts w:ascii="Arial Narrow" w:hAnsi="Arial Narrow"/>
                <w:sz w:val="20"/>
                <w:szCs w:val="20"/>
              </w:rPr>
            </w:pPr>
          </w:p>
        </w:tc>
        <w:tc>
          <w:tcPr>
            <w:tcW w:w="710" w:type="dxa"/>
            <w:vAlign w:val="center"/>
          </w:tcPr>
          <w:p w14:paraId="6E5BA863" w14:textId="4C721B39" w:rsidR="007A7F37" w:rsidRPr="006A4ACE" w:rsidRDefault="007A7F37">
            <w:pPr>
              <w:jc w:val="center"/>
              <w:rPr>
                <w:rFonts w:ascii="Arial Narrow" w:hAnsi="Arial Narrow"/>
                <w:color w:val="333333"/>
                <w:sz w:val="20"/>
                <w:szCs w:val="20"/>
              </w:rPr>
            </w:pPr>
          </w:p>
        </w:tc>
        <w:tc>
          <w:tcPr>
            <w:tcW w:w="7745" w:type="dxa"/>
            <w:gridSpan w:val="6"/>
            <w:vAlign w:val="center"/>
          </w:tcPr>
          <w:p w14:paraId="4D57BEEC" w14:textId="77777777" w:rsidR="007A7F37" w:rsidRPr="006A4ACE" w:rsidRDefault="007A7F37">
            <w:pPr>
              <w:rPr>
                <w:rFonts w:ascii="Arial Narrow" w:hAnsi="Arial Narrow"/>
                <w:color w:val="333333"/>
                <w:sz w:val="20"/>
                <w:szCs w:val="20"/>
              </w:rPr>
            </w:pPr>
            <w:r w:rsidRPr="006A4ACE">
              <w:rPr>
                <w:rFonts w:ascii="Arial Narrow" w:hAnsi="Arial Narrow"/>
                <w:b/>
                <w:bCs/>
                <w:sz w:val="20"/>
                <w:szCs w:val="20"/>
              </w:rPr>
              <w:t xml:space="preserve">Administrative Advice: </w:t>
            </w:r>
            <w:r w:rsidRPr="006A4ACE">
              <w:rPr>
                <w:rFonts w:ascii="Arial Narrow" w:hAnsi="Arial Narrow"/>
                <w:bCs/>
                <w:sz w:val="20"/>
                <w:szCs w:val="20"/>
              </w:rPr>
              <w:t>No increase in the maximum number of repeats may be authorised.</w:t>
            </w:r>
          </w:p>
        </w:tc>
      </w:tr>
      <w:tr w:rsidR="007A7F37" w:rsidRPr="006A4ACE" w14:paraId="09C4E992" w14:textId="77777777" w:rsidTr="0088124E">
        <w:tblPrEx>
          <w:tblCellMar>
            <w:top w:w="15" w:type="dxa"/>
            <w:bottom w:w="15" w:type="dxa"/>
          </w:tblCellMar>
          <w:tblLook w:val="04A0" w:firstRow="1" w:lastRow="0" w:firstColumn="1" w:lastColumn="0" w:noHBand="0" w:noVBand="1"/>
        </w:tblPrEx>
        <w:trPr>
          <w:trHeight w:val="20"/>
        </w:trPr>
        <w:tc>
          <w:tcPr>
            <w:tcW w:w="562" w:type="dxa"/>
            <w:vMerge/>
          </w:tcPr>
          <w:p w14:paraId="673FFEF8" w14:textId="77777777" w:rsidR="007A7F37" w:rsidRPr="006A4ACE" w:rsidRDefault="007A7F37">
            <w:pPr>
              <w:rPr>
                <w:rFonts w:ascii="Arial Narrow" w:hAnsi="Arial Narrow"/>
                <w:sz w:val="20"/>
                <w:szCs w:val="20"/>
              </w:rPr>
            </w:pPr>
          </w:p>
        </w:tc>
        <w:tc>
          <w:tcPr>
            <w:tcW w:w="710" w:type="dxa"/>
            <w:vAlign w:val="center"/>
          </w:tcPr>
          <w:p w14:paraId="1D2559AC" w14:textId="1E8AB7FF" w:rsidR="007A7F37" w:rsidRPr="006A4ACE" w:rsidRDefault="007A7F37">
            <w:pPr>
              <w:jc w:val="center"/>
              <w:rPr>
                <w:rFonts w:ascii="Arial Narrow" w:hAnsi="Arial Narrow"/>
                <w:color w:val="333333"/>
                <w:sz w:val="20"/>
                <w:szCs w:val="20"/>
              </w:rPr>
            </w:pPr>
          </w:p>
        </w:tc>
        <w:tc>
          <w:tcPr>
            <w:tcW w:w="7745" w:type="dxa"/>
            <w:gridSpan w:val="6"/>
            <w:vAlign w:val="center"/>
          </w:tcPr>
          <w:p w14:paraId="3CEDCC57" w14:textId="77777777" w:rsidR="007A7F37" w:rsidRPr="006A4ACE" w:rsidRDefault="007A7F37">
            <w:pPr>
              <w:rPr>
                <w:rFonts w:ascii="Arial Narrow" w:hAnsi="Arial Narrow"/>
                <w:b/>
                <w:bCs/>
                <w:color w:val="333333"/>
                <w:sz w:val="20"/>
                <w:szCs w:val="20"/>
              </w:rPr>
            </w:pPr>
            <w:r w:rsidRPr="006A4ACE">
              <w:rPr>
                <w:rFonts w:ascii="Arial Narrow" w:hAnsi="Arial Narrow"/>
                <w:b/>
                <w:bCs/>
                <w:sz w:val="20"/>
                <w:szCs w:val="20"/>
              </w:rPr>
              <w:t xml:space="preserve">Administrative Advice: </w:t>
            </w:r>
            <w:r w:rsidRPr="006A4ACE">
              <w:rPr>
                <w:rFonts w:ascii="Arial Narrow" w:hAnsi="Arial Narrow"/>
                <w:bCs/>
                <w:sz w:val="20"/>
                <w:szCs w:val="20"/>
              </w:rPr>
              <w:t>Special Pricing Arrangements apply.</w:t>
            </w:r>
          </w:p>
        </w:tc>
      </w:tr>
      <w:tr w:rsidR="007A7F37" w:rsidRPr="006A4ACE" w14:paraId="0E81CD9F"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2412FD9" w14:textId="77777777" w:rsidR="007A7F37" w:rsidRPr="006A4ACE" w:rsidRDefault="007A7F37">
            <w:pPr>
              <w:keepLines/>
              <w:jc w:val="center"/>
              <w:rPr>
                <w:rFonts w:ascii="Arial Narrow" w:hAnsi="Arial Narrow"/>
                <w:color w:val="333333"/>
                <w:sz w:val="20"/>
                <w:szCs w:val="20"/>
              </w:rPr>
            </w:pPr>
          </w:p>
        </w:tc>
        <w:tc>
          <w:tcPr>
            <w:tcW w:w="7745" w:type="dxa"/>
            <w:gridSpan w:val="6"/>
            <w:vAlign w:val="center"/>
          </w:tcPr>
          <w:p w14:paraId="79D57F4E" w14:textId="77777777" w:rsidR="007A7F37" w:rsidRPr="0088124E" w:rsidRDefault="007A7F37">
            <w:pPr>
              <w:keepLines/>
              <w:rPr>
                <w:rFonts w:ascii="Arial Narrow" w:hAnsi="Arial Narrow"/>
                <w:b/>
                <w:bCs/>
                <w:color w:val="D9D9D9" w:themeColor="background1" w:themeShade="D9"/>
                <w:sz w:val="20"/>
                <w:szCs w:val="20"/>
              </w:rPr>
            </w:pPr>
            <w:r w:rsidRPr="0088124E">
              <w:rPr>
                <w:rStyle w:val="normaltextrun"/>
                <w:rFonts w:ascii="Arial Narrow" w:hAnsi="Arial Narrow" w:cs="Segoe UI"/>
                <w:b/>
                <w:bCs/>
                <w:color w:val="D9D9D9" w:themeColor="background1" w:themeShade="D9"/>
                <w:sz w:val="20"/>
                <w:szCs w:val="20"/>
              </w:rPr>
              <w:t xml:space="preserve">Episodicity: </w:t>
            </w:r>
            <w:r w:rsidRPr="0088124E">
              <w:rPr>
                <w:rStyle w:val="normaltextrun"/>
                <w:rFonts w:ascii="Arial Narrow" w:hAnsi="Arial Narrow" w:cs="Segoe UI"/>
                <w:color w:val="D9D9D9" w:themeColor="background1" w:themeShade="D9"/>
                <w:sz w:val="20"/>
                <w:szCs w:val="20"/>
              </w:rPr>
              <w:t>[blank] </w:t>
            </w:r>
            <w:r w:rsidRPr="0088124E">
              <w:rPr>
                <w:rStyle w:val="eop"/>
                <w:rFonts w:ascii="Arial Narrow" w:hAnsi="Arial Narrow" w:cs="Segoe UI"/>
                <w:color w:val="D9D9D9" w:themeColor="background1" w:themeShade="D9"/>
                <w:sz w:val="20"/>
                <w:szCs w:val="20"/>
              </w:rPr>
              <w:t> </w:t>
            </w:r>
          </w:p>
        </w:tc>
      </w:tr>
      <w:tr w:rsidR="007A7F37" w:rsidRPr="006A4ACE" w14:paraId="5A2B6D47"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BA1106" w14:textId="77777777" w:rsidR="007A7F37" w:rsidRPr="006A4ACE" w:rsidRDefault="007A7F37">
            <w:pPr>
              <w:keepLines/>
              <w:jc w:val="center"/>
              <w:rPr>
                <w:rFonts w:ascii="Arial Narrow" w:hAnsi="Arial Narrow"/>
                <w:color w:val="333333"/>
                <w:sz w:val="20"/>
                <w:szCs w:val="20"/>
              </w:rPr>
            </w:pPr>
          </w:p>
        </w:tc>
        <w:tc>
          <w:tcPr>
            <w:tcW w:w="7745" w:type="dxa"/>
            <w:gridSpan w:val="6"/>
            <w:vAlign w:val="center"/>
          </w:tcPr>
          <w:p w14:paraId="112BD8DE" w14:textId="77777777" w:rsidR="007A7F37" w:rsidRPr="0088124E" w:rsidRDefault="007A7F37">
            <w:pPr>
              <w:keepLines/>
              <w:rPr>
                <w:rFonts w:ascii="Arial Narrow" w:hAnsi="Arial Narrow"/>
                <w:b/>
                <w:bCs/>
                <w:color w:val="D9D9D9" w:themeColor="background1" w:themeShade="D9"/>
                <w:sz w:val="20"/>
                <w:szCs w:val="20"/>
              </w:rPr>
            </w:pPr>
            <w:r w:rsidRPr="0088124E">
              <w:rPr>
                <w:rStyle w:val="normaltextrun"/>
                <w:rFonts w:ascii="Arial Narrow" w:hAnsi="Arial Narrow" w:cs="Segoe UI"/>
                <w:b/>
                <w:bCs/>
                <w:color w:val="D9D9D9" w:themeColor="background1" w:themeShade="D9"/>
                <w:sz w:val="20"/>
                <w:szCs w:val="20"/>
              </w:rPr>
              <w:t xml:space="preserve">Severity: </w:t>
            </w:r>
            <w:r w:rsidRPr="0088124E">
              <w:rPr>
                <w:rStyle w:val="normaltextrun"/>
                <w:rFonts w:ascii="Arial Narrow" w:hAnsi="Arial Narrow" w:cs="Segoe UI"/>
                <w:color w:val="D9D9D9" w:themeColor="background1" w:themeShade="D9"/>
                <w:sz w:val="20"/>
                <w:szCs w:val="20"/>
              </w:rPr>
              <w:t>[blank] </w:t>
            </w:r>
            <w:r w:rsidRPr="0088124E">
              <w:rPr>
                <w:rStyle w:val="eop"/>
                <w:rFonts w:ascii="Arial Narrow" w:hAnsi="Arial Narrow" w:cs="Segoe UI"/>
                <w:color w:val="D9D9D9" w:themeColor="background1" w:themeShade="D9"/>
                <w:sz w:val="20"/>
                <w:szCs w:val="20"/>
              </w:rPr>
              <w:t> </w:t>
            </w:r>
          </w:p>
        </w:tc>
      </w:tr>
      <w:tr w:rsidR="007A7F37" w:rsidRPr="006A4ACE" w14:paraId="75AB8484"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0C1236" w14:textId="7EE44267" w:rsidR="007A7F37" w:rsidRPr="006A4ACE" w:rsidRDefault="007A7F37">
            <w:pPr>
              <w:keepLines/>
              <w:jc w:val="center"/>
              <w:rPr>
                <w:rFonts w:ascii="Arial Narrow" w:hAnsi="Arial Narrow"/>
                <w:color w:val="333333"/>
                <w:sz w:val="20"/>
                <w:szCs w:val="20"/>
              </w:rPr>
            </w:pPr>
          </w:p>
        </w:tc>
        <w:tc>
          <w:tcPr>
            <w:tcW w:w="7745" w:type="dxa"/>
            <w:gridSpan w:val="6"/>
            <w:vAlign w:val="center"/>
          </w:tcPr>
          <w:p w14:paraId="1D237E28" w14:textId="77777777" w:rsidR="007A7F37" w:rsidRPr="0073439E" w:rsidRDefault="007A7F37">
            <w:pPr>
              <w:keepLines/>
              <w:rPr>
                <w:rFonts w:ascii="Arial Narrow" w:hAnsi="Arial Narrow"/>
                <w:b/>
                <w:bCs/>
                <w:color w:val="000000" w:themeColor="text1"/>
                <w:sz w:val="20"/>
                <w:szCs w:val="20"/>
              </w:rPr>
            </w:pPr>
            <w:r w:rsidRPr="0073439E">
              <w:rPr>
                <w:rFonts w:ascii="Arial Narrow" w:hAnsi="Arial Narrow"/>
                <w:b/>
                <w:bCs/>
                <w:color w:val="000000" w:themeColor="text1"/>
                <w:sz w:val="20"/>
                <w:szCs w:val="20"/>
              </w:rPr>
              <w:t xml:space="preserve">Condition: </w:t>
            </w:r>
            <w:r w:rsidRPr="0073439E">
              <w:rPr>
                <w:rFonts w:ascii="Arial Narrow" w:hAnsi="Arial Narrow"/>
                <w:color w:val="000000" w:themeColor="text1"/>
                <w:sz w:val="20"/>
                <w:szCs w:val="20"/>
              </w:rPr>
              <w:t>Late-onset</w:t>
            </w:r>
            <w:r w:rsidRPr="0073439E">
              <w:rPr>
                <w:rFonts w:ascii="Arial Narrow" w:hAnsi="Arial Narrow"/>
                <w:b/>
                <w:bCs/>
                <w:color w:val="000000" w:themeColor="text1"/>
                <w:sz w:val="20"/>
                <w:szCs w:val="20"/>
              </w:rPr>
              <w:t xml:space="preserve"> </w:t>
            </w:r>
            <w:r w:rsidRPr="0073439E">
              <w:rPr>
                <w:rFonts w:ascii="Arial Narrow" w:hAnsi="Arial Narrow"/>
                <w:bCs/>
                <w:color w:val="000000" w:themeColor="text1"/>
                <w:sz w:val="20"/>
                <w:szCs w:val="20"/>
              </w:rPr>
              <w:t>Pompe disease (LOPD)</w:t>
            </w:r>
          </w:p>
        </w:tc>
      </w:tr>
      <w:tr w:rsidR="007A7F37" w:rsidRPr="006A4ACE" w14:paraId="40B9555F"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07C0CD" w14:textId="2BD25051" w:rsidR="007A7F37" w:rsidRPr="006A4ACE" w:rsidRDefault="007A7F37">
            <w:pPr>
              <w:keepLines/>
              <w:jc w:val="center"/>
              <w:rPr>
                <w:rFonts w:ascii="Arial Narrow" w:hAnsi="Arial Narrow"/>
                <w:color w:val="333333"/>
                <w:sz w:val="20"/>
                <w:szCs w:val="20"/>
              </w:rPr>
            </w:pPr>
          </w:p>
        </w:tc>
        <w:tc>
          <w:tcPr>
            <w:tcW w:w="7745" w:type="dxa"/>
            <w:gridSpan w:val="6"/>
            <w:vAlign w:val="center"/>
            <w:hideMark/>
          </w:tcPr>
          <w:p w14:paraId="547C5442" w14:textId="77777777" w:rsidR="007A7F37" w:rsidRPr="0073439E" w:rsidRDefault="007A7F37">
            <w:pPr>
              <w:keepLines/>
              <w:rPr>
                <w:rFonts w:ascii="Arial Narrow" w:hAnsi="Arial Narrow"/>
                <w:color w:val="000000" w:themeColor="text1"/>
                <w:sz w:val="20"/>
                <w:szCs w:val="20"/>
              </w:rPr>
            </w:pPr>
            <w:r w:rsidRPr="0073439E">
              <w:rPr>
                <w:rFonts w:ascii="Arial Narrow" w:hAnsi="Arial Narrow"/>
                <w:b/>
                <w:bCs/>
                <w:color w:val="000000" w:themeColor="text1"/>
                <w:sz w:val="20"/>
                <w:szCs w:val="20"/>
              </w:rPr>
              <w:t xml:space="preserve">Indication: </w:t>
            </w:r>
            <w:r w:rsidRPr="0073439E">
              <w:rPr>
                <w:rFonts w:ascii="Arial Narrow" w:hAnsi="Arial Narrow"/>
                <w:color w:val="000000" w:themeColor="text1"/>
                <w:sz w:val="20"/>
                <w:szCs w:val="20"/>
              </w:rPr>
              <w:t>Late-onset Pompe disease (LOPD)</w:t>
            </w:r>
          </w:p>
        </w:tc>
      </w:tr>
      <w:tr w:rsidR="007A7F37" w:rsidRPr="006A4ACE" w14:paraId="3D47919B"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0CFED9" w14:textId="77777777" w:rsidR="007A7F37" w:rsidRPr="006A4ACE" w:rsidRDefault="007A7F37">
            <w:pPr>
              <w:jc w:val="center"/>
              <w:rPr>
                <w:rFonts w:ascii="Arial Narrow" w:hAnsi="Arial Narrow"/>
                <w:sz w:val="20"/>
                <w:szCs w:val="20"/>
              </w:rPr>
            </w:pPr>
          </w:p>
        </w:tc>
        <w:tc>
          <w:tcPr>
            <w:tcW w:w="7745" w:type="dxa"/>
            <w:gridSpan w:val="6"/>
            <w:vAlign w:val="center"/>
            <w:hideMark/>
          </w:tcPr>
          <w:p w14:paraId="0A997C70" w14:textId="77777777" w:rsidR="007A7F37" w:rsidRPr="006A4ACE" w:rsidRDefault="007A7F37">
            <w:pPr>
              <w:rPr>
                <w:rFonts w:ascii="Arial Narrow" w:hAnsi="Arial Narrow"/>
                <w:sz w:val="20"/>
                <w:szCs w:val="20"/>
              </w:rPr>
            </w:pPr>
            <w:r w:rsidRPr="006A4ACE">
              <w:rPr>
                <w:rFonts w:ascii="Arial Narrow" w:hAnsi="Arial Narrow"/>
                <w:b/>
                <w:bCs/>
                <w:sz w:val="20"/>
                <w:szCs w:val="20"/>
              </w:rPr>
              <w:t>Treatment Phase:</w:t>
            </w:r>
            <w:r w:rsidRPr="006A4ACE">
              <w:rPr>
                <w:rFonts w:ascii="Arial Narrow" w:hAnsi="Arial Narrow"/>
                <w:sz w:val="20"/>
                <w:szCs w:val="20"/>
              </w:rPr>
              <w:t xml:space="preserve"> Initiation</w:t>
            </w:r>
          </w:p>
        </w:tc>
      </w:tr>
      <w:tr w:rsidR="007A7F37" w:rsidRPr="006A4ACE" w14:paraId="3D212E0B"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A9B4A2" w14:textId="3EBA9946" w:rsidR="007A7F37" w:rsidRPr="006A4ACE" w:rsidRDefault="007A7F37">
            <w:pPr>
              <w:jc w:val="center"/>
              <w:rPr>
                <w:rFonts w:ascii="Arial Narrow" w:hAnsi="Arial Narrow"/>
                <w:color w:val="333333"/>
                <w:sz w:val="20"/>
                <w:szCs w:val="20"/>
              </w:rPr>
            </w:pPr>
          </w:p>
        </w:tc>
        <w:tc>
          <w:tcPr>
            <w:tcW w:w="7745" w:type="dxa"/>
            <w:gridSpan w:val="6"/>
            <w:vAlign w:val="center"/>
            <w:hideMark/>
          </w:tcPr>
          <w:p w14:paraId="72839612" w14:textId="77777777" w:rsidR="007A7F37" w:rsidRPr="006A4ACE" w:rsidRDefault="007A7F37">
            <w:pPr>
              <w:rPr>
                <w:rFonts w:ascii="Arial Narrow" w:hAnsi="Arial Narrow"/>
                <w:sz w:val="20"/>
                <w:szCs w:val="20"/>
              </w:rPr>
            </w:pPr>
            <w:r w:rsidRPr="006A4ACE">
              <w:rPr>
                <w:rFonts w:ascii="Arial Narrow" w:hAnsi="Arial Narrow"/>
                <w:b/>
                <w:bCs/>
                <w:color w:val="333333"/>
                <w:sz w:val="20"/>
                <w:szCs w:val="20"/>
              </w:rPr>
              <w:t xml:space="preserve">Clinical criteria: </w:t>
            </w:r>
          </w:p>
        </w:tc>
      </w:tr>
      <w:tr w:rsidR="007A7F37" w:rsidRPr="006A4ACE" w14:paraId="3E7792BC"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F03F6D" w14:textId="1431DAC0" w:rsidR="007A7F37" w:rsidRPr="006A4ACE" w:rsidRDefault="007A7F37">
            <w:pPr>
              <w:jc w:val="center"/>
              <w:rPr>
                <w:rFonts w:ascii="Arial Narrow" w:hAnsi="Arial Narrow"/>
                <w:color w:val="333333"/>
                <w:sz w:val="20"/>
                <w:szCs w:val="20"/>
              </w:rPr>
            </w:pPr>
          </w:p>
        </w:tc>
        <w:tc>
          <w:tcPr>
            <w:tcW w:w="7745" w:type="dxa"/>
            <w:gridSpan w:val="6"/>
            <w:vAlign w:val="center"/>
            <w:hideMark/>
          </w:tcPr>
          <w:p w14:paraId="020CC1E8" w14:textId="128C9AD7" w:rsidR="007A7F37" w:rsidRPr="007A3355" w:rsidRDefault="007A7F37" w:rsidP="007A3355">
            <w:pPr>
              <w:pStyle w:val="PBACTabletext"/>
            </w:pPr>
            <w:r w:rsidRPr="006A4ACE">
              <w:t>The patient must be diagnosed with late-onset Pompe disease</w:t>
            </w:r>
          </w:p>
        </w:tc>
      </w:tr>
      <w:tr w:rsidR="007A7F37" w:rsidRPr="006A4ACE" w14:paraId="5906B636"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450BA5" w14:textId="77777777" w:rsidR="007A7F37" w:rsidRPr="006A4ACE" w:rsidRDefault="007A7F37">
            <w:pPr>
              <w:jc w:val="center"/>
              <w:rPr>
                <w:rFonts w:ascii="Arial Narrow" w:hAnsi="Arial Narrow"/>
                <w:color w:val="333333"/>
                <w:sz w:val="20"/>
                <w:szCs w:val="20"/>
              </w:rPr>
            </w:pPr>
          </w:p>
        </w:tc>
        <w:tc>
          <w:tcPr>
            <w:tcW w:w="7745" w:type="dxa"/>
            <w:gridSpan w:val="6"/>
            <w:vAlign w:val="center"/>
            <w:hideMark/>
          </w:tcPr>
          <w:p w14:paraId="4FDC7F26"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AND</w:t>
            </w:r>
          </w:p>
        </w:tc>
      </w:tr>
      <w:tr w:rsidR="007A7F37" w:rsidRPr="006A4ACE" w14:paraId="46DA3174"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89148C" w14:textId="48A540E2" w:rsidR="007A7F37" w:rsidRPr="006A4ACE" w:rsidRDefault="007A7F37">
            <w:pPr>
              <w:jc w:val="center"/>
              <w:rPr>
                <w:rFonts w:ascii="Arial Narrow" w:hAnsi="Arial Narrow"/>
                <w:color w:val="333333"/>
                <w:sz w:val="20"/>
                <w:szCs w:val="20"/>
              </w:rPr>
            </w:pPr>
          </w:p>
        </w:tc>
        <w:tc>
          <w:tcPr>
            <w:tcW w:w="7745" w:type="dxa"/>
            <w:gridSpan w:val="6"/>
            <w:vAlign w:val="center"/>
            <w:hideMark/>
          </w:tcPr>
          <w:p w14:paraId="32E64462"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Clinical criteria:</w:t>
            </w:r>
          </w:p>
        </w:tc>
      </w:tr>
      <w:tr w:rsidR="007A7F37" w:rsidRPr="006A4ACE" w14:paraId="18E1965E"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A7FE6A" w14:textId="4F31030B" w:rsidR="007A7F37" w:rsidRPr="006A4ACE" w:rsidRDefault="007A7F37">
            <w:pPr>
              <w:jc w:val="center"/>
              <w:rPr>
                <w:rFonts w:ascii="Arial Narrow" w:hAnsi="Arial Narrow"/>
                <w:color w:val="333333"/>
                <w:sz w:val="20"/>
                <w:szCs w:val="20"/>
              </w:rPr>
            </w:pPr>
          </w:p>
        </w:tc>
        <w:tc>
          <w:tcPr>
            <w:tcW w:w="7745" w:type="dxa"/>
            <w:gridSpan w:val="6"/>
            <w:vAlign w:val="center"/>
            <w:hideMark/>
          </w:tcPr>
          <w:p w14:paraId="36D80917" w14:textId="77777777" w:rsidR="007A7F37" w:rsidRPr="006A4ACE" w:rsidRDefault="007A7F37">
            <w:pPr>
              <w:pStyle w:val="PBACTabletext"/>
            </w:pPr>
            <w:r w:rsidRPr="006A4ACE">
              <w:t>The patient must not be on long term invasive ventilation for respiratory failure before starting ERT, which indicates a disease severity that will not benefit from treatment</w:t>
            </w:r>
          </w:p>
        </w:tc>
      </w:tr>
      <w:tr w:rsidR="007A7F37" w:rsidRPr="006A4ACE" w14:paraId="73CBBF91"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5253EA" w14:textId="77777777" w:rsidR="007A7F37" w:rsidRPr="006A4ACE" w:rsidRDefault="007A7F37">
            <w:pPr>
              <w:jc w:val="center"/>
              <w:rPr>
                <w:rFonts w:ascii="Arial Narrow" w:hAnsi="Arial Narrow"/>
                <w:color w:val="333333"/>
                <w:sz w:val="20"/>
                <w:szCs w:val="20"/>
              </w:rPr>
            </w:pPr>
          </w:p>
        </w:tc>
        <w:tc>
          <w:tcPr>
            <w:tcW w:w="7745" w:type="dxa"/>
            <w:gridSpan w:val="6"/>
            <w:vAlign w:val="center"/>
            <w:hideMark/>
          </w:tcPr>
          <w:p w14:paraId="6E6A0196"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AND</w:t>
            </w:r>
          </w:p>
        </w:tc>
      </w:tr>
      <w:tr w:rsidR="007A7F37" w:rsidRPr="006A4ACE" w14:paraId="41ADEA8C"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81030D" w14:textId="2D9D4EFD" w:rsidR="007A7F37" w:rsidRPr="006A4ACE" w:rsidRDefault="007A7F37">
            <w:pPr>
              <w:jc w:val="center"/>
              <w:rPr>
                <w:rFonts w:ascii="Arial Narrow" w:hAnsi="Arial Narrow"/>
                <w:color w:val="333333"/>
                <w:sz w:val="20"/>
                <w:szCs w:val="20"/>
              </w:rPr>
            </w:pPr>
          </w:p>
        </w:tc>
        <w:tc>
          <w:tcPr>
            <w:tcW w:w="7745" w:type="dxa"/>
            <w:gridSpan w:val="6"/>
            <w:vAlign w:val="center"/>
            <w:hideMark/>
          </w:tcPr>
          <w:p w14:paraId="725F00C8"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Clinical criteria:</w:t>
            </w:r>
          </w:p>
        </w:tc>
      </w:tr>
      <w:tr w:rsidR="007A7F37" w:rsidRPr="006A4ACE" w14:paraId="75FC4ED3"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0BDA4B" w14:textId="2760F43E" w:rsidR="007A7F37" w:rsidRPr="006A4ACE" w:rsidRDefault="007A7F37">
            <w:pPr>
              <w:jc w:val="center"/>
              <w:rPr>
                <w:rFonts w:ascii="Arial Narrow" w:hAnsi="Arial Narrow"/>
                <w:color w:val="333333"/>
                <w:sz w:val="20"/>
                <w:szCs w:val="20"/>
              </w:rPr>
            </w:pPr>
          </w:p>
        </w:tc>
        <w:tc>
          <w:tcPr>
            <w:tcW w:w="7745" w:type="dxa"/>
            <w:gridSpan w:val="6"/>
            <w:vAlign w:val="center"/>
            <w:hideMark/>
          </w:tcPr>
          <w:p w14:paraId="09C25C7F" w14:textId="77777777" w:rsidR="007A7F37" w:rsidRPr="006A4ACE" w:rsidRDefault="007A7F37">
            <w:pPr>
              <w:pStyle w:val="PBACTabletext"/>
            </w:pPr>
            <w:r w:rsidRPr="006A4ACE">
              <w:t>The patient must not have another life threatening or severe disease where prognosis is</w:t>
            </w:r>
          </w:p>
          <w:p w14:paraId="0063212C" w14:textId="77777777" w:rsidR="007A7F37" w:rsidRPr="006A4ACE" w:rsidRDefault="007A7F37">
            <w:pPr>
              <w:pStyle w:val="PBACTabletext"/>
            </w:pPr>
            <w:r w:rsidRPr="006A4ACE">
              <w:t>unlikely to be influenced by ERT</w:t>
            </w:r>
          </w:p>
        </w:tc>
      </w:tr>
      <w:tr w:rsidR="007A7F37" w:rsidRPr="006A4ACE" w14:paraId="187A3E42"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68FD8C" w14:textId="77777777" w:rsidR="007A7F37" w:rsidRPr="006A4ACE" w:rsidRDefault="007A7F37">
            <w:pPr>
              <w:jc w:val="center"/>
              <w:rPr>
                <w:rFonts w:ascii="Arial Narrow" w:hAnsi="Arial Narrow"/>
                <w:color w:val="333333"/>
                <w:sz w:val="20"/>
                <w:szCs w:val="20"/>
              </w:rPr>
            </w:pPr>
          </w:p>
        </w:tc>
        <w:tc>
          <w:tcPr>
            <w:tcW w:w="7745" w:type="dxa"/>
            <w:gridSpan w:val="6"/>
            <w:vAlign w:val="center"/>
          </w:tcPr>
          <w:p w14:paraId="35D3C6B1" w14:textId="77777777" w:rsidR="007A7F37" w:rsidRPr="006A4ACE" w:rsidRDefault="007A7F37">
            <w:pPr>
              <w:pStyle w:val="PBACTabletext"/>
            </w:pPr>
            <w:r w:rsidRPr="006A4ACE">
              <w:rPr>
                <w:b/>
                <w:bCs/>
                <w:color w:val="333333"/>
                <w:szCs w:val="20"/>
                <w:lang w:eastAsia="en-AU"/>
              </w:rPr>
              <w:t>AND</w:t>
            </w:r>
          </w:p>
        </w:tc>
      </w:tr>
      <w:tr w:rsidR="007A7F37" w:rsidRPr="006A4ACE" w14:paraId="3A167751"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B3282B" w14:textId="0D95E48B" w:rsidR="007A7F37" w:rsidRPr="006A4ACE" w:rsidRDefault="007A7F37">
            <w:pPr>
              <w:jc w:val="center"/>
              <w:rPr>
                <w:rFonts w:ascii="Arial Narrow" w:hAnsi="Arial Narrow"/>
                <w:color w:val="333333"/>
                <w:sz w:val="20"/>
                <w:szCs w:val="20"/>
              </w:rPr>
            </w:pPr>
          </w:p>
        </w:tc>
        <w:tc>
          <w:tcPr>
            <w:tcW w:w="7745" w:type="dxa"/>
            <w:gridSpan w:val="6"/>
            <w:vAlign w:val="center"/>
          </w:tcPr>
          <w:p w14:paraId="0818CA53" w14:textId="77777777" w:rsidR="007A7F37" w:rsidRPr="006A4ACE" w:rsidRDefault="007A7F37">
            <w:pPr>
              <w:pStyle w:val="PBACTabletext"/>
            </w:pPr>
            <w:r w:rsidRPr="006A4ACE">
              <w:rPr>
                <w:b/>
                <w:bCs/>
                <w:color w:val="333333"/>
                <w:szCs w:val="20"/>
                <w:lang w:eastAsia="en-AU"/>
              </w:rPr>
              <w:t>Clinical criteria:</w:t>
            </w:r>
          </w:p>
        </w:tc>
      </w:tr>
      <w:tr w:rsidR="007A7F37" w:rsidRPr="006A4ACE" w14:paraId="4AC6C904"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EC3BDD" w14:textId="1D52DAAB" w:rsidR="007A7F37" w:rsidRPr="006A4ACE" w:rsidRDefault="007A7F37">
            <w:pPr>
              <w:jc w:val="center"/>
              <w:rPr>
                <w:rFonts w:ascii="Arial Narrow" w:hAnsi="Arial Narrow"/>
                <w:color w:val="333333"/>
                <w:sz w:val="20"/>
                <w:szCs w:val="20"/>
              </w:rPr>
            </w:pPr>
          </w:p>
        </w:tc>
        <w:tc>
          <w:tcPr>
            <w:tcW w:w="7745" w:type="dxa"/>
            <w:gridSpan w:val="6"/>
            <w:vAlign w:val="center"/>
          </w:tcPr>
          <w:p w14:paraId="23C1542B" w14:textId="77777777" w:rsidR="007A7F37" w:rsidRPr="006A4ACE" w:rsidRDefault="007A7F37">
            <w:pPr>
              <w:pStyle w:val="PBACTabletext"/>
            </w:pPr>
            <w:r w:rsidRPr="006A4ACE">
              <w:t>The patient must not have another medical condition that might reasonably be expected to compromise a response to ERT</w:t>
            </w:r>
          </w:p>
        </w:tc>
      </w:tr>
      <w:tr w:rsidR="007A7F37" w:rsidRPr="006A4ACE" w14:paraId="08C28778"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1A7EA9" w14:textId="77777777" w:rsidR="007A7F37" w:rsidRPr="006A4ACE" w:rsidRDefault="007A7F37">
            <w:pPr>
              <w:jc w:val="center"/>
              <w:rPr>
                <w:rFonts w:ascii="Arial Narrow" w:hAnsi="Arial Narrow"/>
                <w:color w:val="333333"/>
                <w:sz w:val="20"/>
                <w:szCs w:val="20"/>
              </w:rPr>
            </w:pPr>
          </w:p>
        </w:tc>
        <w:tc>
          <w:tcPr>
            <w:tcW w:w="7745" w:type="dxa"/>
            <w:gridSpan w:val="6"/>
            <w:vAlign w:val="center"/>
          </w:tcPr>
          <w:p w14:paraId="5E79FBEC" w14:textId="77777777" w:rsidR="007A7F37" w:rsidRPr="006A4ACE" w:rsidRDefault="007A7F37">
            <w:pPr>
              <w:pStyle w:val="PBACTabletext"/>
            </w:pPr>
            <w:r w:rsidRPr="006A4ACE">
              <w:rPr>
                <w:b/>
                <w:bCs/>
                <w:color w:val="333333"/>
                <w:szCs w:val="20"/>
                <w:lang w:eastAsia="en-AU"/>
              </w:rPr>
              <w:t>AND</w:t>
            </w:r>
          </w:p>
        </w:tc>
      </w:tr>
      <w:tr w:rsidR="007A7F37" w:rsidRPr="006A4ACE" w14:paraId="79229D7C"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D3CE4D" w14:textId="6E17DF57" w:rsidR="007A7F37" w:rsidRPr="006A4ACE" w:rsidRDefault="007A7F37">
            <w:pPr>
              <w:jc w:val="center"/>
              <w:rPr>
                <w:rFonts w:ascii="Arial Narrow" w:hAnsi="Arial Narrow"/>
                <w:color w:val="333333"/>
                <w:sz w:val="20"/>
                <w:szCs w:val="20"/>
              </w:rPr>
            </w:pPr>
          </w:p>
        </w:tc>
        <w:tc>
          <w:tcPr>
            <w:tcW w:w="7745" w:type="dxa"/>
            <w:gridSpan w:val="6"/>
            <w:vAlign w:val="center"/>
          </w:tcPr>
          <w:p w14:paraId="3D9E334B" w14:textId="77777777" w:rsidR="007A7F37" w:rsidRPr="006A4ACE" w:rsidRDefault="007A7F37">
            <w:pPr>
              <w:pStyle w:val="PBACTabletext"/>
            </w:pPr>
            <w:r w:rsidRPr="006A4ACE">
              <w:rPr>
                <w:b/>
                <w:bCs/>
                <w:color w:val="333333"/>
                <w:szCs w:val="20"/>
                <w:lang w:eastAsia="en-AU"/>
              </w:rPr>
              <w:t>Clinical criteria:</w:t>
            </w:r>
          </w:p>
        </w:tc>
      </w:tr>
      <w:tr w:rsidR="007A7F37" w:rsidRPr="006A4ACE" w14:paraId="7920C025"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0084B3" w14:textId="02F8C0EE" w:rsidR="007A7F37" w:rsidRPr="006A4ACE" w:rsidRDefault="007A7F37">
            <w:pPr>
              <w:jc w:val="center"/>
              <w:rPr>
                <w:rFonts w:ascii="Arial Narrow" w:hAnsi="Arial Narrow"/>
                <w:color w:val="333333"/>
                <w:sz w:val="20"/>
                <w:szCs w:val="20"/>
              </w:rPr>
            </w:pPr>
          </w:p>
        </w:tc>
        <w:tc>
          <w:tcPr>
            <w:tcW w:w="7745" w:type="dxa"/>
            <w:gridSpan w:val="6"/>
            <w:vAlign w:val="center"/>
          </w:tcPr>
          <w:p w14:paraId="6EEF9B2B" w14:textId="77777777" w:rsidR="007A7F37" w:rsidRPr="006A4ACE" w:rsidRDefault="007A7F37">
            <w:pPr>
              <w:pStyle w:val="PBACTabletext"/>
            </w:pPr>
            <w:r w:rsidRPr="006A4ACE">
              <w:t>The patient must not be a current smoker</w:t>
            </w:r>
          </w:p>
        </w:tc>
      </w:tr>
      <w:tr w:rsidR="007A7F37" w:rsidRPr="006A4ACE" w14:paraId="5B3FB99F"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7851A3" w14:textId="77777777" w:rsidR="007A7F37" w:rsidRPr="006A4ACE" w:rsidRDefault="007A7F37">
            <w:pPr>
              <w:jc w:val="center"/>
              <w:rPr>
                <w:rFonts w:ascii="Arial Narrow" w:hAnsi="Arial Narrow"/>
                <w:color w:val="333333"/>
                <w:sz w:val="20"/>
                <w:szCs w:val="20"/>
              </w:rPr>
            </w:pPr>
          </w:p>
        </w:tc>
        <w:tc>
          <w:tcPr>
            <w:tcW w:w="7745" w:type="dxa"/>
            <w:gridSpan w:val="6"/>
            <w:vAlign w:val="center"/>
          </w:tcPr>
          <w:p w14:paraId="3AE0C058" w14:textId="77777777" w:rsidR="007A7F37" w:rsidRPr="006A4ACE" w:rsidRDefault="007A7F37">
            <w:pPr>
              <w:pStyle w:val="PBACTabletext"/>
            </w:pPr>
            <w:r w:rsidRPr="006A4ACE">
              <w:rPr>
                <w:b/>
                <w:bCs/>
                <w:color w:val="333333"/>
                <w:szCs w:val="20"/>
                <w:lang w:eastAsia="en-AU"/>
              </w:rPr>
              <w:t>AND</w:t>
            </w:r>
          </w:p>
        </w:tc>
      </w:tr>
      <w:tr w:rsidR="007A7F37" w:rsidRPr="006A4ACE" w14:paraId="354F38D9"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C0F7CE" w14:textId="1C0E2CC7" w:rsidR="007A7F37" w:rsidRPr="006A4ACE" w:rsidRDefault="007A7F37">
            <w:pPr>
              <w:keepNext/>
              <w:jc w:val="center"/>
              <w:rPr>
                <w:rFonts w:ascii="Arial Narrow" w:hAnsi="Arial Narrow"/>
                <w:color w:val="333333"/>
                <w:sz w:val="20"/>
                <w:szCs w:val="20"/>
              </w:rPr>
            </w:pPr>
          </w:p>
        </w:tc>
        <w:tc>
          <w:tcPr>
            <w:tcW w:w="7745" w:type="dxa"/>
            <w:gridSpan w:val="6"/>
            <w:vAlign w:val="center"/>
            <w:hideMark/>
          </w:tcPr>
          <w:p w14:paraId="23EF7B05" w14:textId="77777777" w:rsidR="007A7F37" w:rsidRPr="006A4ACE" w:rsidRDefault="007A7F37">
            <w:pPr>
              <w:keepNext/>
              <w:rPr>
                <w:rFonts w:ascii="Arial Narrow" w:hAnsi="Arial Narrow"/>
                <w:color w:val="333333"/>
                <w:sz w:val="20"/>
                <w:szCs w:val="20"/>
              </w:rPr>
            </w:pPr>
            <w:r w:rsidRPr="006A4ACE">
              <w:rPr>
                <w:rFonts w:ascii="Arial Narrow" w:hAnsi="Arial Narrow"/>
                <w:b/>
                <w:bCs/>
                <w:color w:val="333333"/>
                <w:sz w:val="20"/>
                <w:szCs w:val="20"/>
              </w:rPr>
              <w:t>Clinical criteria:</w:t>
            </w:r>
          </w:p>
        </w:tc>
      </w:tr>
      <w:tr w:rsidR="007A7F37" w:rsidRPr="006A4ACE" w14:paraId="5C0ECC19"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44A1FE" w14:textId="6D1367BB" w:rsidR="007A7F37" w:rsidRPr="006A4ACE" w:rsidRDefault="007A7F37">
            <w:pPr>
              <w:keepNext/>
              <w:jc w:val="center"/>
              <w:rPr>
                <w:rFonts w:ascii="Arial Narrow" w:hAnsi="Arial Narrow"/>
                <w:color w:val="333333"/>
                <w:sz w:val="20"/>
                <w:szCs w:val="20"/>
              </w:rPr>
            </w:pPr>
          </w:p>
        </w:tc>
        <w:tc>
          <w:tcPr>
            <w:tcW w:w="7745" w:type="dxa"/>
            <w:gridSpan w:val="6"/>
            <w:vAlign w:val="center"/>
          </w:tcPr>
          <w:p w14:paraId="530759D9" w14:textId="77777777" w:rsidR="007A7F37" w:rsidRPr="006A4ACE" w:rsidRDefault="007A7F37">
            <w:pPr>
              <w:keepNext/>
              <w:rPr>
                <w:rFonts w:ascii="Arial Narrow" w:hAnsi="Arial Narrow"/>
                <w:color w:val="333333"/>
                <w:sz w:val="20"/>
                <w:szCs w:val="20"/>
              </w:rPr>
            </w:pPr>
            <w:r w:rsidRPr="00580FFE">
              <w:rPr>
                <w:rFonts w:ascii="Arial Narrow" w:hAnsi="Arial Narrow"/>
                <w:sz w:val="20"/>
                <w:szCs w:val="20"/>
              </w:rPr>
              <w:t>The patient must present with FVC, supine and erect, &lt; 80% of the predicted value</w:t>
            </w:r>
          </w:p>
        </w:tc>
      </w:tr>
      <w:tr w:rsidR="007A7F37" w:rsidRPr="006A4ACE" w14:paraId="78C7400F"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B8B4FF" w14:textId="77777777" w:rsidR="007A7F37" w:rsidRPr="006A4ACE" w:rsidRDefault="007A7F37">
            <w:pPr>
              <w:keepNext/>
              <w:jc w:val="center"/>
              <w:rPr>
                <w:rFonts w:ascii="Arial Narrow" w:hAnsi="Arial Narrow"/>
                <w:color w:val="333333"/>
                <w:sz w:val="20"/>
                <w:szCs w:val="20"/>
              </w:rPr>
            </w:pPr>
          </w:p>
        </w:tc>
        <w:tc>
          <w:tcPr>
            <w:tcW w:w="7745" w:type="dxa"/>
            <w:gridSpan w:val="6"/>
            <w:vAlign w:val="center"/>
          </w:tcPr>
          <w:p w14:paraId="4F047347" w14:textId="77777777" w:rsidR="007A7F37" w:rsidRPr="006A4ACE" w:rsidRDefault="007A7F37">
            <w:pPr>
              <w:keepNext/>
              <w:rPr>
                <w:rFonts w:ascii="Arial Narrow" w:hAnsi="Arial Narrow"/>
                <w:b/>
                <w:bCs/>
                <w:color w:val="333333"/>
                <w:sz w:val="20"/>
                <w:szCs w:val="20"/>
              </w:rPr>
            </w:pPr>
            <w:r w:rsidRPr="006A4ACE">
              <w:rPr>
                <w:rFonts w:ascii="Arial Narrow" w:hAnsi="Arial Narrow"/>
                <w:b/>
                <w:bCs/>
                <w:color w:val="333333"/>
                <w:sz w:val="20"/>
                <w:szCs w:val="20"/>
              </w:rPr>
              <w:t>OR</w:t>
            </w:r>
          </w:p>
        </w:tc>
      </w:tr>
      <w:tr w:rsidR="007A7F37" w:rsidRPr="006A4ACE" w14:paraId="4009E644"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F1746A" w14:textId="68E47A22" w:rsidR="007A7F37" w:rsidRPr="006A4ACE" w:rsidRDefault="007A7F37">
            <w:pPr>
              <w:keepNext/>
              <w:jc w:val="center"/>
              <w:rPr>
                <w:rFonts w:ascii="Arial Narrow" w:hAnsi="Arial Narrow"/>
                <w:color w:val="333333"/>
                <w:sz w:val="20"/>
                <w:szCs w:val="20"/>
              </w:rPr>
            </w:pPr>
          </w:p>
        </w:tc>
        <w:tc>
          <w:tcPr>
            <w:tcW w:w="7745" w:type="dxa"/>
            <w:gridSpan w:val="6"/>
            <w:vAlign w:val="center"/>
          </w:tcPr>
          <w:p w14:paraId="600BCED0" w14:textId="77777777" w:rsidR="007A7F37" w:rsidRPr="006A4ACE" w:rsidRDefault="007A7F37">
            <w:pPr>
              <w:pStyle w:val="PBACTabletext"/>
            </w:pPr>
            <w:r w:rsidRPr="006A4ACE">
              <w:t>The patient must have sleep disordered breathing;</w:t>
            </w:r>
          </w:p>
        </w:tc>
      </w:tr>
      <w:tr w:rsidR="007A7F37" w:rsidRPr="006A4ACE" w14:paraId="51E56A03"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D39D56" w14:textId="77777777" w:rsidR="007A7F37" w:rsidRPr="006A4ACE" w:rsidRDefault="007A7F37">
            <w:pPr>
              <w:keepNext/>
              <w:jc w:val="center"/>
              <w:rPr>
                <w:rFonts w:ascii="Arial Narrow" w:hAnsi="Arial Narrow"/>
                <w:color w:val="333333"/>
                <w:sz w:val="20"/>
                <w:szCs w:val="20"/>
              </w:rPr>
            </w:pPr>
          </w:p>
        </w:tc>
        <w:tc>
          <w:tcPr>
            <w:tcW w:w="7745" w:type="dxa"/>
            <w:gridSpan w:val="6"/>
            <w:vAlign w:val="center"/>
          </w:tcPr>
          <w:p w14:paraId="0F47D5E5" w14:textId="77777777" w:rsidR="007A7F37" w:rsidRPr="006A4ACE" w:rsidRDefault="007A7F37">
            <w:pPr>
              <w:keepNext/>
              <w:rPr>
                <w:rFonts w:ascii="Arial Narrow" w:hAnsi="Arial Narrow"/>
                <w:b/>
                <w:bCs/>
                <w:color w:val="333333"/>
                <w:sz w:val="20"/>
                <w:szCs w:val="20"/>
              </w:rPr>
            </w:pPr>
            <w:r w:rsidRPr="006A4ACE">
              <w:rPr>
                <w:rFonts w:ascii="Arial Narrow" w:hAnsi="Arial Narrow"/>
                <w:b/>
                <w:bCs/>
                <w:color w:val="333333"/>
                <w:sz w:val="20"/>
                <w:szCs w:val="20"/>
              </w:rPr>
              <w:t>OR</w:t>
            </w:r>
          </w:p>
        </w:tc>
      </w:tr>
      <w:tr w:rsidR="007A7F37" w:rsidRPr="006A4ACE" w14:paraId="3650FBB4"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920DB4A" w14:textId="202E6AC8" w:rsidR="007A7F37" w:rsidRPr="006A4ACE" w:rsidRDefault="007A7F37">
            <w:pPr>
              <w:keepNext/>
              <w:jc w:val="center"/>
              <w:rPr>
                <w:rFonts w:ascii="Arial Narrow" w:hAnsi="Arial Narrow"/>
                <w:color w:val="333333"/>
                <w:sz w:val="20"/>
                <w:szCs w:val="20"/>
              </w:rPr>
            </w:pPr>
          </w:p>
        </w:tc>
        <w:tc>
          <w:tcPr>
            <w:tcW w:w="7745" w:type="dxa"/>
            <w:gridSpan w:val="6"/>
            <w:vAlign w:val="center"/>
          </w:tcPr>
          <w:p w14:paraId="2C899CCC" w14:textId="77777777" w:rsidR="007A7F37" w:rsidRPr="006A4ACE" w:rsidRDefault="007A7F37">
            <w:pPr>
              <w:keepNext/>
              <w:rPr>
                <w:rFonts w:ascii="Arial Narrow" w:hAnsi="Arial Narrow"/>
                <w:color w:val="333333"/>
                <w:sz w:val="20"/>
                <w:szCs w:val="20"/>
              </w:rPr>
            </w:pPr>
            <w:r w:rsidRPr="006A4ACE">
              <w:rPr>
                <w:rFonts w:ascii="Arial Narrow" w:hAnsi="Arial Narrow"/>
                <w:color w:val="333333"/>
                <w:sz w:val="20"/>
                <w:szCs w:val="20"/>
              </w:rPr>
              <w:t>The patient must have significant muscular weakness.</w:t>
            </w:r>
          </w:p>
        </w:tc>
      </w:tr>
      <w:tr w:rsidR="007A7F37" w:rsidRPr="006A4ACE" w14:paraId="065F6EE8"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BD4E7B4" w14:textId="77777777" w:rsidR="007A7F37" w:rsidRPr="006A4ACE" w:rsidRDefault="007A7F37">
            <w:pPr>
              <w:keepNext/>
              <w:jc w:val="center"/>
              <w:rPr>
                <w:rFonts w:ascii="Arial Narrow" w:hAnsi="Arial Narrow"/>
                <w:color w:val="333333"/>
                <w:sz w:val="20"/>
                <w:szCs w:val="20"/>
              </w:rPr>
            </w:pPr>
          </w:p>
        </w:tc>
        <w:tc>
          <w:tcPr>
            <w:tcW w:w="7745" w:type="dxa"/>
            <w:gridSpan w:val="6"/>
            <w:vAlign w:val="center"/>
          </w:tcPr>
          <w:p w14:paraId="11C9D0E4" w14:textId="77777777" w:rsidR="007A7F37" w:rsidRPr="006A4ACE" w:rsidRDefault="007A7F37">
            <w:pPr>
              <w:keepNext/>
              <w:rPr>
                <w:rFonts w:ascii="Arial Narrow" w:hAnsi="Arial Narrow"/>
                <w:b/>
                <w:bCs/>
                <w:color w:val="333333"/>
                <w:sz w:val="20"/>
                <w:szCs w:val="20"/>
              </w:rPr>
            </w:pPr>
            <w:r w:rsidRPr="006A4ACE">
              <w:rPr>
                <w:rFonts w:ascii="Arial Narrow" w:hAnsi="Arial Narrow"/>
                <w:b/>
                <w:bCs/>
                <w:color w:val="333333"/>
                <w:sz w:val="20"/>
                <w:szCs w:val="20"/>
              </w:rPr>
              <w:t>AND</w:t>
            </w:r>
          </w:p>
        </w:tc>
      </w:tr>
      <w:tr w:rsidR="007A7F37" w:rsidRPr="006A4ACE" w14:paraId="30E3D4BF"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2E76FA" w14:textId="2FC33ADF" w:rsidR="007A7F37" w:rsidRPr="006A4ACE" w:rsidRDefault="007A7F37">
            <w:pPr>
              <w:keepNext/>
              <w:jc w:val="center"/>
              <w:rPr>
                <w:rFonts w:ascii="Arial Narrow" w:hAnsi="Arial Narrow"/>
                <w:color w:val="333333"/>
                <w:sz w:val="20"/>
                <w:szCs w:val="20"/>
              </w:rPr>
            </w:pPr>
          </w:p>
        </w:tc>
        <w:tc>
          <w:tcPr>
            <w:tcW w:w="7745" w:type="dxa"/>
            <w:gridSpan w:val="6"/>
            <w:vAlign w:val="center"/>
          </w:tcPr>
          <w:p w14:paraId="0F970D3F" w14:textId="77777777" w:rsidR="007A7F37" w:rsidRPr="006A4ACE" w:rsidRDefault="007A7F37">
            <w:pPr>
              <w:keepNext/>
              <w:rPr>
                <w:rFonts w:ascii="Arial Narrow" w:hAnsi="Arial Narrow"/>
                <w:b/>
                <w:bCs/>
                <w:color w:val="333333"/>
                <w:sz w:val="20"/>
                <w:szCs w:val="20"/>
              </w:rPr>
            </w:pPr>
            <w:r w:rsidRPr="006A4ACE">
              <w:rPr>
                <w:rFonts w:ascii="Arial Narrow" w:hAnsi="Arial Narrow"/>
                <w:b/>
                <w:bCs/>
                <w:color w:val="333333"/>
                <w:sz w:val="20"/>
                <w:szCs w:val="20"/>
              </w:rPr>
              <w:t>Treatment criteria:</w:t>
            </w:r>
          </w:p>
        </w:tc>
      </w:tr>
      <w:tr w:rsidR="007A7F37" w:rsidRPr="006A4ACE" w14:paraId="23F02F1A"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657955" w14:textId="6239207D" w:rsidR="007A7F37" w:rsidRPr="006A4ACE" w:rsidRDefault="007A7F37">
            <w:pPr>
              <w:keepNext/>
              <w:jc w:val="center"/>
              <w:rPr>
                <w:rFonts w:ascii="Arial Narrow" w:hAnsi="Arial Narrow"/>
                <w:color w:val="333333"/>
                <w:sz w:val="20"/>
                <w:szCs w:val="20"/>
              </w:rPr>
            </w:pPr>
          </w:p>
        </w:tc>
        <w:tc>
          <w:tcPr>
            <w:tcW w:w="7745" w:type="dxa"/>
            <w:gridSpan w:val="6"/>
            <w:vAlign w:val="center"/>
          </w:tcPr>
          <w:p w14:paraId="62EC7277" w14:textId="77777777" w:rsidR="007A7F37" w:rsidRPr="006A4ACE" w:rsidRDefault="007A7F37">
            <w:pPr>
              <w:pStyle w:val="PBACTabletext"/>
            </w:pPr>
            <w:r w:rsidRPr="006A4ACE">
              <w:t xml:space="preserve">Must not be administered concomitantly with alglucosidase alfa or </w:t>
            </w:r>
            <w:proofErr w:type="spellStart"/>
            <w:r w:rsidRPr="006A4ACE">
              <w:t>avalglucosidase</w:t>
            </w:r>
            <w:proofErr w:type="spellEnd"/>
            <w:r w:rsidRPr="006A4ACE">
              <w:t xml:space="preserve"> alfa</w:t>
            </w:r>
          </w:p>
        </w:tc>
      </w:tr>
      <w:tr w:rsidR="007A7F37" w:rsidRPr="006A4ACE" w14:paraId="68EDE490"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4BB330" w14:textId="77777777" w:rsidR="007A7F37" w:rsidRPr="006A4ACE" w:rsidRDefault="007A7F37">
            <w:pPr>
              <w:keepNext/>
              <w:jc w:val="center"/>
              <w:rPr>
                <w:rFonts w:ascii="Arial Narrow" w:hAnsi="Arial Narrow"/>
                <w:color w:val="333333"/>
                <w:sz w:val="20"/>
                <w:szCs w:val="20"/>
              </w:rPr>
            </w:pPr>
          </w:p>
        </w:tc>
        <w:tc>
          <w:tcPr>
            <w:tcW w:w="7745" w:type="dxa"/>
            <w:gridSpan w:val="6"/>
            <w:vAlign w:val="center"/>
          </w:tcPr>
          <w:p w14:paraId="032621DE" w14:textId="77777777" w:rsidR="007A7F37" w:rsidRPr="006A4ACE" w:rsidRDefault="007A7F37">
            <w:pPr>
              <w:keepNext/>
              <w:rPr>
                <w:rFonts w:ascii="Arial Narrow" w:hAnsi="Arial Narrow"/>
                <w:b/>
                <w:bCs/>
                <w:color w:val="333333"/>
                <w:sz w:val="20"/>
                <w:szCs w:val="20"/>
              </w:rPr>
            </w:pPr>
            <w:r w:rsidRPr="006A4ACE">
              <w:rPr>
                <w:rFonts w:ascii="Arial Narrow" w:hAnsi="Arial Narrow"/>
                <w:b/>
                <w:bCs/>
                <w:color w:val="333333"/>
                <w:sz w:val="20"/>
                <w:szCs w:val="20"/>
              </w:rPr>
              <w:t>AND</w:t>
            </w:r>
          </w:p>
        </w:tc>
      </w:tr>
      <w:tr w:rsidR="007A7F37" w:rsidRPr="006A4ACE" w14:paraId="7E4540B5"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665AE2" w14:textId="3B9FBB99" w:rsidR="007A7F37" w:rsidRPr="006A4ACE" w:rsidRDefault="007A7F37">
            <w:pPr>
              <w:keepNext/>
              <w:jc w:val="center"/>
              <w:rPr>
                <w:rFonts w:ascii="Arial Narrow" w:hAnsi="Arial Narrow"/>
                <w:color w:val="333333"/>
                <w:sz w:val="20"/>
                <w:szCs w:val="20"/>
              </w:rPr>
            </w:pPr>
          </w:p>
        </w:tc>
        <w:tc>
          <w:tcPr>
            <w:tcW w:w="7745" w:type="dxa"/>
            <w:gridSpan w:val="6"/>
            <w:vAlign w:val="center"/>
          </w:tcPr>
          <w:p w14:paraId="36B9502B" w14:textId="77777777" w:rsidR="007A7F37" w:rsidRPr="006A4ACE" w:rsidRDefault="007A7F37">
            <w:pPr>
              <w:keepNext/>
              <w:rPr>
                <w:rFonts w:ascii="Arial Narrow" w:hAnsi="Arial Narrow"/>
                <w:b/>
                <w:bCs/>
                <w:color w:val="333333"/>
                <w:sz w:val="20"/>
                <w:szCs w:val="20"/>
              </w:rPr>
            </w:pPr>
            <w:r w:rsidRPr="006A4ACE">
              <w:rPr>
                <w:rFonts w:ascii="Arial Narrow" w:hAnsi="Arial Narrow"/>
                <w:b/>
                <w:bCs/>
                <w:color w:val="333333"/>
                <w:sz w:val="20"/>
                <w:szCs w:val="20"/>
              </w:rPr>
              <w:t>Treatment criteria:</w:t>
            </w:r>
          </w:p>
        </w:tc>
      </w:tr>
      <w:tr w:rsidR="007A7F37" w:rsidRPr="006A4ACE" w14:paraId="4DD53C63"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D05DB5" w14:textId="3A78CA60" w:rsidR="007A7F37" w:rsidRPr="006A4ACE" w:rsidRDefault="007A7F37">
            <w:pPr>
              <w:keepNext/>
              <w:jc w:val="center"/>
              <w:rPr>
                <w:rFonts w:ascii="Arial Narrow" w:hAnsi="Arial Narrow"/>
                <w:color w:val="333333"/>
                <w:sz w:val="20"/>
                <w:szCs w:val="20"/>
              </w:rPr>
            </w:pPr>
          </w:p>
        </w:tc>
        <w:tc>
          <w:tcPr>
            <w:tcW w:w="7745" w:type="dxa"/>
            <w:gridSpan w:val="6"/>
            <w:vAlign w:val="center"/>
          </w:tcPr>
          <w:p w14:paraId="71A7CFA1" w14:textId="77777777" w:rsidR="007A7F37" w:rsidRPr="006A4ACE" w:rsidRDefault="007A7F37">
            <w:pPr>
              <w:keepNext/>
              <w:rPr>
                <w:rFonts w:ascii="Arial Narrow" w:hAnsi="Arial Narrow"/>
                <w:color w:val="333333"/>
                <w:sz w:val="20"/>
                <w:szCs w:val="20"/>
              </w:rPr>
            </w:pPr>
            <w:r w:rsidRPr="006A4ACE">
              <w:rPr>
                <w:rFonts w:ascii="Arial Narrow" w:hAnsi="Arial Narrow"/>
                <w:color w:val="333333"/>
                <w:sz w:val="20"/>
                <w:szCs w:val="20"/>
              </w:rPr>
              <w:t xml:space="preserve">Must be used in combination with </w:t>
            </w:r>
            <w:proofErr w:type="spellStart"/>
            <w:r w:rsidRPr="006A4ACE">
              <w:rPr>
                <w:rFonts w:ascii="Arial Narrow" w:hAnsi="Arial Narrow"/>
                <w:color w:val="333333"/>
                <w:sz w:val="20"/>
                <w:szCs w:val="20"/>
              </w:rPr>
              <w:t>miglustat</w:t>
            </w:r>
            <w:proofErr w:type="spellEnd"/>
          </w:p>
        </w:tc>
      </w:tr>
      <w:tr w:rsidR="007A7F37" w:rsidRPr="006A4ACE" w14:paraId="49E7B6FF" w14:textId="77777777" w:rsidTr="0088124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7A8732" w14:textId="7745A36B" w:rsidR="007A7F37" w:rsidRPr="006A4ACE" w:rsidRDefault="007A7F37">
            <w:pPr>
              <w:jc w:val="center"/>
              <w:rPr>
                <w:rFonts w:ascii="Arial Narrow" w:hAnsi="Arial Narrow"/>
                <w:color w:val="333333"/>
                <w:sz w:val="20"/>
                <w:szCs w:val="20"/>
              </w:rPr>
            </w:pPr>
          </w:p>
        </w:tc>
        <w:tc>
          <w:tcPr>
            <w:tcW w:w="7745" w:type="dxa"/>
            <w:gridSpan w:val="6"/>
            <w:vAlign w:val="center"/>
            <w:hideMark/>
          </w:tcPr>
          <w:p w14:paraId="5FA14BD9"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Population criteria:</w:t>
            </w:r>
          </w:p>
        </w:tc>
      </w:tr>
      <w:tr w:rsidR="007A7F37" w:rsidRPr="006A4ACE" w14:paraId="1A67947F" w14:textId="77777777" w:rsidTr="008254D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643571" w14:textId="5FF7EE1F" w:rsidR="007A7F37" w:rsidRPr="006A4ACE" w:rsidRDefault="007A7F37">
            <w:pPr>
              <w:jc w:val="center"/>
              <w:rPr>
                <w:rFonts w:ascii="Arial Narrow" w:hAnsi="Arial Narrow"/>
                <w:sz w:val="20"/>
                <w:szCs w:val="20"/>
              </w:rPr>
            </w:pPr>
          </w:p>
        </w:tc>
        <w:tc>
          <w:tcPr>
            <w:tcW w:w="7745" w:type="dxa"/>
            <w:gridSpan w:val="6"/>
            <w:vAlign w:val="center"/>
            <w:hideMark/>
          </w:tcPr>
          <w:p w14:paraId="746323F6" w14:textId="77777777" w:rsidR="007A7F37" w:rsidRPr="006A4ACE" w:rsidRDefault="007A7F37">
            <w:pPr>
              <w:rPr>
                <w:rFonts w:ascii="Arial Narrow" w:hAnsi="Arial Narrow"/>
                <w:sz w:val="20"/>
                <w:szCs w:val="20"/>
              </w:rPr>
            </w:pPr>
            <w:r w:rsidRPr="006A4ACE">
              <w:rPr>
                <w:rFonts w:ascii="Arial Narrow" w:hAnsi="Arial Narrow"/>
                <w:sz w:val="20"/>
                <w:szCs w:val="20"/>
              </w:rPr>
              <w:t>Patient must be at least 18 years of age</w:t>
            </w:r>
          </w:p>
        </w:tc>
      </w:tr>
      <w:tr w:rsidR="007A7F37" w:rsidRPr="006A4ACE" w14:paraId="6BDBB607" w14:textId="77777777" w:rsidTr="008254D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B896FE" w14:textId="371F6F2A" w:rsidR="007A7F37" w:rsidRPr="006A4ACE" w:rsidRDefault="007A7F37">
            <w:pPr>
              <w:jc w:val="center"/>
              <w:rPr>
                <w:rFonts w:ascii="Arial Narrow" w:hAnsi="Arial Narrow"/>
                <w:i/>
                <w:iCs/>
                <w:color w:val="333333"/>
                <w:sz w:val="20"/>
                <w:szCs w:val="20"/>
              </w:rPr>
            </w:pPr>
          </w:p>
        </w:tc>
        <w:tc>
          <w:tcPr>
            <w:tcW w:w="7745" w:type="dxa"/>
            <w:gridSpan w:val="6"/>
            <w:vAlign w:val="center"/>
            <w:hideMark/>
          </w:tcPr>
          <w:p w14:paraId="4E85535B" w14:textId="77777777" w:rsidR="007A7F37" w:rsidRPr="006A4ACE" w:rsidRDefault="007A7F37">
            <w:pPr>
              <w:rPr>
                <w:rFonts w:ascii="Arial Narrow" w:hAnsi="Arial Narrow"/>
                <w:i/>
                <w:iCs/>
                <w:sz w:val="20"/>
                <w:szCs w:val="20"/>
              </w:rPr>
            </w:pPr>
            <w:r w:rsidRPr="006A4ACE">
              <w:rPr>
                <w:rFonts w:ascii="Arial Narrow" w:hAnsi="Arial Narrow"/>
                <w:b/>
                <w:bCs/>
                <w:i/>
                <w:iCs/>
                <w:color w:val="333333"/>
                <w:sz w:val="20"/>
                <w:szCs w:val="20"/>
              </w:rPr>
              <w:t xml:space="preserve">Prescribing Instructions: </w:t>
            </w:r>
            <w:r w:rsidRPr="006A4ACE">
              <w:rPr>
                <w:rFonts w:ascii="Arial Narrow" w:hAnsi="Arial Narrow"/>
                <w:i/>
                <w:iCs/>
                <w:color w:val="333333"/>
                <w:sz w:val="20"/>
                <w:szCs w:val="20"/>
              </w:rPr>
              <w:t>At the time of authority application, prescribers should request the appropriate number of vials adequate for the duration of a months’ treatment, based on the patient’s weight. A maximum of 5 repeats may be authorised under this restriction</w:t>
            </w:r>
          </w:p>
        </w:tc>
      </w:tr>
      <w:tr w:rsidR="007A7F37" w:rsidRPr="006A4ACE" w14:paraId="0638F02A" w14:textId="77777777" w:rsidTr="008254D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6E320ED" w14:textId="33033CBC" w:rsidR="007A7F37" w:rsidRPr="006A4ACE" w:rsidRDefault="007A7F37">
            <w:pPr>
              <w:jc w:val="center"/>
              <w:rPr>
                <w:rFonts w:ascii="Arial Narrow" w:hAnsi="Arial Narrow"/>
                <w:color w:val="333333"/>
                <w:sz w:val="20"/>
                <w:szCs w:val="20"/>
              </w:rPr>
            </w:pPr>
          </w:p>
        </w:tc>
        <w:tc>
          <w:tcPr>
            <w:tcW w:w="7745" w:type="dxa"/>
            <w:gridSpan w:val="6"/>
            <w:vAlign w:val="center"/>
            <w:hideMark/>
          </w:tcPr>
          <w:p w14:paraId="32732400" w14:textId="77777777" w:rsidR="007A7F37" w:rsidRPr="006A4ACE" w:rsidRDefault="007A7F37">
            <w:pPr>
              <w:rPr>
                <w:rFonts w:ascii="Arial Narrow" w:hAnsi="Arial Narrow"/>
                <w:i/>
                <w:iCs/>
                <w:color w:val="333333"/>
                <w:sz w:val="20"/>
                <w:szCs w:val="20"/>
              </w:rPr>
            </w:pPr>
            <w:r w:rsidRPr="006A4ACE">
              <w:rPr>
                <w:rFonts w:ascii="Arial Narrow" w:hAnsi="Arial Narrow"/>
                <w:b/>
                <w:bCs/>
                <w:i/>
                <w:iCs/>
                <w:color w:val="333333"/>
                <w:sz w:val="20"/>
                <w:szCs w:val="20"/>
              </w:rPr>
              <w:t xml:space="preserve">Caution: </w:t>
            </w:r>
            <w:r w:rsidRPr="006A4ACE">
              <w:rPr>
                <w:rFonts w:ascii="Arial Narrow" w:hAnsi="Arial Narrow"/>
                <w:i/>
                <w:iCs/>
                <w:color w:val="333333"/>
                <w:sz w:val="20"/>
                <w:szCs w:val="20"/>
              </w:rPr>
              <w:t>This drug is a Category D drug and must not be given to pregnant women. If this drug is taken during pregnancy, a teratogenic effect in humans cannot be ruled out.</w:t>
            </w:r>
          </w:p>
        </w:tc>
      </w:tr>
    </w:tbl>
    <w:p w14:paraId="51623EC4" w14:textId="48B8D69F" w:rsidR="007A7F37" w:rsidRPr="006A4ACE" w:rsidRDefault="007A7F37" w:rsidP="007C08D4">
      <w:pPr>
        <w:pStyle w:val="TableFigureHeading"/>
        <w:spacing w:before="120"/>
        <w:rPr>
          <w:sz w:val="24"/>
        </w:rPr>
      </w:pPr>
      <w:r w:rsidRPr="006A4ACE">
        <w:t>Cipaglucosidase alfa (continuation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6"/>
      </w:tblGrid>
      <w:tr w:rsidR="007A7F37" w:rsidRPr="006A4ACE" w14:paraId="718C8F15" w14:textId="77777777">
        <w:trPr>
          <w:cantSplit/>
          <w:trHeight w:val="20"/>
        </w:trPr>
        <w:tc>
          <w:tcPr>
            <w:tcW w:w="9016" w:type="dxa"/>
            <w:gridSpan w:val="2"/>
            <w:vAlign w:val="center"/>
          </w:tcPr>
          <w:p w14:paraId="410ED84B" w14:textId="7E464EBB" w:rsidR="007A7F37" w:rsidRPr="006A4ACE" w:rsidRDefault="007A7F37">
            <w:pPr>
              <w:keepNext/>
              <w:keepLines/>
              <w:rPr>
                <w:rFonts w:ascii="Arial Narrow" w:hAnsi="Arial Narrow"/>
                <w:b/>
                <w:bCs/>
                <w:color w:val="333333"/>
                <w:sz w:val="20"/>
                <w:szCs w:val="20"/>
              </w:rPr>
            </w:pPr>
            <w:r w:rsidRPr="006A4ACE">
              <w:rPr>
                <w:rFonts w:ascii="Arial Narrow" w:hAnsi="Arial Narrow"/>
                <w:b/>
                <w:bCs/>
                <w:color w:val="333333"/>
                <w:sz w:val="20"/>
                <w:szCs w:val="20"/>
              </w:rPr>
              <w:t xml:space="preserve">Restriction Summary / Treatment of Concept: </w:t>
            </w:r>
          </w:p>
        </w:tc>
      </w:tr>
      <w:tr w:rsidR="007A7F37" w:rsidRPr="006A4ACE" w14:paraId="54DCF6C5" w14:textId="77777777">
        <w:trPr>
          <w:cantSplit/>
          <w:trHeight w:val="20"/>
        </w:trPr>
        <w:tc>
          <w:tcPr>
            <w:tcW w:w="1271" w:type="dxa"/>
            <w:vMerge w:val="restart"/>
            <w:tcBorders>
              <w:top w:val="single" w:sz="4" w:space="0" w:color="auto"/>
              <w:left w:val="single" w:sz="4" w:space="0" w:color="auto"/>
              <w:right w:val="single" w:sz="4" w:space="0" w:color="auto"/>
            </w:tcBorders>
          </w:tcPr>
          <w:p w14:paraId="385A10AA" w14:textId="3099F833" w:rsidR="007A7F37" w:rsidRPr="006A4ACE" w:rsidRDefault="007A7F37">
            <w:pPr>
              <w:jc w:val="center"/>
              <w:rPr>
                <w:rFonts w:ascii="Arial Narrow" w:hAnsi="Arial Narrow"/>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723E234B" w14:textId="77777777" w:rsidR="007A7F37" w:rsidRPr="006A4ACE" w:rsidRDefault="007A7F37">
            <w:pPr>
              <w:keepLines/>
              <w:jc w:val="left"/>
              <w:rPr>
                <w:rFonts w:ascii="Arial Narrow" w:hAnsi="Arial Narrow"/>
                <w:sz w:val="20"/>
                <w:szCs w:val="20"/>
              </w:rPr>
            </w:pPr>
            <w:r w:rsidRPr="006A4ACE">
              <w:rPr>
                <w:rFonts w:ascii="Arial Narrow" w:hAnsi="Arial Narrow"/>
                <w:b/>
                <w:sz w:val="20"/>
                <w:szCs w:val="20"/>
              </w:rPr>
              <w:t>Category / Program:</w:t>
            </w:r>
            <w:r w:rsidRPr="006A4ACE">
              <w:rPr>
                <w:rFonts w:ascii="Arial Narrow" w:hAnsi="Arial Narrow"/>
                <w:color w:val="FF0000"/>
                <w:sz w:val="20"/>
                <w:szCs w:val="20"/>
              </w:rPr>
              <w:t xml:space="preserv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Section 100 – Highly Specialised Drugs Program – Public (Code HB) / Private (Code HS)</w:t>
            </w:r>
          </w:p>
        </w:tc>
      </w:tr>
      <w:tr w:rsidR="007A7F37" w:rsidRPr="006A4ACE" w14:paraId="3304DA6E" w14:textId="77777777">
        <w:trPr>
          <w:cantSplit/>
          <w:trHeight w:val="20"/>
        </w:trPr>
        <w:tc>
          <w:tcPr>
            <w:tcW w:w="1271" w:type="dxa"/>
            <w:vMerge/>
          </w:tcPr>
          <w:p w14:paraId="3BF3CD97" w14:textId="77777777" w:rsidR="007A7F37" w:rsidRPr="006A4ACE" w:rsidRDefault="007A7F37">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322F486" w14:textId="77777777" w:rsidR="007A7F37" w:rsidRPr="006A4ACE" w:rsidRDefault="007A7F37">
            <w:pPr>
              <w:keepLines/>
              <w:rPr>
                <w:rFonts w:ascii="Arial Narrow" w:hAnsi="Arial Narrow"/>
                <w:b/>
                <w:sz w:val="20"/>
                <w:szCs w:val="20"/>
              </w:rPr>
            </w:pPr>
            <w:r w:rsidRPr="006A4ACE">
              <w:rPr>
                <w:rFonts w:ascii="Arial Narrow" w:hAnsi="Arial Narrow"/>
                <w:b/>
                <w:sz w:val="20"/>
                <w:szCs w:val="20"/>
              </w:rPr>
              <w:t xml:space="preserve">Prescriber type: </w:t>
            </w:r>
          </w:p>
          <w:p w14:paraId="3F0B63EA" w14:textId="77777777" w:rsidR="007A7F37" w:rsidRPr="006A4ACE" w:rsidRDefault="007A7F37">
            <w:pPr>
              <w:keepNext/>
              <w:keepLines/>
              <w:rPr>
                <w:rFonts w:ascii="Arial Narrow" w:hAnsi="Arial Narrow"/>
                <w:b/>
                <w:sz w:val="20"/>
                <w:szCs w:val="20"/>
              </w:rPr>
            </w:pPr>
            <w:r w:rsidRPr="006A4ACE">
              <w:rPr>
                <w:rFonts w:ascii="Arial Narrow" w:hAnsi="Arial Narrow"/>
                <w:sz w:val="20"/>
                <w:szCs w:val="20"/>
              </w:rPr>
              <w:fldChar w:fldCharType="begin">
                <w:ffData>
                  <w:name w:val=""/>
                  <w:enabled/>
                  <w:calcOnExit w:val="0"/>
                  <w:checkBox>
                    <w:sizeAuto/>
                    <w:default w:val="1"/>
                  </w:checkBox>
                </w:ffData>
              </w:fldChar>
            </w:r>
            <w:r w:rsidRPr="006A4ACE">
              <w:rPr>
                <w:rFonts w:ascii="Arial Narrow" w:hAnsi="Arial Narrow"/>
                <w:sz w:val="20"/>
                <w:szCs w:val="20"/>
              </w:rPr>
              <w:instrText xml:space="preserve"> FORMCHECKBOX </w:instrText>
            </w:r>
            <w:r w:rsidRPr="006A4ACE">
              <w:rPr>
                <w:rFonts w:ascii="Arial Narrow" w:hAnsi="Arial Narrow"/>
                <w:sz w:val="20"/>
                <w:szCs w:val="20"/>
              </w:rPr>
            </w:r>
            <w:r w:rsidRPr="006A4ACE">
              <w:rPr>
                <w:rFonts w:ascii="Arial Narrow" w:hAnsi="Arial Narrow"/>
                <w:sz w:val="20"/>
                <w:szCs w:val="20"/>
              </w:rPr>
              <w:fldChar w:fldCharType="separate"/>
            </w:r>
            <w:r w:rsidRPr="006A4ACE">
              <w:rPr>
                <w:rFonts w:ascii="Arial Narrow" w:hAnsi="Arial Narrow"/>
                <w:sz w:val="20"/>
                <w:szCs w:val="20"/>
              </w:rPr>
              <w:fldChar w:fldCharType="end"/>
            </w:r>
            <w:r w:rsidRPr="006A4ACE">
              <w:rPr>
                <w:rFonts w:ascii="Arial Narrow" w:hAnsi="Arial Narrow"/>
                <w:sz w:val="20"/>
                <w:szCs w:val="20"/>
              </w:rPr>
              <w:t xml:space="preserve">Medical Practitioners </w:t>
            </w:r>
          </w:p>
        </w:tc>
      </w:tr>
      <w:tr w:rsidR="007A7F37" w:rsidRPr="006A4ACE" w14:paraId="2D9BB654" w14:textId="77777777">
        <w:trPr>
          <w:cantSplit/>
          <w:trHeight w:val="20"/>
        </w:trPr>
        <w:tc>
          <w:tcPr>
            <w:tcW w:w="1271" w:type="dxa"/>
            <w:vMerge/>
          </w:tcPr>
          <w:p w14:paraId="5C3C804E" w14:textId="77777777" w:rsidR="007A7F37" w:rsidRPr="006A4ACE" w:rsidRDefault="007A7F37">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8132214" w14:textId="77777777" w:rsidR="007A7F37" w:rsidRPr="006A4ACE" w:rsidRDefault="007A7F37">
            <w:pPr>
              <w:keepLines/>
              <w:rPr>
                <w:rFonts w:ascii="Arial Narrow" w:hAnsi="Arial Narrow"/>
                <w:b/>
                <w:sz w:val="20"/>
                <w:szCs w:val="20"/>
              </w:rPr>
            </w:pPr>
            <w:r w:rsidRPr="006A4ACE">
              <w:rPr>
                <w:rFonts w:ascii="Arial Narrow" w:hAnsi="Arial Narrow"/>
                <w:b/>
                <w:sz w:val="20"/>
                <w:szCs w:val="20"/>
              </w:rPr>
              <w:t>Restriction type:</w:t>
            </w:r>
          </w:p>
          <w:p w14:paraId="310F28C4" w14:textId="77777777" w:rsidR="007A7F37" w:rsidRPr="006A4ACE" w:rsidRDefault="007A7F37">
            <w:pPr>
              <w:keepLines/>
              <w:rPr>
                <w:rFonts w:ascii="Arial Narrow" w:hAnsi="Arial Narrow"/>
                <w:b/>
                <w:sz w:val="20"/>
                <w:szCs w:val="20"/>
              </w:rPr>
            </w:pP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Authority Required (Streamlined) [new/existing code] </w:t>
            </w:r>
          </w:p>
        </w:tc>
      </w:tr>
      <w:tr w:rsidR="007A7F37" w:rsidRPr="006A4ACE" w14:paraId="023007EA" w14:textId="77777777">
        <w:trPr>
          <w:cantSplit/>
          <w:trHeight w:val="20"/>
        </w:trPr>
        <w:tc>
          <w:tcPr>
            <w:tcW w:w="1271" w:type="dxa"/>
            <w:vAlign w:val="center"/>
          </w:tcPr>
          <w:p w14:paraId="49AE8729" w14:textId="77777777" w:rsidR="007A7F37" w:rsidRPr="006A4ACE" w:rsidRDefault="007A7F37">
            <w:pPr>
              <w:jc w:val="center"/>
              <w:rPr>
                <w:rFonts w:ascii="Arial Narrow" w:hAnsi="Arial Narrow"/>
                <w:color w:val="333333"/>
                <w:sz w:val="20"/>
                <w:szCs w:val="20"/>
              </w:rPr>
            </w:pPr>
          </w:p>
        </w:tc>
        <w:tc>
          <w:tcPr>
            <w:tcW w:w="7745" w:type="dxa"/>
            <w:vAlign w:val="center"/>
          </w:tcPr>
          <w:p w14:paraId="47841725" w14:textId="77777777" w:rsidR="007A7F37" w:rsidRPr="006A4ACE" w:rsidRDefault="007A7F37">
            <w:pPr>
              <w:keepLines/>
              <w:rPr>
                <w:rFonts w:ascii="Arial Narrow" w:eastAsia="Calibri" w:hAnsi="Arial Narrow"/>
                <w:sz w:val="20"/>
                <w:szCs w:val="20"/>
              </w:rPr>
            </w:pPr>
            <w:r w:rsidRPr="006A4ACE">
              <w:rPr>
                <w:rFonts w:ascii="Arial Narrow" w:hAnsi="Arial Narrow"/>
                <w:b/>
                <w:sz w:val="20"/>
                <w:szCs w:val="20"/>
              </w:rPr>
              <w:t xml:space="preserve">Authority type: </w:t>
            </w:r>
          </w:p>
          <w:p w14:paraId="3178CBD2" w14:textId="77777777" w:rsidR="007A7F37" w:rsidRPr="006A4ACE" w:rsidRDefault="007A7F37">
            <w:pPr>
              <w:rPr>
                <w:rFonts w:ascii="Arial Narrow" w:hAnsi="Arial Narrow"/>
                <w:b/>
                <w:bCs/>
                <w:color w:val="FF0000"/>
                <w:sz w:val="20"/>
                <w:szCs w:val="20"/>
              </w:rPr>
            </w:pP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Non-complex Authority Required (non-CAR)</w:t>
            </w:r>
          </w:p>
        </w:tc>
      </w:tr>
      <w:tr w:rsidR="007A7F37" w:rsidRPr="006A4ACE" w14:paraId="0307E74D" w14:textId="77777777" w:rsidTr="008254D0">
        <w:trPr>
          <w:cantSplit/>
          <w:trHeight w:val="20"/>
        </w:trPr>
        <w:tc>
          <w:tcPr>
            <w:tcW w:w="1271" w:type="dxa"/>
            <w:vAlign w:val="center"/>
          </w:tcPr>
          <w:p w14:paraId="07AC6092" w14:textId="6E1DE03A" w:rsidR="007A7F37" w:rsidRPr="006A4ACE" w:rsidRDefault="007A7F37">
            <w:pPr>
              <w:jc w:val="center"/>
              <w:rPr>
                <w:rFonts w:ascii="Arial Narrow" w:hAnsi="Arial Narrow"/>
                <w:color w:val="333333"/>
                <w:sz w:val="20"/>
                <w:szCs w:val="20"/>
              </w:rPr>
            </w:pPr>
          </w:p>
        </w:tc>
        <w:tc>
          <w:tcPr>
            <w:tcW w:w="7745" w:type="dxa"/>
            <w:vAlign w:val="center"/>
            <w:hideMark/>
          </w:tcPr>
          <w:p w14:paraId="7B017C3B"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 xml:space="preserve">Condition: </w:t>
            </w:r>
            <w:r w:rsidRPr="006A4ACE">
              <w:rPr>
                <w:rFonts w:ascii="Arial Narrow" w:hAnsi="Arial Narrow"/>
                <w:bCs/>
                <w:color w:val="333333"/>
                <w:sz w:val="20"/>
                <w:szCs w:val="20"/>
              </w:rPr>
              <w:t>Pompe disease</w:t>
            </w:r>
          </w:p>
        </w:tc>
      </w:tr>
      <w:tr w:rsidR="007A7F37" w:rsidRPr="006A4ACE" w14:paraId="56E958C5" w14:textId="77777777" w:rsidTr="008254D0">
        <w:trPr>
          <w:cantSplit/>
          <w:trHeight w:val="20"/>
        </w:trPr>
        <w:tc>
          <w:tcPr>
            <w:tcW w:w="1271" w:type="dxa"/>
            <w:vAlign w:val="center"/>
          </w:tcPr>
          <w:p w14:paraId="614133B0" w14:textId="50D64347" w:rsidR="007A7F37" w:rsidRPr="006A4ACE" w:rsidRDefault="007A7F37">
            <w:pPr>
              <w:jc w:val="center"/>
              <w:rPr>
                <w:rFonts w:ascii="Arial Narrow" w:hAnsi="Arial Narrow"/>
                <w:color w:val="333333"/>
                <w:sz w:val="20"/>
                <w:szCs w:val="20"/>
              </w:rPr>
            </w:pPr>
          </w:p>
        </w:tc>
        <w:tc>
          <w:tcPr>
            <w:tcW w:w="7745" w:type="dxa"/>
            <w:vAlign w:val="center"/>
            <w:hideMark/>
          </w:tcPr>
          <w:p w14:paraId="1D68C20E" w14:textId="77777777" w:rsidR="007A7F37" w:rsidRPr="006A4ACE" w:rsidRDefault="007A7F37">
            <w:pPr>
              <w:rPr>
                <w:rFonts w:ascii="Arial Narrow" w:hAnsi="Arial Narrow"/>
                <w:sz w:val="20"/>
                <w:szCs w:val="20"/>
              </w:rPr>
            </w:pPr>
            <w:r w:rsidRPr="006A4ACE">
              <w:rPr>
                <w:rFonts w:ascii="Arial Narrow" w:hAnsi="Arial Narrow"/>
                <w:b/>
                <w:bCs/>
                <w:color w:val="333333"/>
                <w:sz w:val="20"/>
                <w:szCs w:val="20"/>
              </w:rPr>
              <w:t xml:space="preserve">Indication: </w:t>
            </w:r>
            <w:r w:rsidRPr="006A4ACE">
              <w:rPr>
                <w:rFonts w:ascii="Arial Narrow" w:hAnsi="Arial Narrow"/>
                <w:color w:val="333333"/>
                <w:sz w:val="20"/>
                <w:szCs w:val="20"/>
              </w:rPr>
              <w:t>Late-onset Pompe disease (LOPD)</w:t>
            </w:r>
          </w:p>
        </w:tc>
      </w:tr>
      <w:tr w:rsidR="007A7F37" w:rsidRPr="006A4ACE" w14:paraId="51FC3DAF" w14:textId="77777777">
        <w:trPr>
          <w:cantSplit/>
          <w:trHeight w:val="20"/>
        </w:trPr>
        <w:tc>
          <w:tcPr>
            <w:tcW w:w="1271" w:type="dxa"/>
            <w:vAlign w:val="center"/>
          </w:tcPr>
          <w:p w14:paraId="50FF548F" w14:textId="77777777" w:rsidR="007A7F37" w:rsidRPr="006A4ACE" w:rsidRDefault="007A7F37">
            <w:pPr>
              <w:jc w:val="center"/>
              <w:rPr>
                <w:rFonts w:ascii="Arial Narrow" w:hAnsi="Arial Narrow"/>
                <w:color w:val="333333"/>
                <w:sz w:val="20"/>
                <w:szCs w:val="20"/>
              </w:rPr>
            </w:pPr>
          </w:p>
        </w:tc>
        <w:tc>
          <w:tcPr>
            <w:tcW w:w="7745" w:type="dxa"/>
            <w:vAlign w:val="center"/>
          </w:tcPr>
          <w:p w14:paraId="6E5BC75D" w14:textId="77777777" w:rsidR="007A7F37" w:rsidRPr="006A4ACE" w:rsidRDefault="007A7F37">
            <w:pPr>
              <w:rPr>
                <w:rFonts w:ascii="Arial Narrow" w:hAnsi="Arial Narrow"/>
                <w:b/>
                <w:bCs/>
                <w:color w:val="333333"/>
                <w:sz w:val="20"/>
                <w:szCs w:val="20"/>
              </w:rPr>
            </w:pPr>
            <w:r w:rsidRPr="006A4ACE">
              <w:rPr>
                <w:rFonts w:ascii="Arial Narrow" w:hAnsi="Arial Narrow"/>
                <w:b/>
                <w:bCs/>
                <w:sz w:val="20"/>
                <w:szCs w:val="20"/>
              </w:rPr>
              <w:t>Treatment Phase:</w:t>
            </w:r>
            <w:r w:rsidRPr="006A4ACE">
              <w:rPr>
                <w:rFonts w:ascii="Arial Narrow" w:hAnsi="Arial Narrow"/>
                <w:sz w:val="20"/>
                <w:szCs w:val="20"/>
              </w:rPr>
              <w:t xml:space="preserve"> Continuation</w:t>
            </w:r>
          </w:p>
        </w:tc>
      </w:tr>
      <w:tr w:rsidR="007A7F37" w:rsidRPr="006A4ACE" w14:paraId="5DB8BBB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54D74900" w14:textId="0CEC5696"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62186A73"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 xml:space="preserve">Clinical criteria: </w:t>
            </w:r>
          </w:p>
        </w:tc>
      </w:tr>
      <w:tr w:rsidR="007A7F37" w:rsidRPr="006A4ACE" w14:paraId="7624A36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1306DBBD" w14:textId="7D99C6EF"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9289D3B" w14:textId="77777777" w:rsidR="007A7F37" w:rsidRPr="006A4ACE" w:rsidRDefault="007A7F37">
            <w:pPr>
              <w:pStyle w:val="PBACTabletext"/>
            </w:pPr>
            <w:r w:rsidRPr="006A4ACE">
              <w:t>The patient must have received prior treatment with this drug for this condition</w:t>
            </w:r>
          </w:p>
        </w:tc>
      </w:tr>
      <w:tr w:rsidR="007A7F37" w:rsidRPr="006A4ACE" w14:paraId="3834E11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769E288B" w14:textId="77777777"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C865342"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AND</w:t>
            </w:r>
          </w:p>
        </w:tc>
      </w:tr>
      <w:tr w:rsidR="007A7F37" w:rsidRPr="006A4ACE" w14:paraId="0154518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5FAB3E10" w14:textId="5203AE08"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4778D370"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Clinical criteria:</w:t>
            </w:r>
          </w:p>
        </w:tc>
      </w:tr>
      <w:tr w:rsidR="007A7F37" w:rsidRPr="006A4ACE" w14:paraId="056EB47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1AC923E1" w14:textId="71D891E9"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3172352C" w14:textId="77777777" w:rsidR="007A7F37" w:rsidRPr="006A4ACE" w:rsidRDefault="007A7F37">
            <w:pPr>
              <w:rPr>
                <w:rFonts w:ascii="Arial Narrow" w:hAnsi="Arial Narrow"/>
                <w:sz w:val="20"/>
                <w:szCs w:val="20"/>
              </w:rPr>
            </w:pPr>
            <w:r w:rsidRPr="006A4ACE">
              <w:rPr>
                <w:rFonts w:ascii="Arial Narrow" w:hAnsi="Arial Narrow"/>
                <w:sz w:val="20"/>
                <w:szCs w:val="20"/>
              </w:rPr>
              <w:t>The patient must demonstrate clinical improvement;</w:t>
            </w:r>
          </w:p>
        </w:tc>
      </w:tr>
      <w:tr w:rsidR="007A7F37" w:rsidRPr="006A4ACE" w14:paraId="3BDD4E15"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30CE78C" w14:textId="77777777"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11BA031"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OR</w:t>
            </w:r>
          </w:p>
        </w:tc>
      </w:tr>
      <w:tr w:rsidR="007A7F37" w:rsidRPr="006A4ACE" w14:paraId="453A9EA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34095F66" w14:textId="0550D963"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669D8D17" w14:textId="77777777" w:rsidR="007A7F37" w:rsidRPr="006A4ACE" w:rsidRDefault="007A7F37">
            <w:pPr>
              <w:rPr>
                <w:rFonts w:ascii="Arial Narrow" w:hAnsi="Arial Narrow"/>
                <w:sz w:val="20"/>
                <w:szCs w:val="20"/>
              </w:rPr>
            </w:pPr>
            <w:r w:rsidRPr="006A4ACE">
              <w:rPr>
                <w:rFonts w:ascii="Arial Narrow" w:hAnsi="Arial Narrow"/>
                <w:sz w:val="20"/>
                <w:szCs w:val="20"/>
              </w:rPr>
              <w:t>The patient must demonstrate stabilisation of the disease condition</w:t>
            </w:r>
          </w:p>
        </w:tc>
      </w:tr>
      <w:tr w:rsidR="007A7F37" w:rsidRPr="006A4ACE" w14:paraId="3E6D426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34EFADF5" w14:textId="036F52F3"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69F16A97" w14:textId="77777777" w:rsidR="007A7F37" w:rsidRPr="006A4ACE" w:rsidRDefault="007A7F37">
            <w:pPr>
              <w:rPr>
                <w:rFonts w:ascii="Arial Narrow" w:hAnsi="Arial Narrow"/>
                <w:sz w:val="20"/>
                <w:szCs w:val="20"/>
              </w:rPr>
            </w:pPr>
            <w:r w:rsidRPr="006A4ACE">
              <w:rPr>
                <w:rFonts w:ascii="Arial Narrow" w:hAnsi="Arial Narrow"/>
                <w:b/>
                <w:bCs/>
                <w:sz w:val="20"/>
                <w:szCs w:val="20"/>
              </w:rPr>
              <w:t>Prescribing Instructions:</w:t>
            </w:r>
            <w:r w:rsidRPr="006A4ACE">
              <w:rPr>
                <w:rFonts w:ascii="Arial Narrow" w:hAnsi="Arial Narrow"/>
                <w:sz w:val="20"/>
                <w:szCs w:val="20"/>
              </w:rPr>
              <w:t xml:space="preserve"> </w:t>
            </w:r>
          </w:p>
          <w:p w14:paraId="6D9313D8" w14:textId="77777777" w:rsidR="007A7F37" w:rsidRPr="006A4ACE" w:rsidRDefault="007A7F37">
            <w:pPr>
              <w:rPr>
                <w:rFonts w:ascii="Arial Narrow" w:hAnsi="Arial Narrow"/>
                <w:i/>
                <w:iCs/>
                <w:sz w:val="20"/>
                <w:szCs w:val="20"/>
              </w:rPr>
            </w:pPr>
            <w:r w:rsidRPr="006A4ACE">
              <w:rPr>
                <w:rFonts w:ascii="Arial Narrow" w:hAnsi="Arial Narrow"/>
                <w:i/>
                <w:iCs/>
                <w:sz w:val="20"/>
                <w:szCs w:val="20"/>
              </w:rPr>
              <w:t>At the time of authority application, prescribers should request the appropriate number of vials adequate for the duration of a months’ treatment, based on the patient’s weight. A maximum of 5 repeats may be authorised under this restriction</w:t>
            </w:r>
          </w:p>
        </w:tc>
      </w:tr>
    </w:tbl>
    <w:p w14:paraId="00982EED" w14:textId="1529336A" w:rsidR="007A7F37" w:rsidRPr="006A4ACE" w:rsidRDefault="007A7F37" w:rsidP="007C08D4">
      <w:pPr>
        <w:pStyle w:val="TableFigureHeading"/>
        <w:spacing w:before="120"/>
        <w:rPr>
          <w:sz w:val="24"/>
        </w:rPr>
      </w:pPr>
      <w:proofErr w:type="spellStart"/>
      <w:r w:rsidRPr="006A4ACE">
        <w:t>Miglustat</w:t>
      </w:r>
      <w:proofErr w:type="spellEnd"/>
      <w:r w:rsidRPr="006A4ACE">
        <w:t xml:space="preserve"> (initial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iglustat (initial restriction)"/>
      </w:tblPr>
      <w:tblGrid>
        <w:gridCol w:w="488"/>
        <w:gridCol w:w="784"/>
        <w:gridCol w:w="2668"/>
        <w:gridCol w:w="811"/>
        <w:gridCol w:w="812"/>
        <w:gridCol w:w="811"/>
        <w:gridCol w:w="812"/>
        <w:gridCol w:w="1831"/>
      </w:tblGrid>
      <w:tr w:rsidR="007A7F37" w:rsidRPr="006A4ACE" w14:paraId="79267A38" w14:textId="77777777">
        <w:trPr>
          <w:cantSplit/>
          <w:trHeight w:val="20"/>
        </w:trPr>
        <w:tc>
          <w:tcPr>
            <w:tcW w:w="3939" w:type="dxa"/>
            <w:gridSpan w:val="3"/>
            <w:vAlign w:val="center"/>
          </w:tcPr>
          <w:p w14:paraId="694CE99A" w14:textId="77777777" w:rsidR="007A7F37" w:rsidRPr="006A4ACE" w:rsidRDefault="007A7F37">
            <w:pPr>
              <w:keepLines/>
              <w:rPr>
                <w:rFonts w:ascii="Arial Narrow" w:hAnsi="Arial Narrow"/>
                <w:b/>
                <w:bCs/>
                <w:sz w:val="20"/>
                <w:szCs w:val="20"/>
              </w:rPr>
            </w:pPr>
            <w:r w:rsidRPr="006A4ACE">
              <w:rPr>
                <w:rFonts w:ascii="Arial Narrow" w:hAnsi="Arial Narrow"/>
                <w:b/>
                <w:bCs/>
                <w:sz w:val="20"/>
                <w:szCs w:val="20"/>
              </w:rPr>
              <w:t>MEDICINAL PRODUCT</w:t>
            </w:r>
          </w:p>
          <w:p w14:paraId="46AA98EE" w14:textId="77777777" w:rsidR="007A7F37" w:rsidRPr="006A4ACE" w:rsidRDefault="007A7F37">
            <w:pPr>
              <w:keepLines/>
              <w:rPr>
                <w:rFonts w:ascii="Arial Narrow" w:hAnsi="Arial Narrow"/>
                <w:b/>
                <w:sz w:val="20"/>
                <w:szCs w:val="20"/>
              </w:rPr>
            </w:pPr>
            <w:r w:rsidRPr="006A4ACE">
              <w:rPr>
                <w:rFonts w:ascii="Arial Narrow" w:hAnsi="Arial Narrow"/>
                <w:b/>
                <w:bCs/>
                <w:sz w:val="20"/>
                <w:szCs w:val="20"/>
              </w:rPr>
              <w:t>medicinal product pack</w:t>
            </w:r>
          </w:p>
        </w:tc>
        <w:tc>
          <w:tcPr>
            <w:tcW w:w="811" w:type="dxa"/>
            <w:vAlign w:val="center"/>
          </w:tcPr>
          <w:p w14:paraId="19B9BB8E"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PBS item code</w:t>
            </w:r>
          </w:p>
        </w:tc>
        <w:tc>
          <w:tcPr>
            <w:tcW w:w="812" w:type="dxa"/>
            <w:vAlign w:val="center"/>
          </w:tcPr>
          <w:p w14:paraId="055CE8F1"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Max. qty packs</w:t>
            </w:r>
          </w:p>
        </w:tc>
        <w:tc>
          <w:tcPr>
            <w:tcW w:w="811" w:type="dxa"/>
            <w:vAlign w:val="center"/>
          </w:tcPr>
          <w:p w14:paraId="58611B6C"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Max. qty units</w:t>
            </w:r>
          </w:p>
        </w:tc>
        <w:tc>
          <w:tcPr>
            <w:tcW w:w="812" w:type="dxa"/>
            <w:vAlign w:val="center"/>
          </w:tcPr>
          <w:p w14:paraId="2065EF14" w14:textId="77777777" w:rsidR="007A7F37" w:rsidRPr="006A4ACE" w:rsidRDefault="007A7F37">
            <w:pPr>
              <w:keepLines/>
              <w:jc w:val="center"/>
              <w:rPr>
                <w:rFonts w:ascii="Arial Narrow" w:hAnsi="Arial Narrow"/>
                <w:b/>
                <w:bCs/>
                <w:sz w:val="20"/>
                <w:szCs w:val="20"/>
              </w:rPr>
            </w:pPr>
            <w:r w:rsidRPr="006A4ACE">
              <w:rPr>
                <w:rFonts w:ascii="Arial Narrow" w:hAnsi="Arial Narrow"/>
                <w:b/>
                <w:bCs/>
                <w:sz w:val="20"/>
                <w:szCs w:val="20"/>
              </w:rPr>
              <w:t>№.of</w:t>
            </w:r>
          </w:p>
          <w:p w14:paraId="01919AE0" w14:textId="77777777" w:rsidR="007A7F37" w:rsidRPr="006A4ACE" w:rsidRDefault="007A7F37">
            <w:pPr>
              <w:keepLines/>
              <w:jc w:val="center"/>
              <w:rPr>
                <w:rFonts w:ascii="Arial Narrow" w:hAnsi="Arial Narrow"/>
                <w:b/>
                <w:sz w:val="20"/>
                <w:szCs w:val="20"/>
              </w:rPr>
            </w:pPr>
            <w:r w:rsidRPr="006A4ACE">
              <w:rPr>
                <w:rFonts w:ascii="Arial Narrow" w:hAnsi="Arial Narrow"/>
                <w:b/>
                <w:sz w:val="20"/>
                <w:szCs w:val="20"/>
              </w:rPr>
              <w:t>Rpts</w:t>
            </w:r>
          </w:p>
        </w:tc>
        <w:tc>
          <w:tcPr>
            <w:tcW w:w="1831" w:type="dxa"/>
            <w:vAlign w:val="center"/>
          </w:tcPr>
          <w:p w14:paraId="49EF373A" w14:textId="77777777" w:rsidR="007A7F37" w:rsidRPr="006A4ACE" w:rsidRDefault="007A7F37">
            <w:pPr>
              <w:keepLines/>
              <w:rPr>
                <w:rFonts w:ascii="Arial Narrow" w:hAnsi="Arial Narrow"/>
                <w:b/>
                <w:sz w:val="20"/>
                <w:szCs w:val="20"/>
                <w:lang w:val="fr-FR"/>
              </w:rPr>
            </w:pPr>
            <w:r w:rsidRPr="006A4ACE">
              <w:rPr>
                <w:rFonts w:ascii="Arial Narrow" w:hAnsi="Arial Narrow"/>
                <w:b/>
                <w:sz w:val="20"/>
                <w:szCs w:val="20"/>
              </w:rPr>
              <w:t>Available brands</w:t>
            </w:r>
          </w:p>
        </w:tc>
      </w:tr>
      <w:tr w:rsidR="007A7F37" w:rsidRPr="006A4ACE" w14:paraId="2A96FB29" w14:textId="77777777">
        <w:trPr>
          <w:cantSplit/>
          <w:trHeight w:val="20"/>
        </w:trPr>
        <w:tc>
          <w:tcPr>
            <w:tcW w:w="9016" w:type="dxa"/>
            <w:gridSpan w:val="8"/>
            <w:vAlign w:val="center"/>
          </w:tcPr>
          <w:p w14:paraId="542BACF4" w14:textId="77777777" w:rsidR="007A7F37" w:rsidRPr="006A4ACE" w:rsidRDefault="007A7F37">
            <w:pPr>
              <w:keepLines/>
              <w:rPr>
                <w:rFonts w:ascii="Arial Narrow" w:hAnsi="Arial Narrow"/>
                <w:sz w:val="20"/>
                <w:szCs w:val="20"/>
              </w:rPr>
            </w:pPr>
            <w:r w:rsidRPr="006A4ACE">
              <w:rPr>
                <w:rFonts w:ascii="Arial Narrow" w:hAnsi="Arial Narrow"/>
                <w:sz w:val="20"/>
                <w:szCs w:val="20"/>
              </w:rPr>
              <w:t>MIGLUSTAT</w:t>
            </w:r>
          </w:p>
        </w:tc>
      </w:tr>
      <w:tr w:rsidR="007A7F37" w:rsidRPr="006A4ACE" w14:paraId="50C4A0EB" w14:textId="77777777">
        <w:trPr>
          <w:cantSplit/>
          <w:trHeight w:val="20"/>
        </w:trPr>
        <w:tc>
          <w:tcPr>
            <w:tcW w:w="3939" w:type="dxa"/>
            <w:gridSpan w:val="3"/>
            <w:vAlign w:val="center"/>
          </w:tcPr>
          <w:p w14:paraId="7D2E2AA8" w14:textId="77777777" w:rsidR="007A7F37" w:rsidRPr="006A4ACE" w:rsidRDefault="007A7F37">
            <w:pPr>
              <w:keepLines/>
              <w:rPr>
                <w:rFonts w:ascii="Arial Narrow" w:hAnsi="Arial Narrow"/>
                <w:sz w:val="20"/>
                <w:szCs w:val="20"/>
              </w:rPr>
            </w:pPr>
            <w:proofErr w:type="spellStart"/>
            <w:r w:rsidRPr="006A4ACE">
              <w:rPr>
                <w:rFonts w:ascii="Arial Narrow" w:hAnsi="Arial Narrow"/>
                <w:sz w:val="20"/>
                <w:szCs w:val="20"/>
              </w:rPr>
              <w:t>Miglustat</w:t>
            </w:r>
            <w:proofErr w:type="spellEnd"/>
            <w:r w:rsidRPr="006A4ACE">
              <w:rPr>
                <w:rFonts w:ascii="Arial Narrow" w:hAnsi="Arial Narrow"/>
                <w:sz w:val="20"/>
                <w:szCs w:val="20"/>
              </w:rPr>
              <w:t>, 65mg capsule, 4</w:t>
            </w:r>
          </w:p>
        </w:tc>
        <w:tc>
          <w:tcPr>
            <w:tcW w:w="811" w:type="dxa"/>
            <w:vAlign w:val="center"/>
          </w:tcPr>
          <w:p w14:paraId="6F277C45" w14:textId="77777777" w:rsidR="007A7F37" w:rsidRPr="006A4ACE" w:rsidRDefault="007A7F37">
            <w:pPr>
              <w:keepLines/>
              <w:jc w:val="center"/>
              <w:rPr>
                <w:rFonts w:ascii="Arial Narrow" w:hAnsi="Arial Narrow"/>
                <w:sz w:val="20"/>
                <w:szCs w:val="20"/>
              </w:rPr>
            </w:pPr>
            <w:r w:rsidRPr="006A4ACE">
              <w:rPr>
                <w:rFonts w:ascii="Arial Narrow" w:hAnsi="Arial Narrow"/>
                <w:sz w:val="20"/>
                <w:szCs w:val="20"/>
              </w:rPr>
              <w:t>NEW</w:t>
            </w:r>
          </w:p>
        </w:tc>
        <w:tc>
          <w:tcPr>
            <w:tcW w:w="812" w:type="dxa"/>
            <w:vAlign w:val="center"/>
          </w:tcPr>
          <w:p w14:paraId="58D74C0A" w14:textId="77777777" w:rsidR="007A7F37" w:rsidRPr="006A4ACE" w:rsidRDefault="007A7F37">
            <w:pPr>
              <w:keepLines/>
              <w:jc w:val="center"/>
              <w:rPr>
                <w:rFonts w:ascii="Arial Narrow" w:hAnsi="Arial Narrow"/>
                <w:i/>
                <w:iCs/>
                <w:sz w:val="20"/>
                <w:szCs w:val="20"/>
              </w:rPr>
            </w:pPr>
            <w:r w:rsidRPr="006A4ACE">
              <w:rPr>
                <w:rFonts w:ascii="Arial Narrow" w:hAnsi="Arial Narrow"/>
                <w:strike/>
                <w:sz w:val="20"/>
                <w:szCs w:val="20"/>
              </w:rPr>
              <w:t>1</w:t>
            </w:r>
            <w:r w:rsidRPr="006A4ACE">
              <w:rPr>
                <w:rFonts w:ascii="Arial Narrow" w:hAnsi="Arial Narrow"/>
                <w:sz w:val="20"/>
                <w:szCs w:val="20"/>
              </w:rPr>
              <w:t xml:space="preserve"> </w:t>
            </w:r>
            <w:r w:rsidRPr="006A4ACE">
              <w:rPr>
                <w:rFonts w:ascii="Arial Narrow" w:hAnsi="Arial Narrow"/>
                <w:i/>
                <w:iCs/>
                <w:sz w:val="20"/>
                <w:szCs w:val="20"/>
              </w:rPr>
              <w:t>2</w:t>
            </w:r>
          </w:p>
        </w:tc>
        <w:tc>
          <w:tcPr>
            <w:tcW w:w="811" w:type="dxa"/>
            <w:vAlign w:val="center"/>
          </w:tcPr>
          <w:p w14:paraId="568D07E7" w14:textId="77777777" w:rsidR="007A7F37" w:rsidRPr="006A4ACE" w:rsidRDefault="007A7F37">
            <w:pPr>
              <w:keepLines/>
              <w:jc w:val="center"/>
              <w:rPr>
                <w:rFonts w:ascii="Arial Narrow" w:hAnsi="Arial Narrow"/>
                <w:i/>
                <w:iCs/>
                <w:sz w:val="20"/>
                <w:szCs w:val="20"/>
              </w:rPr>
            </w:pPr>
            <w:r w:rsidRPr="006A4ACE">
              <w:rPr>
                <w:rFonts w:ascii="Arial Narrow" w:hAnsi="Arial Narrow"/>
                <w:strike/>
                <w:sz w:val="20"/>
                <w:szCs w:val="20"/>
              </w:rPr>
              <w:t>4</w:t>
            </w:r>
            <w:r w:rsidRPr="006A4ACE">
              <w:rPr>
                <w:rFonts w:ascii="Arial Narrow" w:hAnsi="Arial Narrow"/>
                <w:sz w:val="20"/>
                <w:szCs w:val="20"/>
              </w:rPr>
              <w:t xml:space="preserve"> </w:t>
            </w:r>
            <w:r w:rsidRPr="006A4ACE">
              <w:rPr>
                <w:rFonts w:ascii="Arial Narrow" w:hAnsi="Arial Narrow"/>
                <w:i/>
                <w:iCs/>
                <w:sz w:val="20"/>
                <w:szCs w:val="20"/>
              </w:rPr>
              <w:t>8</w:t>
            </w:r>
          </w:p>
        </w:tc>
        <w:tc>
          <w:tcPr>
            <w:tcW w:w="812" w:type="dxa"/>
            <w:vAlign w:val="center"/>
          </w:tcPr>
          <w:p w14:paraId="7B7514D0" w14:textId="77777777" w:rsidR="007A7F37" w:rsidRPr="006A4ACE" w:rsidRDefault="007A7F37">
            <w:pPr>
              <w:keepLines/>
              <w:jc w:val="center"/>
              <w:rPr>
                <w:rFonts w:ascii="Arial Narrow" w:hAnsi="Arial Narrow"/>
                <w:sz w:val="20"/>
                <w:szCs w:val="20"/>
              </w:rPr>
            </w:pPr>
            <w:r w:rsidRPr="006A4ACE">
              <w:rPr>
                <w:rFonts w:ascii="Arial Narrow" w:hAnsi="Arial Narrow"/>
                <w:strike/>
                <w:sz w:val="20"/>
                <w:szCs w:val="20"/>
              </w:rPr>
              <w:t>11</w:t>
            </w:r>
            <w:r w:rsidRPr="006A4ACE">
              <w:rPr>
                <w:rFonts w:ascii="Arial Narrow" w:hAnsi="Arial Narrow"/>
                <w:sz w:val="20"/>
                <w:szCs w:val="20"/>
              </w:rPr>
              <w:t>5</w:t>
            </w:r>
          </w:p>
        </w:tc>
        <w:tc>
          <w:tcPr>
            <w:tcW w:w="1831" w:type="dxa"/>
            <w:vAlign w:val="center"/>
          </w:tcPr>
          <w:p w14:paraId="55AC5EFB" w14:textId="002E71D5" w:rsidR="007A7F37" w:rsidRPr="006A4ACE" w:rsidRDefault="007A7F37">
            <w:pPr>
              <w:keepLines/>
              <w:rPr>
                <w:rFonts w:ascii="Arial Narrow" w:hAnsi="Arial Narrow"/>
                <w:sz w:val="20"/>
                <w:szCs w:val="20"/>
              </w:rPr>
            </w:pPr>
            <w:proofErr w:type="spellStart"/>
            <w:r w:rsidRPr="006A4ACE">
              <w:rPr>
                <w:rFonts w:ascii="Arial Narrow" w:hAnsi="Arial Narrow"/>
                <w:sz w:val="20"/>
                <w:szCs w:val="20"/>
              </w:rPr>
              <w:t>Opfolda</w:t>
            </w:r>
            <w:proofErr w:type="spellEnd"/>
          </w:p>
        </w:tc>
      </w:tr>
      <w:tr w:rsidR="007A7F37" w:rsidRPr="006A4ACE" w14:paraId="13E8C6E7"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25E3A21" w14:textId="77777777" w:rsidR="007A7F37" w:rsidRPr="006A4ACE" w:rsidRDefault="007A7F37">
            <w:pPr>
              <w:rPr>
                <w:rFonts w:ascii="Arial Narrow" w:hAnsi="Arial Narrow"/>
                <w:sz w:val="20"/>
                <w:szCs w:val="20"/>
              </w:rPr>
            </w:pPr>
          </w:p>
        </w:tc>
      </w:tr>
      <w:tr w:rsidR="007A7F37" w:rsidRPr="006A4ACE" w14:paraId="3871A9C9"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4234742" w14:textId="3E80EB4D" w:rsidR="007A7F37" w:rsidRPr="006A4ACE" w:rsidRDefault="007A7F37">
            <w:pPr>
              <w:keepLines/>
              <w:rPr>
                <w:rFonts w:ascii="Arial Narrow" w:hAnsi="Arial Narrow"/>
                <w:b/>
                <w:sz w:val="20"/>
                <w:szCs w:val="20"/>
              </w:rPr>
            </w:pPr>
            <w:r w:rsidRPr="006A4ACE">
              <w:rPr>
                <w:rFonts w:ascii="Arial Narrow" w:hAnsi="Arial Narrow"/>
                <w:b/>
                <w:sz w:val="20"/>
                <w:szCs w:val="20"/>
              </w:rPr>
              <w:t xml:space="preserve">Restriction Summary </w:t>
            </w:r>
            <w:r w:rsidRPr="006A4ACE">
              <w:rPr>
                <w:rFonts w:ascii="Arial Narrow" w:hAnsi="Arial Narrow"/>
                <w:b/>
                <w:color w:val="FF0000"/>
                <w:sz w:val="20"/>
                <w:szCs w:val="20"/>
              </w:rPr>
              <w:t xml:space="preserve"> </w:t>
            </w:r>
            <w:r w:rsidRPr="006A4ACE">
              <w:rPr>
                <w:rFonts w:ascii="Arial Narrow" w:hAnsi="Arial Narrow"/>
                <w:b/>
                <w:sz w:val="20"/>
                <w:szCs w:val="20"/>
              </w:rPr>
              <w:t xml:space="preserve">/ Treatment of Concept: </w:t>
            </w:r>
          </w:p>
        </w:tc>
      </w:tr>
      <w:tr w:rsidR="007A7F37" w:rsidRPr="006A4ACE" w14:paraId="5EB508F9"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B8B52B1" w14:textId="414599BE" w:rsidR="007A7F37" w:rsidRPr="006A4ACE" w:rsidRDefault="007A7F37">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F045DD" w14:textId="77777777" w:rsidR="007A7F37" w:rsidRPr="006A4ACE" w:rsidRDefault="007A7F37">
            <w:pPr>
              <w:keepLines/>
              <w:rPr>
                <w:rFonts w:ascii="Arial Narrow" w:hAnsi="Arial Narrow"/>
                <w:sz w:val="20"/>
                <w:szCs w:val="20"/>
              </w:rPr>
            </w:pPr>
            <w:r w:rsidRPr="006A4ACE">
              <w:rPr>
                <w:rFonts w:ascii="Arial Narrow" w:hAnsi="Arial Narrow"/>
                <w:b/>
                <w:sz w:val="20"/>
                <w:szCs w:val="20"/>
              </w:rPr>
              <w:t>Category / Program:</w:t>
            </w:r>
            <w:r w:rsidRPr="006A4ACE">
              <w:rPr>
                <w:rFonts w:ascii="Arial Narrow" w:hAnsi="Arial Narrow"/>
                <w:color w:val="FF0000"/>
                <w:sz w:val="20"/>
                <w:szCs w:val="20"/>
              </w:rPr>
              <w:t xml:space="preserv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Section 100 – Highly Specialised Drugs Program – Public (Code HB)</w:t>
            </w:r>
            <w:r w:rsidRPr="006A4ACE">
              <w:rPr>
                <w:rFonts w:ascii="Arial Narrow" w:eastAsia="Calibri" w:hAnsi="Arial Narrow"/>
                <w:color w:val="FF0000"/>
                <w:sz w:val="20"/>
                <w:szCs w:val="20"/>
              </w:rPr>
              <w:t xml:space="preserve"> </w:t>
            </w:r>
            <w:r w:rsidRPr="006A4ACE">
              <w:rPr>
                <w:rFonts w:ascii="Arial Narrow" w:eastAsia="Calibri" w:hAnsi="Arial Narrow"/>
                <w:sz w:val="20"/>
                <w:szCs w:val="20"/>
              </w:rPr>
              <w:t>/ Private (Code HS)</w:t>
            </w:r>
          </w:p>
        </w:tc>
      </w:tr>
      <w:tr w:rsidR="007A7F37" w:rsidRPr="006A4ACE" w14:paraId="6F8AF33B"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6226228E" w14:textId="77777777" w:rsidR="007A7F37" w:rsidRPr="006A4ACE" w:rsidRDefault="007A7F3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088337" w14:textId="77777777" w:rsidR="007A7F37" w:rsidRPr="006A4ACE" w:rsidRDefault="007A7F37">
            <w:pPr>
              <w:keepLines/>
              <w:rPr>
                <w:rFonts w:ascii="Arial Narrow" w:hAnsi="Arial Narrow"/>
                <w:b/>
                <w:sz w:val="20"/>
                <w:szCs w:val="20"/>
              </w:rPr>
            </w:pPr>
            <w:r w:rsidRPr="006A4ACE">
              <w:rPr>
                <w:rFonts w:ascii="Arial Narrow" w:hAnsi="Arial Narrow"/>
                <w:b/>
                <w:sz w:val="20"/>
                <w:szCs w:val="20"/>
              </w:rPr>
              <w:t xml:space="preserve">Prescriber type: </w:t>
            </w:r>
          </w:p>
          <w:p w14:paraId="1D9EC8D2" w14:textId="77777777" w:rsidR="007A7F37" w:rsidRPr="006A4ACE" w:rsidRDefault="007A7F37">
            <w:pPr>
              <w:keepLines/>
              <w:rPr>
                <w:rFonts w:ascii="Arial Narrow" w:hAnsi="Arial Narrow"/>
                <w:b/>
                <w:sz w:val="20"/>
                <w:szCs w:val="20"/>
              </w:rPr>
            </w:pPr>
            <w:r w:rsidRPr="006A4ACE">
              <w:rPr>
                <w:rFonts w:ascii="Arial Narrow" w:hAnsi="Arial Narrow"/>
                <w:sz w:val="20"/>
                <w:szCs w:val="20"/>
              </w:rPr>
              <w:fldChar w:fldCharType="begin">
                <w:ffData>
                  <w:name w:val=""/>
                  <w:enabled/>
                  <w:calcOnExit w:val="0"/>
                  <w:checkBox>
                    <w:sizeAuto/>
                    <w:default w:val="1"/>
                  </w:checkBox>
                </w:ffData>
              </w:fldChar>
            </w:r>
            <w:r w:rsidRPr="006A4ACE">
              <w:rPr>
                <w:rFonts w:ascii="Arial Narrow" w:hAnsi="Arial Narrow"/>
                <w:sz w:val="20"/>
                <w:szCs w:val="20"/>
              </w:rPr>
              <w:instrText xml:space="preserve"> FORMCHECKBOX </w:instrText>
            </w:r>
            <w:r w:rsidRPr="006A4ACE">
              <w:rPr>
                <w:rFonts w:ascii="Arial Narrow" w:hAnsi="Arial Narrow"/>
                <w:sz w:val="20"/>
                <w:szCs w:val="20"/>
              </w:rPr>
            </w:r>
            <w:r w:rsidRPr="006A4ACE">
              <w:rPr>
                <w:rFonts w:ascii="Arial Narrow" w:hAnsi="Arial Narrow"/>
                <w:sz w:val="20"/>
                <w:szCs w:val="20"/>
              </w:rPr>
              <w:fldChar w:fldCharType="separate"/>
            </w:r>
            <w:r w:rsidRPr="006A4ACE">
              <w:rPr>
                <w:rFonts w:ascii="Arial Narrow" w:hAnsi="Arial Narrow"/>
                <w:sz w:val="20"/>
                <w:szCs w:val="20"/>
              </w:rPr>
              <w:fldChar w:fldCharType="end"/>
            </w:r>
            <w:r w:rsidRPr="006A4ACE">
              <w:rPr>
                <w:rFonts w:ascii="Arial Narrow" w:hAnsi="Arial Narrow"/>
                <w:sz w:val="20"/>
                <w:szCs w:val="20"/>
              </w:rPr>
              <w:t xml:space="preserve">Medical Practitioners </w:t>
            </w:r>
          </w:p>
        </w:tc>
      </w:tr>
      <w:tr w:rsidR="007A7F37" w:rsidRPr="006A4ACE" w14:paraId="1D19D355"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0A2218F" w14:textId="77777777" w:rsidR="007A7F37" w:rsidRPr="006A4ACE" w:rsidRDefault="007A7F3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EE3FFF" w14:textId="77777777" w:rsidR="007A7F37" w:rsidRPr="006A4ACE" w:rsidRDefault="007A7F37">
            <w:pPr>
              <w:keepLines/>
              <w:jc w:val="left"/>
              <w:rPr>
                <w:rFonts w:ascii="Arial Narrow" w:hAnsi="Arial Narrow"/>
                <w:b/>
                <w:sz w:val="20"/>
                <w:szCs w:val="20"/>
              </w:rPr>
            </w:pPr>
            <w:r w:rsidRPr="006A4ACE">
              <w:rPr>
                <w:rFonts w:ascii="Arial Narrow" w:hAnsi="Arial Narrow"/>
                <w:b/>
                <w:sz w:val="20"/>
                <w:szCs w:val="20"/>
              </w:rPr>
              <w:t xml:space="preserve">Restriction type: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Authority Required (Written Authority) [new/existing code] </w:t>
            </w:r>
          </w:p>
        </w:tc>
      </w:tr>
      <w:tr w:rsidR="007A7F37" w:rsidRPr="006A4ACE" w14:paraId="0C91E601"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02CD387A" w14:textId="77777777" w:rsidR="007A7F37" w:rsidRPr="006A4ACE" w:rsidRDefault="007A7F3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5FC5692" w14:textId="77777777" w:rsidR="007A7F37" w:rsidRPr="006A4ACE" w:rsidRDefault="007A7F37">
            <w:pPr>
              <w:keepLines/>
              <w:jc w:val="left"/>
              <w:rPr>
                <w:rFonts w:ascii="Arial Narrow" w:hAnsi="Arial Narrow"/>
                <w:b/>
                <w:color w:val="FF0000"/>
                <w:sz w:val="20"/>
                <w:szCs w:val="20"/>
              </w:rPr>
            </w:pPr>
            <w:r w:rsidRPr="006A4ACE">
              <w:rPr>
                <w:rFonts w:ascii="Arial Narrow" w:hAnsi="Arial Narrow"/>
                <w:b/>
                <w:sz w:val="20"/>
                <w:szCs w:val="20"/>
              </w:rPr>
              <w:t xml:space="preserve">Authority type: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Check1"/>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Non-complex Authority Required (non-CAR)</w:t>
            </w:r>
          </w:p>
        </w:tc>
      </w:tr>
      <w:tr w:rsidR="007A7F37" w:rsidRPr="006A4ACE" w14:paraId="317332A7"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4315901" w14:textId="2627F128" w:rsidR="007A7F37" w:rsidRPr="006A4ACE" w:rsidRDefault="007A7F37">
            <w:pPr>
              <w:jc w:val="center"/>
              <w:rPr>
                <w:rFonts w:ascii="Arial Narrow" w:hAnsi="Arial Narrow"/>
                <w:sz w:val="20"/>
                <w:szCs w:val="20"/>
              </w:rPr>
            </w:pPr>
          </w:p>
        </w:tc>
        <w:tc>
          <w:tcPr>
            <w:tcW w:w="784" w:type="dxa"/>
            <w:vAlign w:val="center"/>
          </w:tcPr>
          <w:p w14:paraId="04304E63" w14:textId="7ADB27FF" w:rsidR="007A7F37" w:rsidRPr="006A4ACE" w:rsidRDefault="007A7F37">
            <w:pPr>
              <w:jc w:val="center"/>
              <w:rPr>
                <w:rFonts w:ascii="Arial Narrow" w:hAnsi="Arial Narrow"/>
                <w:i/>
                <w:iCs/>
                <w:color w:val="333333"/>
                <w:sz w:val="20"/>
                <w:szCs w:val="20"/>
              </w:rPr>
            </w:pPr>
          </w:p>
        </w:tc>
        <w:tc>
          <w:tcPr>
            <w:tcW w:w="7745" w:type="dxa"/>
            <w:gridSpan w:val="6"/>
            <w:vAlign w:val="center"/>
          </w:tcPr>
          <w:p w14:paraId="4C3BE955" w14:textId="77777777" w:rsidR="007A7F37" w:rsidRPr="006A4ACE" w:rsidRDefault="007A7F37">
            <w:pPr>
              <w:rPr>
                <w:rFonts w:ascii="Arial Narrow" w:hAnsi="Arial Narrow"/>
                <w:i/>
                <w:iCs/>
                <w:color w:val="333333"/>
                <w:sz w:val="20"/>
                <w:szCs w:val="20"/>
              </w:rPr>
            </w:pPr>
            <w:r w:rsidRPr="006A4ACE">
              <w:rPr>
                <w:rFonts w:ascii="Arial Narrow" w:hAnsi="Arial Narrow"/>
                <w:b/>
                <w:bCs/>
                <w:i/>
                <w:iCs/>
                <w:sz w:val="20"/>
                <w:szCs w:val="20"/>
              </w:rPr>
              <w:t xml:space="preserve">Administrative Advice: </w:t>
            </w:r>
            <w:r w:rsidRPr="006A4ACE">
              <w:rPr>
                <w:rFonts w:ascii="Arial Narrow" w:hAnsi="Arial Narrow"/>
                <w:bCs/>
                <w:i/>
                <w:iCs/>
                <w:sz w:val="20"/>
                <w:szCs w:val="20"/>
              </w:rPr>
              <w:t>No increase in the maximum number of repeats may be authorised.</w:t>
            </w:r>
          </w:p>
        </w:tc>
      </w:tr>
      <w:tr w:rsidR="007A7F37" w:rsidRPr="006A4ACE" w14:paraId="4D694C45" w14:textId="77777777">
        <w:tblPrEx>
          <w:tblCellMar>
            <w:top w:w="15" w:type="dxa"/>
            <w:bottom w:w="15" w:type="dxa"/>
          </w:tblCellMar>
          <w:tblLook w:val="04A0" w:firstRow="1" w:lastRow="0" w:firstColumn="1" w:lastColumn="0" w:noHBand="0" w:noVBand="1"/>
        </w:tblPrEx>
        <w:trPr>
          <w:trHeight w:val="20"/>
        </w:trPr>
        <w:tc>
          <w:tcPr>
            <w:tcW w:w="487" w:type="dxa"/>
            <w:vMerge/>
            <w:textDirection w:val="btLr"/>
            <w:vAlign w:val="center"/>
          </w:tcPr>
          <w:p w14:paraId="2B6B032A" w14:textId="77777777" w:rsidR="007A7F37" w:rsidRPr="006A4ACE" w:rsidRDefault="007A7F37">
            <w:pPr>
              <w:jc w:val="center"/>
              <w:rPr>
                <w:rFonts w:ascii="Arial Narrow" w:hAnsi="Arial Narrow"/>
                <w:sz w:val="20"/>
                <w:szCs w:val="20"/>
              </w:rPr>
            </w:pPr>
          </w:p>
        </w:tc>
        <w:tc>
          <w:tcPr>
            <w:tcW w:w="784" w:type="dxa"/>
            <w:vAlign w:val="center"/>
          </w:tcPr>
          <w:p w14:paraId="43653B93" w14:textId="70E33911" w:rsidR="007A7F37" w:rsidRPr="006A4ACE" w:rsidRDefault="007A7F37">
            <w:pPr>
              <w:jc w:val="center"/>
              <w:rPr>
                <w:rFonts w:ascii="Arial Narrow" w:hAnsi="Arial Narrow"/>
                <w:bCs/>
                <w:i/>
                <w:iCs/>
                <w:sz w:val="20"/>
                <w:szCs w:val="20"/>
              </w:rPr>
            </w:pPr>
          </w:p>
        </w:tc>
        <w:tc>
          <w:tcPr>
            <w:tcW w:w="7745" w:type="dxa"/>
            <w:gridSpan w:val="6"/>
            <w:vAlign w:val="center"/>
          </w:tcPr>
          <w:p w14:paraId="1DAB3DA9" w14:textId="77777777" w:rsidR="007A7F37" w:rsidRPr="006A4ACE" w:rsidRDefault="007A7F37">
            <w:pPr>
              <w:rPr>
                <w:rFonts w:ascii="Arial Narrow" w:hAnsi="Arial Narrow"/>
                <w:b/>
                <w:bCs/>
                <w:i/>
                <w:iCs/>
                <w:sz w:val="20"/>
                <w:szCs w:val="20"/>
              </w:rPr>
            </w:pPr>
            <w:r w:rsidRPr="006A4ACE">
              <w:rPr>
                <w:rStyle w:val="normaltextrun"/>
                <w:rFonts w:ascii="Arial Narrow" w:hAnsi="Arial Narrow" w:cs="Segoe UI"/>
                <w:b/>
                <w:bCs/>
                <w:i/>
                <w:iCs/>
                <w:sz w:val="20"/>
                <w:szCs w:val="20"/>
              </w:rPr>
              <w:t xml:space="preserve">Administrative Advice: </w:t>
            </w:r>
            <w:r w:rsidRPr="006A4ACE">
              <w:rPr>
                <w:rStyle w:val="normaltextrun"/>
                <w:rFonts w:ascii="Arial Narrow" w:hAnsi="Arial Narrow" w:cs="Segoe UI"/>
                <w:i/>
                <w:iCs/>
                <w:sz w:val="20"/>
                <w:szCs w:val="20"/>
              </w:rPr>
              <w:t>No increase in the maximum quantity or number of units may be authorised.</w:t>
            </w:r>
            <w:r w:rsidRPr="006A4ACE">
              <w:rPr>
                <w:rStyle w:val="eop"/>
                <w:rFonts w:ascii="Arial Narrow" w:hAnsi="Arial Narrow" w:cs="Segoe UI"/>
                <w:i/>
                <w:iCs/>
                <w:sz w:val="20"/>
                <w:szCs w:val="20"/>
              </w:rPr>
              <w:t> </w:t>
            </w:r>
          </w:p>
        </w:tc>
      </w:tr>
      <w:tr w:rsidR="007A7F37" w:rsidRPr="006A4ACE" w14:paraId="48F5F59B" w14:textId="77777777">
        <w:tblPrEx>
          <w:tblCellMar>
            <w:top w:w="15" w:type="dxa"/>
            <w:bottom w:w="15" w:type="dxa"/>
          </w:tblCellMar>
          <w:tblLook w:val="04A0" w:firstRow="1" w:lastRow="0" w:firstColumn="1" w:lastColumn="0" w:noHBand="0" w:noVBand="1"/>
        </w:tblPrEx>
        <w:trPr>
          <w:trHeight w:val="20"/>
        </w:trPr>
        <w:tc>
          <w:tcPr>
            <w:tcW w:w="487" w:type="dxa"/>
            <w:vMerge/>
          </w:tcPr>
          <w:p w14:paraId="5B9FBEAB" w14:textId="77777777" w:rsidR="007A7F37" w:rsidRPr="006A4ACE" w:rsidRDefault="007A7F37">
            <w:pPr>
              <w:rPr>
                <w:rFonts w:ascii="Arial Narrow" w:hAnsi="Arial Narrow"/>
                <w:sz w:val="20"/>
                <w:szCs w:val="20"/>
              </w:rPr>
            </w:pPr>
          </w:p>
        </w:tc>
        <w:tc>
          <w:tcPr>
            <w:tcW w:w="784" w:type="dxa"/>
            <w:vAlign w:val="center"/>
          </w:tcPr>
          <w:p w14:paraId="1A628A87" w14:textId="7127CDC9" w:rsidR="007A7F37" w:rsidRPr="006A4ACE" w:rsidRDefault="007A7F37">
            <w:pPr>
              <w:jc w:val="center"/>
              <w:rPr>
                <w:rFonts w:ascii="Arial Narrow" w:hAnsi="Arial Narrow"/>
                <w:i/>
                <w:iCs/>
                <w:color w:val="333333"/>
                <w:sz w:val="20"/>
                <w:szCs w:val="20"/>
              </w:rPr>
            </w:pPr>
          </w:p>
        </w:tc>
        <w:tc>
          <w:tcPr>
            <w:tcW w:w="7745" w:type="dxa"/>
            <w:gridSpan w:val="6"/>
            <w:vAlign w:val="center"/>
          </w:tcPr>
          <w:p w14:paraId="51691FCE" w14:textId="77777777" w:rsidR="007A7F37" w:rsidRPr="006A4ACE" w:rsidRDefault="007A7F37">
            <w:pPr>
              <w:rPr>
                <w:rFonts w:ascii="Arial Narrow" w:hAnsi="Arial Narrow"/>
                <w:b/>
                <w:bCs/>
                <w:i/>
                <w:iCs/>
                <w:color w:val="333333"/>
                <w:sz w:val="20"/>
                <w:szCs w:val="20"/>
              </w:rPr>
            </w:pPr>
            <w:r w:rsidRPr="006A4ACE">
              <w:rPr>
                <w:rFonts w:ascii="Arial Narrow" w:hAnsi="Arial Narrow"/>
                <w:b/>
                <w:bCs/>
                <w:i/>
                <w:iCs/>
                <w:sz w:val="20"/>
                <w:szCs w:val="20"/>
              </w:rPr>
              <w:t xml:space="preserve">Administrative Advice: </w:t>
            </w:r>
            <w:r w:rsidRPr="006A4ACE">
              <w:rPr>
                <w:rFonts w:ascii="Arial Narrow" w:hAnsi="Arial Narrow"/>
                <w:bCs/>
                <w:i/>
                <w:iCs/>
                <w:sz w:val="20"/>
                <w:szCs w:val="20"/>
              </w:rPr>
              <w:t>Special Pricing Arrangements apply.</w:t>
            </w:r>
          </w:p>
        </w:tc>
      </w:tr>
      <w:tr w:rsidR="007A7F37" w:rsidRPr="006A4ACE" w14:paraId="700BED8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DC17FF" w14:textId="1FB2711A" w:rsidR="007A7F37" w:rsidRPr="006A4ACE" w:rsidRDefault="007A7F37">
            <w:pPr>
              <w:keepLines/>
              <w:jc w:val="center"/>
              <w:rPr>
                <w:rFonts w:ascii="Arial Narrow" w:hAnsi="Arial Narrow"/>
                <w:color w:val="333333"/>
                <w:sz w:val="20"/>
                <w:szCs w:val="20"/>
              </w:rPr>
            </w:pPr>
          </w:p>
        </w:tc>
        <w:tc>
          <w:tcPr>
            <w:tcW w:w="7745" w:type="dxa"/>
            <w:gridSpan w:val="6"/>
            <w:vAlign w:val="center"/>
          </w:tcPr>
          <w:p w14:paraId="7C915F8F" w14:textId="77777777" w:rsidR="007A7F37" w:rsidRPr="006A4ACE" w:rsidRDefault="007A7F37">
            <w:pPr>
              <w:keepLines/>
              <w:rPr>
                <w:rFonts w:ascii="Arial Narrow" w:hAnsi="Arial Narrow"/>
                <w:b/>
                <w:bCs/>
                <w:color w:val="333333"/>
                <w:sz w:val="20"/>
                <w:szCs w:val="20"/>
              </w:rPr>
            </w:pPr>
            <w:r w:rsidRPr="006A4ACE">
              <w:rPr>
                <w:rFonts w:ascii="Arial Narrow" w:hAnsi="Arial Narrow"/>
                <w:b/>
                <w:bCs/>
                <w:color w:val="333333"/>
                <w:sz w:val="20"/>
                <w:szCs w:val="20"/>
              </w:rPr>
              <w:t xml:space="preserve">Condition: </w:t>
            </w:r>
            <w:r w:rsidRPr="006A4ACE">
              <w:rPr>
                <w:rFonts w:ascii="Arial Narrow" w:hAnsi="Arial Narrow"/>
                <w:bCs/>
                <w:color w:val="333333"/>
                <w:sz w:val="20"/>
                <w:szCs w:val="20"/>
              </w:rPr>
              <w:t>Pompe disease</w:t>
            </w:r>
          </w:p>
        </w:tc>
      </w:tr>
      <w:tr w:rsidR="007A7F37" w:rsidRPr="006A4ACE" w14:paraId="41EEA96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A53D20" w14:textId="1D6D6763" w:rsidR="007A7F37" w:rsidRPr="006A4ACE" w:rsidRDefault="007A7F37">
            <w:pPr>
              <w:keepLines/>
              <w:jc w:val="center"/>
              <w:rPr>
                <w:rFonts w:ascii="Arial Narrow" w:hAnsi="Arial Narrow"/>
                <w:color w:val="333333"/>
                <w:sz w:val="20"/>
                <w:szCs w:val="20"/>
              </w:rPr>
            </w:pPr>
          </w:p>
        </w:tc>
        <w:tc>
          <w:tcPr>
            <w:tcW w:w="7745" w:type="dxa"/>
            <w:gridSpan w:val="6"/>
            <w:vAlign w:val="center"/>
            <w:hideMark/>
          </w:tcPr>
          <w:p w14:paraId="2226B4B1" w14:textId="77777777" w:rsidR="007A7F37" w:rsidRPr="006A4ACE" w:rsidRDefault="007A7F37">
            <w:pPr>
              <w:keepLines/>
              <w:rPr>
                <w:rFonts w:ascii="Arial Narrow" w:hAnsi="Arial Narrow"/>
                <w:color w:val="333333"/>
                <w:sz w:val="20"/>
                <w:szCs w:val="20"/>
              </w:rPr>
            </w:pPr>
            <w:r w:rsidRPr="006A4ACE">
              <w:rPr>
                <w:rFonts w:ascii="Arial Narrow" w:hAnsi="Arial Narrow"/>
                <w:b/>
                <w:bCs/>
                <w:color w:val="333333"/>
                <w:sz w:val="20"/>
                <w:szCs w:val="20"/>
              </w:rPr>
              <w:t xml:space="preserve">Indication: </w:t>
            </w:r>
            <w:r w:rsidRPr="006A4ACE">
              <w:rPr>
                <w:rFonts w:ascii="Arial Narrow" w:hAnsi="Arial Narrow"/>
                <w:color w:val="333333"/>
                <w:sz w:val="20"/>
                <w:szCs w:val="20"/>
              </w:rPr>
              <w:t>Late-onset Pompe disease (LOPD)</w:t>
            </w:r>
          </w:p>
        </w:tc>
      </w:tr>
      <w:tr w:rsidR="007A7F37" w:rsidRPr="006A4ACE" w14:paraId="695357E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E538EA" w14:textId="77777777" w:rsidR="007A7F37" w:rsidRPr="006A4ACE" w:rsidRDefault="007A7F37">
            <w:pPr>
              <w:jc w:val="center"/>
              <w:rPr>
                <w:rFonts w:ascii="Arial Narrow" w:hAnsi="Arial Narrow"/>
                <w:sz w:val="20"/>
                <w:szCs w:val="20"/>
              </w:rPr>
            </w:pPr>
          </w:p>
        </w:tc>
        <w:tc>
          <w:tcPr>
            <w:tcW w:w="7745" w:type="dxa"/>
            <w:gridSpan w:val="6"/>
            <w:vAlign w:val="center"/>
            <w:hideMark/>
          </w:tcPr>
          <w:p w14:paraId="23C5762D" w14:textId="77777777" w:rsidR="007A7F37" w:rsidRPr="006A4ACE" w:rsidRDefault="007A7F37">
            <w:pPr>
              <w:rPr>
                <w:rFonts w:ascii="Arial Narrow" w:hAnsi="Arial Narrow"/>
                <w:sz w:val="20"/>
                <w:szCs w:val="20"/>
              </w:rPr>
            </w:pPr>
            <w:r w:rsidRPr="006A4ACE">
              <w:rPr>
                <w:rFonts w:ascii="Arial Narrow" w:hAnsi="Arial Narrow"/>
                <w:b/>
                <w:bCs/>
                <w:sz w:val="20"/>
                <w:szCs w:val="20"/>
              </w:rPr>
              <w:t>Treatment Phase:</w:t>
            </w:r>
            <w:r w:rsidRPr="006A4ACE">
              <w:rPr>
                <w:rFonts w:ascii="Arial Narrow" w:hAnsi="Arial Narrow"/>
                <w:sz w:val="20"/>
                <w:szCs w:val="20"/>
              </w:rPr>
              <w:t xml:space="preserve"> Initiation</w:t>
            </w:r>
          </w:p>
        </w:tc>
      </w:tr>
      <w:tr w:rsidR="007A7F37" w:rsidRPr="006A4ACE" w14:paraId="0E4578A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60955C" w14:textId="670BF6EA" w:rsidR="007A7F37" w:rsidRPr="006A4ACE" w:rsidRDefault="007A7F37">
            <w:pPr>
              <w:jc w:val="center"/>
              <w:rPr>
                <w:rFonts w:ascii="Arial Narrow" w:hAnsi="Arial Narrow"/>
                <w:color w:val="333333"/>
                <w:sz w:val="20"/>
                <w:szCs w:val="20"/>
              </w:rPr>
            </w:pPr>
          </w:p>
        </w:tc>
        <w:tc>
          <w:tcPr>
            <w:tcW w:w="7745" w:type="dxa"/>
            <w:gridSpan w:val="6"/>
            <w:vAlign w:val="center"/>
            <w:hideMark/>
          </w:tcPr>
          <w:p w14:paraId="3D4EACBC" w14:textId="77777777" w:rsidR="007A7F37" w:rsidRPr="006A4ACE" w:rsidRDefault="007A7F37">
            <w:pPr>
              <w:rPr>
                <w:rFonts w:ascii="Arial Narrow" w:hAnsi="Arial Narrow"/>
                <w:sz w:val="20"/>
                <w:szCs w:val="20"/>
              </w:rPr>
            </w:pPr>
            <w:r w:rsidRPr="006A4ACE">
              <w:rPr>
                <w:rFonts w:ascii="Arial Narrow" w:hAnsi="Arial Narrow"/>
                <w:b/>
                <w:bCs/>
                <w:color w:val="333333"/>
                <w:sz w:val="20"/>
                <w:szCs w:val="20"/>
              </w:rPr>
              <w:t xml:space="preserve">Clinical criteria: </w:t>
            </w:r>
          </w:p>
        </w:tc>
      </w:tr>
      <w:tr w:rsidR="007A7F37" w:rsidRPr="006A4ACE" w14:paraId="1284CA7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313AD0" w14:textId="5C7B7185" w:rsidR="007A7F37" w:rsidRPr="006A4ACE" w:rsidRDefault="007A7F37">
            <w:pPr>
              <w:jc w:val="center"/>
              <w:rPr>
                <w:rFonts w:ascii="Arial Narrow" w:hAnsi="Arial Narrow"/>
                <w:color w:val="333333"/>
                <w:sz w:val="20"/>
                <w:szCs w:val="20"/>
              </w:rPr>
            </w:pPr>
          </w:p>
        </w:tc>
        <w:tc>
          <w:tcPr>
            <w:tcW w:w="7745" w:type="dxa"/>
            <w:gridSpan w:val="6"/>
            <w:vAlign w:val="center"/>
            <w:hideMark/>
          </w:tcPr>
          <w:p w14:paraId="2F315489" w14:textId="30CE7E82" w:rsidR="007A7F37" w:rsidRPr="0041218C" w:rsidRDefault="007A7F37" w:rsidP="0041218C">
            <w:pPr>
              <w:pStyle w:val="PBACTabletext"/>
            </w:pPr>
            <w:r w:rsidRPr="006A4ACE">
              <w:t>The patient must be diagnosed with late-onset Pompe disease</w:t>
            </w:r>
          </w:p>
        </w:tc>
      </w:tr>
      <w:tr w:rsidR="007A7F37" w:rsidRPr="006A4ACE" w14:paraId="6BD22E3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58D22A" w14:textId="77777777" w:rsidR="007A7F37" w:rsidRPr="006A4ACE" w:rsidRDefault="007A7F37">
            <w:pPr>
              <w:jc w:val="center"/>
              <w:rPr>
                <w:rFonts w:ascii="Arial Narrow" w:hAnsi="Arial Narrow"/>
                <w:color w:val="333333"/>
                <w:sz w:val="20"/>
                <w:szCs w:val="20"/>
              </w:rPr>
            </w:pPr>
          </w:p>
        </w:tc>
        <w:tc>
          <w:tcPr>
            <w:tcW w:w="7745" w:type="dxa"/>
            <w:gridSpan w:val="6"/>
            <w:vAlign w:val="center"/>
            <w:hideMark/>
          </w:tcPr>
          <w:p w14:paraId="698343F0"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AND</w:t>
            </w:r>
          </w:p>
        </w:tc>
      </w:tr>
      <w:tr w:rsidR="007A7F37" w:rsidRPr="006A4ACE" w14:paraId="04135C8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44FB7A" w14:textId="628FF22C" w:rsidR="007A7F37" w:rsidRPr="006A4ACE" w:rsidRDefault="007A7F37">
            <w:pPr>
              <w:jc w:val="center"/>
              <w:rPr>
                <w:rFonts w:ascii="Arial Narrow" w:hAnsi="Arial Narrow"/>
                <w:color w:val="333333"/>
                <w:sz w:val="20"/>
                <w:szCs w:val="20"/>
              </w:rPr>
            </w:pPr>
          </w:p>
        </w:tc>
        <w:tc>
          <w:tcPr>
            <w:tcW w:w="7745" w:type="dxa"/>
            <w:gridSpan w:val="6"/>
            <w:vAlign w:val="center"/>
            <w:hideMark/>
          </w:tcPr>
          <w:p w14:paraId="66707A5E"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Clinical criteria:</w:t>
            </w:r>
          </w:p>
        </w:tc>
      </w:tr>
      <w:tr w:rsidR="007A7F37" w:rsidRPr="006A4ACE" w14:paraId="4529156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D0EACC" w14:textId="6B4ED7DA" w:rsidR="007A7F37" w:rsidRPr="006A4ACE" w:rsidRDefault="007A7F37">
            <w:pPr>
              <w:jc w:val="center"/>
              <w:rPr>
                <w:rFonts w:ascii="Arial Narrow" w:hAnsi="Arial Narrow"/>
                <w:color w:val="333333"/>
                <w:sz w:val="20"/>
                <w:szCs w:val="20"/>
              </w:rPr>
            </w:pPr>
          </w:p>
        </w:tc>
        <w:tc>
          <w:tcPr>
            <w:tcW w:w="7745" w:type="dxa"/>
            <w:gridSpan w:val="6"/>
            <w:vAlign w:val="center"/>
            <w:hideMark/>
          </w:tcPr>
          <w:p w14:paraId="6ACC92D0" w14:textId="77777777" w:rsidR="007A7F37" w:rsidRPr="006A4ACE" w:rsidRDefault="007A7F37">
            <w:pPr>
              <w:pStyle w:val="PBACTabletext"/>
            </w:pPr>
            <w:r w:rsidRPr="006A4ACE">
              <w:t>The patient must not be on long term invasive ventilation for respiratory failure before starting ERT, which indicates a disease severity that will not benefit from treatment</w:t>
            </w:r>
          </w:p>
        </w:tc>
      </w:tr>
      <w:tr w:rsidR="007A7F37" w:rsidRPr="006A4ACE" w14:paraId="40077AB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26A9D1" w14:textId="77777777" w:rsidR="007A7F37" w:rsidRPr="006A4ACE" w:rsidRDefault="007A7F37">
            <w:pPr>
              <w:jc w:val="center"/>
              <w:rPr>
                <w:rFonts w:ascii="Arial Narrow" w:hAnsi="Arial Narrow"/>
                <w:color w:val="333333"/>
                <w:sz w:val="20"/>
                <w:szCs w:val="20"/>
              </w:rPr>
            </w:pPr>
          </w:p>
        </w:tc>
        <w:tc>
          <w:tcPr>
            <w:tcW w:w="7745" w:type="dxa"/>
            <w:gridSpan w:val="6"/>
            <w:vAlign w:val="center"/>
            <w:hideMark/>
          </w:tcPr>
          <w:p w14:paraId="6A4DA6DE"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AND</w:t>
            </w:r>
          </w:p>
        </w:tc>
      </w:tr>
      <w:tr w:rsidR="007A7F37" w:rsidRPr="006A4ACE" w14:paraId="1CBE88A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FBF082" w14:textId="541A89E0" w:rsidR="007A7F37" w:rsidRPr="006A4ACE" w:rsidRDefault="007A7F37">
            <w:pPr>
              <w:jc w:val="center"/>
              <w:rPr>
                <w:rFonts w:ascii="Arial Narrow" w:hAnsi="Arial Narrow"/>
                <w:color w:val="333333"/>
                <w:sz w:val="20"/>
                <w:szCs w:val="20"/>
              </w:rPr>
            </w:pPr>
          </w:p>
        </w:tc>
        <w:tc>
          <w:tcPr>
            <w:tcW w:w="7745" w:type="dxa"/>
            <w:gridSpan w:val="6"/>
            <w:vAlign w:val="center"/>
            <w:hideMark/>
          </w:tcPr>
          <w:p w14:paraId="51469B3E"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Clinical criteria:</w:t>
            </w:r>
          </w:p>
        </w:tc>
      </w:tr>
      <w:tr w:rsidR="007A7F37" w:rsidRPr="006A4ACE" w14:paraId="64C9D56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8CE3BA" w14:textId="64D09BF4" w:rsidR="007A7F37" w:rsidRPr="006A4ACE" w:rsidRDefault="007A7F37">
            <w:pPr>
              <w:jc w:val="center"/>
              <w:rPr>
                <w:rFonts w:ascii="Arial Narrow" w:hAnsi="Arial Narrow"/>
                <w:color w:val="333333"/>
                <w:sz w:val="20"/>
                <w:szCs w:val="20"/>
              </w:rPr>
            </w:pPr>
          </w:p>
        </w:tc>
        <w:tc>
          <w:tcPr>
            <w:tcW w:w="7745" w:type="dxa"/>
            <w:gridSpan w:val="6"/>
            <w:vAlign w:val="center"/>
            <w:hideMark/>
          </w:tcPr>
          <w:p w14:paraId="3C0942D8" w14:textId="77777777" w:rsidR="007A7F37" w:rsidRPr="006A4ACE" w:rsidRDefault="007A7F37">
            <w:pPr>
              <w:pStyle w:val="PBACTabletext"/>
            </w:pPr>
            <w:r w:rsidRPr="006A4ACE">
              <w:t>The patient must not have another life threatening or severe disease where prognosis is</w:t>
            </w:r>
          </w:p>
          <w:p w14:paraId="4A561E00" w14:textId="77777777" w:rsidR="007A7F37" w:rsidRPr="006A4ACE" w:rsidRDefault="007A7F37">
            <w:pPr>
              <w:pStyle w:val="PBACTabletext"/>
            </w:pPr>
            <w:r w:rsidRPr="006A4ACE">
              <w:t>unlikely to be influenced by ERT</w:t>
            </w:r>
          </w:p>
        </w:tc>
      </w:tr>
      <w:tr w:rsidR="007A7F37" w:rsidRPr="006A4ACE" w14:paraId="540D2D3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0D4788" w14:textId="77777777" w:rsidR="007A7F37" w:rsidRPr="006A4ACE" w:rsidRDefault="007A7F37">
            <w:pPr>
              <w:jc w:val="center"/>
              <w:rPr>
                <w:rFonts w:ascii="Arial Narrow" w:hAnsi="Arial Narrow"/>
                <w:color w:val="333333"/>
                <w:sz w:val="20"/>
                <w:szCs w:val="20"/>
              </w:rPr>
            </w:pPr>
          </w:p>
        </w:tc>
        <w:tc>
          <w:tcPr>
            <w:tcW w:w="7745" w:type="dxa"/>
            <w:gridSpan w:val="6"/>
            <w:vAlign w:val="center"/>
          </w:tcPr>
          <w:p w14:paraId="4E7E0831" w14:textId="77777777" w:rsidR="007A7F37" w:rsidRPr="006A4ACE" w:rsidRDefault="007A7F37">
            <w:pPr>
              <w:pStyle w:val="PBACTabletext"/>
            </w:pPr>
            <w:r w:rsidRPr="006A4ACE">
              <w:rPr>
                <w:b/>
                <w:bCs/>
                <w:color w:val="333333"/>
                <w:szCs w:val="20"/>
                <w:lang w:eastAsia="en-AU"/>
              </w:rPr>
              <w:t>AND</w:t>
            </w:r>
          </w:p>
        </w:tc>
      </w:tr>
      <w:tr w:rsidR="007A7F37" w:rsidRPr="006A4ACE" w14:paraId="6570A0B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8BB880" w14:textId="52E6E263" w:rsidR="007A7F37" w:rsidRPr="006A4ACE" w:rsidRDefault="007A7F37">
            <w:pPr>
              <w:jc w:val="center"/>
              <w:rPr>
                <w:rFonts w:ascii="Arial Narrow" w:hAnsi="Arial Narrow"/>
                <w:color w:val="333333"/>
                <w:sz w:val="20"/>
                <w:szCs w:val="20"/>
              </w:rPr>
            </w:pPr>
          </w:p>
        </w:tc>
        <w:tc>
          <w:tcPr>
            <w:tcW w:w="7745" w:type="dxa"/>
            <w:gridSpan w:val="6"/>
            <w:vAlign w:val="center"/>
          </w:tcPr>
          <w:p w14:paraId="4331B81A" w14:textId="77777777" w:rsidR="007A7F37" w:rsidRPr="006A4ACE" w:rsidRDefault="007A7F37">
            <w:pPr>
              <w:pStyle w:val="PBACTabletext"/>
            </w:pPr>
            <w:r w:rsidRPr="006A4ACE">
              <w:rPr>
                <w:b/>
                <w:bCs/>
                <w:color w:val="333333"/>
                <w:szCs w:val="20"/>
                <w:lang w:eastAsia="en-AU"/>
              </w:rPr>
              <w:t>Clinical criteria:</w:t>
            </w:r>
          </w:p>
        </w:tc>
      </w:tr>
      <w:tr w:rsidR="007A7F37" w:rsidRPr="006A4ACE" w14:paraId="044BB19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D2CCE6" w14:textId="374D653F" w:rsidR="007A7F37" w:rsidRPr="006A4ACE" w:rsidRDefault="007A7F37">
            <w:pPr>
              <w:jc w:val="center"/>
              <w:rPr>
                <w:rFonts w:ascii="Arial Narrow" w:hAnsi="Arial Narrow"/>
                <w:color w:val="333333"/>
                <w:sz w:val="20"/>
                <w:szCs w:val="20"/>
              </w:rPr>
            </w:pPr>
          </w:p>
        </w:tc>
        <w:tc>
          <w:tcPr>
            <w:tcW w:w="7745" w:type="dxa"/>
            <w:gridSpan w:val="6"/>
            <w:vAlign w:val="center"/>
          </w:tcPr>
          <w:p w14:paraId="2E0B586A" w14:textId="77777777" w:rsidR="007A7F37" w:rsidRPr="006A4ACE" w:rsidRDefault="007A7F37">
            <w:pPr>
              <w:pStyle w:val="PBACTabletext"/>
            </w:pPr>
            <w:r w:rsidRPr="006A4ACE">
              <w:t>The patient must not have another medical condition that might reasonably be expected to compromise a response to ERT</w:t>
            </w:r>
          </w:p>
        </w:tc>
      </w:tr>
      <w:tr w:rsidR="007A7F37" w:rsidRPr="006A4ACE" w14:paraId="67E0B1D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6E830C9" w14:textId="77777777" w:rsidR="007A7F37" w:rsidRPr="006A4ACE" w:rsidRDefault="007A7F37">
            <w:pPr>
              <w:jc w:val="center"/>
              <w:rPr>
                <w:rFonts w:ascii="Arial Narrow" w:hAnsi="Arial Narrow"/>
                <w:color w:val="333333"/>
                <w:sz w:val="20"/>
                <w:szCs w:val="20"/>
              </w:rPr>
            </w:pPr>
          </w:p>
        </w:tc>
        <w:tc>
          <w:tcPr>
            <w:tcW w:w="7745" w:type="dxa"/>
            <w:gridSpan w:val="6"/>
            <w:vAlign w:val="center"/>
          </w:tcPr>
          <w:p w14:paraId="74A48DCC" w14:textId="77777777" w:rsidR="007A7F37" w:rsidRPr="006A4ACE" w:rsidRDefault="007A7F37">
            <w:pPr>
              <w:pStyle w:val="PBACTabletext"/>
            </w:pPr>
            <w:r w:rsidRPr="006A4ACE">
              <w:rPr>
                <w:b/>
                <w:bCs/>
                <w:color w:val="333333"/>
                <w:szCs w:val="20"/>
                <w:lang w:eastAsia="en-AU"/>
              </w:rPr>
              <w:t>AND</w:t>
            </w:r>
          </w:p>
        </w:tc>
      </w:tr>
      <w:tr w:rsidR="007A7F37" w:rsidRPr="006A4ACE" w14:paraId="5C43991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1339C8" w14:textId="72BB00F6" w:rsidR="007A7F37" w:rsidRPr="006A4ACE" w:rsidRDefault="007A7F37">
            <w:pPr>
              <w:jc w:val="center"/>
              <w:rPr>
                <w:rFonts w:ascii="Arial Narrow" w:hAnsi="Arial Narrow"/>
                <w:color w:val="333333"/>
                <w:sz w:val="20"/>
                <w:szCs w:val="20"/>
              </w:rPr>
            </w:pPr>
          </w:p>
        </w:tc>
        <w:tc>
          <w:tcPr>
            <w:tcW w:w="7745" w:type="dxa"/>
            <w:gridSpan w:val="6"/>
            <w:vAlign w:val="center"/>
          </w:tcPr>
          <w:p w14:paraId="269C7BBC" w14:textId="77777777" w:rsidR="007A7F37" w:rsidRPr="006A4ACE" w:rsidRDefault="007A7F37">
            <w:pPr>
              <w:pStyle w:val="PBACTabletext"/>
            </w:pPr>
            <w:r w:rsidRPr="006A4ACE">
              <w:rPr>
                <w:b/>
                <w:bCs/>
                <w:color w:val="333333"/>
                <w:szCs w:val="20"/>
                <w:lang w:eastAsia="en-AU"/>
              </w:rPr>
              <w:t>Clinical criteria:</w:t>
            </w:r>
          </w:p>
        </w:tc>
      </w:tr>
      <w:tr w:rsidR="007A7F37" w:rsidRPr="006A4ACE" w14:paraId="275EF17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855C1C2" w14:textId="0B20C2E6" w:rsidR="007A7F37" w:rsidRPr="006A4ACE" w:rsidRDefault="007A7F37">
            <w:pPr>
              <w:jc w:val="center"/>
              <w:rPr>
                <w:rFonts w:ascii="Arial Narrow" w:hAnsi="Arial Narrow"/>
                <w:color w:val="333333"/>
                <w:sz w:val="20"/>
                <w:szCs w:val="20"/>
              </w:rPr>
            </w:pPr>
          </w:p>
        </w:tc>
        <w:tc>
          <w:tcPr>
            <w:tcW w:w="7745" w:type="dxa"/>
            <w:gridSpan w:val="6"/>
            <w:vAlign w:val="center"/>
          </w:tcPr>
          <w:p w14:paraId="7CF6E93E" w14:textId="77777777" w:rsidR="007A7F37" w:rsidRPr="006A4ACE" w:rsidRDefault="007A7F37">
            <w:pPr>
              <w:pStyle w:val="PBACTabletext"/>
            </w:pPr>
            <w:r w:rsidRPr="006A4ACE">
              <w:t>The patient must not be a current smoker</w:t>
            </w:r>
          </w:p>
        </w:tc>
      </w:tr>
      <w:tr w:rsidR="007A7F37" w:rsidRPr="006A4ACE" w14:paraId="3D0742A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61A16C" w14:textId="77777777" w:rsidR="007A7F37" w:rsidRPr="006A4ACE" w:rsidRDefault="007A7F37">
            <w:pPr>
              <w:jc w:val="center"/>
              <w:rPr>
                <w:rFonts w:ascii="Arial Narrow" w:hAnsi="Arial Narrow"/>
                <w:color w:val="333333"/>
                <w:sz w:val="20"/>
                <w:szCs w:val="20"/>
              </w:rPr>
            </w:pPr>
          </w:p>
        </w:tc>
        <w:tc>
          <w:tcPr>
            <w:tcW w:w="7745" w:type="dxa"/>
            <w:gridSpan w:val="6"/>
            <w:vAlign w:val="center"/>
          </w:tcPr>
          <w:p w14:paraId="3C7A5B24" w14:textId="77777777" w:rsidR="007A7F37" w:rsidRPr="006A4ACE" w:rsidRDefault="007A7F37">
            <w:pPr>
              <w:pStyle w:val="PBACTabletext"/>
            </w:pPr>
            <w:r w:rsidRPr="006A4ACE">
              <w:rPr>
                <w:b/>
                <w:bCs/>
                <w:color w:val="333333"/>
                <w:szCs w:val="20"/>
                <w:lang w:eastAsia="en-AU"/>
              </w:rPr>
              <w:t>AND</w:t>
            </w:r>
          </w:p>
        </w:tc>
      </w:tr>
      <w:tr w:rsidR="007A7F37" w:rsidRPr="006A4ACE" w14:paraId="3EFAC5C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A95E3D4" w14:textId="20CEDE2A" w:rsidR="007A7F37" w:rsidRPr="006A4ACE" w:rsidRDefault="007A7F37" w:rsidP="006808B9">
            <w:pPr>
              <w:jc w:val="center"/>
              <w:rPr>
                <w:rFonts w:ascii="Arial Narrow" w:hAnsi="Arial Narrow"/>
                <w:color w:val="333333"/>
                <w:sz w:val="20"/>
                <w:szCs w:val="20"/>
              </w:rPr>
            </w:pPr>
          </w:p>
        </w:tc>
        <w:tc>
          <w:tcPr>
            <w:tcW w:w="7745" w:type="dxa"/>
            <w:gridSpan w:val="6"/>
            <w:vAlign w:val="center"/>
            <w:hideMark/>
          </w:tcPr>
          <w:p w14:paraId="435214F5" w14:textId="77777777" w:rsidR="007A7F37" w:rsidRPr="006A4ACE" w:rsidRDefault="007A7F37" w:rsidP="006808B9">
            <w:pPr>
              <w:rPr>
                <w:rFonts w:ascii="Arial Narrow" w:hAnsi="Arial Narrow"/>
                <w:color w:val="333333"/>
                <w:sz w:val="20"/>
                <w:szCs w:val="20"/>
              </w:rPr>
            </w:pPr>
            <w:r w:rsidRPr="006A4ACE">
              <w:rPr>
                <w:rFonts w:ascii="Arial Narrow" w:hAnsi="Arial Narrow"/>
                <w:b/>
                <w:bCs/>
                <w:color w:val="333333"/>
                <w:sz w:val="20"/>
                <w:szCs w:val="20"/>
              </w:rPr>
              <w:t>Clinical criteria:</w:t>
            </w:r>
          </w:p>
        </w:tc>
      </w:tr>
      <w:tr w:rsidR="007A7F37" w:rsidRPr="006A4ACE" w14:paraId="7E792B0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826E23" w14:textId="6F71F6D9"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67C7FE71" w14:textId="77777777" w:rsidR="007A7F37" w:rsidRPr="006A4ACE" w:rsidRDefault="007A7F37" w:rsidP="006808B9">
            <w:pPr>
              <w:rPr>
                <w:rFonts w:ascii="Arial Narrow" w:hAnsi="Arial Narrow"/>
                <w:color w:val="333333"/>
                <w:sz w:val="20"/>
                <w:szCs w:val="20"/>
              </w:rPr>
            </w:pPr>
            <w:r w:rsidRPr="006A4ACE">
              <w:rPr>
                <w:rFonts w:ascii="Arial Narrow" w:hAnsi="Arial Narrow"/>
                <w:color w:val="333333"/>
                <w:sz w:val="20"/>
                <w:szCs w:val="20"/>
              </w:rPr>
              <w:t>The patient must present with FVC, either supine or erect, &lt; 80% of the predicted value</w:t>
            </w:r>
          </w:p>
        </w:tc>
      </w:tr>
      <w:tr w:rsidR="007A7F37" w:rsidRPr="006A4ACE" w14:paraId="3034320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975E1E1" w14:textId="77777777" w:rsidR="007A7F37" w:rsidRPr="006A4ACE" w:rsidRDefault="007A7F37" w:rsidP="006808B9">
            <w:pPr>
              <w:jc w:val="center"/>
              <w:rPr>
                <w:rFonts w:ascii="Arial Narrow" w:hAnsi="Arial Narrow"/>
                <w:b/>
                <w:bCs/>
                <w:color w:val="333333"/>
                <w:sz w:val="20"/>
                <w:szCs w:val="20"/>
              </w:rPr>
            </w:pPr>
          </w:p>
        </w:tc>
        <w:tc>
          <w:tcPr>
            <w:tcW w:w="7745" w:type="dxa"/>
            <w:gridSpan w:val="6"/>
            <w:vAlign w:val="center"/>
          </w:tcPr>
          <w:p w14:paraId="0A6718EF" w14:textId="77777777" w:rsidR="007A7F37" w:rsidRPr="006A4ACE" w:rsidRDefault="007A7F37" w:rsidP="006808B9">
            <w:pPr>
              <w:rPr>
                <w:rFonts w:ascii="Arial Narrow" w:hAnsi="Arial Narrow"/>
                <w:b/>
                <w:bCs/>
                <w:color w:val="333333"/>
                <w:sz w:val="20"/>
                <w:szCs w:val="20"/>
              </w:rPr>
            </w:pPr>
            <w:r w:rsidRPr="006A4ACE">
              <w:rPr>
                <w:rFonts w:ascii="Arial Narrow" w:hAnsi="Arial Narrow"/>
                <w:b/>
                <w:bCs/>
                <w:color w:val="333333"/>
                <w:sz w:val="20"/>
                <w:szCs w:val="20"/>
              </w:rPr>
              <w:t>OR</w:t>
            </w:r>
          </w:p>
        </w:tc>
      </w:tr>
      <w:tr w:rsidR="007A7F37" w:rsidRPr="006A4ACE" w14:paraId="21EEA55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70595C" w14:textId="55A6D7A0"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3A211350" w14:textId="77777777" w:rsidR="007A7F37" w:rsidRPr="006A4ACE" w:rsidRDefault="007A7F37" w:rsidP="006808B9">
            <w:pPr>
              <w:pStyle w:val="PBACTabletext"/>
              <w:keepNext w:val="0"/>
            </w:pPr>
            <w:r w:rsidRPr="006A4ACE">
              <w:t>The patient must have sleep disordered breathing;</w:t>
            </w:r>
          </w:p>
        </w:tc>
      </w:tr>
      <w:tr w:rsidR="007A7F37" w:rsidRPr="006A4ACE" w14:paraId="23D1A69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B494302" w14:textId="77777777"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249C861C" w14:textId="77777777" w:rsidR="007A7F37" w:rsidRPr="006A4ACE" w:rsidRDefault="007A7F37" w:rsidP="006808B9">
            <w:pPr>
              <w:rPr>
                <w:rFonts w:ascii="Arial Narrow" w:hAnsi="Arial Narrow"/>
                <w:b/>
                <w:bCs/>
                <w:color w:val="333333"/>
                <w:sz w:val="20"/>
                <w:szCs w:val="20"/>
              </w:rPr>
            </w:pPr>
            <w:r w:rsidRPr="006A4ACE">
              <w:rPr>
                <w:rFonts w:ascii="Arial Narrow" w:hAnsi="Arial Narrow"/>
                <w:b/>
                <w:bCs/>
                <w:color w:val="333333"/>
                <w:sz w:val="20"/>
                <w:szCs w:val="20"/>
              </w:rPr>
              <w:t>OR</w:t>
            </w:r>
          </w:p>
        </w:tc>
      </w:tr>
      <w:tr w:rsidR="007A7F37" w:rsidRPr="006A4ACE" w14:paraId="00DC112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F15842" w14:textId="2C8C9A27"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11D3AE8D" w14:textId="77777777" w:rsidR="007A7F37" w:rsidRPr="006A4ACE" w:rsidRDefault="007A7F37" w:rsidP="006808B9">
            <w:pPr>
              <w:rPr>
                <w:rFonts w:ascii="Arial Narrow" w:hAnsi="Arial Narrow"/>
                <w:color w:val="333333"/>
                <w:sz w:val="20"/>
                <w:szCs w:val="20"/>
              </w:rPr>
            </w:pPr>
            <w:r w:rsidRPr="006A4ACE">
              <w:rPr>
                <w:rFonts w:ascii="Arial Narrow" w:hAnsi="Arial Narrow"/>
                <w:color w:val="333333"/>
                <w:sz w:val="20"/>
                <w:szCs w:val="20"/>
              </w:rPr>
              <w:t>The patient must have significant muscular weakness.</w:t>
            </w:r>
          </w:p>
        </w:tc>
      </w:tr>
      <w:tr w:rsidR="007A7F37" w:rsidRPr="006A4ACE" w14:paraId="1401460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58A7B94" w14:textId="77777777"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7CB3AD03" w14:textId="77777777" w:rsidR="007A7F37" w:rsidRPr="006A4ACE" w:rsidRDefault="007A7F37" w:rsidP="006808B9">
            <w:pPr>
              <w:rPr>
                <w:rFonts w:ascii="Arial Narrow" w:hAnsi="Arial Narrow"/>
                <w:b/>
                <w:bCs/>
                <w:color w:val="333333"/>
                <w:sz w:val="20"/>
                <w:szCs w:val="20"/>
              </w:rPr>
            </w:pPr>
            <w:r w:rsidRPr="006A4ACE">
              <w:rPr>
                <w:rFonts w:ascii="Arial Narrow" w:hAnsi="Arial Narrow"/>
                <w:b/>
                <w:bCs/>
                <w:color w:val="333333"/>
                <w:sz w:val="20"/>
                <w:szCs w:val="20"/>
              </w:rPr>
              <w:t>AND</w:t>
            </w:r>
          </w:p>
        </w:tc>
      </w:tr>
      <w:tr w:rsidR="007A7F37" w:rsidRPr="006A4ACE" w14:paraId="075E5D1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E8A5C2" w14:textId="29029A58"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6B2BB8D3" w14:textId="77777777" w:rsidR="007A7F37" w:rsidRPr="006A4ACE" w:rsidRDefault="007A7F37" w:rsidP="006808B9">
            <w:pPr>
              <w:rPr>
                <w:rFonts w:ascii="Arial Narrow" w:hAnsi="Arial Narrow"/>
                <w:b/>
                <w:bCs/>
                <w:color w:val="333333"/>
                <w:sz w:val="20"/>
                <w:szCs w:val="20"/>
              </w:rPr>
            </w:pPr>
            <w:r w:rsidRPr="006A4ACE">
              <w:rPr>
                <w:rFonts w:ascii="Arial Narrow" w:hAnsi="Arial Narrow"/>
                <w:b/>
                <w:bCs/>
                <w:color w:val="333333"/>
                <w:sz w:val="20"/>
                <w:szCs w:val="20"/>
              </w:rPr>
              <w:t>Treatment criteria:</w:t>
            </w:r>
          </w:p>
        </w:tc>
      </w:tr>
      <w:tr w:rsidR="007A7F37" w:rsidRPr="006A4ACE" w14:paraId="021C4A0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25ADCB" w14:textId="07DE1C7E"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2289234F" w14:textId="77777777" w:rsidR="007A7F37" w:rsidRPr="006A4ACE" w:rsidRDefault="007A7F37" w:rsidP="006808B9">
            <w:pPr>
              <w:pStyle w:val="PBACTabletext"/>
              <w:keepNext w:val="0"/>
            </w:pPr>
            <w:r w:rsidRPr="006A4ACE">
              <w:t xml:space="preserve">Must not be administered concomitantly with alglucosidase alfa or </w:t>
            </w:r>
            <w:proofErr w:type="spellStart"/>
            <w:r w:rsidRPr="006A4ACE">
              <w:t>avalglucosidase</w:t>
            </w:r>
            <w:proofErr w:type="spellEnd"/>
            <w:r w:rsidRPr="006A4ACE">
              <w:t xml:space="preserve"> alfa</w:t>
            </w:r>
          </w:p>
        </w:tc>
      </w:tr>
      <w:tr w:rsidR="007A7F37" w:rsidRPr="006A4ACE" w14:paraId="4CE9B86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505DC3" w14:textId="77777777"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3029C14F" w14:textId="77777777" w:rsidR="007A7F37" w:rsidRPr="006A4ACE" w:rsidRDefault="007A7F37" w:rsidP="006808B9">
            <w:pPr>
              <w:rPr>
                <w:rFonts w:ascii="Arial Narrow" w:hAnsi="Arial Narrow"/>
                <w:b/>
                <w:bCs/>
                <w:color w:val="333333"/>
                <w:sz w:val="20"/>
                <w:szCs w:val="20"/>
              </w:rPr>
            </w:pPr>
            <w:r w:rsidRPr="006A4ACE">
              <w:rPr>
                <w:rFonts w:ascii="Arial Narrow" w:hAnsi="Arial Narrow"/>
                <w:b/>
                <w:bCs/>
                <w:color w:val="333333"/>
                <w:sz w:val="20"/>
                <w:szCs w:val="20"/>
              </w:rPr>
              <w:t>AND</w:t>
            </w:r>
          </w:p>
        </w:tc>
      </w:tr>
      <w:tr w:rsidR="007A7F37" w:rsidRPr="006A4ACE" w14:paraId="3DFFB61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545D46" w14:textId="0675F89C"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688B2B0E" w14:textId="77777777" w:rsidR="007A7F37" w:rsidRPr="006A4ACE" w:rsidRDefault="007A7F37" w:rsidP="006808B9">
            <w:pPr>
              <w:rPr>
                <w:rFonts w:ascii="Arial Narrow" w:hAnsi="Arial Narrow"/>
                <w:b/>
                <w:bCs/>
                <w:color w:val="333333"/>
                <w:sz w:val="20"/>
                <w:szCs w:val="20"/>
              </w:rPr>
            </w:pPr>
            <w:r w:rsidRPr="006A4ACE">
              <w:rPr>
                <w:rFonts w:ascii="Arial Narrow" w:hAnsi="Arial Narrow"/>
                <w:b/>
                <w:bCs/>
                <w:color w:val="333333"/>
                <w:sz w:val="20"/>
                <w:szCs w:val="20"/>
              </w:rPr>
              <w:t>Treatment criteria:</w:t>
            </w:r>
          </w:p>
        </w:tc>
      </w:tr>
      <w:tr w:rsidR="007A7F37" w:rsidRPr="006A4ACE" w14:paraId="517E8F2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5FA644F" w14:textId="52D73B66" w:rsidR="007A7F37" w:rsidRPr="006A4ACE" w:rsidRDefault="007A7F37" w:rsidP="006808B9">
            <w:pPr>
              <w:jc w:val="center"/>
              <w:rPr>
                <w:rFonts w:ascii="Arial Narrow" w:hAnsi="Arial Narrow"/>
                <w:color w:val="333333"/>
                <w:sz w:val="20"/>
                <w:szCs w:val="20"/>
              </w:rPr>
            </w:pPr>
          </w:p>
        </w:tc>
        <w:tc>
          <w:tcPr>
            <w:tcW w:w="7745" w:type="dxa"/>
            <w:gridSpan w:val="6"/>
            <w:vAlign w:val="center"/>
          </w:tcPr>
          <w:p w14:paraId="41E6E225" w14:textId="77777777" w:rsidR="007A7F37" w:rsidRPr="006A4ACE" w:rsidRDefault="007A7F37" w:rsidP="006808B9">
            <w:pPr>
              <w:rPr>
                <w:rFonts w:ascii="Arial Narrow" w:hAnsi="Arial Narrow"/>
                <w:color w:val="333333"/>
                <w:sz w:val="20"/>
                <w:szCs w:val="20"/>
              </w:rPr>
            </w:pPr>
            <w:r w:rsidRPr="006A4ACE">
              <w:rPr>
                <w:rFonts w:ascii="Arial Narrow" w:hAnsi="Arial Narrow"/>
                <w:color w:val="333333"/>
                <w:sz w:val="20"/>
                <w:szCs w:val="20"/>
              </w:rPr>
              <w:t>Must be used in combination with cipaglucosidase alfa</w:t>
            </w:r>
          </w:p>
        </w:tc>
      </w:tr>
      <w:tr w:rsidR="007A7F37" w:rsidRPr="006A4ACE" w14:paraId="44A0631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472368" w14:textId="42E341C7" w:rsidR="007A7F37" w:rsidRPr="006A4ACE" w:rsidRDefault="007A7F37" w:rsidP="006808B9">
            <w:pPr>
              <w:jc w:val="center"/>
              <w:rPr>
                <w:rFonts w:ascii="Arial Narrow" w:hAnsi="Arial Narrow"/>
                <w:color w:val="333333"/>
                <w:sz w:val="20"/>
                <w:szCs w:val="20"/>
              </w:rPr>
            </w:pPr>
          </w:p>
        </w:tc>
        <w:tc>
          <w:tcPr>
            <w:tcW w:w="7745" w:type="dxa"/>
            <w:gridSpan w:val="6"/>
            <w:vAlign w:val="center"/>
            <w:hideMark/>
          </w:tcPr>
          <w:p w14:paraId="67265539" w14:textId="77777777" w:rsidR="007A7F37" w:rsidRPr="006A4ACE" w:rsidRDefault="007A7F37" w:rsidP="006808B9">
            <w:pPr>
              <w:rPr>
                <w:rFonts w:ascii="Arial Narrow" w:hAnsi="Arial Narrow"/>
                <w:color w:val="333333"/>
                <w:sz w:val="20"/>
                <w:szCs w:val="20"/>
              </w:rPr>
            </w:pPr>
            <w:r w:rsidRPr="006A4ACE">
              <w:rPr>
                <w:rFonts w:ascii="Arial Narrow" w:hAnsi="Arial Narrow"/>
                <w:b/>
                <w:bCs/>
                <w:color w:val="333333"/>
                <w:sz w:val="20"/>
                <w:szCs w:val="20"/>
              </w:rPr>
              <w:t>Population criteria:</w:t>
            </w:r>
          </w:p>
        </w:tc>
      </w:tr>
      <w:tr w:rsidR="007A7F37" w:rsidRPr="006A4ACE" w14:paraId="597B6739" w14:textId="77777777" w:rsidTr="00F14F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056A93" w14:textId="79E80987" w:rsidR="007A7F37" w:rsidRPr="006A4ACE" w:rsidRDefault="007A7F37" w:rsidP="006808B9">
            <w:pPr>
              <w:jc w:val="center"/>
              <w:rPr>
                <w:rFonts w:ascii="Arial Narrow" w:hAnsi="Arial Narrow"/>
                <w:sz w:val="20"/>
                <w:szCs w:val="20"/>
              </w:rPr>
            </w:pPr>
          </w:p>
        </w:tc>
        <w:tc>
          <w:tcPr>
            <w:tcW w:w="7745" w:type="dxa"/>
            <w:gridSpan w:val="6"/>
            <w:vAlign w:val="center"/>
            <w:hideMark/>
          </w:tcPr>
          <w:p w14:paraId="62D67CB7" w14:textId="77777777" w:rsidR="007A7F37" w:rsidRPr="006A4ACE" w:rsidRDefault="007A7F37" w:rsidP="006808B9">
            <w:pPr>
              <w:rPr>
                <w:rFonts w:ascii="Arial Narrow" w:hAnsi="Arial Narrow"/>
                <w:sz w:val="20"/>
                <w:szCs w:val="20"/>
              </w:rPr>
            </w:pPr>
            <w:r w:rsidRPr="006A4ACE">
              <w:rPr>
                <w:rFonts w:ascii="Arial Narrow" w:hAnsi="Arial Narrow"/>
                <w:sz w:val="20"/>
                <w:szCs w:val="20"/>
              </w:rPr>
              <w:t>Patient must be at least 18 years of age</w:t>
            </w:r>
          </w:p>
        </w:tc>
      </w:tr>
      <w:tr w:rsidR="007A7F37" w:rsidRPr="006A4ACE" w14:paraId="37A74FC6" w14:textId="77777777" w:rsidTr="00F14F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33E160" w14:textId="3C451BA9" w:rsidR="007A7F37" w:rsidRPr="000F6682" w:rsidRDefault="007A7F37" w:rsidP="006808B9">
            <w:pPr>
              <w:jc w:val="center"/>
              <w:rPr>
                <w:rFonts w:ascii="Arial Narrow" w:hAnsi="Arial Narrow"/>
                <w:i/>
                <w:iCs/>
                <w:color w:val="333333"/>
                <w:sz w:val="20"/>
                <w:szCs w:val="20"/>
              </w:rPr>
            </w:pPr>
          </w:p>
        </w:tc>
        <w:tc>
          <w:tcPr>
            <w:tcW w:w="7745" w:type="dxa"/>
            <w:gridSpan w:val="6"/>
            <w:vAlign w:val="center"/>
            <w:hideMark/>
          </w:tcPr>
          <w:p w14:paraId="575A20C0" w14:textId="77777777" w:rsidR="007A7F37" w:rsidRPr="000F6682" w:rsidRDefault="007A7F37" w:rsidP="006808B9">
            <w:pPr>
              <w:rPr>
                <w:rFonts w:ascii="Arial Narrow" w:hAnsi="Arial Narrow"/>
                <w:i/>
                <w:iCs/>
                <w:sz w:val="20"/>
                <w:szCs w:val="20"/>
              </w:rPr>
            </w:pPr>
            <w:r w:rsidRPr="000F6682">
              <w:rPr>
                <w:rFonts w:ascii="Arial Narrow" w:hAnsi="Arial Narrow"/>
                <w:b/>
                <w:bCs/>
                <w:i/>
                <w:iCs/>
                <w:color w:val="333333"/>
                <w:sz w:val="20"/>
                <w:szCs w:val="20"/>
              </w:rPr>
              <w:t xml:space="preserve">Prescribing Instructions: </w:t>
            </w:r>
            <w:r w:rsidRPr="000F6682">
              <w:rPr>
                <w:rFonts w:ascii="Arial Narrow" w:hAnsi="Arial Narrow"/>
                <w:i/>
                <w:iCs/>
                <w:color w:val="333333"/>
                <w:sz w:val="20"/>
                <w:szCs w:val="20"/>
              </w:rPr>
              <w:t>At the time of authority application, prescribers should request the appropriate number of capsules adequate for the duration of a months’ treatment. A maximum of 5 repeats may be authorised under this restriction</w:t>
            </w:r>
          </w:p>
        </w:tc>
      </w:tr>
      <w:tr w:rsidR="007A7F37" w:rsidRPr="006A4ACE" w14:paraId="5BF81D58" w14:textId="77777777" w:rsidTr="00F14FF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8AC3998" w14:textId="2765E43D" w:rsidR="007A7F37" w:rsidRPr="000F6682" w:rsidRDefault="007A7F37" w:rsidP="006808B9">
            <w:pPr>
              <w:jc w:val="center"/>
              <w:rPr>
                <w:rFonts w:ascii="Arial Narrow" w:hAnsi="Arial Narrow"/>
                <w:i/>
                <w:iCs/>
                <w:color w:val="333333"/>
                <w:sz w:val="20"/>
                <w:szCs w:val="20"/>
              </w:rPr>
            </w:pPr>
          </w:p>
        </w:tc>
        <w:tc>
          <w:tcPr>
            <w:tcW w:w="7745" w:type="dxa"/>
            <w:gridSpan w:val="6"/>
            <w:vAlign w:val="center"/>
            <w:hideMark/>
          </w:tcPr>
          <w:p w14:paraId="722A4DD0" w14:textId="77777777" w:rsidR="007A7F37" w:rsidRPr="000F6682" w:rsidRDefault="007A7F37" w:rsidP="006808B9">
            <w:pPr>
              <w:rPr>
                <w:rFonts w:ascii="Arial Narrow" w:hAnsi="Arial Narrow"/>
                <w:i/>
                <w:iCs/>
                <w:color w:val="333333"/>
                <w:sz w:val="20"/>
                <w:szCs w:val="20"/>
              </w:rPr>
            </w:pPr>
            <w:r w:rsidRPr="000F6682">
              <w:rPr>
                <w:rFonts w:ascii="Arial Narrow" w:hAnsi="Arial Narrow"/>
                <w:b/>
                <w:bCs/>
                <w:i/>
                <w:iCs/>
                <w:color w:val="333333"/>
                <w:sz w:val="20"/>
                <w:szCs w:val="20"/>
              </w:rPr>
              <w:t xml:space="preserve">Caution: </w:t>
            </w:r>
            <w:r w:rsidRPr="000F6682">
              <w:rPr>
                <w:rFonts w:ascii="Arial Narrow" w:hAnsi="Arial Narrow"/>
                <w:i/>
                <w:iCs/>
                <w:color w:val="333333"/>
                <w:sz w:val="20"/>
                <w:szCs w:val="20"/>
              </w:rPr>
              <w:t>This drug is a Category D drug and must not be given to pregnant women. If this drug is taken during pregnancy, a teratogenic effect in humans cannot be ruled out.</w:t>
            </w:r>
          </w:p>
        </w:tc>
      </w:tr>
    </w:tbl>
    <w:p w14:paraId="588AB1AD" w14:textId="220F4F0D" w:rsidR="007A7F37" w:rsidRPr="006A4ACE" w:rsidRDefault="007A7F37" w:rsidP="007C08D4">
      <w:pPr>
        <w:pStyle w:val="TableFigureHeading"/>
        <w:spacing w:before="120"/>
        <w:rPr>
          <w:sz w:val="24"/>
        </w:rPr>
      </w:pPr>
      <w:proofErr w:type="spellStart"/>
      <w:r w:rsidRPr="006A4ACE">
        <w:t>Miglustat</w:t>
      </w:r>
      <w:proofErr w:type="spellEnd"/>
      <w:r w:rsidRPr="006A4ACE">
        <w:t xml:space="preserve"> (continuation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Miglustat (continuation restriction)"/>
      </w:tblPr>
      <w:tblGrid>
        <w:gridCol w:w="1271"/>
        <w:gridCol w:w="7746"/>
      </w:tblGrid>
      <w:tr w:rsidR="007A7F37" w:rsidRPr="006A4ACE" w14:paraId="35C80F5B" w14:textId="77777777">
        <w:trPr>
          <w:cantSplit/>
          <w:trHeight w:val="20"/>
        </w:trPr>
        <w:tc>
          <w:tcPr>
            <w:tcW w:w="9016" w:type="dxa"/>
            <w:gridSpan w:val="2"/>
            <w:vAlign w:val="center"/>
          </w:tcPr>
          <w:p w14:paraId="5BCF2B96" w14:textId="00B188FE" w:rsidR="007A7F37" w:rsidRPr="006A4ACE" w:rsidRDefault="007A7F37">
            <w:pPr>
              <w:keepNext/>
              <w:keepLines/>
              <w:rPr>
                <w:rFonts w:ascii="Arial Narrow" w:hAnsi="Arial Narrow"/>
                <w:b/>
                <w:bCs/>
                <w:color w:val="333333"/>
                <w:sz w:val="20"/>
                <w:szCs w:val="20"/>
              </w:rPr>
            </w:pPr>
            <w:r w:rsidRPr="006A4ACE">
              <w:rPr>
                <w:rFonts w:ascii="Arial Narrow" w:hAnsi="Arial Narrow"/>
                <w:b/>
                <w:bCs/>
                <w:color w:val="333333"/>
                <w:sz w:val="20"/>
                <w:szCs w:val="20"/>
              </w:rPr>
              <w:t xml:space="preserve">Restriction Summary/ Treatment of Concept: </w:t>
            </w:r>
          </w:p>
        </w:tc>
      </w:tr>
      <w:tr w:rsidR="007A7F37" w:rsidRPr="006A4ACE" w14:paraId="75BB9018" w14:textId="77777777">
        <w:trPr>
          <w:cantSplit/>
          <w:trHeight w:val="20"/>
        </w:trPr>
        <w:tc>
          <w:tcPr>
            <w:tcW w:w="1271" w:type="dxa"/>
            <w:vMerge w:val="restart"/>
            <w:tcBorders>
              <w:top w:val="single" w:sz="4" w:space="0" w:color="auto"/>
              <w:left w:val="single" w:sz="4" w:space="0" w:color="auto"/>
              <w:right w:val="single" w:sz="4" w:space="0" w:color="auto"/>
            </w:tcBorders>
          </w:tcPr>
          <w:p w14:paraId="5701E52F" w14:textId="5FEFB82B" w:rsidR="007A7F37" w:rsidRPr="006A4ACE" w:rsidRDefault="007A7F37">
            <w:pPr>
              <w:jc w:val="center"/>
              <w:rPr>
                <w:rFonts w:ascii="Arial Narrow" w:hAnsi="Arial Narrow"/>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7EC20EB7" w14:textId="77777777" w:rsidR="007A7F37" w:rsidRPr="006A4ACE" w:rsidRDefault="007A7F37" w:rsidP="007C08D4">
            <w:pPr>
              <w:keepLines/>
              <w:jc w:val="left"/>
              <w:rPr>
                <w:rFonts w:ascii="Arial Narrow" w:hAnsi="Arial Narrow"/>
                <w:sz w:val="20"/>
                <w:szCs w:val="20"/>
              </w:rPr>
            </w:pPr>
            <w:r w:rsidRPr="006A4ACE">
              <w:rPr>
                <w:rFonts w:ascii="Arial Narrow" w:hAnsi="Arial Narrow"/>
                <w:b/>
                <w:sz w:val="20"/>
                <w:szCs w:val="20"/>
              </w:rPr>
              <w:t>Category / Program:</w:t>
            </w:r>
            <w:r w:rsidRPr="006A4ACE">
              <w:rPr>
                <w:rFonts w:ascii="Arial Narrow" w:hAnsi="Arial Narrow"/>
                <w:color w:val="FF0000"/>
                <w:sz w:val="20"/>
                <w:szCs w:val="20"/>
              </w:rPr>
              <w:t xml:space="preserve"> </w:t>
            </w:r>
            <w:r w:rsidRPr="006A4ACE">
              <w:rPr>
                <w:rFonts w:ascii="Arial Narrow" w:eastAsia="Calibri" w:hAnsi="Arial Narrow"/>
                <w:sz w:val="20"/>
                <w:szCs w:val="20"/>
              </w:rPr>
              <w:br/>
            </w: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Section 100 – Highly Specialised Drugs Program – Public (Code HB) / Private (Code HS)</w:t>
            </w:r>
          </w:p>
        </w:tc>
      </w:tr>
      <w:tr w:rsidR="007A7F37" w:rsidRPr="006A4ACE" w14:paraId="5CB409EA" w14:textId="77777777">
        <w:trPr>
          <w:cantSplit/>
          <w:trHeight w:val="20"/>
        </w:trPr>
        <w:tc>
          <w:tcPr>
            <w:tcW w:w="1271" w:type="dxa"/>
            <w:vMerge/>
          </w:tcPr>
          <w:p w14:paraId="3793CE3F" w14:textId="77777777" w:rsidR="007A7F37" w:rsidRPr="006A4ACE" w:rsidRDefault="007A7F37">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3C5C2586" w14:textId="77777777" w:rsidR="007A7F37" w:rsidRPr="006A4ACE" w:rsidRDefault="007A7F37">
            <w:pPr>
              <w:keepLines/>
              <w:rPr>
                <w:rFonts w:ascii="Arial Narrow" w:hAnsi="Arial Narrow"/>
                <w:b/>
                <w:sz w:val="20"/>
                <w:szCs w:val="20"/>
              </w:rPr>
            </w:pPr>
            <w:r w:rsidRPr="006A4ACE">
              <w:rPr>
                <w:rFonts w:ascii="Arial Narrow" w:hAnsi="Arial Narrow"/>
                <w:b/>
                <w:sz w:val="20"/>
                <w:szCs w:val="20"/>
              </w:rPr>
              <w:t xml:space="preserve">Prescriber type: </w:t>
            </w:r>
          </w:p>
          <w:p w14:paraId="361848F7" w14:textId="77777777" w:rsidR="007A7F37" w:rsidRPr="006A4ACE" w:rsidRDefault="007A7F37">
            <w:pPr>
              <w:keepNext/>
              <w:keepLines/>
              <w:rPr>
                <w:rFonts w:ascii="Arial Narrow" w:hAnsi="Arial Narrow"/>
                <w:b/>
                <w:sz w:val="20"/>
                <w:szCs w:val="20"/>
              </w:rPr>
            </w:pPr>
            <w:r w:rsidRPr="006A4ACE">
              <w:rPr>
                <w:rFonts w:ascii="Arial Narrow" w:hAnsi="Arial Narrow"/>
                <w:sz w:val="20"/>
                <w:szCs w:val="20"/>
              </w:rPr>
              <w:fldChar w:fldCharType="begin">
                <w:ffData>
                  <w:name w:val=""/>
                  <w:enabled/>
                  <w:calcOnExit w:val="0"/>
                  <w:checkBox>
                    <w:sizeAuto/>
                    <w:default w:val="1"/>
                  </w:checkBox>
                </w:ffData>
              </w:fldChar>
            </w:r>
            <w:r w:rsidRPr="006A4ACE">
              <w:rPr>
                <w:rFonts w:ascii="Arial Narrow" w:hAnsi="Arial Narrow"/>
                <w:sz w:val="20"/>
                <w:szCs w:val="20"/>
              </w:rPr>
              <w:instrText xml:space="preserve"> FORMCHECKBOX </w:instrText>
            </w:r>
            <w:r w:rsidRPr="006A4ACE">
              <w:rPr>
                <w:rFonts w:ascii="Arial Narrow" w:hAnsi="Arial Narrow"/>
                <w:sz w:val="20"/>
                <w:szCs w:val="20"/>
              </w:rPr>
            </w:r>
            <w:r w:rsidRPr="006A4ACE">
              <w:rPr>
                <w:rFonts w:ascii="Arial Narrow" w:hAnsi="Arial Narrow"/>
                <w:sz w:val="20"/>
                <w:szCs w:val="20"/>
              </w:rPr>
              <w:fldChar w:fldCharType="separate"/>
            </w:r>
            <w:r w:rsidRPr="006A4ACE">
              <w:rPr>
                <w:rFonts w:ascii="Arial Narrow" w:hAnsi="Arial Narrow"/>
                <w:sz w:val="20"/>
                <w:szCs w:val="20"/>
              </w:rPr>
              <w:fldChar w:fldCharType="end"/>
            </w:r>
            <w:r w:rsidRPr="006A4ACE">
              <w:rPr>
                <w:rFonts w:ascii="Arial Narrow" w:hAnsi="Arial Narrow"/>
                <w:sz w:val="20"/>
                <w:szCs w:val="20"/>
              </w:rPr>
              <w:t xml:space="preserve">Medical Practitioners </w:t>
            </w:r>
          </w:p>
        </w:tc>
      </w:tr>
      <w:tr w:rsidR="007A7F37" w:rsidRPr="006A4ACE" w14:paraId="693B7B49" w14:textId="77777777">
        <w:trPr>
          <w:cantSplit/>
          <w:trHeight w:val="20"/>
        </w:trPr>
        <w:tc>
          <w:tcPr>
            <w:tcW w:w="1271" w:type="dxa"/>
            <w:vMerge/>
          </w:tcPr>
          <w:p w14:paraId="01ED3C37" w14:textId="77777777" w:rsidR="007A7F37" w:rsidRPr="006A4ACE" w:rsidRDefault="007A7F37">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52BB42B" w14:textId="77777777" w:rsidR="007A7F37" w:rsidRPr="006A4ACE" w:rsidRDefault="007A7F37">
            <w:pPr>
              <w:keepLines/>
              <w:rPr>
                <w:rFonts w:ascii="Arial Narrow" w:hAnsi="Arial Narrow"/>
                <w:b/>
                <w:sz w:val="20"/>
                <w:szCs w:val="20"/>
              </w:rPr>
            </w:pPr>
            <w:r w:rsidRPr="006A4ACE">
              <w:rPr>
                <w:rFonts w:ascii="Arial Narrow" w:hAnsi="Arial Narrow"/>
                <w:b/>
                <w:sz w:val="20"/>
                <w:szCs w:val="20"/>
              </w:rPr>
              <w:t>Restriction type:</w:t>
            </w:r>
          </w:p>
          <w:p w14:paraId="78AB9336" w14:textId="77777777" w:rsidR="007A7F37" w:rsidRPr="006A4ACE" w:rsidRDefault="007A7F37">
            <w:pPr>
              <w:keepLines/>
              <w:rPr>
                <w:rFonts w:ascii="Arial Narrow" w:hAnsi="Arial Narrow"/>
                <w:b/>
                <w:sz w:val="20"/>
                <w:szCs w:val="20"/>
              </w:rPr>
            </w:pP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Authority Required (Written Authority) [new/existing code] </w:t>
            </w:r>
          </w:p>
        </w:tc>
      </w:tr>
      <w:tr w:rsidR="007A7F37" w:rsidRPr="006A4ACE" w14:paraId="6A2DB335" w14:textId="77777777">
        <w:trPr>
          <w:cantSplit/>
          <w:trHeight w:val="20"/>
        </w:trPr>
        <w:tc>
          <w:tcPr>
            <w:tcW w:w="1271" w:type="dxa"/>
            <w:vAlign w:val="center"/>
          </w:tcPr>
          <w:p w14:paraId="29F59A2E" w14:textId="77777777" w:rsidR="007A7F37" w:rsidRPr="006A4ACE" w:rsidRDefault="007A7F37">
            <w:pPr>
              <w:jc w:val="center"/>
              <w:rPr>
                <w:rFonts w:ascii="Arial Narrow" w:hAnsi="Arial Narrow"/>
                <w:color w:val="333333"/>
                <w:sz w:val="20"/>
                <w:szCs w:val="20"/>
              </w:rPr>
            </w:pPr>
          </w:p>
        </w:tc>
        <w:tc>
          <w:tcPr>
            <w:tcW w:w="7745" w:type="dxa"/>
            <w:vAlign w:val="center"/>
          </w:tcPr>
          <w:p w14:paraId="4E289773" w14:textId="77777777" w:rsidR="007A7F37" w:rsidRPr="006A4ACE" w:rsidRDefault="007A7F37">
            <w:pPr>
              <w:keepLines/>
              <w:rPr>
                <w:rFonts w:ascii="Arial Narrow" w:eastAsia="Calibri" w:hAnsi="Arial Narrow"/>
                <w:sz w:val="20"/>
                <w:szCs w:val="20"/>
              </w:rPr>
            </w:pPr>
            <w:r w:rsidRPr="006A4ACE">
              <w:rPr>
                <w:rFonts w:ascii="Arial Narrow" w:hAnsi="Arial Narrow"/>
                <w:b/>
                <w:sz w:val="20"/>
                <w:szCs w:val="20"/>
              </w:rPr>
              <w:t xml:space="preserve">Authority type: </w:t>
            </w:r>
          </w:p>
          <w:p w14:paraId="0646EE39" w14:textId="77777777" w:rsidR="007A7F37" w:rsidRPr="006A4ACE" w:rsidRDefault="007A7F37">
            <w:pPr>
              <w:rPr>
                <w:rFonts w:ascii="Arial Narrow" w:hAnsi="Arial Narrow"/>
                <w:b/>
                <w:bCs/>
                <w:color w:val="FF0000"/>
                <w:sz w:val="20"/>
                <w:szCs w:val="20"/>
              </w:rPr>
            </w:pPr>
            <w:r w:rsidRPr="006A4ACE">
              <w:rPr>
                <w:rFonts w:ascii="Arial Narrow" w:eastAsia="Calibri" w:hAnsi="Arial Narrow"/>
                <w:sz w:val="20"/>
                <w:szCs w:val="20"/>
              </w:rPr>
              <w:fldChar w:fldCharType="begin">
                <w:ffData>
                  <w:name w:val=""/>
                  <w:enabled/>
                  <w:calcOnExit w:val="0"/>
                  <w:checkBox>
                    <w:sizeAuto/>
                    <w:default w:val="1"/>
                  </w:checkBox>
                </w:ffData>
              </w:fldChar>
            </w:r>
            <w:r w:rsidRPr="006A4ACE">
              <w:rPr>
                <w:rFonts w:ascii="Arial Narrow" w:eastAsia="Calibri" w:hAnsi="Arial Narrow"/>
                <w:sz w:val="20"/>
                <w:szCs w:val="20"/>
              </w:rPr>
              <w:instrText xml:space="preserve"> FORMCHECKBOX </w:instrText>
            </w:r>
            <w:r w:rsidRPr="006A4ACE">
              <w:rPr>
                <w:rFonts w:ascii="Arial Narrow" w:eastAsia="Calibri" w:hAnsi="Arial Narrow"/>
                <w:sz w:val="20"/>
                <w:szCs w:val="20"/>
              </w:rPr>
            </w:r>
            <w:r w:rsidRPr="006A4ACE">
              <w:rPr>
                <w:rFonts w:ascii="Arial Narrow" w:eastAsia="Calibri" w:hAnsi="Arial Narrow"/>
                <w:sz w:val="20"/>
                <w:szCs w:val="20"/>
              </w:rPr>
              <w:fldChar w:fldCharType="separate"/>
            </w:r>
            <w:r w:rsidRPr="006A4ACE">
              <w:rPr>
                <w:rFonts w:ascii="Arial Narrow" w:eastAsia="Calibri" w:hAnsi="Arial Narrow"/>
                <w:sz w:val="20"/>
                <w:szCs w:val="20"/>
              </w:rPr>
              <w:fldChar w:fldCharType="end"/>
            </w:r>
            <w:r w:rsidRPr="006A4ACE">
              <w:rPr>
                <w:rFonts w:ascii="Arial Narrow" w:eastAsia="Calibri" w:hAnsi="Arial Narrow"/>
                <w:sz w:val="20"/>
                <w:szCs w:val="20"/>
              </w:rPr>
              <w:t xml:space="preserve"> Non-complex Authority Required (non-CAR)</w:t>
            </w:r>
          </w:p>
        </w:tc>
      </w:tr>
      <w:tr w:rsidR="007A7F37" w:rsidRPr="006A4ACE" w14:paraId="29B365E2" w14:textId="77777777">
        <w:trPr>
          <w:cantSplit/>
          <w:trHeight w:val="20"/>
        </w:trPr>
        <w:tc>
          <w:tcPr>
            <w:tcW w:w="1271" w:type="dxa"/>
            <w:vAlign w:val="center"/>
            <w:hideMark/>
          </w:tcPr>
          <w:p w14:paraId="7640E26D" w14:textId="77777777" w:rsidR="007A7F37" w:rsidRPr="006A4ACE" w:rsidRDefault="007A7F37">
            <w:pPr>
              <w:jc w:val="center"/>
              <w:rPr>
                <w:rFonts w:ascii="Arial Narrow" w:hAnsi="Arial Narrow"/>
                <w:color w:val="333333"/>
                <w:sz w:val="20"/>
                <w:szCs w:val="20"/>
              </w:rPr>
            </w:pPr>
          </w:p>
        </w:tc>
        <w:tc>
          <w:tcPr>
            <w:tcW w:w="7745" w:type="dxa"/>
            <w:vAlign w:val="center"/>
            <w:hideMark/>
          </w:tcPr>
          <w:p w14:paraId="323B5833" w14:textId="77777777" w:rsidR="007A7F37" w:rsidRPr="006A4ACE" w:rsidRDefault="007A7F37">
            <w:pPr>
              <w:rPr>
                <w:rFonts w:ascii="Arial Narrow" w:hAnsi="Arial Narrow"/>
                <w:color w:val="333333"/>
                <w:sz w:val="20"/>
                <w:szCs w:val="20"/>
              </w:rPr>
            </w:pPr>
            <w:r w:rsidRPr="006A4ACE">
              <w:rPr>
                <w:rFonts w:ascii="Arial Narrow" w:hAnsi="Arial Narrow"/>
                <w:b/>
                <w:bCs/>
                <w:color w:val="333333"/>
                <w:sz w:val="20"/>
                <w:szCs w:val="20"/>
              </w:rPr>
              <w:t xml:space="preserve">Condition: </w:t>
            </w:r>
            <w:r w:rsidRPr="006A4ACE">
              <w:rPr>
                <w:rFonts w:ascii="Arial Narrow" w:hAnsi="Arial Narrow"/>
                <w:bCs/>
                <w:color w:val="333333"/>
                <w:sz w:val="20"/>
                <w:szCs w:val="20"/>
              </w:rPr>
              <w:t>Pompe disease</w:t>
            </w:r>
          </w:p>
        </w:tc>
      </w:tr>
      <w:tr w:rsidR="007A7F37" w:rsidRPr="006A4ACE" w14:paraId="7D0D0ED3" w14:textId="77777777">
        <w:trPr>
          <w:cantSplit/>
          <w:trHeight w:val="20"/>
        </w:trPr>
        <w:tc>
          <w:tcPr>
            <w:tcW w:w="1271" w:type="dxa"/>
            <w:vAlign w:val="center"/>
            <w:hideMark/>
          </w:tcPr>
          <w:p w14:paraId="62586245" w14:textId="77777777" w:rsidR="007A7F37" w:rsidRPr="006A4ACE" w:rsidRDefault="007A7F37">
            <w:pPr>
              <w:jc w:val="center"/>
              <w:rPr>
                <w:rFonts w:ascii="Arial Narrow" w:hAnsi="Arial Narrow"/>
                <w:color w:val="333333"/>
                <w:sz w:val="20"/>
                <w:szCs w:val="20"/>
              </w:rPr>
            </w:pPr>
          </w:p>
        </w:tc>
        <w:tc>
          <w:tcPr>
            <w:tcW w:w="7745" w:type="dxa"/>
            <w:vAlign w:val="center"/>
            <w:hideMark/>
          </w:tcPr>
          <w:p w14:paraId="73BEE2BB" w14:textId="77777777" w:rsidR="007A7F37" w:rsidRPr="006A4ACE" w:rsidRDefault="007A7F37">
            <w:pPr>
              <w:rPr>
                <w:rFonts w:ascii="Arial Narrow" w:hAnsi="Arial Narrow"/>
                <w:sz w:val="20"/>
                <w:szCs w:val="20"/>
              </w:rPr>
            </w:pPr>
            <w:r w:rsidRPr="006A4ACE">
              <w:rPr>
                <w:rFonts w:ascii="Arial Narrow" w:hAnsi="Arial Narrow"/>
                <w:b/>
                <w:bCs/>
                <w:color w:val="333333"/>
                <w:sz w:val="20"/>
                <w:szCs w:val="20"/>
              </w:rPr>
              <w:t xml:space="preserve">Indication: </w:t>
            </w:r>
            <w:r w:rsidRPr="006A4ACE">
              <w:rPr>
                <w:rFonts w:ascii="Arial Narrow" w:hAnsi="Arial Narrow"/>
                <w:color w:val="333333"/>
                <w:sz w:val="20"/>
                <w:szCs w:val="20"/>
              </w:rPr>
              <w:t>Late-onset Pompe disease (LOPD)</w:t>
            </w:r>
          </w:p>
        </w:tc>
      </w:tr>
      <w:tr w:rsidR="007A7F37" w:rsidRPr="006A4ACE" w14:paraId="2F89B564" w14:textId="77777777">
        <w:trPr>
          <w:cantSplit/>
          <w:trHeight w:val="20"/>
        </w:trPr>
        <w:tc>
          <w:tcPr>
            <w:tcW w:w="1271" w:type="dxa"/>
            <w:vAlign w:val="center"/>
          </w:tcPr>
          <w:p w14:paraId="78FEAE42" w14:textId="77777777" w:rsidR="007A7F37" w:rsidRPr="006A4ACE" w:rsidRDefault="007A7F37">
            <w:pPr>
              <w:jc w:val="center"/>
              <w:rPr>
                <w:rFonts w:ascii="Arial Narrow" w:hAnsi="Arial Narrow"/>
                <w:color w:val="333333"/>
                <w:sz w:val="20"/>
                <w:szCs w:val="20"/>
              </w:rPr>
            </w:pPr>
          </w:p>
        </w:tc>
        <w:tc>
          <w:tcPr>
            <w:tcW w:w="7745" w:type="dxa"/>
            <w:vAlign w:val="center"/>
          </w:tcPr>
          <w:p w14:paraId="5D7012AF" w14:textId="77777777" w:rsidR="007A7F37" w:rsidRPr="006A4ACE" w:rsidRDefault="007A7F37">
            <w:pPr>
              <w:rPr>
                <w:rFonts w:ascii="Arial Narrow" w:hAnsi="Arial Narrow"/>
                <w:b/>
                <w:bCs/>
                <w:color w:val="333333"/>
                <w:sz w:val="20"/>
                <w:szCs w:val="20"/>
              </w:rPr>
            </w:pPr>
            <w:r w:rsidRPr="006A4ACE">
              <w:rPr>
                <w:rFonts w:ascii="Arial Narrow" w:hAnsi="Arial Narrow"/>
                <w:b/>
                <w:bCs/>
                <w:sz w:val="20"/>
                <w:szCs w:val="20"/>
              </w:rPr>
              <w:t>Treatment Phase:</w:t>
            </w:r>
            <w:r w:rsidRPr="006A4ACE">
              <w:rPr>
                <w:rFonts w:ascii="Arial Narrow" w:hAnsi="Arial Narrow"/>
                <w:sz w:val="20"/>
                <w:szCs w:val="20"/>
              </w:rPr>
              <w:t xml:space="preserve"> Continuation</w:t>
            </w:r>
          </w:p>
        </w:tc>
      </w:tr>
      <w:tr w:rsidR="007A7F37" w:rsidRPr="006A4ACE" w14:paraId="1C9A5F8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510093CB" w14:textId="6D081C3E"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E32C41D"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 xml:space="preserve">Clinical criteria: </w:t>
            </w:r>
          </w:p>
        </w:tc>
      </w:tr>
      <w:tr w:rsidR="007A7F37" w:rsidRPr="006A4ACE" w14:paraId="3A2BB90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6950AE50" w14:textId="05481D30"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73C2A33" w14:textId="77777777" w:rsidR="007A7F37" w:rsidRPr="006A4ACE" w:rsidRDefault="007A7F37">
            <w:pPr>
              <w:pStyle w:val="PBACTabletext"/>
            </w:pPr>
            <w:r w:rsidRPr="006A4ACE">
              <w:t>The patient must have received prior treatment with this drug</w:t>
            </w:r>
          </w:p>
        </w:tc>
      </w:tr>
      <w:tr w:rsidR="007A7F37" w:rsidRPr="006A4ACE" w14:paraId="5994B99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3A65F47F" w14:textId="77777777"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74617364"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AND</w:t>
            </w:r>
          </w:p>
        </w:tc>
      </w:tr>
      <w:tr w:rsidR="007A7F37" w:rsidRPr="006A4ACE" w14:paraId="7DD6761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399FBB6E" w14:textId="47EE7FA0"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3FE636F0"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Clinical criteria:</w:t>
            </w:r>
          </w:p>
        </w:tc>
      </w:tr>
      <w:tr w:rsidR="007A7F37" w:rsidRPr="006A4ACE" w14:paraId="5EE551C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277C650F" w14:textId="09673377"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6A3DC617" w14:textId="77777777" w:rsidR="007A7F37" w:rsidRPr="006A4ACE" w:rsidRDefault="007A7F37">
            <w:pPr>
              <w:rPr>
                <w:rFonts w:ascii="Arial Narrow" w:hAnsi="Arial Narrow"/>
                <w:sz w:val="20"/>
                <w:szCs w:val="20"/>
              </w:rPr>
            </w:pPr>
            <w:r w:rsidRPr="006A4ACE">
              <w:rPr>
                <w:rFonts w:ascii="Arial Narrow" w:hAnsi="Arial Narrow"/>
                <w:sz w:val="20"/>
                <w:szCs w:val="20"/>
              </w:rPr>
              <w:t>The patient must demonstrate clinical improvement</w:t>
            </w:r>
          </w:p>
        </w:tc>
      </w:tr>
      <w:tr w:rsidR="007A7F37" w:rsidRPr="006A4ACE" w14:paraId="243B1E7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1E7FD91A" w14:textId="77777777"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9B873B1" w14:textId="77777777" w:rsidR="007A7F37" w:rsidRPr="006A4ACE" w:rsidRDefault="007A7F37">
            <w:pPr>
              <w:rPr>
                <w:rFonts w:ascii="Arial Narrow" w:hAnsi="Arial Narrow"/>
                <w:b/>
                <w:bCs/>
                <w:sz w:val="20"/>
                <w:szCs w:val="20"/>
              </w:rPr>
            </w:pPr>
            <w:r w:rsidRPr="006A4ACE">
              <w:rPr>
                <w:rFonts w:ascii="Arial Narrow" w:hAnsi="Arial Narrow"/>
                <w:b/>
                <w:bCs/>
                <w:sz w:val="20"/>
                <w:szCs w:val="20"/>
              </w:rPr>
              <w:t>OR</w:t>
            </w:r>
          </w:p>
        </w:tc>
      </w:tr>
      <w:tr w:rsidR="007A7F37" w:rsidRPr="006A4ACE" w14:paraId="3600C7C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B0BF0C1" w14:textId="052DC0A5" w:rsidR="007A7F37" w:rsidRPr="006A4ACE" w:rsidRDefault="007A7F37">
            <w:pPr>
              <w:jc w:val="center"/>
              <w:rPr>
                <w:rFonts w:ascii="Arial Narrow" w:hAnsi="Arial Narrow"/>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641FE0D2" w14:textId="77777777" w:rsidR="007A7F37" w:rsidRPr="006A4ACE" w:rsidRDefault="007A7F37">
            <w:pPr>
              <w:rPr>
                <w:rFonts w:ascii="Arial Narrow" w:hAnsi="Arial Narrow"/>
                <w:sz w:val="20"/>
                <w:szCs w:val="20"/>
              </w:rPr>
            </w:pPr>
            <w:r w:rsidRPr="006A4ACE">
              <w:rPr>
                <w:rFonts w:ascii="Arial Narrow" w:hAnsi="Arial Narrow"/>
                <w:sz w:val="20"/>
                <w:szCs w:val="20"/>
              </w:rPr>
              <w:t>The patient must demonstrate stabilisation of the disease condition</w:t>
            </w:r>
          </w:p>
        </w:tc>
      </w:tr>
      <w:tr w:rsidR="007A7F37" w:rsidRPr="00C02D56" w14:paraId="66C42447"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48FF502F" w14:textId="3994F010" w:rsidR="007A7F37" w:rsidRPr="000F6682" w:rsidRDefault="007A7F37">
            <w:pPr>
              <w:jc w:val="center"/>
              <w:rPr>
                <w:rFonts w:ascii="Arial Narrow" w:hAnsi="Arial Narrow"/>
                <w:i/>
                <w:iCs/>
                <w:color w:val="333333"/>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5B408D9" w14:textId="77777777" w:rsidR="007A7F37" w:rsidRPr="000F6682" w:rsidRDefault="007A7F37">
            <w:pPr>
              <w:rPr>
                <w:rFonts w:ascii="Arial Narrow" w:hAnsi="Arial Narrow"/>
                <w:i/>
                <w:iCs/>
                <w:sz w:val="20"/>
                <w:szCs w:val="20"/>
              </w:rPr>
            </w:pPr>
            <w:r w:rsidRPr="0088124E">
              <w:rPr>
                <w:rFonts w:ascii="Arial Narrow" w:hAnsi="Arial Narrow"/>
                <w:b/>
                <w:bCs/>
                <w:i/>
                <w:iCs/>
                <w:sz w:val="20"/>
                <w:szCs w:val="20"/>
              </w:rPr>
              <w:t>Prescribing Instructions:</w:t>
            </w:r>
            <w:r w:rsidRPr="000F6682">
              <w:rPr>
                <w:rFonts w:ascii="Arial Narrow" w:hAnsi="Arial Narrow"/>
                <w:i/>
                <w:iCs/>
                <w:sz w:val="20"/>
                <w:szCs w:val="20"/>
              </w:rPr>
              <w:t xml:space="preserve"> At the time of authority application, prescribers should request the appropriate number of capsules adequate for the duration of a months’ treatment. A maximum of 5 repeats may be authorised under this restriction</w:t>
            </w:r>
          </w:p>
        </w:tc>
      </w:tr>
    </w:tbl>
    <w:p w14:paraId="48E1B07E" w14:textId="23CDAD4C" w:rsidR="00E520F6" w:rsidRPr="00660928" w:rsidRDefault="00E520F6" w:rsidP="26403EC0">
      <w:pPr>
        <w:pStyle w:val="3-BodyText"/>
        <w:rPr>
          <w:iCs/>
          <w:color w:val="0066FF"/>
        </w:rPr>
      </w:pPr>
      <w:r w:rsidRPr="26403EC0">
        <w:t xml:space="preserve">The restrictions as proposed in the submission are </w:t>
      </w:r>
      <w:r w:rsidR="00613CD1" w:rsidRPr="26403EC0">
        <w:t xml:space="preserve">largely </w:t>
      </w:r>
      <w:r w:rsidR="00546A22" w:rsidRPr="26403EC0">
        <w:t xml:space="preserve">identical to </w:t>
      </w:r>
      <w:r w:rsidRPr="26403EC0">
        <w:t xml:space="preserve">the </w:t>
      </w:r>
      <w:r w:rsidR="00B9482A" w:rsidRPr="26403EC0">
        <w:t xml:space="preserve">LSDP </w:t>
      </w:r>
      <w:r w:rsidR="008A1236" w:rsidRPr="26403EC0">
        <w:t>eligibility requirements for</w:t>
      </w:r>
      <w:r w:rsidR="00B9482A" w:rsidRPr="26403EC0">
        <w:t xml:space="preserve"> Pompe disease </w:t>
      </w:r>
      <w:r w:rsidRPr="26403EC0">
        <w:t xml:space="preserve">to which </w:t>
      </w:r>
      <w:r w:rsidR="00243E69" w:rsidRPr="26403EC0">
        <w:t xml:space="preserve">the submission </w:t>
      </w:r>
      <w:r w:rsidR="00CE670B" w:rsidRPr="26403EC0">
        <w:t>refer</w:t>
      </w:r>
      <w:r w:rsidR="00130B28" w:rsidRPr="26403EC0">
        <w:t>red</w:t>
      </w:r>
      <w:r w:rsidRPr="26403EC0">
        <w:t xml:space="preserve">. </w:t>
      </w:r>
      <w:r w:rsidR="00B94513" w:rsidRPr="26403EC0">
        <w:t>However,</w:t>
      </w:r>
      <w:r w:rsidRPr="26403EC0">
        <w:t xml:space="preserve"> </w:t>
      </w:r>
      <w:r w:rsidR="004746DD" w:rsidRPr="26403EC0">
        <w:t>t</w:t>
      </w:r>
      <w:r w:rsidRPr="26403EC0">
        <w:t xml:space="preserve">he LSDP </w:t>
      </w:r>
      <w:r w:rsidR="00B94513" w:rsidRPr="26403EC0">
        <w:t xml:space="preserve">eligibility </w:t>
      </w:r>
      <w:r w:rsidRPr="26403EC0">
        <w:t xml:space="preserve">criteria </w:t>
      </w:r>
      <w:r w:rsidR="008F6E92" w:rsidRPr="26403EC0">
        <w:t>require</w:t>
      </w:r>
      <w:r w:rsidRPr="26403EC0">
        <w:t xml:space="preserve"> </w:t>
      </w:r>
      <w:r w:rsidR="000E792C" w:rsidRPr="26403EC0">
        <w:t xml:space="preserve">FVC and </w:t>
      </w:r>
      <w:r w:rsidR="00E467C7" w:rsidRPr="26403EC0">
        <w:t>6 Minute Walk</w:t>
      </w:r>
      <w:r w:rsidR="00CE2994" w:rsidRPr="26403EC0">
        <w:t xml:space="preserve"> </w:t>
      </w:r>
      <w:r w:rsidR="00E467C7" w:rsidRPr="26403EC0">
        <w:t>Test</w:t>
      </w:r>
      <w:r w:rsidRPr="26403EC0">
        <w:rPr>
          <w:color w:val="0066FF"/>
        </w:rPr>
        <w:t xml:space="preserve"> </w:t>
      </w:r>
      <w:r w:rsidRPr="26403EC0">
        <w:t>for patients over 18</w:t>
      </w:r>
      <w:r w:rsidR="00CE670B" w:rsidRPr="26403EC0">
        <w:t xml:space="preserve"> only</w:t>
      </w:r>
      <w:r w:rsidR="0033280A" w:rsidRPr="26403EC0">
        <w:t xml:space="preserve"> while</w:t>
      </w:r>
      <w:r w:rsidR="0010521C" w:rsidRPr="26403EC0">
        <w:t xml:space="preserve"> the proposed </w:t>
      </w:r>
      <w:r w:rsidR="000D097D" w:rsidRPr="26403EC0">
        <w:t xml:space="preserve">PBS </w:t>
      </w:r>
      <w:r w:rsidR="001637B8" w:rsidRPr="26403EC0">
        <w:t xml:space="preserve">restrictions </w:t>
      </w:r>
      <w:r w:rsidR="0010521C" w:rsidRPr="26403EC0">
        <w:t>would allow</w:t>
      </w:r>
      <w:r w:rsidR="000D097D" w:rsidRPr="26403EC0">
        <w:t xml:space="preserve"> </w:t>
      </w:r>
      <w:r w:rsidR="006C270D" w:rsidRPr="26403EC0">
        <w:t xml:space="preserve">access based on measurements made prior to the patient </w:t>
      </w:r>
      <w:r w:rsidR="00D56367" w:rsidRPr="26403EC0">
        <w:t>being 18 years old.</w:t>
      </w:r>
      <w:r w:rsidRPr="26403EC0">
        <w:t xml:space="preserve"> </w:t>
      </w:r>
      <w:r w:rsidR="006E64F7" w:rsidRPr="26403EC0">
        <w:t>Further, t</w:t>
      </w:r>
      <w:r w:rsidR="00754894" w:rsidRPr="26403EC0">
        <w:t xml:space="preserve">he wording "supine </w:t>
      </w:r>
      <w:r w:rsidR="00754894" w:rsidRPr="26403EC0">
        <w:rPr>
          <w:u w:val="single"/>
        </w:rPr>
        <w:t>or</w:t>
      </w:r>
      <w:r w:rsidR="00754894" w:rsidRPr="26403EC0">
        <w:t xml:space="preserve"> erect" makes the proposed restrictions meaningfully less strict than the LSDP </w:t>
      </w:r>
      <w:r w:rsidR="001637B8" w:rsidRPr="26403EC0">
        <w:t xml:space="preserve">eligibility </w:t>
      </w:r>
      <w:r w:rsidR="0078202D" w:rsidRPr="26403EC0">
        <w:t xml:space="preserve">criteria which uses the </w:t>
      </w:r>
      <w:r w:rsidR="00754894" w:rsidRPr="26403EC0">
        <w:t xml:space="preserve">wording "supine </w:t>
      </w:r>
      <w:r w:rsidR="00754894" w:rsidRPr="26403EC0">
        <w:rPr>
          <w:u w:val="single"/>
        </w:rPr>
        <w:t>and</w:t>
      </w:r>
      <w:r w:rsidR="00754894" w:rsidRPr="26403EC0">
        <w:t xml:space="preserve"> erect", because </w:t>
      </w:r>
      <w:r w:rsidR="001E6BDE" w:rsidRPr="26403EC0">
        <w:t xml:space="preserve">even in </w:t>
      </w:r>
      <w:r w:rsidR="00DF14F3" w:rsidRPr="26403EC0">
        <w:t>healthy</w:t>
      </w:r>
      <w:r w:rsidR="001E6BDE" w:rsidRPr="26403EC0">
        <w:t xml:space="preserve"> adults </w:t>
      </w:r>
      <w:r w:rsidR="00754894" w:rsidRPr="26403EC0">
        <w:t>measured supine vital capacity is usually lower than erect vital capacity</w:t>
      </w:r>
      <w:r w:rsidR="001E6BDE" w:rsidRPr="26403EC0">
        <w:t>, and the difference is greater if there is weakness of the diaphragm</w:t>
      </w:r>
      <w:r w:rsidR="00754894" w:rsidRPr="26403EC0">
        <w:t>.</w:t>
      </w:r>
      <w:r w:rsidR="00754894" w:rsidRPr="00660928">
        <w:rPr>
          <w:iCs/>
        </w:rPr>
        <w:t xml:space="preserve"> </w:t>
      </w:r>
      <w:r w:rsidR="00D24C5D" w:rsidRPr="00660928">
        <w:rPr>
          <w:iCs/>
        </w:rPr>
        <w:t xml:space="preserve">The </w:t>
      </w:r>
      <w:r w:rsidR="00B26A1F" w:rsidRPr="00660928">
        <w:rPr>
          <w:iCs/>
        </w:rPr>
        <w:t>PSCR</w:t>
      </w:r>
      <w:r w:rsidR="00993576" w:rsidRPr="00660928">
        <w:rPr>
          <w:iCs/>
        </w:rPr>
        <w:t xml:space="preserve"> </w:t>
      </w:r>
      <w:r w:rsidR="004A75E1" w:rsidRPr="00660928">
        <w:rPr>
          <w:iCs/>
        </w:rPr>
        <w:t>stated that the wording “supine or erect”</w:t>
      </w:r>
      <w:r w:rsidR="00037334" w:rsidRPr="26403EC0">
        <w:t xml:space="preserve"> </w:t>
      </w:r>
      <w:r w:rsidR="00037334" w:rsidRPr="00660928">
        <w:rPr>
          <w:iCs/>
        </w:rPr>
        <w:t>used in the submission was based on the previous version of the treatment guidelines for LOPD which were updated in September 2024</w:t>
      </w:r>
      <w:r w:rsidR="00BE6D26" w:rsidRPr="00660928">
        <w:rPr>
          <w:iCs/>
        </w:rPr>
        <w:t xml:space="preserve"> </w:t>
      </w:r>
      <w:r w:rsidR="00633C4F" w:rsidRPr="00660928">
        <w:rPr>
          <w:iCs/>
        </w:rPr>
        <w:t>and considered that</w:t>
      </w:r>
      <w:r w:rsidR="002D24CC" w:rsidRPr="00660928">
        <w:rPr>
          <w:iCs/>
        </w:rPr>
        <w:t xml:space="preserve"> the wording </w:t>
      </w:r>
      <w:r w:rsidR="00633C4F" w:rsidRPr="00660928">
        <w:rPr>
          <w:iCs/>
        </w:rPr>
        <w:t xml:space="preserve">should be changed </w:t>
      </w:r>
      <w:r w:rsidR="002D24CC" w:rsidRPr="00660928">
        <w:rPr>
          <w:iCs/>
        </w:rPr>
        <w:t xml:space="preserve">to “supine and erect” </w:t>
      </w:r>
      <w:r w:rsidR="00B22210" w:rsidRPr="00660928">
        <w:rPr>
          <w:iCs/>
        </w:rPr>
        <w:t>to align with the current</w:t>
      </w:r>
      <w:r w:rsidR="002D24CC" w:rsidRPr="00660928">
        <w:rPr>
          <w:iCs/>
        </w:rPr>
        <w:t xml:space="preserve"> the LSDP eligibility criteria</w:t>
      </w:r>
      <w:r w:rsidR="00B22210" w:rsidRPr="00660928">
        <w:rPr>
          <w:iCs/>
        </w:rPr>
        <w:t>.</w:t>
      </w:r>
      <w:r w:rsidR="00D24C5D" w:rsidRPr="00660928">
        <w:rPr>
          <w:iCs/>
        </w:rPr>
        <w:t xml:space="preserve"> </w:t>
      </w:r>
      <w:r w:rsidR="00754894" w:rsidRPr="00660928">
        <w:rPr>
          <w:iCs/>
        </w:rPr>
        <w:t xml:space="preserve"> </w:t>
      </w:r>
    </w:p>
    <w:p w14:paraId="375F2851" w14:textId="4A811AF5" w:rsidR="00E520F6" w:rsidRPr="00A80612" w:rsidRDefault="00BF41B4" w:rsidP="00A80612">
      <w:pPr>
        <w:pStyle w:val="3-BodyText"/>
      </w:pPr>
      <w:r w:rsidRPr="26403EC0">
        <w:t>P</w:t>
      </w:r>
      <w:r w:rsidR="00E520F6" w:rsidRPr="26403EC0">
        <w:t>atients in the PROPEL trial were required to have FVC &gt;</w:t>
      </w:r>
      <w:r w:rsidR="00754894" w:rsidRPr="26403EC0">
        <w:t xml:space="preserve"> </w:t>
      </w:r>
      <w:r w:rsidR="00E520F6" w:rsidRPr="26403EC0">
        <w:t>30% predicted</w:t>
      </w:r>
      <w:r w:rsidR="00754894" w:rsidRPr="26403EC0">
        <w:t>,</w:t>
      </w:r>
      <w:r w:rsidR="00E520F6" w:rsidRPr="26403EC0">
        <w:t xml:space="preserve"> without an upper limit. The upper</w:t>
      </w:r>
      <w:r w:rsidR="00D87F06" w:rsidRPr="26403EC0">
        <w:t xml:space="preserve"> quartile</w:t>
      </w:r>
      <w:r w:rsidR="00E520F6" w:rsidRPr="26403EC0">
        <w:t xml:space="preserve"> of patients in the trial </w:t>
      </w:r>
      <w:r w:rsidR="00754894" w:rsidRPr="26403EC0">
        <w:t>had FVC =</w:t>
      </w:r>
      <w:r w:rsidR="00E520F6" w:rsidRPr="26403EC0">
        <w:t xml:space="preserve"> 84</w:t>
      </w:r>
      <w:r w:rsidR="00754894" w:rsidRPr="26403EC0">
        <w:t>%</w:t>
      </w:r>
      <w:r w:rsidR="00E520F6" w:rsidRPr="26403EC0">
        <w:t xml:space="preserve"> predicted</w:t>
      </w:r>
      <w:r w:rsidR="001E6BDE" w:rsidRPr="26403EC0">
        <w:t>.</w:t>
      </w:r>
      <w:r w:rsidR="001E760D">
        <w:t xml:space="preserve"> </w:t>
      </w:r>
      <w:r w:rsidR="005C388C" w:rsidRPr="00A80612">
        <w:rPr>
          <w:iCs/>
        </w:rPr>
        <w:t>The PSCR stated that the discrepancy between the LSDP criteria requiring FVC &lt; 80% and the PROPEL trial FVC criteria is explained by that patients in the PROPEL trial were largely treatment experienced with ERTs, and the relatively high FVC values in the study population reflect the fact that patients were responding to therapy while LSDP criteria are supposed to apply to patients who are initiating ERTs and are therefore more likely to have severely compromised respiratory function.</w:t>
      </w:r>
    </w:p>
    <w:p w14:paraId="612964D8" w14:textId="58DB8FB7" w:rsidR="00B453EE" w:rsidRPr="00660928" w:rsidRDefault="003520F1" w:rsidP="26403EC0">
      <w:pPr>
        <w:pStyle w:val="3-BodyText"/>
        <w:rPr>
          <w:iCs/>
          <w:color w:val="0066FF"/>
        </w:rPr>
      </w:pPr>
      <w:r w:rsidRPr="00660928">
        <w:rPr>
          <w:iCs/>
        </w:rPr>
        <w:t xml:space="preserve">The ESC </w:t>
      </w:r>
      <w:r w:rsidR="00953408" w:rsidRPr="00660928">
        <w:rPr>
          <w:iCs/>
        </w:rPr>
        <w:t>advised</w:t>
      </w:r>
      <w:r w:rsidRPr="00660928">
        <w:rPr>
          <w:iCs/>
        </w:rPr>
        <w:t xml:space="preserve"> the clinical criteria </w:t>
      </w:r>
      <w:r w:rsidR="00376F6E" w:rsidRPr="00660928">
        <w:rPr>
          <w:iCs/>
        </w:rPr>
        <w:t>on</w:t>
      </w:r>
      <w:r w:rsidR="00B515F0" w:rsidRPr="00660928">
        <w:rPr>
          <w:iCs/>
        </w:rPr>
        <w:t xml:space="preserve"> </w:t>
      </w:r>
      <w:r w:rsidR="00A25174" w:rsidRPr="00660928">
        <w:rPr>
          <w:iCs/>
        </w:rPr>
        <w:t>disordered sleeping should be consistent with the current LSDP criteria</w:t>
      </w:r>
      <w:r w:rsidR="001E22F5" w:rsidRPr="00660928">
        <w:rPr>
          <w:iCs/>
        </w:rPr>
        <w:t xml:space="preserve">. </w:t>
      </w:r>
    </w:p>
    <w:p w14:paraId="4DE5C5D7" w14:textId="7DC3F53F" w:rsidR="00AE583D" w:rsidRPr="00F61934" w:rsidRDefault="00AE583D" w:rsidP="26403EC0">
      <w:pPr>
        <w:pStyle w:val="3-BodyText"/>
        <w:rPr>
          <w:iCs/>
          <w:color w:val="0066FF"/>
        </w:rPr>
      </w:pPr>
      <w:r w:rsidRPr="00660928">
        <w:rPr>
          <w:iCs/>
        </w:rPr>
        <w:t xml:space="preserve">Although </w:t>
      </w:r>
      <w:r w:rsidR="00C64F0F" w:rsidRPr="00660928">
        <w:rPr>
          <w:iCs/>
        </w:rPr>
        <w:t xml:space="preserve">the </w:t>
      </w:r>
      <w:r w:rsidR="009D1EAB" w:rsidRPr="00660928">
        <w:rPr>
          <w:iCs/>
        </w:rPr>
        <w:t xml:space="preserve">clinical criteria requirement for being under the care of / in conjunction with a clinician experienced in managing inborn errors of metabolism is not a requirement within the LSDP criteria, the ESC considered </w:t>
      </w:r>
      <w:r w:rsidR="007266A0" w:rsidRPr="00660928">
        <w:rPr>
          <w:iCs/>
        </w:rPr>
        <w:t xml:space="preserve">it </w:t>
      </w:r>
      <w:r w:rsidR="00C7130A" w:rsidRPr="00660928">
        <w:rPr>
          <w:iCs/>
        </w:rPr>
        <w:t>would be appropriate</w:t>
      </w:r>
      <w:r w:rsidR="000E6E18" w:rsidRPr="00660928">
        <w:rPr>
          <w:iCs/>
        </w:rPr>
        <w:t xml:space="preserve"> to include in the PBS restriction</w:t>
      </w:r>
      <w:r w:rsidR="009D1EAB" w:rsidRPr="00660928">
        <w:rPr>
          <w:iCs/>
        </w:rPr>
        <w:t>.</w:t>
      </w:r>
    </w:p>
    <w:p w14:paraId="453B7568" w14:textId="5E6D0FCD" w:rsidR="00E520F6" w:rsidRPr="00F61934" w:rsidRDefault="40E06216" w:rsidP="0211DC3E">
      <w:pPr>
        <w:pStyle w:val="3-BodyText"/>
        <w:rPr>
          <w:color w:val="0066FF"/>
        </w:rPr>
      </w:pPr>
      <w:r>
        <w:t>The propos</w:t>
      </w:r>
      <w:r w:rsidR="4FDF46B7">
        <w:t>al</w:t>
      </w:r>
      <w:r>
        <w:t xml:space="preserve"> by the submission</w:t>
      </w:r>
      <w:r w:rsidR="04B0EE18">
        <w:t xml:space="preserve"> was</w:t>
      </w:r>
      <w:r w:rsidR="4FDF46B7">
        <w:t xml:space="preserve"> for</w:t>
      </w:r>
      <w:r w:rsidR="00E97E8C">
        <w:t xml:space="preserve"> </w:t>
      </w:r>
      <w:r w:rsidR="15510598">
        <w:t>A</w:t>
      </w:r>
      <w:r w:rsidR="67E810A2">
        <w:t xml:space="preserve">uthority </w:t>
      </w:r>
      <w:r w:rsidR="15510598">
        <w:t>Required</w:t>
      </w:r>
      <w:r w:rsidR="2781491A">
        <w:t xml:space="preserve"> </w:t>
      </w:r>
      <w:r w:rsidR="67E810A2">
        <w:t>(</w:t>
      </w:r>
      <w:r w:rsidR="6A474222">
        <w:t>STREAMLINED</w:t>
      </w:r>
      <w:r w:rsidR="67E810A2">
        <w:t>)</w:t>
      </w:r>
      <w:r w:rsidR="688B2F0A">
        <w:t>;</w:t>
      </w:r>
      <w:r w:rsidR="04B0EE18">
        <w:t xml:space="preserve"> this would not be appropriate</w:t>
      </w:r>
      <w:r w:rsidR="1FC1CC50">
        <w:t xml:space="preserve"> as the current</w:t>
      </w:r>
      <w:r w:rsidR="79B33D30">
        <w:t xml:space="preserve"> </w:t>
      </w:r>
      <w:r w:rsidR="00E97E8C">
        <w:t xml:space="preserve">LSDP Guidelines require applications in writing with supporting information. </w:t>
      </w:r>
      <w:r w:rsidR="1FC1CC50">
        <w:t>The ESC agreed</w:t>
      </w:r>
      <w:r w:rsidR="324C01F1">
        <w:t xml:space="preserve"> with the evaluation that</w:t>
      </w:r>
      <w:r w:rsidR="1FC1CC50">
        <w:t xml:space="preserve"> </w:t>
      </w:r>
      <w:r w:rsidR="76B4EC82">
        <w:t xml:space="preserve">streamlined authority was not appropriate and advised </w:t>
      </w:r>
      <w:r w:rsidR="385FA9F9">
        <w:t xml:space="preserve">that a PBS listing should </w:t>
      </w:r>
      <w:r w:rsidR="76B4EC82">
        <w:t xml:space="preserve">be written authority for consistency </w:t>
      </w:r>
      <w:r w:rsidR="4CD08E5A">
        <w:t>with</w:t>
      </w:r>
      <w:r w:rsidR="76B4EC82">
        <w:t xml:space="preserve"> the LSDP Guidelines. </w:t>
      </w:r>
      <w:r w:rsidR="2AFEAD76">
        <w:t xml:space="preserve">The PSCR considered that the PBS authority level was not relevant given the submission’s intention to list CIPAMIG on the LSDP. </w:t>
      </w:r>
    </w:p>
    <w:p w14:paraId="00C837B0" w14:textId="70C2CF9A" w:rsidR="00F61934" w:rsidRPr="00EE2552" w:rsidRDefault="00F61934" w:rsidP="00F61934">
      <w:pPr>
        <w:pStyle w:val="3-BodyText"/>
        <w:rPr>
          <w:iCs/>
        </w:rPr>
      </w:pPr>
      <w:r w:rsidRPr="00EE2552">
        <w:rPr>
          <w:iCs/>
        </w:rPr>
        <w:t xml:space="preserve">The submission did not explicitly propose a grandfather restriction; however, the submission identified </w:t>
      </w:r>
      <w:r w:rsidR="00EC55FE">
        <w:rPr>
          <w:iCs/>
        </w:rPr>
        <w:t>&lt;</w:t>
      </w:r>
      <w:r w:rsidR="00832EA7">
        <w:rPr>
          <w:iCs/>
        </w:rPr>
        <w:t> </w:t>
      </w:r>
      <w:r w:rsidR="00EC55FE">
        <w:rPr>
          <w:iCs/>
        </w:rPr>
        <w:t>500</w:t>
      </w:r>
      <w:r w:rsidR="00EC55FE" w:rsidRPr="00EE2552">
        <w:rPr>
          <w:iCs/>
        </w:rPr>
        <w:t xml:space="preserve"> </w:t>
      </w:r>
      <w:r w:rsidRPr="00EE2552">
        <w:rPr>
          <w:iCs/>
        </w:rPr>
        <w:t>patients who are currently enrolled in a compassionate access program from the PROPEL trial.</w:t>
      </w:r>
    </w:p>
    <w:p w14:paraId="009339C0" w14:textId="0AFE8E52" w:rsidR="006F4732" w:rsidRPr="006F4732" w:rsidRDefault="00C27704" w:rsidP="003320BE">
      <w:pPr>
        <w:pStyle w:val="3-BodyText"/>
        <w:rPr>
          <w:iCs/>
          <w:color w:val="0066FF"/>
        </w:rPr>
      </w:pPr>
      <w:r w:rsidRPr="005C388C">
        <w:t xml:space="preserve">It was not clear whether the submission </w:t>
      </w:r>
      <w:r w:rsidR="002B0192" w:rsidRPr="005C388C">
        <w:t>proposed</w:t>
      </w:r>
      <w:r w:rsidRPr="005C388C">
        <w:t xml:space="preserve"> a Special Pricing Arrangement based on equivalent published prices of the comparator.</w:t>
      </w:r>
      <w:r w:rsidR="001F3A3B" w:rsidRPr="00660928">
        <w:rPr>
          <w:iCs/>
        </w:rPr>
        <w:t xml:space="preserve"> </w:t>
      </w:r>
      <w:r w:rsidR="005C388C" w:rsidRPr="00660928">
        <w:rPr>
          <w:iCs/>
        </w:rPr>
        <w:t>The PSCR confirmed that Special Pricing Arrangements are not applicable as it is expected that any agreement to fund CIPAMIG on the LSDP would be subject to confidentiality.</w:t>
      </w:r>
    </w:p>
    <w:p w14:paraId="0C20ABCB" w14:textId="32D06A85" w:rsidR="003320BE" w:rsidRPr="006F4732" w:rsidRDefault="003320BE" w:rsidP="006F4732">
      <w:pPr>
        <w:pStyle w:val="3-BodyText"/>
        <w:numPr>
          <w:ilvl w:val="0"/>
          <w:numId w:val="0"/>
        </w:numPr>
        <w:ind w:left="720"/>
        <w:rPr>
          <w:iCs/>
          <w:color w:val="0066FF"/>
        </w:rPr>
      </w:pPr>
      <w:r w:rsidRPr="006F4732">
        <w:rPr>
          <w:i/>
          <w:iCs/>
        </w:rPr>
        <w:t>For more detail on PBAC’s view, see section 7 PBAC outcome.</w:t>
      </w:r>
    </w:p>
    <w:p w14:paraId="7075B85C" w14:textId="62A47B7B" w:rsidR="00B50DB8" w:rsidRPr="0098262F" w:rsidDel="00195452" w:rsidRDefault="00203181" w:rsidP="004E18E9">
      <w:pPr>
        <w:pStyle w:val="2-SectionHeading"/>
      </w:pPr>
      <w:bookmarkStart w:id="12" w:name="_Toc187576325"/>
      <w:r w:rsidRPr="0098262F" w:rsidDel="00195452">
        <w:t xml:space="preserve">Population and </w:t>
      </w:r>
      <w:r w:rsidR="008E0D3C" w:rsidRPr="0098262F" w:rsidDel="00195452">
        <w:t>d</w:t>
      </w:r>
      <w:r w:rsidRPr="0098262F" w:rsidDel="00195452">
        <w:t>isease</w:t>
      </w:r>
      <w:bookmarkEnd w:id="12"/>
    </w:p>
    <w:p w14:paraId="09DB4E20" w14:textId="172D8C13" w:rsidR="00E93180" w:rsidRPr="009500AC" w:rsidRDefault="00E93180" w:rsidP="26403EC0">
      <w:pPr>
        <w:pStyle w:val="3-BodyText"/>
        <w:snapToGrid w:val="0"/>
        <w:spacing w:before="0"/>
        <w:rPr>
          <w:color w:val="0066FF"/>
        </w:rPr>
      </w:pPr>
      <w:r w:rsidRPr="26403EC0">
        <w:t xml:space="preserve">Pompe </w:t>
      </w:r>
      <w:r w:rsidR="00275E79" w:rsidRPr="26403EC0">
        <w:t>D</w:t>
      </w:r>
      <w:r w:rsidRPr="26403EC0">
        <w:t xml:space="preserve">isease is a rare autosomal recessive disorder in glycogen storage caused by mutations in the GAA gene. GAA deficiency leads to accumulation of glycogen in multiple tissues resulting in progressive metabolic myopathy, respiratory dysfunction and/or cardiac impairment. Pompe disease is classified into different phenotypes based on age at onset of symptoms, extent of organ involvement and rate of progression to death. Pompe disease is classified as: </w:t>
      </w:r>
    </w:p>
    <w:p w14:paraId="3D50C4FE" w14:textId="04D82681" w:rsidR="00E93180" w:rsidRPr="009500AC" w:rsidRDefault="00E93180" w:rsidP="26403EC0">
      <w:pPr>
        <w:pStyle w:val="ListParagraph"/>
        <w:snapToGrid w:val="0"/>
        <w:ind w:left="1092"/>
        <w:jc w:val="both"/>
      </w:pPr>
      <w:r w:rsidRPr="26403EC0">
        <w:t xml:space="preserve">IOPD when symptoms present before the age of </w:t>
      </w:r>
      <w:r w:rsidR="00D732C2" w:rsidRPr="26403EC0">
        <w:t>one</w:t>
      </w:r>
      <w:r w:rsidRPr="26403EC0">
        <w:t xml:space="preserve"> year</w:t>
      </w:r>
      <w:r w:rsidR="001E6BDE" w:rsidRPr="26403EC0">
        <w:t xml:space="preserve">. </w:t>
      </w:r>
      <w:r w:rsidRPr="26403EC0">
        <w:t xml:space="preserve"> </w:t>
      </w:r>
    </w:p>
    <w:p w14:paraId="5EA213EC" w14:textId="5B97D63D" w:rsidR="00E93180" w:rsidRPr="009500AC" w:rsidRDefault="00E93180" w:rsidP="26403EC0">
      <w:pPr>
        <w:pStyle w:val="ListParagraph"/>
        <w:snapToGrid w:val="0"/>
        <w:ind w:left="1092"/>
        <w:jc w:val="both"/>
      </w:pPr>
      <w:r w:rsidRPr="26403EC0">
        <w:t>LOPD for presentations in early childhood</w:t>
      </w:r>
      <w:r w:rsidR="00275E79" w:rsidRPr="26403EC0">
        <w:t>, adolescence</w:t>
      </w:r>
      <w:r w:rsidRPr="26403EC0">
        <w:t xml:space="preserve"> and adulthood. </w:t>
      </w:r>
    </w:p>
    <w:p w14:paraId="6C166E4D" w14:textId="20B36CC5" w:rsidR="00CC7BE3" w:rsidRPr="00CC7BE3" w:rsidRDefault="001E6BDE" w:rsidP="004E18E9">
      <w:pPr>
        <w:pStyle w:val="3-BodyText"/>
        <w:rPr>
          <w:color w:val="000000" w:themeColor="text1"/>
        </w:rPr>
      </w:pPr>
      <w:r w:rsidRPr="00CC7BE3">
        <w:rPr>
          <w:color w:val="000000" w:themeColor="text1"/>
        </w:rPr>
        <w:t>IOPD presents with cardiac failure and</w:t>
      </w:r>
      <w:r w:rsidR="00275E79">
        <w:rPr>
          <w:color w:val="000000" w:themeColor="text1"/>
        </w:rPr>
        <w:t xml:space="preserve"> </w:t>
      </w:r>
      <w:r w:rsidRPr="00CC7BE3">
        <w:rPr>
          <w:color w:val="000000" w:themeColor="text1"/>
        </w:rPr>
        <w:t xml:space="preserve">muscle weakness. Without enzyme replacement therapy (ERT), </w:t>
      </w:r>
      <w:r w:rsidR="00275E79">
        <w:rPr>
          <w:color w:val="000000" w:themeColor="text1"/>
        </w:rPr>
        <w:t xml:space="preserve">only </w:t>
      </w:r>
      <w:r w:rsidRPr="00CC7BE3">
        <w:rPr>
          <w:color w:val="000000" w:themeColor="text1"/>
        </w:rPr>
        <w:t xml:space="preserve">about one quarter </w:t>
      </w:r>
      <w:r w:rsidR="00275E79">
        <w:rPr>
          <w:color w:val="000000" w:themeColor="text1"/>
        </w:rPr>
        <w:t xml:space="preserve">of patients </w:t>
      </w:r>
      <w:r w:rsidRPr="00CC7BE3">
        <w:rPr>
          <w:color w:val="000000" w:themeColor="text1"/>
        </w:rPr>
        <w:t xml:space="preserve">survive </w:t>
      </w:r>
      <w:r w:rsidR="00CC7BE3" w:rsidRPr="00CC7BE3">
        <w:rPr>
          <w:color w:val="000000" w:themeColor="text1"/>
        </w:rPr>
        <w:t xml:space="preserve">to </w:t>
      </w:r>
      <w:r w:rsidRPr="00CC7BE3">
        <w:rPr>
          <w:color w:val="000000" w:themeColor="text1"/>
        </w:rPr>
        <w:t>one year</w:t>
      </w:r>
      <w:r w:rsidR="00CC7BE3" w:rsidRPr="00CC7BE3">
        <w:rPr>
          <w:color w:val="000000" w:themeColor="text1"/>
        </w:rPr>
        <w:t xml:space="preserve"> of age, but</w:t>
      </w:r>
      <w:r w:rsidRPr="00CC7BE3">
        <w:rPr>
          <w:color w:val="000000" w:themeColor="text1"/>
        </w:rPr>
        <w:t xml:space="preserve"> ERT </w:t>
      </w:r>
      <w:r w:rsidR="00CC7BE3" w:rsidRPr="00CC7BE3">
        <w:rPr>
          <w:color w:val="000000" w:themeColor="text1"/>
        </w:rPr>
        <w:t xml:space="preserve">dramatically reduces the risk of death and ventilator dependence. </w:t>
      </w:r>
    </w:p>
    <w:p w14:paraId="21FDD135" w14:textId="767C6E8C" w:rsidR="00894489" w:rsidRPr="00475716" w:rsidDel="00195452" w:rsidRDefault="00CC7BE3" w:rsidP="26403EC0">
      <w:pPr>
        <w:pStyle w:val="3-BodyText"/>
        <w:rPr>
          <w:color w:val="000000" w:themeColor="text1"/>
        </w:rPr>
      </w:pPr>
      <w:r w:rsidRPr="26403EC0">
        <w:rPr>
          <w:color w:val="000000" w:themeColor="text1"/>
        </w:rPr>
        <w:t>Patients with LOPD</w:t>
      </w:r>
      <w:r w:rsidR="00861D53" w:rsidRPr="26403EC0">
        <w:rPr>
          <w:color w:val="000000" w:themeColor="text1"/>
        </w:rPr>
        <w:t xml:space="preserve"> rarely </w:t>
      </w:r>
      <w:r w:rsidRPr="26403EC0">
        <w:rPr>
          <w:color w:val="000000" w:themeColor="text1"/>
        </w:rPr>
        <w:t>develop cardiomyopathy; most patients have progressive proximal limb-girdle weakness</w:t>
      </w:r>
      <w:r w:rsidR="005E3FBB" w:rsidRPr="26403EC0">
        <w:rPr>
          <w:color w:val="000000" w:themeColor="text1"/>
        </w:rPr>
        <w:t xml:space="preserve"> leading to difficulty walking</w:t>
      </w:r>
      <w:r w:rsidRPr="26403EC0">
        <w:rPr>
          <w:color w:val="000000" w:themeColor="text1"/>
        </w:rPr>
        <w:t xml:space="preserve"> and diaphragmatic weakness leading to respiratory failure</w:t>
      </w:r>
      <w:r w:rsidR="005E3FBB" w:rsidRPr="26403EC0">
        <w:rPr>
          <w:color w:val="000000" w:themeColor="text1"/>
        </w:rPr>
        <w:t>. Overall survival without ERT is about 95% at five years after diagnosis and 40% at 30 years after diagnosis. Cohort studies suggest that ERT roughly halves the chance of dying at any time point after it is started</w:t>
      </w:r>
      <w:r w:rsidR="001E2FFF" w:rsidRPr="26403EC0">
        <w:rPr>
          <w:rStyle w:val="FootnoteReference"/>
          <w:color w:val="000000" w:themeColor="text1"/>
        </w:rPr>
        <w:footnoteReference w:id="2"/>
      </w:r>
      <w:r w:rsidR="005F2245" w:rsidRPr="26403EC0">
        <w:rPr>
          <w:rStyle w:val="FootnoteReference"/>
          <w:color w:val="000000" w:themeColor="text1"/>
        </w:rPr>
        <w:footnoteReference w:id="3"/>
      </w:r>
      <w:r w:rsidR="005E3FBB" w:rsidRPr="26403EC0">
        <w:rPr>
          <w:color w:val="000000" w:themeColor="text1"/>
        </w:rPr>
        <w:t xml:space="preserve">. </w:t>
      </w:r>
      <w:r w:rsidR="00475716" w:rsidRPr="26403EC0">
        <w:rPr>
          <w:color w:val="000000" w:themeColor="text1"/>
        </w:rPr>
        <w:t xml:space="preserve">Many patients will, nevertheless, require non-invasive and in some cases invasive ventilatory support and will have significant limitations of mobility. </w:t>
      </w:r>
      <w:r w:rsidR="005E3FBB" w:rsidRPr="26403EC0">
        <w:rPr>
          <w:color w:val="000000" w:themeColor="text1"/>
        </w:rPr>
        <w:t xml:space="preserve">   </w:t>
      </w:r>
      <w:r w:rsidRPr="26403EC0">
        <w:rPr>
          <w:color w:val="000000" w:themeColor="text1"/>
        </w:rPr>
        <w:t xml:space="preserve"> </w:t>
      </w:r>
    </w:p>
    <w:p w14:paraId="365CA9DE" w14:textId="2AC4380B" w:rsidR="00E64EBD" w:rsidRPr="00643754" w:rsidRDefault="00E64EBD" w:rsidP="26403EC0">
      <w:pPr>
        <w:pStyle w:val="3-BodyText"/>
        <w:rPr>
          <w:color w:val="0066FF"/>
        </w:rPr>
      </w:pPr>
      <w:r w:rsidRPr="26403EC0">
        <w:t xml:space="preserve">CIPAMIG is a combination therapy for the treatment of LOPD. CIPA is a recombinant human GAA enzyme naturally expressed with high levels of bis-M6P (Mannose 6-Phosphate), designed </w:t>
      </w:r>
      <w:r w:rsidR="00475716" w:rsidRPr="26403EC0">
        <w:t>to</w:t>
      </w:r>
      <w:r w:rsidRPr="26403EC0">
        <w:t xml:space="preserve"> increase uptake into muscle cells. Once in the cell, CIPA can be processed into its most active form to break down glycogen. MIG is a small molecule chaperone which has a stabilising effect on recombinant enzymes such as CIPA, leading to improved pharmacokinetics and pharmacodynamics. It prolongs the distribution half-life of CIPA and increase</w:t>
      </w:r>
      <w:r w:rsidR="00475716" w:rsidRPr="26403EC0">
        <w:t>s</w:t>
      </w:r>
      <w:r w:rsidRPr="26403EC0">
        <w:t xml:space="preserve"> levels of active enzyme.</w:t>
      </w:r>
    </w:p>
    <w:p w14:paraId="12E98202" w14:textId="77777777" w:rsidR="006F4732" w:rsidRPr="006F4732" w:rsidRDefault="00E64EBD" w:rsidP="003320BE">
      <w:pPr>
        <w:pStyle w:val="3-BodyText"/>
      </w:pPr>
      <w:r>
        <w:t>The recommended dose of CIPA is 20</w:t>
      </w:r>
      <w:r w:rsidR="00E20423">
        <w:t xml:space="preserve"> </w:t>
      </w:r>
      <w:r>
        <w:t xml:space="preserve">mg/kg bodyweight every second week as an intravenous infusion. MIG capsules should be taken 1 hour before starting the infusion. The dose of MIG is </w:t>
      </w:r>
      <w:r w:rsidRPr="00861A4A">
        <w:t>260 mg (4 capsules of 65 mg)</w:t>
      </w:r>
      <w:r>
        <w:t xml:space="preserve"> for patients weighing </w:t>
      </w:r>
      <w:r w:rsidRPr="00067AAC">
        <w:rPr>
          <w:lang w:val="en-US"/>
        </w:rPr>
        <w:t>≥ 50</w:t>
      </w:r>
      <w:r w:rsidR="00922281">
        <w:rPr>
          <w:lang w:val="en-US"/>
        </w:rPr>
        <w:t> </w:t>
      </w:r>
      <w:r w:rsidRPr="00067AAC">
        <w:rPr>
          <w:lang w:val="en-US"/>
        </w:rPr>
        <w:t>kg</w:t>
      </w:r>
      <w:r>
        <w:rPr>
          <w:lang w:val="en-US"/>
        </w:rPr>
        <w:t xml:space="preserve"> and 195</w:t>
      </w:r>
      <w:r w:rsidR="00D924D7">
        <w:rPr>
          <w:lang w:val="en-US"/>
        </w:rPr>
        <w:t xml:space="preserve"> </w:t>
      </w:r>
      <w:r>
        <w:rPr>
          <w:lang w:val="en-US"/>
        </w:rPr>
        <w:t xml:space="preserve">mg (3 capsules) for patients weighing </w:t>
      </w:r>
      <w:r w:rsidRPr="00861A4A">
        <w:rPr>
          <w:lang w:val="en-US"/>
        </w:rPr>
        <w:t>≥ 40 kg to &lt; 50 kg</w:t>
      </w:r>
      <w:r>
        <w:rPr>
          <w:lang w:val="en-US"/>
        </w:rPr>
        <w:t>.</w:t>
      </w:r>
      <w:r w:rsidR="00D96497">
        <w:rPr>
          <w:lang w:val="en-US"/>
        </w:rPr>
        <w:t xml:space="preserve"> </w:t>
      </w:r>
      <w:r w:rsidR="00EA409C">
        <w:rPr>
          <w:lang w:val="en-US"/>
        </w:rPr>
        <w:t>T</w:t>
      </w:r>
      <w:r w:rsidR="00D96497">
        <w:rPr>
          <w:lang w:val="en-US"/>
        </w:rPr>
        <w:t>he current and proposed treatment algorithm is shown in ATTACHMENT ES.3.</w:t>
      </w:r>
    </w:p>
    <w:p w14:paraId="1D112E9C" w14:textId="5AA54F8C" w:rsidR="003320BE" w:rsidRPr="006F4732" w:rsidRDefault="003320BE" w:rsidP="006F4732">
      <w:pPr>
        <w:pStyle w:val="3-BodyText"/>
        <w:numPr>
          <w:ilvl w:val="0"/>
          <w:numId w:val="0"/>
        </w:numPr>
        <w:ind w:left="720"/>
      </w:pPr>
      <w:r w:rsidRPr="006F4732">
        <w:rPr>
          <w:i/>
          <w:iCs/>
        </w:rPr>
        <w:t>For more detail on PBAC’s view, see section 7 PBAC outcome.</w:t>
      </w:r>
    </w:p>
    <w:p w14:paraId="51E5AE96" w14:textId="136A63B1" w:rsidR="00B50DB8" w:rsidRPr="0098262F" w:rsidRDefault="00B50DB8" w:rsidP="004E18E9">
      <w:pPr>
        <w:pStyle w:val="2-SectionHeading"/>
      </w:pPr>
      <w:bookmarkStart w:id="13" w:name="_Toc187576326"/>
      <w:r w:rsidRPr="0098262F">
        <w:t>Comparator</w:t>
      </w:r>
      <w:bookmarkEnd w:id="13"/>
    </w:p>
    <w:p w14:paraId="282E0383" w14:textId="77777777" w:rsidR="006F4732" w:rsidRDefault="00100D16" w:rsidP="003320BE">
      <w:pPr>
        <w:pStyle w:val="3-BodyText"/>
      </w:pPr>
      <w:r w:rsidRPr="26403EC0">
        <w:t xml:space="preserve">The submission </w:t>
      </w:r>
      <w:r w:rsidR="00222479" w:rsidRPr="26403EC0">
        <w:t>nominated</w:t>
      </w:r>
      <w:r w:rsidRPr="26403EC0">
        <w:t xml:space="preserve"> ALGLU and AVAL</w:t>
      </w:r>
      <w:r w:rsidR="00D13E74" w:rsidRPr="26403EC0">
        <w:t xml:space="preserve"> </w:t>
      </w:r>
      <w:r w:rsidRPr="26403EC0">
        <w:t>as the main comparator</w:t>
      </w:r>
      <w:r w:rsidR="00275E79" w:rsidRPr="26403EC0">
        <w:t>s</w:t>
      </w:r>
      <w:r w:rsidRPr="26403EC0">
        <w:t>. The argument provided in support of these nominations w</w:t>
      </w:r>
      <w:r w:rsidR="00475716" w:rsidRPr="26403EC0">
        <w:t>as</w:t>
      </w:r>
      <w:r w:rsidRPr="26403EC0">
        <w:t xml:space="preserve"> that both products are currently listed on the LSDP for the treatment of </w:t>
      </w:r>
      <w:r w:rsidR="00475716" w:rsidRPr="26403EC0">
        <w:t>LOPD</w:t>
      </w:r>
      <w:r w:rsidRPr="26403EC0">
        <w:t xml:space="preserve">. </w:t>
      </w:r>
      <w:r w:rsidR="00C52C91" w:rsidRPr="26403EC0">
        <w:t>The</w:t>
      </w:r>
      <w:r w:rsidR="00BA36EB" w:rsidRPr="26403EC0">
        <w:t xml:space="preserve"> submissio</w:t>
      </w:r>
      <w:r w:rsidR="009E3E18" w:rsidRPr="26403EC0">
        <w:t xml:space="preserve">n stated it is unknown which of the currently listed ERTs </w:t>
      </w:r>
      <w:r w:rsidR="00014D03" w:rsidRPr="26403EC0">
        <w:t>would most likely be replaced by CIPAMIG if it were to be listed on the LSDP</w:t>
      </w:r>
      <w:r w:rsidRPr="26403EC0">
        <w:t>. Therefore</w:t>
      </w:r>
      <w:r w:rsidR="00475716" w:rsidRPr="26403EC0">
        <w:t>,</w:t>
      </w:r>
      <w:r w:rsidRPr="26403EC0">
        <w:t xml:space="preserve"> both products were nominated as comparators.</w:t>
      </w:r>
    </w:p>
    <w:p w14:paraId="3F34B9C7" w14:textId="2C648ACF" w:rsidR="003320BE" w:rsidRPr="006F4732" w:rsidRDefault="003320BE" w:rsidP="006F4732">
      <w:pPr>
        <w:pStyle w:val="3-BodyText"/>
        <w:numPr>
          <w:ilvl w:val="0"/>
          <w:numId w:val="0"/>
        </w:numPr>
        <w:ind w:left="720"/>
      </w:pPr>
      <w:r w:rsidRPr="006F4732">
        <w:rPr>
          <w:i/>
          <w:iCs/>
        </w:rPr>
        <w:t>For more detail on PBAC’s view, see section 7 PBAC outcome.</w:t>
      </w:r>
    </w:p>
    <w:p w14:paraId="7F9C27C8" w14:textId="77777777" w:rsidR="00223D5A" w:rsidRDefault="00223D5A" w:rsidP="00223D5A">
      <w:pPr>
        <w:pStyle w:val="2-SectionHeading"/>
        <w:numPr>
          <w:ilvl w:val="0"/>
          <w:numId w:val="1"/>
        </w:numPr>
      </w:pPr>
      <w:bookmarkStart w:id="14" w:name="_Toc187576327"/>
      <w:bookmarkStart w:id="15" w:name="_Toc187576328"/>
      <w:bookmarkStart w:id="16" w:name="_Toc187576329"/>
      <w:bookmarkStart w:id="17" w:name="_Toc22897640"/>
      <w:bookmarkEnd w:id="14"/>
      <w:bookmarkEnd w:id="15"/>
      <w:r w:rsidRPr="0098262F">
        <w:t>Consideration of the evidence</w:t>
      </w:r>
      <w:bookmarkEnd w:id="16"/>
    </w:p>
    <w:p w14:paraId="4EF1B5E8" w14:textId="77777777" w:rsidR="000020D6" w:rsidRPr="006E1229" w:rsidRDefault="000020D6" w:rsidP="00012826">
      <w:pPr>
        <w:pStyle w:val="4-SubsectionHeading"/>
      </w:pPr>
      <w:bookmarkStart w:id="18" w:name="_Hlk76375935"/>
      <w:r w:rsidRPr="006E1229">
        <w:t xml:space="preserve">Sponsor </w:t>
      </w:r>
      <w:r w:rsidRPr="00012826">
        <w:t>hearing</w:t>
      </w:r>
    </w:p>
    <w:p w14:paraId="29DC6172" w14:textId="1ED3972F" w:rsidR="000020D6" w:rsidRPr="00836F75" w:rsidRDefault="000020D6" w:rsidP="000020D6">
      <w:pPr>
        <w:pStyle w:val="3-BodyText"/>
        <w:rPr>
          <w:snapToGrid w:val="0"/>
        </w:rPr>
      </w:pPr>
      <w:bookmarkStart w:id="19" w:name="_Hlk76382586"/>
      <w:r w:rsidRPr="00836F75">
        <w:rPr>
          <w:snapToGrid w:val="0"/>
        </w:rPr>
        <w:t xml:space="preserve">The sponsor requested a hearing for this item. The clinician </w:t>
      </w:r>
      <w:r w:rsidR="00451D6E">
        <w:rPr>
          <w:snapToGrid w:val="0"/>
        </w:rPr>
        <w:t>provided</w:t>
      </w:r>
      <w:r w:rsidR="00451D6E" w:rsidRPr="00836F75">
        <w:rPr>
          <w:snapToGrid w:val="0"/>
        </w:rPr>
        <w:t xml:space="preserve"> </w:t>
      </w:r>
      <w:r w:rsidR="00AA233F">
        <w:rPr>
          <w:snapToGrid w:val="0"/>
        </w:rPr>
        <w:t xml:space="preserve">an overview of </w:t>
      </w:r>
      <w:r w:rsidR="00566B57">
        <w:rPr>
          <w:snapToGrid w:val="0"/>
        </w:rPr>
        <w:t xml:space="preserve">Pompe </w:t>
      </w:r>
      <w:r w:rsidR="00AA233F">
        <w:rPr>
          <w:snapToGrid w:val="0"/>
        </w:rPr>
        <w:t>disease</w:t>
      </w:r>
      <w:r w:rsidR="00234F9F">
        <w:rPr>
          <w:snapToGrid w:val="0"/>
        </w:rPr>
        <w:t xml:space="preserve"> and </w:t>
      </w:r>
      <w:r w:rsidR="000149F0">
        <w:rPr>
          <w:snapToGrid w:val="0"/>
        </w:rPr>
        <w:t xml:space="preserve">the heterogeneous </w:t>
      </w:r>
      <w:r w:rsidR="00234F9F">
        <w:rPr>
          <w:snapToGrid w:val="0"/>
        </w:rPr>
        <w:t>presentation</w:t>
      </w:r>
      <w:r w:rsidR="0011756B">
        <w:rPr>
          <w:snapToGrid w:val="0"/>
        </w:rPr>
        <w:t xml:space="preserve"> of </w:t>
      </w:r>
      <w:r w:rsidR="0008409E">
        <w:rPr>
          <w:snapToGrid w:val="0"/>
        </w:rPr>
        <w:t xml:space="preserve">late-onset Pompe </w:t>
      </w:r>
      <w:r w:rsidR="00016349">
        <w:rPr>
          <w:snapToGrid w:val="0"/>
        </w:rPr>
        <w:t>disease</w:t>
      </w:r>
      <w:r w:rsidR="00903399">
        <w:rPr>
          <w:snapToGrid w:val="0"/>
        </w:rPr>
        <w:t>.</w:t>
      </w:r>
      <w:r w:rsidR="004A789B">
        <w:rPr>
          <w:snapToGrid w:val="0"/>
        </w:rPr>
        <w:t xml:space="preserve"> </w:t>
      </w:r>
      <w:r w:rsidR="00104F0E">
        <w:rPr>
          <w:snapToGrid w:val="0"/>
        </w:rPr>
        <w:t xml:space="preserve">The clinician noted that </w:t>
      </w:r>
      <w:r w:rsidR="005A68DC">
        <w:rPr>
          <w:snapToGrid w:val="0"/>
        </w:rPr>
        <w:t xml:space="preserve">results from a longer </w:t>
      </w:r>
      <w:r w:rsidR="007D3F86">
        <w:rPr>
          <w:snapToGrid w:val="0"/>
        </w:rPr>
        <w:t xml:space="preserve">term study </w:t>
      </w:r>
      <w:r w:rsidR="007553F6">
        <w:rPr>
          <w:snapToGrid w:val="0"/>
        </w:rPr>
        <w:t xml:space="preserve">have shown that </w:t>
      </w:r>
      <w:r w:rsidR="00A8327D">
        <w:rPr>
          <w:snapToGrid w:val="0"/>
        </w:rPr>
        <w:t xml:space="preserve">some patients with late-onset Pompe disease </w:t>
      </w:r>
      <w:r w:rsidR="00F61E9C">
        <w:rPr>
          <w:snapToGrid w:val="0"/>
        </w:rPr>
        <w:t xml:space="preserve">may experience worsening of symptoms </w:t>
      </w:r>
      <w:r w:rsidR="009E3666">
        <w:rPr>
          <w:snapToGrid w:val="0"/>
        </w:rPr>
        <w:t>after being on ERT for s</w:t>
      </w:r>
      <w:r w:rsidR="00920CAB">
        <w:rPr>
          <w:snapToGrid w:val="0"/>
        </w:rPr>
        <w:t xml:space="preserve">everal years. </w:t>
      </w:r>
      <w:r w:rsidR="000F17CC">
        <w:rPr>
          <w:snapToGrid w:val="0"/>
        </w:rPr>
        <w:t>The clinician</w:t>
      </w:r>
      <w:r w:rsidR="00300F9D">
        <w:rPr>
          <w:snapToGrid w:val="0"/>
        </w:rPr>
        <w:t xml:space="preserve"> noted there are challenges with existing ERTs</w:t>
      </w:r>
      <w:r w:rsidR="00224BAC">
        <w:rPr>
          <w:snapToGrid w:val="0"/>
        </w:rPr>
        <w:t xml:space="preserve"> for Pompe disease</w:t>
      </w:r>
      <w:r w:rsidR="005717AD">
        <w:rPr>
          <w:snapToGrid w:val="0"/>
        </w:rPr>
        <w:t xml:space="preserve"> which may impact</w:t>
      </w:r>
      <w:r w:rsidR="00E1563C">
        <w:rPr>
          <w:snapToGrid w:val="0"/>
        </w:rPr>
        <w:t xml:space="preserve"> delivery of enzyme into tissues </w:t>
      </w:r>
      <w:r w:rsidR="00081236">
        <w:rPr>
          <w:snapToGrid w:val="0"/>
        </w:rPr>
        <w:t xml:space="preserve">and that </w:t>
      </w:r>
      <w:r w:rsidR="00716AE9">
        <w:rPr>
          <w:snapToGrid w:val="0"/>
        </w:rPr>
        <w:t xml:space="preserve">cipaglucosidase alfa has been engineered to </w:t>
      </w:r>
      <w:r w:rsidR="00EB619C">
        <w:rPr>
          <w:snapToGrid w:val="0"/>
        </w:rPr>
        <w:t>have</w:t>
      </w:r>
      <w:r w:rsidR="00387B41">
        <w:rPr>
          <w:snapToGrid w:val="0"/>
        </w:rPr>
        <w:t xml:space="preserve"> </w:t>
      </w:r>
      <w:r w:rsidR="00EB619C">
        <w:rPr>
          <w:snapToGrid w:val="0"/>
        </w:rPr>
        <w:t>high level</w:t>
      </w:r>
      <w:r w:rsidR="00387B41">
        <w:rPr>
          <w:snapToGrid w:val="0"/>
        </w:rPr>
        <w:t>s of</w:t>
      </w:r>
      <w:r w:rsidR="008F2ADC">
        <w:rPr>
          <w:snapToGrid w:val="0"/>
        </w:rPr>
        <w:t xml:space="preserve"> </w:t>
      </w:r>
      <w:r w:rsidR="00185142" w:rsidRPr="00185142">
        <w:rPr>
          <w:snapToGrid w:val="0"/>
        </w:rPr>
        <w:t>bis-M6P (Mannose 6-Phosphate)</w:t>
      </w:r>
      <w:r w:rsidR="00387B41">
        <w:rPr>
          <w:snapToGrid w:val="0"/>
        </w:rPr>
        <w:t xml:space="preserve"> </w:t>
      </w:r>
      <w:r w:rsidR="008F2ADC" w:rsidRPr="008F2ADC">
        <w:rPr>
          <w:snapToGrid w:val="0"/>
        </w:rPr>
        <w:t xml:space="preserve">to increase uptake into muscle cells. </w:t>
      </w:r>
      <w:r w:rsidR="00387B41">
        <w:rPr>
          <w:snapToGrid w:val="0"/>
        </w:rPr>
        <w:t xml:space="preserve">The clinician </w:t>
      </w:r>
      <w:r w:rsidR="000625E7">
        <w:rPr>
          <w:snapToGrid w:val="0"/>
        </w:rPr>
        <w:t xml:space="preserve">also presented an overview of </w:t>
      </w:r>
      <w:r w:rsidR="00526FAE">
        <w:rPr>
          <w:snapToGrid w:val="0"/>
        </w:rPr>
        <w:t xml:space="preserve">the pivotal trial </w:t>
      </w:r>
      <w:r w:rsidR="00526FAE" w:rsidRPr="00526FAE">
        <w:rPr>
          <w:snapToGrid w:val="0"/>
        </w:rPr>
        <w:t>comparing CIPAMIG to ALGLU</w:t>
      </w:r>
      <w:r w:rsidR="00526FAE">
        <w:rPr>
          <w:snapToGrid w:val="0"/>
        </w:rPr>
        <w:t>.</w:t>
      </w:r>
    </w:p>
    <w:bookmarkEnd w:id="19"/>
    <w:p w14:paraId="1296057F" w14:textId="77777777" w:rsidR="000020D6" w:rsidRPr="006E1229" w:rsidRDefault="000020D6" w:rsidP="00012826">
      <w:pPr>
        <w:pStyle w:val="4-SubsectionHeading"/>
      </w:pPr>
      <w:r w:rsidRPr="006E1229">
        <w:t>Consumer comments</w:t>
      </w:r>
    </w:p>
    <w:p w14:paraId="205D8473" w14:textId="68A5C0F4" w:rsidR="000020D6" w:rsidRDefault="000020D6" w:rsidP="000020D6">
      <w:pPr>
        <w:pStyle w:val="3-BodyText"/>
        <w:rPr>
          <w:snapToGrid w:val="0"/>
        </w:rPr>
      </w:pPr>
      <w:bookmarkStart w:id="20" w:name="_Hlk76382618"/>
      <w:r w:rsidRPr="00836F75">
        <w:rPr>
          <w:snapToGrid w:val="0"/>
        </w:rPr>
        <w:t>The PBAC noted and welcomed the input from individuals (</w:t>
      </w:r>
      <w:r w:rsidR="000309DE">
        <w:rPr>
          <w:snapToGrid w:val="0"/>
        </w:rPr>
        <w:t>1</w:t>
      </w:r>
      <w:r w:rsidR="009D186C">
        <w:rPr>
          <w:snapToGrid w:val="0"/>
        </w:rPr>
        <w:t>6</w:t>
      </w:r>
      <w:r w:rsidRPr="00836F75">
        <w:rPr>
          <w:snapToGrid w:val="0"/>
        </w:rPr>
        <w:t xml:space="preserve">), and organisations (1) via the Consumer Comments facility on the PBS website. The comments described a range of benefits of treatment with </w:t>
      </w:r>
      <w:r w:rsidR="00810007">
        <w:rPr>
          <w:snapToGrid w:val="0"/>
        </w:rPr>
        <w:t>CIPAMIG</w:t>
      </w:r>
      <w:r w:rsidRPr="00836F75">
        <w:rPr>
          <w:snapToGrid w:val="0"/>
        </w:rPr>
        <w:t xml:space="preserve"> including </w:t>
      </w:r>
      <w:r w:rsidR="00B937A4">
        <w:rPr>
          <w:snapToGrid w:val="0"/>
        </w:rPr>
        <w:t>increased quality of life</w:t>
      </w:r>
      <w:r w:rsidRPr="00836F75">
        <w:rPr>
          <w:snapToGrid w:val="0"/>
        </w:rPr>
        <w:t xml:space="preserve">, </w:t>
      </w:r>
      <w:r w:rsidR="00B41119">
        <w:rPr>
          <w:snapToGrid w:val="0"/>
        </w:rPr>
        <w:t>improvements</w:t>
      </w:r>
      <w:r w:rsidR="00732D30">
        <w:rPr>
          <w:snapToGrid w:val="0"/>
        </w:rPr>
        <w:t xml:space="preserve"> in </w:t>
      </w:r>
      <w:r w:rsidR="002F3610">
        <w:rPr>
          <w:snapToGrid w:val="0"/>
        </w:rPr>
        <w:t>respiratory</w:t>
      </w:r>
      <w:r w:rsidR="00FC16BA">
        <w:rPr>
          <w:snapToGrid w:val="0"/>
        </w:rPr>
        <w:t xml:space="preserve"> function</w:t>
      </w:r>
      <w:r w:rsidR="002F3610">
        <w:rPr>
          <w:snapToGrid w:val="0"/>
        </w:rPr>
        <w:t xml:space="preserve"> and </w:t>
      </w:r>
      <w:r w:rsidR="00B41119">
        <w:rPr>
          <w:snapToGrid w:val="0"/>
        </w:rPr>
        <w:t>muscle strength</w:t>
      </w:r>
      <w:bookmarkStart w:id="21" w:name="_Hlk97141379"/>
      <w:r w:rsidR="002F3610">
        <w:rPr>
          <w:snapToGrid w:val="0"/>
        </w:rPr>
        <w:t>.</w:t>
      </w:r>
      <w:r w:rsidRPr="00287959">
        <w:rPr>
          <w:snapToGrid w:val="0"/>
        </w:rPr>
        <w:t xml:space="preserve"> </w:t>
      </w:r>
      <w:r w:rsidR="006E0A53">
        <w:rPr>
          <w:snapToGrid w:val="0"/>
        </w:rPr>
        <w:t xml:space="preserve">Comments </w:t>
      </w:r>
      <w:r w:rsidR="00834D43">
        <w:rPr>
          <w:snapToGrid w:val="0"/>
        </w:rPr>
        <w:t>also</w:t>
      </w:r>
      <w:r w:rsidR="00020DE1">
        <w:rPr>
          <w:snapToGrid w:val="0"/>
        </w:rPr>
        <w:t xml:space="preserve"> </w:t>
      </w:r>
      <w:r w:rsidR="006E0A53">
        <w:rPr>
          <w:snapToGrid w:val="0"/>
        </w:rPr>
        <w:t>indicated that the ability to receive infusions at home was desirable</w:t>
      </w:r>
      <w:r w:rsidR="0083161C">
        <w:rPr>
          <w:snapToGrid w:val="0"/>
        </w:rPr>
        <w:t xml:space="preserve"> for patients</w:t>
      </w:r>
      <w:r w:rsidR="006E0A53">
        <w:rPr>
          <w:snapToGrid w:val="0"/>
        </w:rPr>
        <w:t xml:space="preserve"> </w:t>
      </w:r>
      <w:r w:rsidR="00BE7B42" w:rsidRPr="00BE7B42">
        <w:rPr>
          <w:snapToGrid w:val="0"/>
        </w:rPr>
        <w:t>not</w:t>
      </w:r>
      <w:r w:rsidR="00BE7B42">
        <w:rPr>
          <w:snapToGrid w:val="0"/>
        </w:rPr>
        <w:t>ing</w:t>
      </w:r>
      <w:r w:rsidR="00BE7B42" w:rsidRPr="00BE7B42">
        <w:rPr>
          <w:snapToGrid w:val="0"/>
        </w:rPr>
        <w:t xml:space="preserve"> the long travel times experienced to access treatment at health services</w:t>
      </w:r>
      <w:r w:rsidRPr="00287959">
        <w:rPr>
          <w:snapToGrid w:val="0"/>
        </w:rPr>
        <w:t>.</w:t>
      </w:r>
      <w:bookmarkEnd w:id="21"/>
      <w:r w:rsidR="00FB2354" w:rsidRPr="00FB2354">
        <w:t xml:space="preserve"> </w:t>
      </w:r>
      <w:r w:rsidR="00FB2354" w:rsidRPr="00FB2354">
        <w:rPr>
          <w:snapToGrid w:val="0"/>
        </w:rPr>
        <w:t>Some contributors note the long travel times experienced to access treatment at health services.</w:t>
      </w:r>
    </w:p>
    <w:p w14:paraId="0BBCBA26" w14:textId="0864D0E7" w:rsidR="007C4F15" w:rsidRPr="00836F75" w:rsidRDefault="791C1706" w:rsidP="000020D6">
      <w:pPr>
        <w:pStyle w:val="3-BodyText"/>
      </w:pPr>
      <w:r>
        <w:rPr>
          <w:snapToGrid w:val="0"/>
        </w:rPr>
        <w:t xml:space="preserve">The Australian Pompe Association (APA) expressed its support for making CIPAMIG available to patients with Pompe disease. The APA highlighted that CIPAMIG may provide an alternative treatment for patients who have or may experience sensitivity to existing treatments. </w:t>
      </w:r>
      <w:r w:rsidRPr="009451E9">
        <w:rPr>
          <w:snapToGrid w:val="0"/>
        </w:rPr>
        <w:t xml:space="preserve">The </w:t>
      </w:r>
      <w:r>
        <w:rPr>
          <w:snapToGrid w:val="0"/>
        </w:rPr>
        <w:t xml:space="preserve">APA noted that since the availability of the first subsidised treatment for Pompe disease in 2015, there has been an increase in patient numbers which is likely due to </w:t>
      </w:r>
      <w:r w:rsidRPr="00393572">
        <w:rPr>
          <w:snapToGrid w:val="0"/>
        </w:rPr>
        <w:t xml:space="preserve">increased awareness of the disease, improved diagnostic techniques and patients living longer </w:t>
      </w:r>
      <w:r>
        <w:rPr>
          <w:snapToGrid w:val="0"/>
        </w:rPr>
        <w:t>from receiving ERT</w:t>
      </w:r>
      <w:r w:rsidRPr="00393572">
        <w:rPr>
          <w:snapToGrid w:val="0"/>
        </w:rPr>
        <w:t>.</w:t>
      </w:r>
    </w:p>
    <w:p w14:paraId="3502DB1E" w14:textId="02863B85" w:rsidR="0066162A" w:rsidRPr="00804395" w:rsidRDefault="0066162A" w:rsidP="00804395">
      <w:pPr>
        <w:pStyle w:val="4-SubsectionHeading"/>
      </w:pPr>
      <w:r w:rsidRPr="00804395">
        <w:t>Clinical Trials</w:t>
      </w:r>
    </w:p>
    <w:bookmarkEnd w:id="18"/>
    <w:bookmarkEnd w:id="20"/>
    <w:p w14:paraId="1E8B5349" w14:textId="7A710F45" w:rsidR="007F0D52" w:rsidRPr="0098262F" w:rsidRDefault="007F0D52" w:rsidP="007F0D52">
      <w:pPr>
        <w:pStyle w:val="3-BodyText"/>
        <w:rPr>
          <w:color w:val="0066FF"/>
        </w:rPr>
      </w:pPr>
      <w:r w:rsidRPr="0098262F">
        <w:t xml:space="preserve">The submission was based on one head-to-head trial comparing </w:t>
      </w:r>
      <w:r>
        <w:t xml:space="preserve">CIPAMIG </w:t>
      </w:r>
      <w:r w:rsidRPr="0098262F">
        <w:t xml:space="preserve">to </w:t>
      </w:r>
      <w:r w:rsidR="00CE686C">
        <w:t>ALGLU</w:t>
      </w:r>
      <w:r w:rsidRPr="0098262F">
        <w:t xml:space="preserve"> </w:t>
      </w:r>
      <w:r>
        <w:t>in mostly treatment</w:t>
      </w:r>
      <w:r w:rsidR="00475716">
        <w:t>-</w:t>
      </w:r>
      <w:r>
        <w:t>experienced</w:t>
      </w:r>
      <w:r w:rsidR="00475716">
        <w:t xml:space="preserve"> (</w:t>
      </w:r>
      <w:r w:rsidR="0096110D">
        <w:t>i.e.</w:t>
      </w:r>
      <w:r w:rsidR="00475716">
        <w:t xml:space="preserve">, already receiving </w:t>
      </w:r>
      <w:r w:rsidR="00CE686C">
        <w:t>ALGLU</w:t>
      </w:r>
      <w:r w:rsidR="00475716">
        <w:t>)</w:t>
      </w:r>
      <w:r>
        <w:t xml:space="preserve"> patients (PROPEL, n=123)</w:t>
      </w:r>
      <w:r w:rsidRPr="0098262F">
        <w:t xml:space="preserve">. </w:t>
      </w:r>
      <w:r>
        <w:t xml:space="preserve">The submission presented a second </w:t>
      </w:r>
      <w:r w:rsidR="00FF6A41">
        <w:t>head-to-head</w:t>
      </w:r>
      <w:r>
        <w:t xml:space="preserve"> trial comparing </w:t>
      </w:r>
      <w:r w:rsidR="00CE686C">
        <w:t>ALGLU</w:t>
      </w:r>
      <w:r>
        <w:t xml:space="preserve"> to </w:t>
      </w:r>
      <w:r w:rsidR="00CE686C">
        <w:t>AVAL</w:t>
      </w:r>
      <w:r>
        <w:t xml:space="preserve"> in treatment</w:t>
      </w:r>
      <w:r w:rsidR="00475716">
        <w:t>-</w:t>
      </w:r>
      <w:r>
        <w:t>naïve patients (COMET, n=100)</w:t>
      </w:r>
      <w:r w:rsidR="00E64EBD">
        <w:t xml:space="preserve"> which </w:t>
      </w:r>
      <w:r>
        <w:t>was u</w:t>
      </w:r>
      <w:r w:rsidR="00E93180">
        <w:t>s</w:t>
      </w:r>
      <w:r>
        <w:t>ed in an indirect comparison. The submission also presented a network met</w:t>
      </w:r>
      <w:r w:rsidR="00475716">
        <w:t>a-</w:t>
      </w:r>
      <w:r>
        <w:t xml:space="preserve">analysis. </w:t>
      </w:r>
      <w:r w:rsidR="00315AC2">
        <w:t xml:space="preserve">The COMET trial was </w:t>
      </w:r>
      <w:r w:rsidR="00E06170">
        <w:t>previously</w:t>
      </w:r>
      <w:r w:rsidR="00315AC2">
        <w:t xml:space="preserve"> considered by the PBAC in its November 2021 consideration of A</w:t>
      </w:r>
      <w:r w:rsidR="00E06170">
        <w:t>VAL.</w:t>
      </w:r>
    </w:p>
    <w:p w14:paraId="28C32826" w14:textId="6C5D0093" w:rsidR="00E93180" w:rsidRDefault="007F0D52" w:rsidP="00E93180">
      <w:pPr>
        <w:pStyle w:val="3-BodyText"/>
      </w:pPr>
      <w:r w:rsidRPr="0098262F">
        <w:t xml:space="preserve">Details of the </w:t>
      </w:r>
      <w:r w:rsidR="00475716">
        <w:t xml:space="preserve">publications and reports for the </w:t>
      </w:r>
      <w:r w:rsidRPr="0098262F">
        <w:t xml:space="preserve">trials presented in the submission are provided in </w:t>
      </w:r>
      <w:r w:rsidR="00E93180">
        <w:fldChar w:fldCharType="begin"/>
      </w:r>
      <w:r w:rsidR="00E93180">
        <w:instrText xml:space="preserve"> REF _Ref184128639 \h </w:instrText>
      </w:r>
      <w:r w:rsidR="00E93180">
        <w:fldChar w:fldCharType="separate"/>
      </w:r>
      <w:r w:rsidR="007A62D0">
        <w:t xml:space="preserve">Table </w:t>
      </w:r>
      <w:r w:rsidR="007A62D0">
        <w:rPr>
          <w:noProof/>
        </w:rPr>
        <w:t>2</w:t>
      </w:r>
      <w:r w:rsidR="00E93180">
        <w:fldChar w:fldCharType="end"/>
      </w:r>
      <w:r w:rsidR="00E93180">
        <w:t>.</w:t>
      </w:r>
    </w:p>
    <w:p w14:paraId="1BDC039C" w14:textId="4A049BCE" w:rsidR="00A11F8C" w:rsidRPr="0055245C" w:rsidRDefault="0055245C" w:rsidP="0055245C">
      <w:pPr>
        <w:pStyle w:val="Caption"/>
      </w:pPr>
      <w:bookmarkStart w:id="22" w:name="_Ref184128639"/>
      <w:bookmarkStart w:id="23" w:name="_Toc181354569"/>
      <w:bookmarkEnd w:id="17"/>
      <w:r>
        <w:t xml:space="preserve">Table </w:t>
      </w:r>
      <w:r w:rsidR="005C2AA5">
        <w:fldChar w:fldCharType="begin"/>
      </w:r>
      <w:r w:rsidR="005C2AA5">
        <w:instrText xml:space="preserve"> SEQ Table \* ARABIC </w:instrText>
      </w:r>
      <w:r w:rsidR="005C2AA5">
        <w:fldChar w:fldCharType="separate"/>
      </w:r>
      <w:r w:rsidR="007A62D0">
        <w:rPr>
          <w:noProof/>
        </w:rPr>
        <w:t>2</w:t>
      </w:r>
      <w:r w:rsidR="005C2AA5">
        <w:rPr>
          <w:noProof/>
        </w:rPr>
        <w:fldChar w:fldCharType="end"/>
      </w:r>
      <w:bookmarkEnd w:id="22"/>
      <w:r w:rsidR="00A11F8C" w:rsidRPr="0055245C">
        <w:t>: Publications and reports for the submitted trials</w:t>
      </w:r>
      <w:bookmarkEnd w:id="23"/>
    </w:p>
    <w:tbl>
      <w:tblPr>
        <w:tblW w:w="9064" w:type="dxa"/>
        <w:tblBorders>
          <w:top w:val="outset" w:sz="6" w:space="0" w:color="auto"/>
          <w:left w:val="outset" w:sz="6" w:space="0" w:color="auto"/>
          <w:bottom w:val="outset" w:sz="6" w:space="0" w:color="auto"/>
          <w:right w:val="outset" w:sz="6" w:space="0" w:color="auto"/>
        </w:tblBorders>
        <w:tblLayout w:type="fixed"/>
        <w:tblCellMar>
          <w:left w:w="85" w:type="dxa"/>
          <w:right w:w="85" w:type="dxa"/>
        </w:tblCellMar>
        <w:tblLook w:val="04A0" w:firstRow="1" w:lastRow="0" w:firstColumn="1" w:lastColumn="0" w:noHBand="0" w:noVBand="1"/>
        <w:tblCaption w:val="Table 2: Publications and reports for the submitted trials"/>
      </w:tblPr>
      <w:tblGrid>
        <w:gridCol w:w="1283"/>
        <w:gridCol w:w="4096"/>
        <w:gridCol w:w="3685"/>
      </w:tblGrid>
      <w:tr w:rsidR="003C3774" w:rsidRPr="00257E36" w14:paraId="706EE4A6" w14:textId="77777777" w:rsidTr="26403EC0">
        <w:trPr>
          <w:trHeight w:val="300"/>
          <w:tblHeader/>
        </w:trPr>
        <w:tc>
          <w:tcPr>
            <w:tcW w:w="1283" w:type="dxa"/>
            <w:tcBorders>
              <w:top w:val="single" w:sz="6" w:space="0" w:color="auto"/>
              <w:left w:val="single" w:sz="6" w:space="0" w:color="auto"/>
              <w:bottom w:val="single" w:sz="6" w:space="0" w:color="auto"/>
              <w:right w:val="single" w:sz="6" w:space="0" w:color="auto"/>
            </w:tcBorders>
            <w:shd w:val="clear" w:color="auto" w:fill="auto"/>
            <w:hideMark/>
          </w:tcPr>
          <w:p w14:paraId="62834B37" w14:textId="77777777" w:rsidR="003C3774" w:rsidRPr="00257E36" w:rsidRDefault="003C3774">
            <w:pPr>
              <w:pStyle w:val="PBACTabletext"/>
              <w:rPr>
                <w:b/>
                <w:bCs/>
              </w:rPr>
            </w:pPr>
            <w:r w:rsidRPr="00257E36">
              <w:rPr>
                <w:b/>
                <w:bCs/>
              </w:rPr>
              <w:t>Trial ID </w:t>
            </w:r>
          </w:p>
        </w:tc>
        <w:tc>
          <w:tcPr>
            <w:tcW w:w="4096" w:type="dxa"/>
            <w:tcBorders>
              <w:top w:val="single" w:sz="6" w:space="0" w:color="auto"/>
              <w:left w:val="single" w:sz="6" w:space="0" w:color="auto"/>
              <w:bottom w:val="single" w:sz="6" w:space="0" w:color="auto"/>
              <w:right w:val="single" w:sz="6" w:space="0" w:color="auto"/>
            </w:tcBorders>
            <w:shd w:val="clear" w:color="auto" w:fill="auto"/>
            <w:hideMark/>
          </w:tcPr>
          <w:p w14:paraId="61E96B20" w14:textId="59F67144" w:rsidR="003C3774" w:rsidRPr="00257E36" w:rsidRDefault="007B2EAD">
            <w:pPr>
              <w:pStyle w:val="PBACTabletext"/>
              <w:rPr>
                <w:b/>
                <w:bCs/>
              </w:rPr>
            </w:pPr>
            <w:r>
              <w:rPr>
                <w:b/>
                <w:bCs/>
              </w:rPr>
              <w:t>Protocol title/ Publication title</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52BF84EA" w14:textId="2DD4BC80" w:rsidR="003C3774" w:rsidRPr="00257E36" w:rsidRDefault="007B2EAD">
            <w:pPr>
              <w:pStyle w:val="PBACTabletext"/>
              <w:rPr>
                <w:b/>
                <w:bCs/>
              </w:rPr>
            </w:pPr>
            <w:r>
              <w:rPr>
                <w:b/>
                <w:bCs/>
              </w:rPr>
              <w:t>Publication citation</w:t>
            </w:r>
            <w:r w:rsidR="003C3774" w:rsidRPr="00257E36">
              <w:rPr>
                <w:b/>
                <w:bCs/>
              </w:rPr>
              <w:t> </w:t>
            </w:r>
          </w:p>
        </w:tc>
      </w:tr>
      <w:tr w:rsidR="003C3774" w:rsidRPr="00257E36" w14:paraId="2CCC75A3" w14:textId="77777777" w:rsidTr="26403EC0">
        <w:trPr>
          <w:trHeight w:val="300"/>
        </w:trPr>
        <w:tc>
          <w:tcPr>
            <w:tcW w:w="1283" w:type="dxa"/>
            <w:tcBorders>
              <w:top w:val="single" w:sz="6" w:space="0" w:color="auto"/>
              <w:left w:val="single" w:sz="6" w:space="0" w:color="auto"/>
              <w:bottom w:val="nil"/>
              <w:right w:val="single" w:sz="6" w:space="0" w:color="auto"/>
            </w:tcBorders>
            <w:shd w:val="clear" w:color="auto" w:fill="auto"/>
          </w:tcPr>
          <w:p w14:paraId="10388C9D" w14:textId="59D2229D" w:rsidR="003C3774" w:rsidRPr="00257E36" w:rsidRDefault="003C3774">
            <w:pPr>
              <w:pStyle w:val="PBACTabletext"/>
            </w:pPr>
          </w:p>
        </w:tc>
        <w:tc>
          <w:tcPr>
            <w:tcW w:w="4096" w:type="dxa"/>
            <w:tcBorders>
              <w:top w:val="single" w:sz="6" w:space="0" w:color="auto"/>
              <w:left w:val="single" w:sz="6" w:space="0" w:color="auto"/>
              <w:bottom w:val="dotted" w:sz="4" w:space="0" w:color="auto"/>
              <w:right w:val="single" w:sz="6" w:space="0" w:color="auto"/>
            </w:tcBorders>
            <w:shd w:val="clear" w:color="auto" w:fill="auto"/>
          </w:tcPr>
          <w:p w14:paraId="647728CB" w14:textId="46822ADC" w:rsidR="003C3774" w:rsidRPr="00257E36" w:rsidRDefault="003C3774">
            <w:pPr>
              <w:pStyle w:val="PBACTabletext"/>
            </w:pPr>
            <w:r>
              <w:t xml:space="preserve">A phase 3 double-blind randomized study to assess the efficacy and safety of intravenous atb200 co-administered with oral at2221 in adult subjects with late-onset </w:t>
            </w:r>
            <w:r w:rsidR="000E7313">
              <w:t>Pompe</w:t>
            </w:r>
            <w:r>
              <w:t xml:space="preserve"> disease compared with alglucosidase alfa/placebo.</w:t>
            </w:r>
          </w:p>
        </w:tc>
        <w:tc>
          <w:tcPr>
            <w:tcW w:w="3685" w:type="dxa"/>
            <w:tcBorders>
              <w:top w:val="single" w:sz="6" w:space="0" w:color="auto"/>
              <w:left w:val="single" w:sz="6" w:space="0" w:color="auto"/>
              <w:bottom w:val="dotted" w:sz="4" w:space="0" w:color="auto"/>
              <w:right w:val="single" w:sz="6" w:space="0" w:color="auto"/>
            </w:tcBorders>
            <w:shd w:val="clear" w:color="auto" w:fill="auto"/>
          </w:tcPr>
          <w:p w14:paraId="4A64D1B5" w14:textId="6FC46A84" w:rsidR="003C3774" w:rsidRPr="00257E36" w:rsidRDefault="003C3774">
            <w:pPr>
              <w:pStyle w:val="PBACTabletext"/>
            </w:pPr>
            <w:r>
              <w:t>CSR Amicus Therapeutics 2021.</w:t>
            </w:r>
          </w:p>
        </w:tc>
      </w:tr>
      <w:tr w:rsidR="003C3774" w:rsidRPr="00257E36" w14:paraId="01047B7C" w14:textId="77777777" w:rsidTr="26403EC0">
        <w:trPr>
          <w:trHeight w:val="300"/>
        </w:trPr>
        <w:tc>
          <w:tcPr>
            <w:tcW w:w="1283" w:type="dxa"/>
            <w:tcBorders>
              <w:top w:val="nil"/>
            </w:tcBorders>
            <w:shd w:val="clear" w:color="auto" w:fill="auto"/>
            <w:vAlign w:val="center"/>
          </w:tcPr>
          <w:p w14:paraId="3AC9AAAF" w14:textId="77777777" w:rsidR="003C3774" w:rsidRPr="00257E36" w:rsidRDefault="003C3774">
            <w:pPr>
              <w:pStyle w:val="PBACTabletext"/>
            </w:pPr>
          </w:p>
        </w:tc>
        <w:tc>
          <w:tcPr>
            <w:tcW w:w="4096" w:type="dxa"/>
            <w:tcBorders>
              <w:top w:val="dotted" w:sz="6" w:space="0" w:color="auto"/>
              <w:left w:val="single" w:sz="6" w:space="0" w:color="auto"/>
              <w:bottom w:val="dotted" w:sz="6" w:space="0" w:color="auto"/>
              <w:right w:val="single" w:sz="6" w:space="0" w:color="auto"/>
            </w:tcBorders>
            <w:shd w:val="clear" w:color="auto" w:fill="auto"/>
          </w:tcPr>
          <w:p w14:paraId="65A5C574" w14:textId="697341E2" w:rsidR="003C3774" w:rsidRPr="00257E36" w:rsidRDefault="53C848D7">
            <w:pPr>
              <w:pStyle w:val="PBACTabletext"/>
            </w:pPr>
            <w:r w:rsidRPr="26403EC0">
              <w:t xml:space="preserve">Byrne BJ, </w:t>
            </w:r>
            <w:proofErr w:type="spellStart"/>
            <w:r w:rsidRPr="26403EC0">
              <w:t>Schoser</w:t>
            </w:r>
            <w:proofErr w:type="spellEnd"/>
            <w:r w:rsidRPr="26403EC0">
              <w:t xml:space="preserve"> B, </w:t>
            </w:r>
            <w:proofErr w:type="spellStart"/>
            <w:r w:rsidRPr="26403EC0">
              <w:t>Kishnani</w:t>
            </w:r>
            <w:proofErr w:type="spellEnd"/>
            <w:r w:rsidRPr="26403EC0">
              <w:t xml:space="preserve"> PS, </w:t>
            </w:r>
            <w:proofErr w:type="spellStart"/>
            <w:r w:rsidRPr="26403EC0">
              <w:t>Bratkovic</w:t>
            </w:r>
            <w:proofErr w:type="spellEnd"/>
            <w:r w:rsidRPr="26403EC0">
              <w:t xml:space="preserve"> D, Clemens PR, </w:t>
            </w:r>
            <w:proofErr w:type="spellStart"/>
            <w:r w:rsidRPr="26403EC0">
              <w:t>Goker</w:t>
            </w:r>
            <w:proofErr w:type="spellEnd"/>
            <w:r w:rsidRPr="26403EC0">
              <w:t xml:space="preserve">-Alpan O, et al. Long-term safety and efficacy of cipaglucosidase alfa plus </w:t>
            </w:r>
            <w:proofErr w:type="spellStart"/>
            <w:r w:rsidRPr="26403EC0">
              <w:t>miglustat</w:t>
            </w:r>
            <w:proofErr w:type="spellEnd"/>
            <w:r w:rsidRPr="26403EC0">
              <w:t xml:space="preserve"> in individuals living with Pompe disease: an open-label phase I/II study (ATB200-02). </w:t>
            </w:r>
          </w:p>
        </w:tc>
        <w:tc>
          <w:tcPr>
            <w:tcW w:w="3685" w:type="dxa"/>
            <w:tcBorders>
              <w:top w:val="dotted" w:sz="6" w:space="0" w:color="auto"/>
              <w:left w:val="single" w:sz="6" w:space="0" w:color="auto"/>
              <w:bottom w:val="dotted" w:sz="6" w:space="0" w:color="auto"/>
              <w:right w:val="single" w:sz="6" w:space="0" w:color="auto"/>
            </w:tcBorders>
            <w:shd w:val="clear" w:color="auto" w:fill="auto"/>
          </w:tcPr>
          <w:p w14:paraId="2394D0BA" w14:textId="78956888" w:rsidR="003C3774" w:rsidRPr="00257E36" w:rsidRDefault="003C3774">
            <w:pPr>
              <w:pStyle w:val="PBACTabletext"/>
            </w:pPr>
            <w:r w:rsidRPr="003C3774">
              <w:rPr>
                <w:i/>
                <w:iCs/>
              </w:rPr>
              <w:t>Journal of Neurology.</w:t>
            </w:r>
            <w:r w:rsidRPr="00061974">
              <w:t xml:space="preserve"> 2024;271(4):1787-801.</w:t>
            </w:r>
            <w:r>
              <w:t xml:space="preserve"> </w:t>
            </w:r>
            <w:r w:rsidRPr="00A654DB">
              <w:t>http://dx.doi.org/10.1007/s00415-023-12096-0</w:t>
            </w:r>
          </w:p>
        </w:tc>
      </w:tr>
      <w:tr w:rsidR="003C3774" w:rsidRPr="00257E36" w14:paraId="2930274E" w14:textId="77777777" w:rsidTr="26403EC0">
        <w:trPr>
          <w:trHeight w:val="1090"/>
        </w:trPr>
        <w:tc>
          <w:tcPr>
            <w:tcW w:w="1283" w:type="dxa"/>
            <w:shd w:val="clear" w:color="auto" w:fill="auto"/>
            <w:vAlign w:val="center"/>
          </w:tcPr>
          <w:p w14:paraId="2401FEA5" w14:textId="6D86B7E0" w:rsidR="003C3774" w:rsidRPr="00257E36" w:rsidRDefault="003C3774">
            <w:pPr>
              <w:pStyle w:val="PBACTabletext"/>
            </w:pPr>
            <w:r>
              <w:t>PROPEL</w:t>
            </w:r>
            <w:r w:rsidRPr="00D56ED3">
              <w:t xml:space="preserve"> NCT03729362.</w:t>
            </w:r>
          </w:p>
        </w:tc>
        <w:tc>
          <w:tcPr>
            <w:tcW w:w="4096" w:type="dxa"/>
            <w:tcBorders>
              <w:top w:val="dotted" w:sz="6" w:space="0" w:color="auto"/>
              <w:left w:val="single" w:sz="6" w:space="0" w:color="auto"/>
              <w:bottom w:val="dotted" w:sz="6" w:space="0" w:color="auto"/>
              <w:right w:val="single" w:sz="6" w:space="0" w:color="auto"/>
            </w:tcBorders>
            <w:shd w:val="clear" w:color="auto" w:fill="auto"/>
          </w:tcPr>
          <w:p w14:paraId="7B92B510" w14:textId="268D11FB" w:rsidR="003C3774" w:rsidRPr="00257E36" w:rsidRDefault="53C848D7">
            <w:pPr>
              <w:pStyle w:val="PBACTabletext"/>
            </w:pPr>
            <w:r w:rsidRPr="26403EC0">
              <w:t xml:space="preserve">Claeys KG, </w:t>
            </w:r>
            <w:proofErr w:type="spellStart"/>
            <w:r w:rsidRPr="26403EC0">
              <w:t>Kushlaf</w:t>
            </w:r>
            <w:proofErr w:type="spellEnd"/>
            <w:r w:rsidRPr="26403EC0">
              <w:t xml:space="preserve"> H, Raza S, Hummel N, Shohet S, </w:t>
            </w:r>
            <w:proofErr w:type="spellStart"/>
            <w:r w:rsidRPr="26403EC0">
              <w:t>Keyzor</w:t>
            </w:r>
            <w:proofErr w:type="spellEnd"/>
            <w:r w:rsidRPr="26403EC0">
              <w:t xml:space="preserve"> I, et al. Minimal clinically important differences in six-minute walking distance in late-onset Pompe disease. </w:t>
            </w:r>
          </w:p>
        </w:tc>
        <w:tc>
          <w:tcPr>
            <w:tcW w:w="3685" w:type="dxa"/>
            <w:tcBorders>
              <w:top w:val="dotted" w:sz="6" w:space="0" w:color="auto"/>
              <w:left w:val="single" w:sz="6" w:space="0" w:color="auto"/>
              <w:bottom w:val="dotted" w:sz="6" w:space="0" w:color="auto"/>
              <w:right w:val="single" w:sz="6" w:space="0" w:color="auto"/>
            </w:tcBorders>
            <w:shd w:val="clear" w:color="auto" w:fill="auto"/>
          </w:tcPr>
          <w:p w14:paraId="46392A33" w14:textId="41EAF6E2" w:rsidR="003C3774" w:rsidRPr="00257E36" w:rsidRDefault="53C848D7">
            <w:pPr>
              <w:pStyle w:val="PBACTabletext"/>
            </w:pPr>
            <w:r w:rsidRPr="26403EC0">
              <w:rPr>
                <w:i/>
                <w:iCs/>
              </w:rPr>
              <w:t>Orphanet Journal of Rare Diseases.</w:t>
            </w:r>
            <w:r w:rsidRPr="26403EC0">
              <w:t xml:space="preserve"> 2024;19(1). http://dx.doi.org/10.1186/s13023-024-03156-3</w:t>
            </w:r>
          </w:p>
        </w:tc>
      </w:tr>
      <w:tr w:rsidR="003C3774" w:rsidRPr="00257E36" w14:paraId="594F320B" w14:textId="77777777" w:rsidTr="26403EC0">
        <w:trPr>
          <w:trHeight w:val="300"/>
        </w:trPr>
        <w:tc>
          <w:tcPr>
            <w:tcW w:w="1283" w:type="dxa"/>
            <w:shd w:val="clear" w:color="auto" w:fill="auto"/>
            <w:vAlign w:val="center"/>
          </w:tcPr>
          <w:p w14:paraId="3760A43E" w14:textId="77777777" w:rsidR="003C3774" w:rsidRPr="00257E36" w:rsidRDefault="003C3774">
            <w:pPr>
              <w:pStyle w:val="PBACTabletext"/>
            </w:pPr>
          </w:p>
        </w:tc>
        <w:tc>
          <w:tcPr>
            <w:tcW w:w="4096" w:type="dxa"/>
            <w:tcBorders>
              <w:top w:val="dotted" w:sz="6" w:space="0" w:color="auto"/>
              <w:left w:val="single" w:sz="6" w:space="0" w:color="auto"/>
              <w:bottom w:val="dotted" w:sz="6" w:space="0" w:color="auto"/>
              <w:right w:val="single" w:sz="6" w:space="0" w:color="auto"/>
            </w:tcBorders>
            <w:shd w:val="clear" w:color="auto" w:fill="auto"/>
          </w:tcPr>
          <w:p w14:paraId="1189AE40" w14:textId="2773C96E" w:rsidR="003C3774" w:rsidRPr="00257E36" w:rsidRDefault="53C848D7">
            <w:pPr>
              <w:pStyle w:val="PBACTabletext"/>
            </w:pPr>
            <w:r w:rsidRPr="26403EC0">
              <w:t xml:space="preserve">MacCulloch A, Griffiths A, Johnson N, Shohet S. Health-Related Quality-of-Life Utility Values in Adults Living With Late-Onset Pompe Disease: Analyses of EQ-5D Data from the PROPEL Clinical Trial. </w:t>
            </w:r>
          </w:p>
        </w:tc>
        <w:tc>
          <w:tcPr>
            <w:tcW w:w="3685" w:type="dxa"/>
            <w:tcBorders>
              <w:top w:val="dotted" w:sz="6" w:space="0" w:color="auto"/>
              <w:left w:val="single" w:sz="6" w:space="0" w:color="auto"/>
              <w:bottom w:val="dotted" w:sz="6" w:space="0" w:color="auto"/>
              <w:right w:val="single" w:sz="6" w:space="0" w:color="auto"/>
            </w:tcBorders>
            <w:shd w:val="clear" w:color="auto" w:fill="auto"/>
          </w:tcPr>
          <w:p w14:paraId="69EE8AEA" w14:textId="20034EBD" w:rsidR="003C3774" w:rsidRPr="00257E36" w:rsidRDefault="003C3774">
            <w:pPr>
              <w:pStyle w:val="PBACTabletext"/>
            </w:pPr>
            <w:r w:rsidRPr="003C3774">
              <w:rPr>
                <w:i/>
                <w:iCs/>
              </w:rPr>
              <w:t>Journal of Health Economics and Outcomes Research</w:t>
            </w:r>
            <w:r w:rsidRPr="00F5001A">
              <w:t>. 2024;11(2):80-5.</w:t>
            </w:r>
            <w:r>
              <w:t xml:space="preserve"> </w:t>
            </w:r>
            <w:r w:rsidRPr="00701F73">
              <w:t>http://dx.doi.org/10.36469/001c.121928</w:t>
            </w:r>
          </w:p>
        </w:tc>
      </w:tr>
      <w:tr w:rsidR="003C3774" w:rsidRPr="00257E36" w14:paraId="3231B772" w14:textId="77777777" w:rsidTr="26403EC0">
        <w:trPr>
          <w:trHeight w:val="1588"/>
        </w:trPr>
        <w:tc>
          <w:tcPr>
            <w:tcW w:w="1283" w:type="dxa"/>
            <w:shd w:val="clear" w:color="auto" w:fill="auto"/>
            <w:vAlign w:val="center"/>
          </w:tcPr>
          <w:p w14:paraId="4E3FAAE2" w14:textId="77777777" w:rsidR="003C3774" w:rsidRPr="00257E36" w:rsidRDefault="003C3774">
            <w:pPr>
              <w:pStyle w:val="PBACTabletext"/>
            </w:pPr>
          </w:p>
        </w:tc>
        <w:tc>
          <w:tcPr>
            <w:tcW w:w="4096" w:type="dxa"/>
            <w:tcBorders>
              <w:top w:val="dotted" w:sz="6" w:space="0" w:color="auto"/>
              <w:left w:val="single" w:sz="6" w:space="0" w:color="auto"/>
              <w:bottom w:val="single" w:sz="4" w:space="0" w:color="auto"/>
              <w:right w:val="single" w:sz="6" w:space="0" w:color="auto"/>
            </w:tcBorders>
            <w:shd w:val="clear" w:color="auto" w:fill="auto"/>
          </w:tcPr>
          <w:p w14:paraId="7B8B869A" w14:textId="1BFEEB15" w:rsidR="003C3774" w:rsidRPr="00257E36" w:rsidRDefault="53C848D7">
            <w:pPr>
              <w:pStyle w:val="PBACTabletext"/>
            </w:pPr>
            <w:proofErr w:type="spellStart"/>
            <w:r w:rsidRPr="26403EC0">
              <w:t>Schoser</w:t>
            </w:r>
            <w:proofErr w:type="spellEnd"/>
            <w:r w:rsidRPr="26403EC0">
              <w:t xml:space="preserve">, B., Roberts, M., Byrne, B. J., Sitaraman, S., Jiang, H., Laforêt, P., Toscano, A., Castelli, J., Diaz-Manera, J., Goldman, M., van der Ploeg, A. T., </w:t>
            </w:r>
            <w:proofErr w:type="spellStart"/>
            <w:r w:rsidRPr="26403EC0">
              <w:t>Bratkovic</w:t>
            </w:r>
            <w:proofErr w:type="spellEnd"/>
            <w:r w:rsidRPr="26403EC0">
              <w:t xml:space="preserve">, D., Kuchipudi, S., Mozaffar, T., </w:t>
            </w:r>
            <w:proofErr w:type="spellStart"/>
            <w:r w:rsidRPr="26403EC0">
              <w:t>Kishnani</w:t>
            </w:r>
            <w:proofErr w:type="spellEnd"/>
            <w:r w:rsidRPr="26403EC0">
              <w:t xml:space="preserve">, P. S., &amp; PROPEL Study Group (2021). Safety and efficacy of cipaglucosidase alfa plus </w:t>
            </w:r>
            <w:proofErr w:type="spellStart"/>
            <w:r w:rsidRPr="26403EC0">
              <w:t>miglustat</w:t>
            </w:r>
            <w:proofErr w:type="spellEnd"/>
            <w:r w:rsidRPr="26403EC0">
              <w:t xml:space="preserve"> versus alglucosidase alfa plus placebo in late-onset Pompe disease (PROPEL): an international, randomised, double-blind, parallel-group, phase 3 trial. </w:t>
            </w:r>
          </w:p>
        </w:tc>
        <w:tc>
          <w:tcPr>
            <w:tcW w:w="3685" w:type="dxa"/>
            <w:tcBorders>
              <w:top w:val="dotted" w:sz="6" w:space="0" w:color="auto"/>
              <w:left w:val="single" w:sz="6" w:space="0" w:color="auto"/>
              <w:bottom w:val="single" w:sz="4" w:space="0" w:color="auto"/>
              <w:right w:val="single" w:sz="6" w:space="0" w:color="auto"/>
            </w:tcBorders>
            <w:shd w:val="clear" w:color="auto" w:fill="auto"/>
          </w:tcPr>
          <w:p w14:paraId="32B7AE5E" w14:textId="1D8D4B4A" w:rsidR="003C3774" w:rsidRPr="00257E36" w:rsidRDefault="003C3774">
            <w:pPr>
              <w:pStyle w:val="PBACTabletext"/>
            </w:pPr>
            <w:r w:rsidRPr="003C3774">
              <w:rPr>
                <w:i/>
                <w:iCs/>
              </w:rPr>
              <w:t>The Lancet. Neurology,</w:t>
            </w:r>
            <w:r w:rsidRPr="002A1A48">
              <w:t xml:space="preserve"> 20(12), 1027–1037. https://doi.org/10.1016/S1474-4422(21)00331-8</w:t>
            </w:r>
          </w:p>
        </w:tc>
      </w:tr>
      <w:tr w:rsidR="003C3774" w:rsidRPr="00257E36" w14:paraId="26D33EF2" w14:textId="77777777" w:rsidTr="26403EC0">
        <w:trPr>
          <w:trHeight w:val="1207"/>
        </w:trPr>
        <w:tc>
          <w:tcPr>
            <w:tcW w:w="1283" w:type="dxa"/>
            <w:tcBorders>
              <w:top w:val="single" w:sz="6" w:space="0" w:color="auto"/>
              <w:left w:val="single" w:sz="6" w:space="0" w:color="auto"/>
              <w:right w:val="single" w:sz="6" w:space="0" w:color="auto"/>
            </w:tcBorders>
            <w:shd w:val="clear" w:color="auto" w:fill="auto"/>
          </w:tcPr>
          <w:p w14:paraId="0E0F4FA5" w14:textId="77777777" w:rsidR="003C3774" w:rsidRDefault="003C3774">
            <w:pPr>
              <w:pStyle w:val="PBACTabletext"/>
            </w:pPr>
            <w:r>
              <w:t>COMET</w:t>
            </w:r>
          </w:p>
          <w:p w14:paraId="3A2CC2CF" w14:textId="7C6F3671" w:rsidR="0055245C" w:rsidRDefault="0055245C">
            <w:pPr>
              <w:pStyle w:val="PBACTabletext"/>
            </w:pPr>
            <w:r w:rsidRPr="00923C36">
              <w:t>NCT02782741.</w:t>
            </w:r>
          </w:p>
        </w:tc>
        <w:tc>
          <w:tcPr>
            <w:tcW w:w="4096" w:type="dxa"/>
            <w:tcBorders>
              <w:top w:val="single" w:sz="4" w:space="0" w:color="auto"/>
              <w:left w:val="single" w:sz="6" w:space="0" w:color="auto"/>
              <w:bottom w:val="single" w:sz="4" w:space="0" w:color="auto"/>
              <w:right w:val="single" w:sz="6" w:space="0" w:color="auto"/>
            </w:tcBorders>
            <w:shd w:val="clear" w:color="auto" w:fill="auto"/>
          </w:tcPr>
          <w:p w14:paraId="623A5CB5" w14:textId="537ABB3C" w:rsidR="003C3774" w:rsidRPr="0087338A" w:rsidRDefault="53C848D7">
            <w:pPr>
              <w:pStyle w:val="PBACTabletext"/>
            </w:pPr>
            <w:proofErr w:type="spellStart"/>
            <w:r w:rsidRPr="26403EC0">
              <w:t>Boentert</w:t>
            </w:r>
            <w:proofErr w:type="spellEnd"/>
            <w:r w:rsidRPr="26403EC0">
              <w:t xml:space="preserve"> M, Campana ES, Attarian S, Diaz-Manera J, </w:t>
            </w:r>
            <w:proofErr w:type="spellStart"/>
            <w:r w:rsidRPr="26403EC0">
              <w:t>Dimachkie</w:t>
            </w:r>
            <w:proofErr w:type="spellEnd"/>
            <w:r w:rsidRPr="26403EC0">
              <w:t xml:space="preserve"> MM, Periquet M, et al. Post-hoc Nonparametric Analysis of Forced Vital Capacity in the COMET Trial Demonstrates Superiority of </w:t>
            </w:r>
            <w:proofErr w:type="spellStart"/>
            <w:r w:rsidRPr="26403EC0">
              <w:t>Avalglucosidase</w:t>
            </w:r>
            <w:proofErr w:type="spellEnd"/>
            <w:r w:rsidRPr="26403EC0">
              <w:t xml:space="preserve"> Alfa vs Alglucosidase Alfa. </w:t>
            </w:r>
          </w:p>
        </w:tc>
        <w:tc>
          <w:tcPr>
            <w:tcW w:w="3685" w:type="dxa"/>
            <w:tcBorders>
              <w:top w:val="single" w:sz="4" w:space="0" w:color="auto"/>
              <w:left w:val="single" w:sz="6" w:space="0" w:color="auto"/>
              <w:bottom w:val="single" w:sz="4" w:space="0" w:color="auto"/>
              <w:right w:val="single" w:sz="6" w:space="0" w:color="auto"/>
            </w:tcBorders>
            <w:shd w:val="clear" w:color="auto" w:fill="auto"/>
          </w:tcPr>
          <w:p w14:paraId="78F2A6AA" w14:textId="19D7CC24" w:rsidR="003C3774" w:rsidRDefault="003C3774">
            <w:pPr>
              <w:pStyle w:val="PBACTabletext"/>
            </w:pPr>
            <w:r w:rsidRPr="003C3774">
              <w:rPr>
                <w:i/>
                <w:iCs/>
              </w:rPr>
              <w:t>Journal of neuromuscular diseases.</w:t>
            </w:r>
            <w:r w:rsidRPr="003C3774">
              <w:t xml:space="preserve"> 2023. </w:t>
            </w:r>
            <w:r w:rsidR="00ED4222" w:rsidRPr="00ED4222">
              <w:t>https://www.cochranelibrary.com/central/</w:t>
            </w:r>
          </w:p>
          <w:p w14:paraId="45511C5E" w14:textId="639C298B" w:rsidR="003C3774" w:rsidRDefault="53C848D7">
            <w:pPr>
              <w:pStyle w:val="PBACTabletext"/>
            </w:pPr>
            <w:r w:rsidRPr="26403EC0">
              <w:t>doi/10.1002/central/CN-02650692/full</w:t>
            </w:r>
          </w:p>
        </w:tc>
      </w:tr>
      <w:tr w:rsidR="003C3774" w:rsidRPr="00257E36" w14:paraId="7B7CC1B9" w14:textId="77777777" w:rsidTr="26403EC0">
        <w:trPr>
          <w:trHeight w:val="300"/>
        </w:trPr>
        <w:tc>
          <w:tcPr>
            <w:tcW w:w="1283" w:type="dxa"/>
            <w:tcBorders>
              <w:left w:val="single" w:sz="6" w:space="0" w:color="auto"/>
              <w:right w:val="single" w:sz="6" w:space="0" w:color="auto"/>
            </w:tcBorders>
            <w:shd w:val="clear" w:color="auto" w:fill="auto"/>
            <w:vAlign w:val="center"/>
          </w:tcPr>
          <w:p w14:paraId="112289AE" w14:textId="77777777" w:rsidR="003C3774" w:rsidRPr="00257E36" w:rsidRDefault="003C3774">
            <w:pPr>
              <w:pStyle w:val="PBACTabletext"/>
            </w:pPr>
          </w:p>
        </w:tc>
        <w:tc>
          <w:tcPr>
            <w:tcW w:w="4096" w:type="dxa"/>
            <w:tcBorders>
              <w:top w:val="single" w:sz="4" w:space="0" w:color="auto"/>
              <w:left w:val="single" w:sz="6" w:space="0" w:color="auto"/>
              <w:bottom w:val="nil"/>
              <w:right w:val="single" w:sz="6" w:space="0" w:color="auto"/>
            </w:tcBorders>
            <w:shd w:val="clear" w:color="auto" w:fill="auto"/>
          </w:tcPr>
          <w:p w14:paraId="7508A1CA" w14:textId="18CCE027" w:rsidR="00E93180" w:rsidRPr="00257E36" w:rsidRDefault="53C848D7">
            <w:pPr>
              <w:pStyle w:val="PBACTabletext"/>
            </w:pPr>
            <w:r w:rsidRPr="26403EC0">
              <w:t xml:space="preserve">Diaz-Manera J, </w:t>
            </w:r>
            <w:proofErr w:type="spellStart"/>
            <w:r w:rsidRPr="26403EC0">
              <w:t>Dimachkie</w:t>
            </w:r>
            <w:proofErr w:type="spellEnd"/>
            <w:r w:rsidRPr="26403EC0">
              <w:t xml:space="preserve"> MM, </w:t>
            </w:r>
            <w:proofErr w:type="spellStart"/>
            <w:r w:rsidRPr="26403EC0">
              <w:t>Salort</w:t>
            </w:r>
            <w:proofErr w:type="spellEnd"/>
            <w:r w:rsidRPr="26403EC0">
              <w:t xml:space="preserve">-Campana E, Attarian S, Berger KI, Periquet M, et al. Nonparametric analysis of forced vital capacity in the COMET trial demonstrates superiority of </w:t>
            </w:r>
            <w:proofErr w:type="spellStart"/>
            <w:r w:rsidRPr="26403EC0">
              <w:t>avalglucosidase</w:t>
            </w:r>
            <w:proofErr w:type="spellEnd"/>
            <w:r w:rsidRPr="26403EC0">
              <w:t xml:space="preserve"> alfa vs alglucosidase alfa. </w:t>
            </w:r>
          </w:p>
        </w:tc>
        <w:tc>
          <w:tcPr>
            <w:tcW w:w="3685" w:type="dxa"/>
            <w:tcBorders>
              <w:top w:val="single" w:sz="4" w:space="0" w:color="auto"/>
              <w:left w:val="single" w:sz="6" w:space="0" w:color="auto"/>
              <w:bottom w:val="nil"/>
              <w:right w:val="single" w:sz="6" w:space="0" w:color="auto"/>
            </w:tcBorders>
            <w:shd w:val="clear" w:color="auto" w:fill="auto"/>
          </w:tcPr>
          <w:p w14:paraId="49F2A237" w14:textId="780C0000" w:rsidR="003C3774" w:rsidRDefault="003C3774">
            <w:pPr>
              <w:pStyle w:val="PBACTabletext"/>
            </w:pPr>
            <w:r w:rsidRPr="009C0C7E">
              <w:rPr>
                <w:i/>
                <w:iCs/>
              </w:rPr>
              <w:t>Molecular genetics and metabolism.</w:t>
            </w:r>
            <w:r w:rsidRPr="003C3774">
              <w:t xml:space="preserve"> 2023a;138(2). </w:t>
            </w:r>
            <w:r w:rsidR="00ED4222" w:rsidRPr="00ED4222">
              <w:t>https://www.cochranelibrary.com/central/</w:t>
            </w:r>
          </w:p>
          <w:p w14:paraId="6733AA75" w14:textId="08BCB183" w:rsidR="003C3774" w:rsidRPr="00257E36" w:rsidRDefault="53C848D7">
            <w:pPr>
              <w:pStyle w:val="PBACTabletext"/>
            </w:pPr>
            <w:r w:rsidRPr="26403EC0">
              <w:t>doi/10.1002/central/CN-02545275/full</w:t>
            </w:r>
          </w:p>
        </w:tc>
      </w:tr>
    </w:tbl>
    <w:p w14:paraId="6A280B6A" w14:textId="77777777" w:rsidR="001F7724" w:rsidRDefault="001F7724"/>
    <w:tbl>
      <w:tblPr>
        <w:tblW w:w="9064" w:type="dxa"/>
        <w:tblBorders>
          <w:top w:val="outset" w:sz="6" w:space="0" w:color="auto"/>
          <w:left w:val="outset" w:sz="6" w:space="0" w:color="auto"/>
          <w:bottom w:val="outset" w:sz="6" w:space="0" w:color="auto"/>
          <w:right w:val="outset" w:sz="6" w:space="0" w:color="auto"/>
        </w:tblBorders>
        <w:tblLayout w:type="fixed"/>
        <w:tblCellMar>
          <w:left w:w="85" w:type="dxa"/>
          <w:right w:w="85" w:type="dxa"/>
        </w:tblCellMar>
        <w:tblLook w:val="04A0" w:firstRow="1" w:lastRow="0" w:firstColumn="1" w:lastColumn="0" w:noHBand="0" w:noVBand="1"/>
      </w:tblPr>
      <w:tblGrid>
        <w:gridCol w:w="1283"/>
        <w:gridCol w:w="4096"/>
        <w:gridCol w:w="3685"/>
      </w:tblGrid>
      <w:tr w:rsidR="003C3774" w:rsidRPr="00257E36" w14:paraId="786B8783" w14:textId="77777777" w:rsidTr="26403EC0">
        <w:trPr>
          <w:trHeight w:val="300"/>
        </w:trPr>
        <w:tc>
          <w:tcPr>
            <w:tcW w:w="1283" w:type="dxa"/>
            <w:tcBorders>
              <w:left w:val="single" w:sz="6" w:space="0" w:color="auto"/>
              <w:right w:val="single" w:sz="6" w:space="0" w:color="auto"/>
            </w:tcBorders>
            <w:vAlign w:val="center"/>
          </w:tcPr>
          <w:p w14:paraId="3D3E094E" w14:textId="77777777" w:rsidR="003C3774" w:rsidRPr="00257E36" w:rsidRDefault="003C3774" w:rsidP="003C3774">
            <w:pPr>
              <w:pStyle w:val="PBACTabletext"/>
            </w:pPr>
          </w:p>
        </w:tc>
        <w:tc>
          <w:tcPr>
            <w:tcW w:w="4096" w:type="dxa"/>
            <w:tcBorders>
              <w:top w:val="nil"/>
              <w:left w:val="single" w:sz="6" w:space="0" w:color="auto"/>
              <w:bottom w:val="dotted" w:sz="6" w:space="0" w:color="auto"/>
              <w:right w:val="single" w:sz="6" w:space="0" w:color="auto"/>
            </w:tcBorders>
            <w:shd w:val="clear" w:color="auto" w:fill="auto"/>
          </w:tcPr>
          <w:p w14:paraId="0FF7C4B0" w14:textId="073F60EB" w:rsidR="003C3774" w:rsidRPr="00C14FC9" w:rsidRDefault="53C848D7" w:rsidP="003C3774">
            <w:pPr>
              <w:pStyle w:val="PBACTabletext"/>
            </w:pPr>
            <w:r w:rsidRPr="26403EC0">
              <w:t xml:space="preserve">Diaz- Diaz-Manera J, </w:t>
            </w:r>
            <w:proofErr w:type="spellStart"/>
            <w:r w:rsidRPr="26403EC0">
              <w:t>Kishnani</w:t>
            </w:r>
            <w:proofErr w:type="spellEnd"/>
            <w:r w:rsidRPr="26403EC0">
              <w:t xml:space="preserve"> P, Ladha S, </w:t>
            </w:r>
            <w:proofErr w:type="spellStart"/>
            <w:r w:rsidRPr="26403EC0">
              <w:t>Miossec</w:t>
            </w:r>
            <w:proofErr w:type="spellEnd"/>
            <w:r w:rsidRPr="26403EC0">
              <w:t xml:space="preserve"> P, Armstrong N, Thibault N, et al. COMET: safety of </w:t>
            </w:r>
            <w:proofErr w:type="spellStart"/>
            <w:r w:rsidRPr="26403EC0">
              <w:t>avalglucosidase</w:t>
            </w:r>
            <w:proofErr w:type="spellEnd"/>
            <w:r w:rsidRPr="26403EC0">
              <w:t xml:space="preserve"> alfa in patients with late-onset Pompe disease who switched treatment from alglucosidase alfa.</w:t>
            </w:r>
          </w:p>
        </w:tc>
        <w:tc>
          <w:tcPr>
            <w:tcW w:w="3685" w:type="dxa"/>
            <w:tcBorders>
              <w:top w:val="nil"/>
              <w:left w:val="single" w:sz="6" w:space="0" w:color="auto"/>
              <w:bottom w:val="dotted" w:sz="6" w:space="0" w:color="auto"/>
              <w:right w:val="single" w:sz="6" w:space="0" w:color="auto"/>
            </w:tcBorders>
            <w:shd w:val="clear" w:color="auto" w:fill="auto"/>
          </w:tcPr>
          <w:p w14:paraId="2F415520" w14:textId="69A16FF4" w:rsidR="003C3774" w:rsidRPr="00257E36" w:rsidRDefault="53C848D7" w:rsidP="003C3774">
            <w:pPr>
              <w:pStyle w:val="PBACTabletext"/>
            </w:pPr>
            <w:r w:rsidRPr="26403EC0">
              <w:rPr>
                <w:i/>
                <w:iCs/>
              </w:rPr>
              <w:t xml:space="preserve">Neuromuscular disorders. </w:t>
            </w:r>
            <w:r w:rsidRPr="26403EC0">
              <w:t>2023b;33:S149.</w:t>
            </w:r>
            <w:r w:rsidRPr="26403EC0">
              <w:rPr>
                <w:i/>
                <w:iCs/>
              </w:rPr>
              <w:t xml:space="preserve"> </w:t>
            </w:r>
            <w:r w:rsidR="7ED97936" w:rsidRPr="26403EC0">
              <w:t>https://doi.org/10.1016/j.nmd.2023.07.339</w:t>
            </w:r>
          </w:p>
        </w:tc>
      </w:tr>
      <w:tr w:rsidR="003C3774" w:rsidRPr="00257E36" w14:paraId="4EC091F2" w14:textId="77777777" w:rsidTr="26403EC0">
        <w:trPr>
          <w:trHeight w:val="300"/>
        </w:trPr>
        <w:tc>
          <w:tcPr>
            <w:tcW w:w="1283" w:type="dxa"/>
            <w:tcBorders>
              <w:left w:val="single" w:sz="6" w:space="0" w:color="auto"/>
              <w:right w:val="single" w:sz="6" w:space="0" w:color="auto"/>
            </w:tcBorders>
            <w:vAlign w:val="center"/>
          </w:tcPr>
          <w:p w14:paraId="02107E5C" w14:textId="77777777" w:rsidR="003C3774" w:rsidRPr="00257E36" w:rsidRDefault="003C3774" w:rsidP="003C3774">
            <w:pPr>
              <w:pStyle w:val="PBACTabletext"/>
            </w:pPr>
          </w:p>
        </w:tc>
        <w:tc>
          <w:tcPr>
            <w:tcW w:w="4096" w:type="dxa"/>
            <w:tcBorders>
              <w:top w:val="dotted" w:sz="6" w:space="0" w:color="auto"/>
              <w:left w:val="single" w:sz="6" w:space="0" w:color="auto"/>
              <w:bottom w:val="dotted" w:sz="6" w:space="0" w:color="auto"/>
              <w:right w:val="single" w:sz="6" w:space="0" w:color="auto"/>
            </w:tcBorders>
            <w:shd w:val="clear" w:color="auto" w:fill="auto"/>
          </w:tcPr>
          <w:p w14:paraId="4DCC36E9" w14:textId="5DC8A352" w:rsidR="003C3774" w:rsidRPr="00833F97" w:rsidRDefault="53C848D7" w:rsidP="003C3774">
            <w:pPr>
              <w:pStyle w:val="PBACTabletext"/>
            </w:pPr>
            <w:r w:rsidRPr="26403EC0">
              <w:t xml:space="preserve">Manera, J., </w:t>
            </w:r>
            <w:proofErr w:type="spellStart"/>
            <w:r w:rsidRPr="26403EC0">
              <w:t>Kishnani</w:t>
            </w:r>
            <w:proofErr w:type="spellEnd"/>
            <w:r w:rsidRPr="26403EC0">
              <w:t xml:space="preserve">, P. S., </w:t>
            </w:r>
            <w:proofErr w:type="spellStart"/>
            <w:r w:rsidRPr="26403EC0">
              <w:t>Kushlaf</w:t>
            </w:r>
            <w:proofErr w:type="spellEnd"/>
            <w:r w:rsidRPr="26403EC0">
              <w:t xml:space="preserve">, H., Ladha, S., Mozaffar, T., Straub, V., Toscano, A., van der Ploeg, A. T., Berger, K. I., Clemens, P. R., Chien, Y. H., Day, J. W., </w:t>
            </w:r>
            <w:proofErr w:type="spellStart"/>
            <w:r w:rsidRPr="26403EC0">
              <w:t>Illarioshkin</w:t>
            </w:r>
            <w:proofErr w:type="spellEnd"/>
            <w:r w:rsidRPr="26403EC0">
              <w:t xml:space="preserve">, S., Roberts, M., Attarian, S., Borges, J. L., </w:t>
            </w:r>
            <w:proofErr w:type="spellStart"/>
            <w:r w:rsidRPr="26403EC0">
              <w:t>Bouhour</w:t>
            </w:r>
            <w:proofErr w:type="spellEnd"/>
            <w:r w:rsidRPr="26403EC0">
              <w:t>, F., Choi, Y. C., Erdem-</w:t>
            </w:r>
            <w:proofErr w:type="spellStart"/>
            <w:r w:rsidRPr="26403EC0">
              <w:t>Ozdamar</w:t>
            </w:r>
            <w:proofErr w:type="spellEnd"/>
            <w:r w:rsidRPr="26403EC0">
              <w:t xml:space="preserve">, S., </w:t>
            </w:r>
            <w:proofErr w:type="spellStart"/>
            <w:r w:rsidRPr="26403EC0">
              <w:t>Goker</w:t>
            </w:r>
            <w:proofErr w:type="spellEnd"/>
            <w:r w:rsidRPr="26403EC0">
              <w:t xml:space="preserve">-Alpan, O., … COMET Investigator Group (2021). Safety and efficacy of </w:t>
            </w:r>
            <w:proofErr w:type="spellStart"/>
            <w:r w:rsidRPr="26403EC0">
              <w:t>avalglucosidase</w:t>
            </w:r>
            <w:proofErr w:type="spellEnd"/>
            <w:r w:rsidRPr="26403EC0">
              <w:t xml:space="preserve"> alfa versus alglucosidase alfa in patients with late-onset Pompe disease (COMET): a phase 3, randomised, multicentre trial. </w:t>
            </w:r>
          </w:p>
        </w:tc>
        <w:tc>
          <w:tcPr>
            <w:tcW w:w="3685" w:type="dxa"/>
            <w:tcBorders>
              <w:top w:val="dotted" w:sz="6" w:space="0" w:color="auto"/>
              <w:left w:val="single" w:sz="6" w:space="0" w:color="auto"/>
              <w:bottom w:val="dotted" w:sz="6" w:space="0" w:color="auto"/>
              <w:right w:val="single" w:sz="6" w:space="0" w:color="auto"/>
            </w:tcBorders>
            <w:shd w:val="clear" w:color="auto" w:fill="auto"/>
          </w:tcPr>
          <w:p w14:paraId="2E6357EC" w14:textId="752E70E1" w:rsidR="003C3774" w:rsidRDefault="003C3774" w:rsidP="003C3774">
            <w:pPr>
              <w:pStyle w:val="PBACTabletext"/>
            </w:pPr>
            <w:r w:rsidRPr="009C0C7E">
              <w:rPr>
                <w:i/>
                <w:iCs/>
              </w:rPr>
              <w:t>The Lancet. Neurology</w:t>
            </w:r>
            <w:r w:rsidRPr="007C1550">
              <w:t>, 20(12), 1012–1026. https://doi.org/10.1016/S1474-4422(21)00241-6</w:t>
            </w:r>
          </w:p>
        </w:tc>
      </w:tr>
      <w:tr w:rsidR="003C3774" w:rsidRPr="00257E36" w14:paraId="2FBBB6D7" w14:textId="77777777" w:rsidTr="26403EC0">
        <w:trPr>
          <w:trHeight w:val="300"/>
        </w:trPr>
        <w:tc>
          <w:tcPr>
            <w:tcW w:w="1283" w:type="dxa"/>
            <w:tcBorders>
              <w:left w:val="single" w:sz="6" w:space="0" w:color="auto"/>
              <w:right w:val="single" w:sz="6" w:space="0" w:color="auto"/>
            </w:tcBorders>
            <w:vAlign w:val="center"/>
          </w:tcPr>
          <w:p w14:paraId="4CABD7DD" w14:textId="29D5DB04" w:rsidR="003C3774" w:rsidRPr="00257E36" w:rsidRDefault="003C3774" w:rsidP="003C3774">
            <w:pPr>
              <w:pStyle w:val="PBACTabletext"/>
            </w:pPr>
          </w:p>
        </w:tc>
        <w:tc>
          <w:tcPr>
            <w:tcW w:w="4096" w:type="dxa"/>
            <w:tcBorders>
              <w:top w:val="dotted" w:sz="6" w:space="0" w:color="auto"/>
              <w:left w:val="single" w:sz="6" w:space="0" w:color="auto"/>
              <w:bottom w:val="dotted" w:sz="6" w:space="0" w:color="auto"/>
              <w:right w:val="single" w:sz="6" w:space="0" w:color="auto"/>
            </w:tcBorders>
            <w:shd w:val="clear" w:color="auto" w:fill="auto"/>
          </w:tcPr>
          <w:p w14:paraId="77852926" w14:textId="10ACB98F" w:rsidR="003C3774" w:rsidRPr="00257E36" w:rsidRDefault="53C848D7" w:rsidP="003C3774">
            <w:pPr>
              <w:pStyle w:val="PBACTabletext"/>
            </w:pPr>
            <w:proofErr w:type="spellStart"/>
            <w:r w:rsidRPr="26403EC0">
              <w:t>Dimachkie</w:t>
            </w:r>
            <w:proofErr w:type="spellEnd"/>
            <w:r w:rsidRPr="26403EC0">
              <w:t xml:space="preserve"> MM, </w:t>
            </w:r>
            <w:proofErr w:type="spellStart"/>
            <w:r w:rsidRPr="26403EC0">
              <w:t>Kishnani</w:t>
            </w:r>
            <w:proofErr w:type="spellEnd"/>
            <w:r w:rsidRPr="26403EC0">
              <w:t xml:space="preserve"> PS, </w:t>
            </w:r>
            <w:proofErr w:type="spellStart"/>
            <w:r w:rsidRPr="26403EC0">
              <w:t>Ivanescu</w:t>
            </w:r>
            <w:proofErr w:type="spellEnd"/>
            <w:r w:rsidRPr="26403EC0">
              <w:t xml:space="preserve"> C, </w:t>
            </w:r>
            <w:proofErr w:type="spellStart"/>
            <w:r w:rsidRPr="26403EC0">
              <w:t>Flore</w:t>
            </w:r>
            <w:proofErr w:type="spellEnd"/>
            <w:r w:rsidRPr="26403EC0">
              <w:t xml:space="preserve"> G, Gwaltney C, Van Der Beek NAME, et al. Measurement Properties of 2 Novel PROs, the Pompe Disease Symptom Scale and Pompe Disease Impact Scale, in the COMET Study. </w:t>
            </w:r>
          </w:p>
        </w:tc>
        <w:tc>
          <w:tcPr>
            <w:tcW w:w="3685" w:type="dxa"/>
            <w:tcBorders>
              <w:top w:val="dotted" w:sz="6" w:space="0" w:color="auto"/>
              <w:left w:val="single" w:sz="6" w:space="0" w:color="auto"/>
              <w:bottom w:val="dotted" w:sz="6" w:space="0" w:color="auto"/>
              <w:right w:val="single" w:sz="6" w:space="0" w:color="auto"/>
            </w:tcBorders>
            <w:shd w:val="clear" w:color="auto" w:fill="auto"/>
          </w:tcPr>
          <w:p w14:paraId="4A889E46" w14:textId="717B3C3B" w:rsidR="003C3774" w:rsidRPr="00257E36" w:rsidRDefault="003C3774" w:rsidP="003C3774">
            <w:pPr>
              <w:pStyle w:val="PBACTabletext"/>
            </w:pPr>
            <w:r w:rsidRPr="003C3774">
              <w:rPr>
                <w:i/>
                <w:iCs/>
              </w:rPr>
              <w:t>Neurology: Clinical Practice.</w:t>
            </w:r>
            <w:r w:rsidRPr="003C3774">
              <w:t xml:space="preserve"> 2023;13(5). http://dx.doi.org/10.1212/CPJ.0000000000200181</w:t>
            </w:r>
          </w:p>
        </w:tc>
      </w:tr>
      <w:tr w:rsidR="003C3774" w:rsidRPr="00257E36" w14:paraId="09B2F75F" w14:textId="77777777" w:rsidTr="26403EC0">
        <w:trPr>
          <w:trHeight w:val="300"/>
        </w:trPr>
        <w:tc>
          <w:tcPr>
            <w:tcW w:w="1283" w:type="dxa"/>
            <w:tcBorders>
              <w:left w:val="single" w:sz="6" w:space="0" w:color="auto"/>
              <w:right w:val="single" w:sz="6" w:space="0" w:color="auto"/>
            </w:tcBorders>
            <w:vAlign w:val="center"/>
          </w:tcPr>
          <w:p w14:paraId="4F62224F" w14:textId="77777777" w:rsidR="003C3774" w:rsidRPr="00257E36" w:rsidRDefault="003C3774" w:rsidP="003C3774">
            <w:pPr>
              <w:pStyle w:val="PBACTabletext"/>
            </w:pPr>
          </w:p>
        </w:tc>
        <w:tc>
          <w:tcPr>
            <w:tcW w:w="4096" w:type="dxa"/>
            <w:tcBorders>
              <w:top w:val="dotted" w:sz="6" w:space="0" w:color="auto"/>
              <w:left w:val="single" w:sz="6" w:space="0" w:color="auto"/>
              <w:bottom w:val="single" w:sz="4" w:space="0" w:color="auto"/>
              <w:right w:val="single" w:sz="6" w:space="0" w:color="auto"/>
            </w:tcBorders>
            <w:shd w:val="clear" w:color="auto" w:fill="auto"/>
          </w:tcPr>
          <w:p w14:paraId="02CB0021" w14:textId="169A0F0D" w:rsidR="003C3774" w:rsidRPr="00257E36" w:rsidRDefault="53C848D7" w:rsidP="003C3774">
            <w:pPr>
              <w:pStyle w:val="PBACTabletext"/>
            </w:pPr>
            <w:proofErr w:type="spellStart"/>
            <w:r w:rsidRPr="26403EC0">
              <w:t>Kishnani</w:t>
            </w:r>
            <w:proofErr w:type="spellEnd"/>
            <w:r w:rsidRPr="26403EC0">
              <w:t xml:space="preserve"> P, van der Beek N, Haack KA, Armstrong N, Periquet M, Thibault N, et al. COMET: effects of </w:t>
            </w:r>
            <w:proofErr w:type="spellStart"/>
            <w:r w:rsidRPr="26403EC0">
              <w:t>avalglucosidase</w:t>
            </w:r>
            <w:proofErr w:type="spellEnd"/>
            <w:r w:rsidRPr="26403EC0">
              <w:t xml:space="preserve"> alfa and treatment switch from alglucosidase alfa on week 145 QMFT individual item responses. </w:t>
            </w:r>
          </w:p>
        </w:tc>
        <w:tc>
          <w:tcPr>
            <w:tcW w:w="3685" w:type="dxa"/>
            <w:tcBorders>
              <w:top w:val="dotted" w:sz="6" w:space="0" w:color="auto"/>
              <w:left w:val="single" w:sz="6" w:space="0" w:color="auto"/>
              <w:bottom w:val="single" w:sz="4" w:space="0" w:color="auto"/>
              <w:right w:val="single" w:sz="6" w:space="0" w:color="auto"/>
            </w:tcBorders>
            <w:shd w:val="clear" w:color="auto" w:fill="auto"/>
          </w:tcPr>
          <w:p w14:paraId="05D100FD" w14:textId="4CA3A16A" w:rsidR="003C3774" w:rsidRDefault="53C848D7" w:rsidP="003C3774">
            <w:pPr>
              <w:pStyle w:val="PBACTabletext"/>
            </w:pPr>
            <w:r w:rsidRPr="26403EC0">
              <w:rPr>
                <w:i/>
                <w:iCs/>
              </w:rPr>
              <w:t>Neuromuscular disorders.</w:t>
            </w:r>
            <w:r w:rsidRPr="26403EC0">
              <w:t xml:space="preserve"> 2023a;33:S148</w:t>
            </w:r>
            <w:r w:rsidRPr="26403EC0">
              <w:rPr>
                <w:rFonts w:ascii="Cambria Math" w:hAnsi="Cambria Math" w:cs="Cambria Math"/>
              </w:rPr>
              <w:t>‐</w:t>
            </w:r>
            <w:r w:rsidRPr="26403EC0">
              <w:t xml:space="preserve">S9. </w:t>
            </w:r>
            <w:r w:rsidR="7ED97936" w:rsidRPr="26403EC0">
              <w:t>https://www.cochranelibrary.com/central/</w:t>
            </w:r>
          </w:p>
          <w:p w14:paraId="1CC2366E" w14:textId="1440678B" w:rsidR="003C3774" w:rsidRPr="00257E36" w:rsidRDefault="53C848D7" w:rsidP="003C3774">
            <w:pPr>
              <w:pStyle w:val="PBACTabletext"/>
            </w:pPr>
            <w:r w:rsidRPr="26403EC0">
              <w:t>doi/10.1002/central/CN-02623943/full</w:t>
            </w:r>
          </w:p>
        </w:tc>
      </w:tr>
      <w:tr w:rsidR="003C3774" w:rsidRPr="00257E36" w14:paraId="507CD365" w14:textId="77777777" w:rsidTr="26403EC0">
        <w:trPr>
          <w:trHeight w:val="300"/>
        </w:trPr>
        <w:tc>
          <w:tcPr>
            <w:tcW w:w="1283" w:type="dxa"/>
            <w:tcBorders>
              <w:left w:val="single" w:sz="6" w:space="0" w:color="auto"/>
              <w:right w:val="single" w:sz="4" w:space="0" w:color="auto"/>
            </w:tcBorders>
            <w:vAlign w:val="center"/>
          </w:tcPr>
          <w:p w14:paraId="31C8B734" w14:textId="77777777" w:rsidR="003C3774" w:rsidRPr="00257E36" w:rsidRDefault="003C3774" w:rsidP="003C3774">
            <w:pPr>
              <w:pStyle w:val="PBACTabletext"/>
            </w:pPr>
          </w:p>
        </w:tc>
        <w:tc>
          <w:tcPr>
            <w:tcW w:w="4096" w:type="dxa"/>
            <w:vMerge w:val="restart"/>
            <w:tcBorders>
              <w:top w:val="single" w:sz="4" w:space="0" w:color="auto"/>
              <w:left w:val="single" w:sz="4" w:space="0" w:color="auto"/>
              <w:bottom w:val="single" w:sz="4" w:space="0" w:color="auto"/>
              <w:right w:val="single" w:sz="4" w:space="0" w:color="auto"/>
            </w:tcBorders>
            <w:shd w:val="clear" w:color="auto" w:fill="auto"/>
          </w:tcPr>
          <w:p w14:paraId="7C290880" w14:textId="5C83A0FC" w:rsidR="003C3774" w:rsidRPr="00257E36" w:rsidRDefault="53C848D7" w:rsidP="003C3774">
            <w:pPr>
              <w:pStyle w:val="PBACTabletext"/>
            </w:pPr>
            <w:proofErr w:type="spellStart"/>
            <w:r w:rsidRPr="26403EC0">
              <w:t>Kishnani</w:t>
            </w:r>
            <w:proofErr w:type="spellEnd"/>
            <w:r w:rsidRPr="26403EC0">
              <w:t xml:space="preserve"> PS, Diaz-Manera J, Toscano A, Clemens PR, Ladha S, Berger KI, et al. Efficacy and Safety of </w:t>
            </w:r>
            <w:proofErr w:type="spellStart"/>
            <w:r w:rsidRPr="26403EC0">
              <w:t>Avalglucosidase</w:t>
            </w:r>
            <w:proofErr w:type="spellEnd"/>
            <w:r w:rsidRPr="26403EC0">
              <w:t xml:space="preserve"> Alfa in Patients with Late-Onset Pompe Disease after 97 Weeks: A Phase 3 Randomized Clinical Trial. </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tcPr>
          <w:p w14:paraId="4D3802B2" w14:textId="701A3AAA" w:rsidR="003C3774" w:rsidRPr="00257E36" w:rsidRDefault="003C3774" w:rsidP="003C3774">
            <w:pPr>
              <w:pStyle w:val="PBACTabletext"/>
            </w:pPr>
            <w:r w:rsidRPr="003C3774">
              <w:rPr>
                <w:i/>
                <w:iCs/>
              </w:rPr>
              <w:t>JAMA Neurology.</w:t>
            </w:r>
            <w:r w:rsidRPr="003C3774">
              <w:t xml:space="preserve"> 2023b;80(6):558-67. http://dx.doi.org/10.1001/jamaneurol.2023.0552</w:t>
            </w:r>
          </w:p>
        </w:tc>
      </w:tr>
      <w:tr w:rsidR="003C3774" w:rsidRPr="00257E36" w14:paraId="63323BB3" w14:textId="77777777" w:rsidTr="26403EC0">
        <w:trPr>
          <w:trHeight w:val="300"/>
        </w:trPr>
        <w:tc>
          <w:tcPr>
            <w:tcW w:w="1283" w:type="dxa"/>
            <w:tcBorders>
              <w:left w:val="single" w:sz="6" w:space="0" w:color="auto"/>
              <w:right w:val="single" w:sz="4" w:space="0" w:color="auto"/>
            </w:tcBorders>
            <w:vAlign w:val="center"/>
          </w:tcPr>
          <w:p w14:paraId="5FC6A6FA" w14:textId="77777777" w:rsidR="003C3774" w:rsidRPr="00257E36" w:rsidRDefault="003C3774" w:rsidP="003C3774">
            <w:pPr>
              <w:pStyle w:val="PBACTabletext"/>
            </w:pPr>
          </w:p>
        </w:tc>
        <w:tc>
          <w:tcPr>
            <w:tcW w:w="4096" w:type="dxa"/>
            <w:vMerge/>
          </w:tcPr>
          <w:p w14:paraId="6300A421" w14:textId="77777777" w:rsidR="003C3774" w:rsidRPr="003821D3" w:rsidRDefault="003C3774" w:rsidP="003C3774">
            <w:pPr>
              <w:pStyle w:val="PBACTabletext"/>
            </w:pPr>
          </w:p>
        </w:tc>
        <w:tc>
          <w:tcPr>
            <w:tcW w:w="3685" w:type="dxa"/>
            <w:vMerge/>
          </w:tcPr>
          <w:p w14:paraId="2AA561A1" w14:textId="77777777" w:rsidR="003C3774" w:rsidRPr="00257E36" w:rsidRDefault="003C3774" w:rsidP="003C3774">
            <w:pPr>
              <w:pStyle w:val="PBACTabletext"/>
            </w:pPr>
          </w:p>
        </w:tc>
      </w:tr>
      <w:tr w:rsidR="003C3774" w:rsidRPr="00257E36" w14:paraId="498BABF3" w14:textId="77777777" w:rsidTr="26403EC0">
        <w:trPr>
          <w:trHeight w:val="300"/>
        </w:trPr>
        <w:tc>
          <w:tcPr>
            <w:tcW w:w="1283" w:type="dxa"/>
            <w:tcBorders>
              <w:left w:val="single" w:sz="6" w:space="0" w:color="auto"/>
              <w:right w:val="single" w:sz="4" w:space="0" w:color="auto"/>
            </w:tcBorders>
            <w:vAlign w:val="center"/>
          </w:tcPr>
          <w:p w14:paraId="19293F9C" w14:textId="77777777" w:rsidR="003C3774" w:rsidRPr="00257E36" w:rsidRDefault="003C3774" w:rsidP="003C3774">
            <w:pPr>
              <w:pStyle w:val="PBACTabletext"/>
            </w:pPr>
          </w:p>
        </w:tc>
        <w:tc>
          <w:tcPr>
            <w:tcW w:w="4096" w:type="dxa"/>
            <w:vMerge/>
          </w:tcPr>
          <w:p w14:paraId="5E7A07A1" w14:textId="77777777" w:rsidR="003C3774" w:rsidRPr="00257E36" w:rsidRDefault="003C3774" w:rsidP="003C3774">
            <w:pPr>
              <w:pStyle w:val="PBACTabletext"/>
            </w:pPr>
          </w:p>
        </w:tc>
        <w:tc>
          <w:tcPr>
            <w:tcW w:w="3685" w:type="dxa"/>
            <w:vMerge/>
          </w:tcPr>
          <w:p w14:paraId="0A83A207" w14:textId="77777777" w:rsidR="003C3774" w:rsidRPr="00257E36" w:rsidRDefault="003C3774" w:rsidP="003C3774">
            <w:pPr>
              <w:pStyle w:val="PBACTabletext"/>
            </w:pPr>
          </w:p>
        </w:tc>
      </w:tr>
      <w:tr w:rsidR="003C3774" w:rsidRPr="00257E36" w14:paraId="3752BED9" w14:textId="77777777" w:rsidTr="26403EC0">
        <w:trPr>
          <w:trHeight w:val="300"/>
        </w:trPr>
        <w:tc>
          <w:tcPr>
            <w:tcW w:w="1283" w:type="dxa"/>
            <w:tcBorders>
              <w:left w:val="single" w:sz="6" w:space="0" w:color="auto"/>
              <w:right w:val="single" w:sz="6" w:space="0" w:color="auto"/>
            </w:tcBorders>
            <w:vAlign w:val="center"/>
          </w:tcPr>
          <w:p w14:paraId="0E5073E7" w14:textId="77777777" w:rsidR="003C3774" w:rsidRPr="00257E36" w:rsidRDefault="003C3774" w:rsidP="003C3774">
            <w:pPr>
              <w:pStyle w:val="PBACTabletext"/>
            </w:pPr>
          </w:p>
        </w:tc>
        <w:tc>
          <w:tcPr>
            <w:tcW w:w="4096" w:type="dxa"/>
            <w:tcBorders>
              <w:top w:val="single" w:sz="4" w:space="0" w:color="auto"/>
              <w:left w:val="single" w:sz="6" w:space="0" w:color="auto"/>
              <w:bottom w:val="dotted" w:sz="6" w:space="0" w:color="auto"/>
              <w:right w:val="single" w:sz="6" w:space="0" w:color="auto"/>
            </w:tcBorders>
            <w:shd w:val="clear" w:color="auto" w:fill="auto"/>
          </w:tcPr>
          <w:p w14:paraId="3F7B2A9A" w14:textId="372E50F7" w:rsidR="003C3774" w:rsidRPr="00257E36" w:rsidRDefault="53C848D7" w:rsidP="003C3774">
            <w:pPr>
              <w:pStyle w:val="PBACTabletext"/>
            </w:pPr>
            <w:proofErr w:type="spellStart"/>
            <w:r w:rsidRPr="26403EC0">
              <w:t>Kushlaf</w:t>
            </w:r>
            <w:proofErr w:type="spellEnd"/>
            <w:r w:rsidRPr="26403EC0">
              <w:t xml:space="preserve"> H, Attarian S, Borges JL, </w:t>
            </w:r>
            <w:proofErr w:type="spellStart"/>
            <w:r w:rsidRPr="26403EC0">
              <w:t>Bouhour</w:t>
            </w:r>
            <w:proofErr w:type="spellEnd"/>
            <w:r w:rsidRPr="26403EC0">
              <w:t xml:space="preserve"> F, Chien YH, Choi YC, et al. Efficacy and Safety Results of the </w:t>
            </w:r>
            <w:proofErr w:type="spellStart"/>
            <w:r w:rsidRPr="26403EC0">
              <w:t>Avalglucosidase</w:t>
            </w:r>
            <w:proofErr w:type="spellEnd"/>
            <w:r w:rsidRPr="26403EC0">
              <w:t xml:space="preserve"> alfa Phase 3 COMET Trial in Late-Onset Pompe Disease Patients. </w:t>
            </w:r>
          </w:p>
        </w:tc>
        <w:tc>
          <w:tcPr>
            <w:tcW w:w="3685" w:type="dxa"/>
            <w:tcBorders>
              <w:top w:val="single" w:sz="4" w:space="0" w:color="auto"/>
              <w:left w:val="single" w:sz="6" w:space="0" w:color="auto"/>
              <w:bottom w:val="dotted" w:sz="6" w:space="0" w:color="auto"/>
              <w:right w:val="single" w:sz="6" w:space="0" w:color="auto"/>
            </w:tcBorders>
            <w:shd w:val="clear" w:color="auto" w:fill="auto"/>
          </w:tcPr>
          <w:p w14:paraId="60D2C3BD" w14:textId="114253C9" w:rsidR="003C3774" w:rsidRDefault="003C3774" w:rsidP="003C3774">
            <w:pPr>
              <w:pStyle w:val="PBACTabletext"/>
            </w:pPr>
            <w:r w:rsidRPr="009C0C7E">
              <w:rPr>
                <w:i/>
                <w:iCs/>
              </w:rPr>
              <w:t>Neurology.</w:t>
            </w:r>
            <w:r w:rsidRPr="00326A2B">
              <w:t xml:space="preserve"> 2021;96(15 SUPPL 1). </w:t>
            </w:r>
            <w:r w:rsidR="00ED4222" w:rsidRPr="00ED4222">
              <w:t>https://www.cochranelibrary.com/central/</w:t>
            </w:r>
          </w:p>
          <w:p w14:paraId="731E2CEF" w14:textId="178EEACF" w:rsidR="003C3774" w:rsidRPr="00257E36" w:rsidRDefault="53C848D7" w:rsidP="003C3774">
            <w:pPr>
              <w:pStyle w:val="PBACTabletext"/>
            </w:pPr>
            <w:r w:rsidRPr="26403EC0">
              <w:t>doi/10.1002/central/CN-02368996/full</w:t>
            </w:r>
          </w:p>
        </w:tc>
      </w:tr>
      <w:tr w:rsidR="003C3774" w:rsidRPr="00257E36" w14:paraId="7B9EBE93" w14:textId="77777777" w:rsidTr="26403EC0">
        <w:trPr>
          <w:trHeight w:val="300"/>
        </w:trPr>
        <w:tc>
          <w:tcPr>
            <w:tcW w:w="1283" w:type="dxa"/>
            <w:tcBorders>
              <w:left w:val="single" w:sz="6" w:space="0" w:color="auto"/>
              <w:right w:val="single" w:sz="6" w:space="0" w:color="auto"/>
            </w:tcBorders>
            <w:vAlign w:val="center"/>
          </w:tcPr>
          <w:p w14:paraId="7C704AD1" w14:textId="77777777" w:rsidR="003C3774" w:rsidRPr="00257E36" w:rsidRDefault="003C3774" w:rsidP="003C3774">
            <w:pPr>
              <w:pStyle w:val="PBACTabletext"/>
            </w:pPr>
          </w:p>
        </w:tc>
        <w:tc>
          <w:tcPr>
            <w:tcW w:w="4096" w:type="dxa"/>
            <w:tcBorders>
              <w:top w:val="dotted" w:sz="6" w:space="0" w:color="auto"/>
              <w:left w:val="single" w:sz="6" w:space="0" w:color="auto"/>
              <w:bottom w:val="single" w:sz="4" w:space="0" w:color="auto"/>
              <w:right w:val="single" w:sz="6" w:space="0" w:color="auto"/>
            </w:tcBorders>
            <w:shd w:val="clear" w:color="auto" w:fill="auto"/>
          </w:tcPr>
          <w:p w14:paraId="7AF338C5" w14:textId="4311FC1C" w:rsidR="003C3774" w:rsidRPr="00257E36" w:rsidRDefault="53C848D7" w:rsidP="003C3774">
            <w:pPr>
              <w:pStyle w:val="PBACTabletext"/>
            </w:pPr>
            <w:r w:rsidRPr="26403EC0">
              <w:t xml:space="preserve">Toscano A, </w:t>
            </w:r>
            <w:proofErr w:type="spellStart"/>
            <w:r w:rsidRPr="26403EC0">
              <w:t>Pollissard</w:t>
            </w:r>
            <w:proofErr w:type="spellEnd"/>
            <w:r w:rsidRPr="26403EC0">
              <w:t xml:space="preserve"> L, </w:t>
            </w:r>
            <w:proofErr w:type="spellStart"/>
            <w:r w:rsidRPr="26403EC0">
              <w:t>Msihid</w:t>
            </w:r>
            <w:proofErr w:type="spellEnd"/>
            <w:r w:rsidRPr="26403EC0">
              <w:t xml:space="preserve"> J, van der Beek N, </w:t>
            </w:r>
            <w:proofErr w:type="spellStart"/>
            <w:r w:rsidRPr="26403EC0">
              <w:t>Kishnani</w:t>
            </w:r>
            <w:proofErr w:type="spellEnd"/>
            <w:r w:rsidRPr="26403EC0">
              <w:t xml:space="preserve"> PS, </w:t>
            </w:r>
            <w:proofErr w:type="spellStart"/>
            <w:r w:rsidRPr="26403EC0">
              <w:t>Dimachkie</w:t>
            </w:r>
            <w:proofErr w:type="spellEnd"/>
            <w:r w:rsidRPr="26403EC0">
              <w:t xml:space="preserve"> MM, et al. Effect of </w:t>
            </w:r>
            <w:proofErr w:type="spellStart"/>
            <w:r w:rsidRPr="26403EC0">
              <w:t>avalglucosidase</w:t>
            </w:r>
            <w:proofErr w:type="spellEnd"/>
            <w:r w:rsidRPr="26403EC0">
              <w:t xml:space="preserve"> alfa on disease-specific and general patient-reported outcomes in treatment-naïve adults with late-onset Pompe disease compared with alglucosidase alfa: Meaningful change analyses from the Phase 3 COMET trial. </w:t>
            </w:r>
          </w:p>
        </w:tc>
        <w:tc>
          <w:tcPr>
            <w:tcW w:w="3685" w:type="dxa"/>
            <w:tcBorders>
              <w:top w:val="dotted" w:sz="6" w:space="0" w:color="auto"/>
              <w:left w:val="single" w:sz="6" w:space="0" w:color="auto"/>
              <w:bottom w:val="single" w:sz="4" w:space="0" w:color="auto"/>
              <w:right w:val="single" w:sz="6" w:space="0" w:color="auto"/>
            </w:tcBorders>
            <w:shd w:val="clear" w:color="auto" w:fill="auto"/>
          </w:tcPr>
          <w:p w14:paraId="5FD5DFB7" w14:textId="24018AE7" w:rsidR="003C3774" w:rsidRPr="00257E36" w:rsidRDefault="003C3774" w:rsidP="003C3774">
            <w:pPr>
              <w:pStyle w:val="PBACTabletext"/>
            </w:pPr>
            <w:r w:rsidRPr="008E2EDA">
              <w:rPr>
                <w:i/>
              </w:rPr>
              <w:t>Molecular Genetics and Metabolism</w:t>
            </w:r>
            <w:r>
              <w:t xml:space="preserve">. 2024;141(2). </w:t>
            </w:r>
            <w:r w:rsidRPr="001F4F82">
              <w:t>http://dx.doi.org/10.1016/j.ymgme.2023.108121</w:t>
            </w:r>
          </w:p>
        </w:tc>
      </w:tr>
    </w:tbl>
    <w:p w14:paraId="644BD88C" w14:textId="6908121C" w:rsidR="00A11F8C" w:rsidRPr="001B01D0" w:rsidRDefault="00A11F8C" w:rsidP="001B01D0">
      <w:pPr>
        <w:pStyle w:val="TableFigureFooter"/>
      </w:pPr>
      <w:r>
        <w:t xml:space="preserve">Source: Table 16, pp33-35 of the submission. </w:t>
      </w:r>
    </w:p>
    <w:p w14:paraId="73AA58EE" w14:textId="6AD16D19" w:rsidR="006B1C79" w:rsidRDefault="008F120A" w:rsidP="00EC5836">
      <w:pPr>
        <w:pStyle w:val="3-BodyText"/>
        <w:rPr>
          <w:color w:val="0066FF"/>
        </w:rPr>
      </w:pPr>
      <w:r w:rsidRPr="0098262F">
        <w:t xml:space="preserve">The key features of the </w:t>
      </w:r>
      <w:r w:rsidR="006B1C79">
        <w:t>trials</w:t>
      </w:r>
      <w:r w:rsidRPr="0098262F">
        <w:t xml:space="preserve"> are summarised in</w:t>
      </w:r>
      <w:r w:rsidR="00D6076E" w:rsidRPr="0098262F">
        <w:t xml:space="preserve"> </w:t>
      </w:r>
      <w:r w:rsidR="00E93180">
        <w:fldChar w:fldCharType="begin"/>
      </w:r>
      <w:r w:rsidR="00E93180">
        <w:instrText xml:space="preserve"> REF _Ref184128753 \h </w:instrText>
      </w:r>
      <w:r w:rsidR="00E93180">
        <w:fldChar w:fldCharType="separate"/>
      </w:r>
      <w:r w:rsidR="007A62D0">
        <w:t xml:space="preserve">Table </w:t>
      </w:r>
      <w:r w:rsidR="007A62D0">
        <w:rPr>
          <w:noProof/>
        </w:rPr>
        <w:t>3</w:t>
      </w:r>
      <w:r w:rsidR="00E93180">
        <w:fldChar w:fldCharType="end"/>
      </w:r>
      <w:r w:rsidR="00E64EBD">
        <w:t>.</w:t>
      </w:r>
    </w:p>
    <w:p w14:paraId="6FDE4FE7" w14:textId="4CC808A2" w:rsidR="006B1C79" w:rsidRDefault="00E93180" w:rsidP="00E93180">
      <w:pPr>
        <w:pStyle w:val="Caption"/>
      </w:pPr>
      <w:bookmarkStart w:id="24" w:name="_Ref184128753"/>
      <w:r>
        <w:t xml:space="preserve">Table </w:t>
      </w:r>
      <w:r w:rsidR="005C2AA5">
        <w:fldChar w:fldCharType="begin"/>
      </w:r>
      <w:r w:rsidR="005C2AA5">
        <w:instrText xml:space="preserve"> SEQ Table \* ARABIC </w:instrText>
      </w:r>
      <w:r w:rsidR="005C2AA5">
        <w:fldChar w:fldCharType="separate"/>
      </w:r>
      <w:r w:rsidR="007A62D0">
        <w:rPr>
          <w:noProof/>
        </w:rPr>
        <w:t>3</w:t>
      </w:r>
      <w:r w:rsidR="005C2AA5">
        <w:rPr>
          <w:noProof/>
        </w:rPr>
        <w:fldChar w:fldCharType="end"/>
      </w:r>
      <w:bookmarkEnd w:id="24"/>
      <w:r>
        <w:t xml:space="preserve">: </w:t>
      </w:r>
      <w:r w:rsidR="006B1C79">
        <w:t>Key features of the included trials</w:t>
      </w:r>
    </w:p>
    <w:tbl>
      <w:tblPr>
        <w:tblStyle w:val="TableGrid"/>
        <w:tblW w:w="0" w:type="auto"/>
        <w:tblInd w:w="-5" w:type="dxa"/>
        <w:tblLook w:val="04A0" w:firstRow="1" w:lastRow="0" w:firstColumn="1" w:lastColumn="0" w:noHBand="0" w:noVBand="1"/>
        <w:tblCaption w:val="Table 3: Key features of the included trials"/>
      </w:tblPr>
      <w:tblGrid>
        <w:gridCol w:w="2127"/>
        <w:gridCol w:w="3447"/>
        <w:gridCol w:w="3448"/>
      </w:tblGrid>
      <w:tr w:rsidR="00604E72" w14:paraId="2EF1D248" w14:textId="77777777" w:rsidTr="26403EC0">
        <w:tc>
          <w:tcPr>
            <w:tcW w:w="2127" w:type="dxa"/>
          </w:tcPr>
          <w:p w14:paraId="0CB158D2" w14:textId="77777777" w:rsidR="006B1C79" w:rsidRDefault="006B1C79" w:rsidP="006B1C79">
            <w:pPr>
              <w:pStyle w:val="TableText0"/>
            </w:pPr>
          </w:p>
        </w:tc>
        <w:tc>
          <w:tcPr>
            <w:tcW w:w="3447" w:type="dxa"/>
          </w:tcPr>
          <w:p w14:paraId="3BBEF535" w14:textId="77777777" w:rsidR="006B1C79" w:rsidRDefault="006B1C79" w:rsidP="000D2D05">
            <w:pPr>
              <w:pStyle w:val="In-tableHeading"/>
            </w:pPr>
            <w:r>
              <w:t>PROPEL</w:t>
            </w:r>
          </w:p>
          <w:p w14:paraId="5004A520" w14:textId="77777777" w:rsidR="006B1C79" w:rsidRDefault="006B1C79" w:rsidP="000D2D05">
            <w:pPr>
              <w:pStyle w:val="In-tableHeading"/>
            </w:pPr>
            <w:r>
              <w:t>NCT03729362</w:t>
            </w:r>
          </w:p>
          <w:p w14:paraId="0AA9220C" w14:textId="6353D860" w:rsidR="006B1C79" w:rsidRDefault="006B1C79" w:rsidP="000D2D05">
            <w:pPr>
              <w:pStyle w:val="In-tableHeading"/>
            </w:pPr>
            <w:r>
              <w:t xml:space="preserve">N = </w:t>
            </w:r>
            <w:r w:rsidR="00604E72">
              <w:t>123</w:t>
            </w:r>
          </w:p>
        </w:tc>
        <w:tc>
          <w:tcPr>
            <w:tcW w:w="3448" w:type="dxa"/>
          </w:tcPr>
          <w:p w14:paraId="0834AD81" w14:textId="77777777" w:rsidR="006B1C79" w:rsidRDefault="006B1C79" w:rsidP="000D2D05">
            <w:pPr>
              <w:pStyle w:val="In-tableHeading"/>
            </w:pPr>
            <w:r>
              <w:t>COMET</w:t>
            </w:r>
          </w:p>
          <w:p w14:paraId="4ED4CBAD" w14:textId="289953FE" w:rsidR="006B1C79" w:rsidRDefault="006B1C79" w:rsidP="000D2D05">
            <w:pPr>
              <w:pStyle w:val="In-tableHeading"/>
            </w:pPr>
            <w:r>
              <w:t>NCT02782741</w:t>
            </w:r>
          </w:p>
          <w:p w14:paraId="158BCADA" w14:textId="6FC68BEC" w:rsidR="00604E72" w:rsidRDefault="00604E72" w:rsidP="000D2D05">
            <w:pPr>
              <w:pStyle w:val="In-tableHeading"/>
            </w:pPr>
            <w:r>
              <w:t xml:space="preserve">N = </w:t>
            </w:r>
            <w:r w:rsidR="00E031DD">
              <w:t>100</w:t>
            </w:r>
          </w:p>
        </w:tc>
      </w:tr>
      <w:tr w:rsidR="00604E72" w14:paraId="595D82D5" w14:textId="77777777" w:rsidTr="26403EC0">
        <w:tc>
          <w:tcPr>
            <w:tcW w:w="2127" w:type="dxa"/>
          </w:tcPr>
          <w:p w14:paraId="0E1CD9C5" w14:textId="6C046E5F" w:rsidR="006B1C79" w:rsidRDefault="006B1C79" w:rsidP="006B1C79">
            <w:pPr>
              <w:pStyle w:val="TableText0"/>
            </w:pPr>
            <w:r>
              <w:t>Design</w:t>
            </w:r>
            <w:r w:rsidR="001F6247">
              <w:t>/ duration</w:t>
            </w:r>
          </w:p>
        </w:tc>
        <w:tc>
          <w:tcPr>
            <w:tcW w:w="3447" w:type="dxa"/>
          </w:tcPr>
          <w:p w14:paraId="03DB043B" w14:textId="68DE49C5" w:rsidR="006B1C79" w:rsidRDefault="006B1C79" w:rsidP="006B1C79">
            <w:pPr>
              <w:pStyle w:val="TableText0"/>
            </w:pPr>
            <w:r w:rsidRPr="26403EC0">
              <w:t>R, DB, MC, 52 wk</w:t>
            </w:r>
            <w:r w:rsidR="00475716" w:rsidRPr="26403EC0">
              <w:t>; completers eligible for OLE</w:t>
            </w:r>
            <w:r w:rsidR="00FA6068" w:rsidRPr="26403EC0">
              <w:t>.</w:t>
            </w:r>
          </w:p>
        </w:tc>
        <w:tc>
          <w:tcPr>
            <w:tcW w:w="3448" w:type="dxa"/>
          </w:tcPr>
          <w:p w14:paraId="043DFE9D" w14:textId="7F408293" w:rsidR="006B1C79" w:rsidRDefault="006B1C79" w:rsidP="006B1C79">
            <w:pPr>
              <w:pStyle w:val="TableText0"/>
            </w:pPr>
            <w:r w:rsidRPr="26403EC0">
              <w:t>R, DB, MC, 49 wk</w:t>
            </w:r>
            <w:r w:rsidR="00475716" w:rsidRPr="26403EC0">
              <w:t>; completers eligible for OLE</w:t>
            </w:r>
            <w:r w:rsidR="00FA6068" w:rsidRPr="26403EC0">
              <w:t>.</w:t>
            </w:r>
            <w:r w:rsidR="001B01D0" w:rsidRPr="26403EC0">
              <w:t xml:space="preserve"> </w:t>
            </w:r>
          </w:p>
        </w:tc>
      </w:tr>
      <w:tr w:rsidR="00604E72" w14:paraId="1BB90317" w14:textId="77777777" w:rsidTr="26403EC0">
        <w:tc>
          <w:tcPr>
            <w:tcW w:w="2127" w:type="dxa"/>
          </w:tcPr>
          <w:p w14:paraId="73710F40" w14:textId="7C9B2A9A" w:rsidR="006B1C79" w:rsidRDefault="00D364D5" w:rsidP="006B1C79">
            <w:pPr>
              <w:pStyle w:val="TableText0"/>
            </w:pPr>
            <w:r>
              <w:t>Randomisation</w:t>
            </w:r>
          </w:p>
        </w:tc>
        <w:tc>
          <w:tcPr>
            <w:tcW w:w="3447" w:type="dxa"/>
          </w:tcPr>
          <w:p w14:paraId="5362FD57" w14:textId="32C0FAE3" w:rsidR="006B1C79" w:rsidRDefault="00604E72" w:rsidP="006B1C79">
            <w:pPr>
              <w:pStyle w:val="TableText0"/>
            </w:pPr>
            <w:r>
              <w:t>C</w:t>
            </w:r>
            <w:r w:rsidR="00475716">
              <w:t xml:space="preserve">IPAMIG </w:t>
            </w:r>
            <w:r>
              <w:t xml:space="preserve">vs </w:t>
            </w:r>
            <w:r w:rsidR="006B1C79">
              <w:t>A</w:t>
            </w:r>
            <w:r w:rsidR="00475716">
              <w:t>LGLU</w:t>
            </w:r>
            <w:r w:rsidR="00E031DD">
              <w:t xml:space="preserve">, 2:1, stratified by prior ERT or not; 6MWD 75 to &lt;150 m, 150 to &lt;400 m or </w:t>
            </w:r>
            <w:r w:rsidR="00E031DD" w:rsidRPr="00604E72">
              <w:rPr>
                <w:lang w:val="en-GB"/>
              </w:rPr>
              <w:t>≥</w:t>
            </w:r>
            <w:r w:rsidR="00E031DD">
              <w:rPr>
                <w:lang w:val="en-GB"/>
              </w:rPr>
              <w:t>400 m</w:t>
            </w:r>
            <w:r w:rsidR="00FA6068">
              <w:rPr>
                <w:lang w:val="en-GB"/>
              </w:rPr>
              <w:t>.</w:t>
            </w:r>
          </w:p>
        </w:tc>
        <w:tc>
          <w:tcPr>
            <w:tcW w:w="3448" w:type="dxa"/>
          </w:tcPr>
          <w:p w14:paraId="179DCC73" w14:textId="07C15E9A" w:rsidR="006B1C79" w:rsidRDefault="00475716" w:rsidP="006B1C79">
            <w:pPr>
              <w:pStyle w:val="TableText0"/>
            </w:pPr>
            <w:r>
              <w:t>AVAL</w:t>
            </w:r>
            <w:r w:rsidR="00604E72">
              <w:t xml:space="preserve"> vs </w:t>
            </w:r>
            <w:r>
              <w:t>ALGLU</w:t>
            </w:r>
            <w:r w:rsidR="00E031DD">
              <w:t xml:space="preserve">, 1:1, stratified by %FVC &lt;55 or </w:t>
            </w:r>
            <w:r w:rsidR="00E031DD" w:rsidRPr="00604E72">
              <w:rPr>
                <w:lang w:val="en-GB"/>
              </w:rPr>
              <w:t>≥</w:t>
            </w:r>
            <w:r w:rsidR="00E031DD">
              <w:rPr>
                <w:lang w:val="en-GB"/>
              </w:rPr>
              <w:t xml:space="preserve">55; sex; age &lt;18 or </w:t>
            </w:r>
            <w:r w:rsidR="00E031DD" w:rsidRPr="00604E72">
              <w:rPr>
                <w:lang w:val="en-GB"/>
              </w:rPr>
              <w:t>≥</w:t>
            </w:r>
            <w:r w:rsidR="00E031DD">
              <w:rPr>
                <w:lang w:val="en-GB"/>
              </w:rPr>
              <w:t>18.</w:t>
            </w:r>
          </w:p>
        </w:tc>
      </w:tr>
      <w:tr w:rsidR="00604E72" w14:paraId="0411F29F" w14:textId="77777777" w:rsidTr="26403EC0">
        <w:tc>
          <w:tcPr>
            <w:tcW w:w="2127" w:type="dxa"/>
          </w:tcPr>
          <w:p w14:paraId="23B83C62" w14:textId="6AAFF222" w:rsidR="006B1C79" w:rsidRDefault="006B6C28" w:rsidP="006B1C79">
            <w:pPr>
              <w:pStyle w:val="TableText0"/>
            </w:pPr>
            <w:r>
              <w:t>Patient p</w:t>
            </w:r>
            <w:r w:rsidR="006B1C79">
              <w:t>opulation</w:t>
            </w:r>
          </w:p>
        </w:tc>
        <w:tc>
          <w:tcPr>
            <w:tcW w:w="3447" w:type="dxa"/>
          </w:tcPr>
          <w:p w14:paraId="6DF149D3" w14:textId="55ACDCE4" w:rsidR="006B1C79" w:rsidRDefault="006B1C79" w:rsidP="006B1C79">
            <w:pPr>
              <w:pStyle w:val="TableText0"/>
            </w:pPr>
            <w:r w:rsidRPr="26403EC0">
              <w:t>LOPD age ≥ 18 yrs, weight ≥ 40 kg</w:t>
            </w:r>
            <w:r w:rsidR="1E3E3382" w:rsidRPr="26403EC0">
              <w:t xml:space="preserve">; </w:t>
            </w:r>
            <w:r w:rsidR="001B01D0" w:rsidRPr="26403EC0">
              <w:t xml:space="preserve">previous ERT allowed, </w:t>
            </w:r>
            <w:r w:rsidR="1E3E3382" w:rsidRPr="26403EC0">
              <w:t xml:space="preserve">95/123 (77.2%) receiving </w:t>
            </w:r>
            <w:r w:rsidR="00FA6068" w:rsidRPr="26403EC0">
              <w:t>ALGLU</w:t>
            </w:r>
            <w:r w:rsidR="1E3E3382" w:rsidRPr="26403EC0">
              <w:t xml:space="preserve"> at baseline; sitting FVC ≥ 30% predicted; 6MWD ≥ 75 m</w:t>
            </w:r>
            <w:r w:rsidR="1E3E3382" w:rsidRPr="26403EC0">
              <w:rPr>
                <w:u w:val="single"/>
              </w:rPr>
              <w:t xml:space="preserve"> and</w:t>
            </w:r>
            <w:r w:rsidR="1E3E3382" w:rsidRPr="26403EC0">
              <w:t xml:space="preserve"> ≤ 90% predicted; </w:t>
            </w:r>
            <w:r w:rsidR="1E3E3382" w:rsidRPr="26403EC0">
              <w:rPr>
                <w:b/>
                <w:bCs/>
              </w:rPr>
              <w:t>no</w:t>
            </w:r>
            <w:r w:rsidR="1E3E3382" w:rsidRPr="26403EC0">
              <w:t xml:space="preserve"> ventilatory support (including NIV) &gt; 6 h/day when awake. </w:t>
            </w:r>
          </w:p>
        </w:tc>
        <w:tc>
          <w:tcPr>
            <w:tcW w:w="3448" w:type="dxa"/>
          </w:tcPr>
          <w:p w14:paraId="5CAA15C4" w14:textId="1D6D6F7F" w:rsidR="006B1C79" w:rsidRDefault="1833738C" w:rsidP="006B1C79">
            <w:pPr>
              <w:pStyle w:val="TableText0"/>
            </w:pPr>
            <w:r w:rsidRPr="26403EC0">
              <w:t xml:space="preserve">Age ≥ 3 yrs; </w:t>
            </w:r>
            <w:r w:rsidRPr="26403EC0">
              <w:rPr>
                <w:b/>
                <w:bCs/>
              </w:rPr>
              <w:t>no</w:t>
            </w:r>
            <w:r w:rsidRPr="26403EC0">
              <w:t xml:space="preserve"> previous </w:t>
            </w:r>
            <w:r w:rsidR="001B01D0" w:rsidRPr="26403EC0">
              <w:t>ERT allowed;</w:t>
            </w:r>
            <w:r w:rsidRPr="26403EC0">
              <w:t xml:space="preserve"> upright FVC 30-85% predicted; 6MWD ≥ 40 m without stopping; </w:t>
            </w:r>
            <w:r w:rsidRPr="26403EC0">
              <w:rPr>
                <w:b/>
                <w:bCs/>
              </w:rPr>
              <w:t>no</w:t>
            </w:r>
            <w:r w:rsidRPr="26403EC0">
              <w:t xml:space="preserve"> cardiac hypertrophy, invasive ventilation</w:t>
            </w:r>
            <w:r w:rsidR="007A640B" w:rsidRPr="26403EC0">
              <w:t xml:space="preserve"> (NIV allowed)</w:t>
            </w:r>
            <w:r w:rsidRPr="26403EC0">
              <w:t>, wheelchair dependence.</w:t>
            </w:r>
          </w:p>
        </w:tc>
      </w:tr>
      <w:tr w:rsidR="00604E72" w14:paraId="6E95AFB5" w14:textId="77777777" w:rsidTr="26403EC0">
        <w:tc>
          <w:tcPr>
            <w:tcW w:w="2127" w:type="dxa"/>
          </w:tcPr>
          <w:p w14:paraId="3F957F40" w14:textId="7476D1DF" w:rsidR="006B1C79" w:rsidRDefault="00482CCC" w:rsidP="006B1C79">
            <w:pPr>
              <w:pStyle w:val="TableText0"/>
            </w:pPr>
            <w:r>
              <w:t>Primary Outcome</w:t>
            </w:r>
          </w:p>
        </w:tc>
        <w:tc>
          <w:tcPr>
            <w:tcW w:w="3447" w:type="dxa"/>
          </w:tcPr>
          <w:p w14:paraId="653F8AA5" w14:textId="5360BBAE" w:rsidR="006B1C79" w:rsidRDefault="00482CCC" w:rsidP="006B1C79">
            <w:pPr>
              <w:pStyle w:val="TableText0"/>
            </w:pPr>
            <w:r>
              <w:t>Change in 6MWD from baseline to 52 wk</w:t>
            </w:r>
            <w:r w:rsidR="00FA6068">
              <w:t>.</w:t>
            </w:r>
          </w:p>
        </w:tc>
        <w:tc>
          <w:tcPr>
            <w:tcW w:w="3448" w:type="dxa"/>
          </w:tcPr>
          <w:p w14:paraId="51B6D852" w14:textId="244EBCD0" w:rsidR="006B1C79" w:rsidRDefault="00482CCC" w:rsidP="006B1C79">
            <w:pPr>
              <w:pStyle w:val="TableText0"/>
            </w:pPr>
            <w:r>
              <w:t>Change in % predicted upright FVC from baseline to 49 wk</w:t>
            </w:r>
            <w:r w:rsidR="00FA6068">
              <w:t>.</w:t>
            </w:r>
          </w:p>
        </w:tc>
      </w:tr>
      <w:tr w:rsidR="00604E72" w14:paraId="671A7AE6" w14:textId="77777777" w:rsidTr="26403EC0">
        <w:tc>
          <w:tcPr>
            <w:tcW w:w="2127" w:type="dxa"/>
          </w:tcPr>
          <w:p w14:paraId="7F829E7F" w14:textId="64601F82" w:rsidR="006B1C79" w:rsidRDefault="00482CCC" w:rsidP="006B1C79">
            <w:pPr>
              <w:pStyle w:val="TableText0"/>
            </w:pPr>
            <w:r>
              <w:t>Key Secondary Outcome</w:t>
            </w:r>
          </w:p>
        </w:tc>
        <w:tc>
          <w:tcPr>
            <w:tcW w:w="3447" w:type="dxa"/>
          </w:tcPr>
          <w:p w14:paraId="510775FB" w14:textId="4CBFEBFF" w:rsidR="006B1C79" w:rsidRDefault="00482CCC" w:rsidP="006B1C79">
            <w:pPr>
              <w:pStyle w:val="TableText0"/>
            </w:pPr>
            <w:r>
              <w:t xml:space="preserve">Change in % predicted FVC from baseline to 52 wk. </w:t>
            </w:r>
          </w:p>
        </w:tc>
        <w:tc>
          <w:tcPr>
            <w:tcW w:w="3448" w:type="dxa"/>
          </w:tcPr>
          <w:p w14:paraId="2646042A" w14:textId="410CD4DB" w:rsidR="006B1C79" w:rsidRDefault="00482CCC" w:rsidP="006B1C79">
            <w:pPr>
              <w:pStyle w:val="TableText0"/>
            </w:pPr>
            <w:r>
              <w:t>Change in 6MWD from baseline to 49 wk</w:t>
            </w:r>
            <w:r w:rsidR="00FA6068">
              <w:t>.</w:t>
            </w:r>
          </w:p>
        </w:tc>
      </w:tr>
      <w:tr w:rsidR="00554063" w14:paraId="736C811B" w14:textId="77777777" w:rsidTr="26403EC0">
        <w:tc>
          <w:tcPr>
            <w:tcW w:w="2127" w:type="dxa"/>
          </w:tcPr>
          <w:p w14:paraId="779869D2" w14:textId="04EFD163" w:rsidR="00554063" w:rsidRDefault="00FA6068" w:rsidP="006B1C79">
            <w:pPr>
              <w:pStyle w:val="TableText0"/>
            </w:pPr>
            <w:r>
              <w:t xml:space="preserve">Overall </w:t>
            </w:r>
            <w:r w:rsidR="00554063">
              <w:t>Risk of Bias</w:t>
            </w:r>
          </w:p>
        </w:tc>
        <w:tc>
          <w:tcPr>
            <w:tcW w:w="3447" w:type="dxa"/>
          </w:tcPr>
          <w:p w14:paraId="2D20939A" w14:textId="61E0CD18" w:rsidR="00554063" w:rsidRDefault="00554063" w:rsidP="006B1C79">
            <w:pPr>
              <w:pStyle w:val="TableText0"/>
            </w:pPr>
            <w:r>
              <w:t>Low</w:t>
            </w:r>
          </w:p>
        </w:tc>
        <w:tc>
          <w:tcPr>
            <w:tcW w:w="3448" w:type="dxa"/>
          </w:tcPr>
          <w:p w14:paraId="55CB4D97" w14:textId="09D94E6E" w:rsidR="00554063" w:rsidRDefault="00554063" w:rsidP="006B1C79">
            <w:pPr>
              <w:pStyle w:val="TableText0"/>
            </w:pPr>
            <w:r>
              <w:t>Low</w:t>
            </w:r>
          </w:p>
        </w:tc>
      </w:tr>
    </w:tbl>
    <w:p w14:paraId="1A022C32" w14:textId="77777777" w:rsidR="001B01D0" w:rsidRDefault="001B01D0" w:rsidP="001B01D0">
      <w:pPr>
        <w:pStyle w:val="TableFigureFooter"/>
      </w:pPr>
      <w:r>
        <w:t xml:space="preserve">Source: Table 17, p39 of the submission; PROPEL CSR, pp29-30, p33; Diaz-Manera, 2021. </w:t>
      </w:r>
    </w:p>
    <w:p w14:paraId="622CEAB8" w14:textId="0E05EE32" w:rsidR="001B01D0" w:rsidRPr="001B01D0" w:rsidRDefault="001B01D0" w:rsidP="001B01D0">
      <w:pPr>
        <w:pStyle w:val="TableFigureFooter"/>
      </w:pPr>
      <w:r w:rsidRPr="26403EC0">
        <w:t>6MWD = six</w:t>
      </w:r>
      <w:r w:rsidR="002A104F" w:rsidRPr="26403EC0">
        <w:t>-</w:t>
      </w:r>
      <w:r w:rsidRPr="26403EC0">
        <w:t xml:space="preserve">minute walking distance; </w:t>
      </w:r>
      <w:r w:rsidR="00475716" w:rsidRPr="26403EC0">
        <w:t xml:space="preserve">ALGLU = alglucosidase; AVAL= </w:t>
      </w:r>
      <w:proofErr w:type="spellStart"/>
      <w:r w:rsidR="00475716" w:rsidRPr="26403EC0">
        <w:t>avalglucosidase</w:t>
      </w:r>
      <w:proofErr w:type="spellEnd"/>
      <w:r w:rsidR="00475716" w:rsidRPr="26403EC0">
        <w:t xml:space="preserve">; CIPAMIG = cipaglucosidase + </w:t>
      </w:r>
      <w:proofErr w:type="spellStart"/>
      <w:r w:rsidR="00475716" w:rsidRPr="26403EC0">
        <w:t>miglustat</w:t>
      </w:r>
      <w:proofErr w:type="spellEnd"/>
      <w:r w:rsidR="00475716" w:rsidRPr="26403EC0">
        <w:t xml:space="preserve">; </w:t>
      </w:r>
      <w:r w:rsidRPr="26403EC0">
        <w:t xml:space="preserve">DB = double blind; ERT = enzyme replacement therapy; FVC = forced vital capacity; LOPD = late onset Pompe Disease; MC = multi-centre; NIV = non-invasive ventilation; OLE = open label extension; R = randomised.  </w:t>
      </w:r>
    </w:p>
    <w:p w14:paraId="6B7E5D9E" w14:textId="50E8FDEF" w:rsidR="00272378" w:rsidRDefault="00272378" w:rsidP="00272378">
      <w:pPr>
        <w:pStyle w:val="3-BodyText"/>
        <w:rPr>
          <w:color w:val="000000" w:themeColor="text1"/>
        </w:rPr>
      </w:pPr>
      <w:r>
        <w:rPr>
          <w:color w:val="000000" w:themeColor="text1"/>
        </w:rPr>
        <w:t xml:space="preserve">Measured </w:t>
      </w:r>
      <w:r w:rsidR="008E219B">
        <w:t>forced vital capacity</w:t>
      </w:r>
      <w:r w:rsidR="008E219B">
        <w:rPr>
          <w:color w:val="000000" w:themeColor="text1"/>
        </w:rPr>
        <w:t xml:space="preserve"> (</w:t>
      </w:r>
      <w:r>
        <w:rPr>
          <w:color w:val="000000" w:themeColor="text1"/>
        </w:rPr>
        <w:t>FVC</w:t>
      </w:r>
      <w:r w:rsidR="008E219B">
        <w:rPr>
          <w:color w:val="000000" w:themeColor="text1"/>
        </w:rPr>
        <w:t>)</w:t>
      </w:r>
      <w:r>
        <w:rPr>
          <w:color w:val="000000" w:themeColor="text1"/>
        </w:rPr>
        <w:t xml:space="preserve"> and </w:t>
      </w:r>
      <w:r w:rsidR="008E219B">
        <w:t>six-minute walking distance</w:t>
      </w:r>
      <w:r w:rsidR="008E219B">
        <w:rPr>
          <w:color w:val="000000" w:themeColor="text1"/>
        </w:rPr>
        <w:t xml:space="preserve"> (</w:t>
      </w:r>
      <w:r>
        <w:rPr>
          <w:color w:val="000000" w:themeColor="text1"/>
        </w:rPr>
        <w:t>6MWD</w:t>
      </w:r>
      <w:r w:rsidR="008E219B">
        <w:rPr>
          <w:color w:val="000000" w:themeColor="text1"/>
        </w:rPr>
        <w:t>)</w:t>
      </w:r>
      <w:r>
        <w:rPr>
          <w:color w:val="000000" w:themeColor="text1"/>
        </w:rPr>
        <w:t xml:space="preserve"> are highly dependent on effort and motivation</w:t>
      </w:r>
      <w:r w:rsidR="00DF4B3E">
        <w:rPr>
          <w:color w:val="000000" w:themeColor="text1"/>
        </w:rPr>
        <w:t>. Therefore</w:t>
      </w:r>
      <w:r>
        <w:rPr>
          <w:color w:val="000000" w:themeColor="text1"/>
        </w:rPr>
        <w:t>, blinding of patients, clinicians and technical staff performing spirometry and 6MWD tests to treatment allocation is important in these studies</w:t>
      </w:r>
      <w:r w:rsidR="006F0820">
        <w:rPr>
          <w:color w:val="000000" w:themeColor="text1"/>
        </w:rPr>
        <w:t xml:space="preserve"> (see </w:t>
      </w:r>
      <w:r w:rsidR="002D636A">
        <w:rPr>
          <w:color w:val="000000" w:themeColor="text1"/>
        </w:rPr>
        <w:t xml:space="preserve">paragraphs </w:t>
      </w:r>
      <w:r w:rsidR="006F0820">
        <w:rPr>
          <w:color w:val="000000" w:themeColor="text1"/>
        </w:rPr>
        <w:t>6.</w:t>
      </w:r>
      <w:r w:rsidR="00D87F06">
        <w:rPr>
          <w:color w:val="000000" w:themeColor="text1"/>
        </w:rPr>
        <w:t>6</w:t>
      </w:r>
      <w:r w:rsidR="006F0820">
        <w:rPr>
          <w:color w:val="000000" w:themeColor="text1"/>
        </w:rPr>
        <w:t>-</w:t>
      </w:r>
      <w:r w:rsidR="002D636A">
        <w:rPr>
          <w:color w:val="000000" w:themeColor="text1"/>
        </w:rPr>
        <w:t>6.</w:t>
      </w:r>
      <w:r w:rsidR="00D87F06">
        <w:rPr>
          <w:color w:val="000000" w:themeColor="text1"/>
        </w:rPr>
        <w:t>7</w:t>
      </w:r>
      <w:r w:rsidR="002D636A">
        <w:rPr>
          <w:color w:val="000000" w:themeColor="text1"/>
        </w:rPr>
        <w:t xml:space="preserve"> below</w:t>
      </w:r>
      <w:r w:rsidR="006F0820">
        <w:rPr>
          <w:color w:val="000000" w:themeColor="text1"/>
        </w:rPr>
        <w:t xml:space="preserve">). </w:t>
      </w:r>
    </w:p>
    <w:p w14:paraId="69DA66CA" w14:textId="2A97BA21" w:rsidR="00272378" w:rsidRDefault="00E64EBD" w:rsidP="00272378">
      <w:pPr>
        <w:pStyle w:val="3-BodyText"/>
        <w:rPr>
          <w:rFonts w:cstheme="minorHAnsi"/>
          <w:color w:val="141413"/>
          <w:szCs w:val="24"/>
          <w:lang w:val="en-GB"/>
        </w:rPr>
      </w:pPr>
      <w:r>
        <w:t xml:space="preserve">A complete assessment of the risk of bias in the trials is in </w:t>
      </w:r>
      <w:r w:rsidRPr="00D96497">
        <w:t xml:space="preserve">Attachment </w:t>
      </w:r>
      <w:r w:rsidR="00D96497" w:rsidRPr="00D96497">
        <w:t>ES.4</w:t>
      </w:r>
      <w:r w:rsidRPr="00D96497">
        <w:t xml:space="preserve"> Table</w:t>
      </w:r>
      <w:r w:rsidR="00D96497" w:rsidRPr="00D96497">
        <w:t xml:space="preserve"> ES.4.1</w:t>
      </w:r>
      <w:r w:rsidRPr="00D96497">
        <w:t>.</w:t>
      </w:r>
      <w:r>
        <w:t xml:space="preserve"> </w:t>
      </w:r>
      <w:r w:rsidR="00272378">
        <w:t>Although the overall risk of bias in the studies was low, because of the nature of the outcome measures</w:t>
      </w:r>
      <w:r w:rsidR="00884464">
        <w:t>,</w:t>
      </w:r>
      <w:r w:rsidR="00272378">
        <w:t xml:space="preserve"> the studies </w:t>
      </w:r>
      <w:r w:rsidR="00884464">
        <w:t xml:space="preserve">were </w:t>
      </w:r>
      <w:r w:rsidR="00272378">
        <w:t xml:space="preserve">highly vulnerable to unblinding. Several features of the treatments being compared make effective blinding unusually difficult: </w:t>
      </w:r>
    </w:p>
    <w:p w14:paraId="7AA63EE7" w14:textId="7076D816" w:rsidR="00272378" w:rsidRPr="00C80388" w:rsidRDefault="00272378" w:rsidP="00EC55DB">
      <w:pPr>
        <w:pStyle w:val="3-BodyText"/>
        <w:numPr>
          <w:ilvl w:val="0"/>
          <w:numId w:val="8"/>
        </w:numPr>
        <w:rPr>
          <w:color w:val="141413"/>
        </w:rPr>
      </w:pPr>
      <w:r w:rsidRPr="26403EC0">
        <w:t xml:space="preserve">cipaglucosidase, </w:t>
      </w:r>
      <w:proofErr w:type="spellStart"/>
      <w:r w:rsidRPr="26403EC0">
        <w:t>avalglucosidase</w:t>
      </w:r>
      <w:proofErr w:type="spellEnd"/>
      <w:r w:rsidRPr="26403EC0">
        <w:t xml:space="preserve"> and alglucosidase require reconstitution immediately before administration, the procedures are different, and the pharmacists who do the reconstitution must, therefore, be unblinded; </w:t>
      </w:r>
    </w:p>
    <w:p w14:paraId="56C816DB" w14:textId="7148D70C" w:rsidR="00272378" w:rsidRPr="00C80388" w:rsidRDefault="00272378" w:rsidP="00EC55DB">
      <w:pPr>
        <w:pStyle w:val="3-BodyText"/>
        <w:numPr>
          <w:ilvl w:val="0"/>
          <w:numId w:val="8"/>
        </w:numPr>
        <w:rPr>
          <w:color w:val="141413"/>
        </w:rPr>
      </w:pPr>
      <w:r w:rsidRPr="26403EC0">
        <w:t>the un-reconstituted vials of cipaglucosidase and alglucosidase and the cartons containing the vials supplied for each patient are distinguishable</w:t>
      </w:r>
      <w:r w:rsidR="006F0820" w:rsidRPr="26403EC0">
        <w:t>,</w:t>
      </w:r>
      <w:r w:rsidRPr="26403EC0">
        <w:t xml:space="preserve"> so access to the un-reconstituted vials has to be restricted to avoid unblinding; </w:t>
      </w:r>
    </w:p>
    <w:p w14:paraId="5521C1D3" w14:textId="5DD0FB12" w:rsidR="00272378" w:rsidRPr="00C80388" w:rsidRDefault="00272378" w:rsidP="00EC55DB">
      <w:pPr>
        <w:pStyle w:val="3-BodyText"/>
        <w:numPr>
          <w:ilvl w:val="0"/>
          <w:numId w:val="8"/>
        </w:numPr>
        <w:rPr>
          <w:rFonts w:cstheme="minorHAnsi"/>
          <w:color w:val="141413"/>
          <w:szCs w:val="24"/>
          <w:lang w:val="en-GB"/>
        </w:rPr>
      </w:pPr>
      <w:r>
        <w:t xml:space="preserve">the reconstituted solutions of </w:t>
      </w:r>
      <w:proofErr w:type="spellStart"/>
      <w:r>
        <w:t>avalglucosidase</w:t>
      </w:r>
      <w:proofErr w:type="spellEnd"/>
      <w:r>
        <w:t xml:space="preserve"> are easily distinguishable (reconstituted </w:t>
      </w:r>
      <w:proofErr w:type="spellStart"/>
      <w:r>
        <w:t>avalglucosidase</w:t>
      </w:r>
      <w:proofErr w:type="spellEnd"/>
      <w:r>
        <w:t xml:space="preserve"> is added to 5% dextrose for infusion and reconstituted cipaglucosidase and alglucosidase to 0.9% NaCl</w:t>
      </w:r>
      <w:r w:rsidR="00FA6068">
        <w:t>, and these solutions were provided by study sites</w:t>
      </w:r>
      <w:r>
        <w:t xml:space="preserve">), and the reconstituted solutions of cipaglucosidase and alglucosidase are not identical (PROPEL Protocol, p51). </w:t>
      </w:r>
    </w:p>
    <w:p w14:paraId="5E4FE246" w14:textId="0E18A3EA" w:rsidR="0044550E" w:rsidRDefault="00272378" w:rsidP="26403EC0">
      <w:pPr>
        <w:pStyle w:val="3-BodyText"/>
        <w:rPr>
          <w:color w:val="000000" w:themeColor="text1"/>
        </w:rPr>
      </w:pPr>
      <w:r w:rsidRPr="26403EC0">
        <w:rPr>
          <w:color w:val="000000" w:themeColor="text1"/>
        </w:rPr>
        <w:t>Data from one patient in PROPEL (allocated to alglucosidase) were excluded because</w:t>
      </w:r>
      <w:r w:rsidR="00F26F1B" w:rsidRPr="26403EC0">
        <w:rPr>
          <w:color w:val="000000" w:themeColor="text1"/>
        </w:rPr>
        <w:t xml:space="preserve">, after data-base lock, </w:t>
      </w:r>
      <w:r w:rsidRPr="26403EC0">
        <w:rPr>
          <w:color w:val="000000" w:themeColor="text1"/>
        </w:rPr>
        <w:t xml:space="preserve">the patient </w:t>
      </w:r>
      <w:r w:rsidR="00F26F1B" w:rsidRPr="26403EC0">
        <w:rPr>
          <w:color w:val="000000" w:themeColor="text1"/>
        </w:rPr>
        <w:t>confessed to</w:t>
      </w:r>
      <w:r w:rsidRPr="26403EC0">
        <w:rPr>
          <w:color w:val="000000" w:themeColor="text1"/>
        </w:rPr>
        <w:t xml:space="preserve"> deliberately restrict</w:t>
      </w:r>
      <w:r w:rsidR="00F26F1B" w:rsidRPr="26403EC0">
        <w:rPr>
          <w:color w:val="000000" w:themeColor="text1"/>
        </w:rPr>
        <w:t>ing</w:t>
      </w:r>
      <w:r w:rsidRPr="26403EC0">
        <w:rPr>
          <w:color w:val="000000" w:themeColor="text1"/>
        </w:rPr>
        <w:t xml:space="preserve"> </w:t>
      </w:r>
      <w:r w:rsidR="00DF14F3" w:rsidRPr="26403EC0">
        <w:rPr>
          <w:color w:val="000000" w:themeColor="text1"/>
        </w:rPr>
        <w:t>his</w:t>
      </w:r>
      <w:r w:rsidR="00B72923" w:rsidRPr="26403EC0">
        <w:rPr>
          <w:color w:val="000000" w:themeColor="text1"/>
        </w:rPr>
        <w:t xml:space="preserve"> </w:t>
      </w:r>
      <w:r w:rsidRPr="26403EC0">
        <w:rPr>
          <w:color w:val="000000" w:themeColor="text1"/>
        </w:rPr>
        <w:t>performance on screening FVC and 6MWD in order to meet the inclusion criteria for the trial</w:t>
      </w:r>
      <w:r w:rsidR="00F26F1B" w:rsidRPr="26403EC0">
        <w:rPr>
          <w:color w:val="000000" w:themeColor="text1"/>
        </w:rPr>
        <w:t xml:space="preserve"> and gain access to ERT</w:t>
      </w:r>
      <w:r w:rsidR="006F0820" w:rsidRPr="26403EC0">
        <w:rPr>
          <w:color w:val="000000" w:themeColor="text1"/>
        </w:rPr>
        <w:t xml:space="preserve"> (PROPEL CSR, pp91-92)</w:t>
      </w:r>
      <w:r w:rsidR="00F26F1B" w:rsidRPr="26403EC0">
        <w:rPr>
          <w:color w:val="000000" w:themeColor="text1"/>
        </w:rPr>
        <w:t xml:space="preserve">. </w:t>
      </w:r>
      <w:r w:rsidR="006F0820" w:rsidRPr="26403EC0">
        <w:rPr>
          <w:color w:val="000000" w:themeColor="text1"/>
        </w:rPr>
        <w:t xml:space="preserve">The effect of restricting </w:t>
      </w:r>
      <w:r w:rsidR="00BD70F4" w:rsidRPr="26403EC0">
        <w:rPr>
          <w:color w:val="000000" w:themeColor="text1"/>
        </w:rPr>
        <w:t>t</w:t>
      </w:r>
      <w:r w:rsidR="00DF14F3" w:rsidRPr="26403EC0">
        <w:rPr>
          <w:color w:val="000000" w:themeColor="text1"/>
        </w:rPr>
        <w:t>his</w:t>
      </w:r>
      <w:r w:rsidR="00B72923" w:rsidRPr="26403EC0">
        <w:rPr>
          <w:color w:val="000000" w:themeColor="text1"/>
        </w:rPr>
        <w:t xml:space="preserve"> </w:t>
      </w:r>
      <w:r w:rsidR="006F0820" w:rsidRPr="26403EC0">
        <w:rPr>
          <w:color w:val="000000" w:themeColor="text1"/>
        </w:rPr>
        <w:t>performance at screening was</w:t>
      </w:r>
      <w:r w:rsidRPr="26403EC0">
        <w:rPr>
          <w:color w:val="000000" w:themeColor="text1"/>
        </w:rPr>
        <w:t xml:space="preserve"> implausibly large improvements on treatment</w:t>
      </w:r>
      <w:r w:rsidR="006F0820" w:rsidRPr="26403EC0">
        <w:rPr>
          <w:color w:val="000000" w:themeColor="text1"/>
        </w:rPr>
        <w:t>, which had a substantial effect on overall trial outcomes: i</w:t>
      </w:r>
      <w:r w:rsidR="0044550E" w:rsidRPr="26403EC0">
        <w:rPr>
          <w:color w:val="000000" w:themeColor="text1"/>
        </w:rPr>
        <w:t xml:space="preserve">f this patient's data </w:t>
      </w:r>
      <w:r w:rsidR="006F0820" w:rsidRPr="26403EC0">
        <w:rPr>
          <w:color w:val="000000" w:themeColor="text1"/>
        </w:rPr>
        <w:t>are</w:t>
      </w:r>
      <w:r w:rsidR="0044550E" w:rsidRPr="26403EC0">
        <w:rPr>
          <w:color w:val="000000" w:themeColor="text1"/>
        </w:rPr>
        <w:t xml:space="preserve"> included, the least squares mean (95% CI) difference in 6MWD between </w:t>
      </w:r>
      <w:r w:rsidR="00263A5C" w:rsidRPr="26403EC0">
        <w:rPr>
          <w:color w:val="000000" w:themeColor="text1"/>
        </w:rPr>
        <w:t>CIPAMIG</w:t>
      </w:r>
      <w:r w:rsidR="0044550E" w:rsidRPr="26403EC0">
        <w:rPr>
          <w:color w:val="000000" w:themeColor="text1"/>
        </w:rPr>
        <w:t xml:space="preserve">-treated and </w:t>
      </w:r>
      <w:r w:rsidR="00263A5C" w:rsidRPr="26403EC0">
        <w:rPr>
          <w:color w:val="000000" w:themeColor="text1"/>
        </w:rPr>
        <w:t>ALGLU</w:t>
      </w:r>
      <w:r w:rsidR="0044550E" w:rsidRPr="26403EC0">
        <w:rPr>
          <w:color w:val="000000" w:themeColor="text1"/>
        </w:rPr>
        <w:t>-treated patients was 5.3 (-15.3, 25.9); if</w:t>
      </w:r>
      <w:r w:rsidR="00F26F1B" w:rsidRPr="26403EC0">
        <w:rPr>
          <w:color w:val="000000" w:themeColor="text1"/>
        </w:rPr>
        <w:t xml:space="preserve"> </w:t>
      </w:r>
      <w:r w:rsidR="00DE66B5" w:rsidRPr="26403EC0">
        <w:rPr>
          <w:color w:val="000000" w:themeColor="text1"/>
        </w:rPr>
        <w:t>this patient</w:t>
      </w:r>
      <w:r w:rsidR="00D87F06" w:rsidRPr="26403EC0">
        <w:rPr>
          <w:color w:val="000000" w:themeColor="text1"/>
        </w:rPr>
        <w:t xml:space="preserve">'s </w:t>
      </w:r>
      <w:r w:rsidR="0044550E" w:rsidRPr="26403EC0">
        <w:rPr>
          <w:color w:val="000000" w:themeColor="text1"/>
        </w:rPr>
        <w:t xml:space="preserve">data </w:t>
      </w:r>
      <w:r w:rsidR="00F26F1B" w:rsidRPr="26403EC0">
        <w:rPr>
          <w:color w:val="000000" w:themeColor="text1"/>
        </w:rPr>
        <w:t>are</w:t>
      </w:r>
      <w:r w:rsidR="0044550E" w:rsidRPr="26403EC0">
        <w:rPr>
          <w:color w:val="000000" w:themeColor="text1"/>
        </w:rPr>
        <w:t xml:space="preserve"> excluded, the result becomes 14.2 (-2.6, 31.0)</w:t>
      </w:r>
      <w:r w:rsidR="008806D7" w:rsidRPr="26403EC0">
        <w:rPr>
          <w:color w:val="000000" w:themeColor="text1"/>
        </w:rPr>
        <w:t xml:space="preserve"> (Table 27 of the submission). </w:t>
      </w:r>
    </w:p>
    <w:p w14:paraId="73254D06" w14:textId="5C389CBE" w:rsidR="00554063" w:rsidRPr="00272378" w:rsidRDefault="0044550E" w:rsidP="26403EC0">
      <w:pPr>
        <w:pStyle w:val="3-BodyText"/>
        <w:rPr>
          <w:color w:val="000000" w:themeColor="text1"/>
        </w:rPr>
      </w:pPr>
      <w:r w:rsidRPr="26403EC0">
        <w:rPr>
          <w:color w:val="000000" w:themeColor="text1"/>
        </w:rPr>
        <w:t>This patient's data were excluded from the published account of the trial</w:t>
      </w:r>
      <w:r w:rsidR="00FA6068" w:rsidRPr="26403EC0">
        <w:rPr>
          <w:color w:val="000000" w:themeColor="text1"/>
        </w:rPr>
        <w:t xml:space="preserve"> (</w:t>
      </w:r>
      <w:proofErr w:type="spellStart"/>
      <w:r w:rsidR="00FA6068" w:rsidRPr="26403EC0">
        <w:rPr>
          <w:color w:val="000000" w:themeColor="text1"/>
        </w:rPr>
        <w:t>Schoser</w:t>
      </w:r>
      <w:proofErr w:type="spellEnd"/>
      <w:r w:rsidR="00FA6068" w:rsidRPr="26403EC0">
        <w:rPr>
          <w:color w:val="000000" w:themeColor="text1"/>
        </w:rPr>
        <w:t>, 2021)</w:t>
      </w:r>
      <w:r w:rsidR="00030FAC" w:rsidRPr="26403EC0">
        <w:rPr>
          <w:color w:val="000000" w:themeColor="text1"/>
        </w:rPr>
        <w:t>. The</w:t>
      </w:r>
      <w:r w:rsidR="000A7243" w:rsidRPr="26403EC0">
        <w:rPr>
          <w:color w:val="000000" w:themeColor="text1"/>
        </w:rPr>
        <w:t xml:space="preserve"> data</w:t>
      </w:r>
      <w:r w:rsidR="00030FAC" w:rsidRPr="26403EC0">
        <w:rPr>
          <w:color w:val="000000" w:themeColor="text1"/>
        </w:rPr>
        <w:t xml:space="preserve"> were also excluded</w:t>
      </w:r>
      <w:r w:rsidRPr="26403EC0">
        <w:rPr>
          <w:color w:val="000000" w:themeColor="text1"/>
        </w:rPr>
        <w:t xml:space="preserve"> from most of the </w:t>
      </w:r>
      <w:r w:rsidR="006F0820" w:rsidRPr="26403EC0">
        <w:rPr>
          <w:color w:val="000000" w:themeColor="text1"/>
        </w:rPr>
        <w:t xml:space="preserve">efficacy </w:t>
      </w:r>
      <w:r w:rsidRPr="26403EC0">
        <w:rPr>
          <w:color w:val="000000" w:themeColor="text1"/>
        </w:rPr>
        <w:t>results reported in the CSR</w:t>
      </w:r>
      <w:r w:rsidR="00030FAC" w:rsidRPr="26403EC0">
        <w:rPr>
          <w:color w:val="000000" w:themeColor="text1"/>
        </w:rPr>
        <w:t xml:space="preserve">, </w:t>
      </w:r>
      <w:r w:rsidR="00D970E5" w:rsidRPr="26403EC0">
        <w:rPr>
          <w:color w:val="000000" w:themeColor="text1"/>
        </w:rPr>
        <w:t>including</w:t>
      </w:r>
      <w:r w:rsidR="00030FAC" w:rsidRPr="26403EC0">
        <w:rPr>
          <w:color w:val="000000" w:themeColor="text1"/>
        </w:rPr>
        <w:t xml:space="preserve"> for % predicted FVC</w:t>
      </w:r>
      <w:r w:rsidR="006F0820" w:rsidRPr="26403EC0">
        <w:rPr>
          <w:color w:val="000000" w:themeColor="text1"/>
        </w:rPr>
        <w:t>, and, for consistency,</w:t>
      </w:r>
      <w:r w:rsidR="00F26F1B" w:rsidRPr="26403EC0">
        <w:rPr>
          <w:color w:val="000000" w:themeColor="text1"/>
        </w:rPr>
        <w:t xml:space="preserve"> data excluding this patient have been </w:t>
      </w:r>
      <w:r w:rsidR="008806D7" w:rsidRPr="26403EC0">
        <w:rPr>
          <w:color w:val="000000" w:themeColor="text1"/>
        </w:rPr>
        <w:t>used in the evaluation</w:t>
      </w:r>
      <w:r w:rsidR="006F0820" w:rsidRPr="26403EC0">
        <w:rPr>
          <w:color w:val="000000" w:themeColor="text1"/>
        </w:rPr>
        <w:t xml:space="preserve"> (safety data in the CSR included this patient)</w:t>
      </w:r>
      <w:r w:rsidRPr="26403EC0">
        <w:rPr>
          <w:color w:val="000000" w:themeColor="text1"/>
        </w:rPr>
        <w:t>.</w:t>
      </w:r>
      <w:r w:rsidR="00272378" w:rsidRPr="26403EC0">
        <w:rPr>
          <w:color w:val="000000" w:themeColor="text1"/>
        </w:rPr>
        <w:t xml:space="preserve">  </w:t>
      </w:r>
    </w:p>
    <w:p w14:paraId="18AE05D9" w14:textId="006C9135" w:rsidR="00D017E3" w:rsidRDefault="00843FE7" w:rsidP="00EC5836">
      <w:pPr>
        <w:pStyle w:val="3-BodyText"/>
        <w:rPr>
          <w:color w:val="000000" w:themeColor="text1"/>
        </w:rPr>
      </w:pPr>
      <w:r>
        <w:rPr>
          <w:color w:val="000000" w:themeColor="text1"/>
        </w:rPr>
        <w:t>Doses and treatment exposure in the trials are shown in</w:t>
      </w:r>
      <w:r w:rsidR="00E93180">
        <w:rPr>
          <w:color w:val="000000" w:themeColor="text1"/>
        </w:rPr>
        <w:t xml:space="preserve"> </w:t>
      </w:r>
      <w:r w:rsidR="00E93180">
        <w:rPr>
          <w:color w:val="000000" w:themeColor="text1"/>
        </w:rPr>
        <w:fldChar w:fldCharType="begin"/>
      </w:r>
      <w:r w:rsidR="00E93180">
        <w:rPr>
          <w:color w:val="000000" w:themeColor="text1"/>
        </w:rPr>
        <w:instrText xml:space="preserve"> REF _Ref184128793 \h </w:instrText>
      </w:r>
      <w:r w:rsidR="00E93180">
        <w:rPr>
          <w:color w:val="000000" w:themeColor="text1"/>
        </w:rPr>
      </w:r>
      <w:r w:rsidR="00E93180">
        <w:rPr>
          <w:color w:val="000000" w:themeColor="text1"/>
        </w:rPr>
        <w:fldChar w:fldCharType="separate"/>
      </w:r>
      <w:r w:rsidR="007A62D0">
        <w:t xml:space="preserve">Table </w:t>
      </w:r>
      <w:r w:rsidR="007A62D0">
        <w:rPr>
          <w:noProof/>
        </w:rPr>
        <w:t>4</w:t>
      </w:r>
      <w:r w:rsidR="00E93180">
        <w:rPr>
          <w:color w:val="000000" w:themeColor="text1"/>
        </w:rPr>
        <w:fldChar w:fldCharType="end"/>
      </w:r>
      <w:r w:rsidR="00E64EBD">
        <w:rPr>
          <w:color w:val="000000" w:themeColor="text1"/>
        </w:rPr>
        <w:t>.</w:t>
      </w:r>
    </w:p>
    <w:p w14:paraId="0BDD773D" w14:textId="4A3367FA" w:rsidR="00843FE7" w:rsidRDefault="00E93180" w:rsidP="00E93180">
      <w:pPr>
        <w:pStyle w:val="Caption"/>
      </w:pPr>
      <w:bookmarkStart w:id="25" w:name="_Ref184128793"/>
      <w:r>
        <w:t xml:space="preserve">Table </w:t>
      </w:r>
      <w:r w:rsidR="005C2AA5">
        <w:fldChar w:fldCharType="begin"/>
      </w:r>
      <w:r w:rsidR="005C2AA5">
        <w:instrText xml:space="preserve"> SEQ Table \* ARABIC </w:instrText>
      </w:r>
      <w:r w:rsidR="005C2AA5">
        <w:fldChar w:fldCharType="separate"/>
      </w:r>
      <w:r w:rsidR="007A62D0">
        <w:rPr>
          <w:noProof/>
        </w:rPr>
        <w:t>4</w:t>
      </w:r>
      <w:r w:rsidR="005C2AA5">
        <w:rPr>
          <w:noProof/>
        </w:rPr>
        <w:fldChar w:fldCharType="end"/>
      </w:r>
      <w:bookmarkEnd w:id="25"/>
      <w:r>
        <w:t xml:space="preserve">: </w:t>
      </w:r>
      <w:r w:rsidR="00843FE7">
        <w:t>Doses and treatment exposure in PROPEL and COMET</w:t>
      </w:r>
    </w:p>
    <w:tbl>
      <w:tblPr>
        <w:tblStyle w:val="TableGrid"/>
        <w:tblW w:w="0" w:type="auto"/>
        <w:tblLook w:val="04A0" w:firstRow="1" w:lastRow="0" w:firstColumn="1" w:lastColumn="0" w:noHBand="0" w:noVBand="1"/>
        <w:tblCaption w:val="Table 4: Doses and treatment exposure in PROPEL and COMET"/>
      </w:tblPr>
      <w:tblGrid>
        <w:gridCol w:w="988"/>
        <w:gridCol w:w="1701"/>
        <w:gridCol w:w="2268"/>
        <w:gridCol w:w="1842"/>
        <w:gridCol w:w="1985"/>
      </w:tblGrid>
      <w:tr w:rsidR="00D364D5" w14:paraId="01009364" w14:textId="77777777" w:rsidTr="00D364D5">
        <w:tc>
          <w:tcPr>
            <w:tcW w:w="988" w:type="dxa"/>
          </w:tcPr>
          <w:p w14:paraId="6B1BE95D" w14:textId="77777777" w:rsidR="00D364D5" w:rsidRDefault="00D364D5" w:rsidP="00843FE7">
            <w:pPr>
              <w:pStyle w:val="TableFigureHeading"/>
            </w:pPr>
          </w:p>
        </w:tc>
        <w:tc>
          <w:tcPr>
            <w:tcW w:w="1701" w:type="dxa"/>
          </w:tcPr>
          <w:p w14:paraId="28D47452" w14:textId="76A67736" w:rsidR="00D364D5" w:rsidRDefault="00D364D5" w:rsidP="00843FE7">
            <w:pPr>
              <w:pStyle w:val="TableFigureHeading"/>
            </w:pPr>
            <w:r>
              <w:t>Treatment</w:t>
            </w:r>
          </w:p>
        </w:tc>
        <w:tc>
          <w:tcPr>
            <w:tcW w:w="2268" w:type="dxa"/>
          </w:tcPr>
          <w:p w14:paraId="797F380A" w14:textId="775B2BD7" w:rsidR="00D364D5" w:rsidRDefault="00D364D5" w:rsidP="00843FE7">
            <w:pPr>
              <w:pStyle w:val="TableFigureHeading"/>
            </w:pPr>
            <w:r>
              <w:t>Dosing Regimen</w:t>
            </w:r>
          </w:p>
        </w:tc>
        <w:tc>
          <w:tcPr>
            <w:tcW w:w="1842" w:type="dxa"/>
          </w:tcPr>
          <w:p w14:paraId="2095D810" w14:textId="487933E0" w:rsidR="00D364D5" w:rsidRDefault="00D364D5" w:rsidP="00843FE7">
            <w:pPr>
              <w:pStyle w:val="TableFigureHeading"/>
            </w:pPr>
            <w:r>
              <w:t>Treatment Duration, months, Mean (SD)</w:t>
            </w:r>
          </w:p>
        </w:tc>
        <w:tc>
          <w:tcPr>
            <w:tcW w:w="1985" w:type="dxa"/>
          </w:tcPr>
          <w:p w14:paraId="75D20FC1" w14:textId="77777777" w:rsidR="00D364D5" w:rsidRDefault="00D364D5" w:rsidP="00843FE7">
            <w:pPr>
              <w:pStyle w:val="TableFigureHeading"/>
            </w:pPr>
            <w:r>
              <w:t>Number of Doses</w:t>
            </w:r>
          </w:p>
          <w:p w14:paraId="16B34F3F" w14:textId="77777777" w:rsidR="00D364D5" w:rsidRDefault="00D364D5" w:rsidP="00843FE7">
            <w:pPr>
              <w:pStyle w:val="TableFigureHeading"/>
            </w:pPr>
            <w:r>
              <w:t>Mean (SD)</w:t>
            </w:r>
          </w:p>
          <w:p w14:paraId="2F8E9E07" w14:textId="77F3E3CC" w:rsidR="00D364D5" w:rsidRDefault="00D364D5" w:rsidP="00843FE7">
            <w:pPr>
              <w:pStyle w:val="TableFigureHeading"/>
            </w:pPr>
            <w:r>
              <w:t>Median (range)</w:t>
            </w:r>
          </w:p>
        </w:tc>
      </w:tr>
      <w:tr w:rsidR="00D364D5" w14:paraId="47BA49DF" w14:textId="77777777" w:rsidTr="00D364D5">
        <w:tc>
          <w:tcPr>
            <w:tcW w:w="988" w:type="dxa"/>
            <w:vMerge w:val="restart"/>
          </w:tcPr>
          <w:p w14:paraId="0E232485" w14:textId="378393BE" w:rsidR="00D364D5" w:rsidRDefault="00D364D5" w:rsidP="00843FE7">
            <w:pPr>
              <w:pStyle w:val="TableFigureHeading"/>
            </w:pPr>
            <w:r>
              <w:t>PROPEL</w:t>
            </w:r>
          </w:p>
        </w:tc>
        <w:tc>
          <w:tcPr>
            <w:tcW w:w="1701" w:type="dxa"/>
          </w:tcPr>
          <w:p w14:paraId="753CB6D7" w14:textId="5207B263" w:rsidR="00D364D5" w:rsidRDefault="00FA6068" w:rsidP="00D364D5">
            <w:pPr>
              <w:pStyle w:val="TableText0"/>
            </w:pPr>
            <w:r>
              <w:t>CIPAMIG</w:t>
            </w:r>
          </w:p>
        </w:tc>
        <w:tc>
          <w:tcPr>
            <w:tcW w:w="2268" w:type="dxa"/>
          </w:tcPr>
          <w:p w14:paraId="3A3791EA" w14:textId="7F6A3AC1" w:rsidR="00D364D5" w:rsidRDefault="00D364D5" w:rsidP="00D364D5">
            <w:pPr>
              <w:pStyle w:val="TableText0"/>
            </w:pPr>
            <w:r>
              <w:t xml:space="preserve">CIPA 20 mg/kg 2nd weekly; </w:t>
            </w:r>
          </w:p>
          <w:p w14:paraId="353F481C" w14:textId="0BB5B341" w:rsidR="00D364D5" w:rsidRDefault="00D364D5" w:rsidP="00D364D5">
            <w:pPr>
              <w:pStyle w:val="TableText0"/>
            </w:pPr>
            <w:r>
              <w:t xml:space="preserve">MIG 3 x 65 mg 2nd weekly if 40-50 kg, 4 x 65 mg 2nd weekly if </w:t>
            </w:r>
            <w:r>
              <w:rPr>
                <w:rFonts w:ascii="Symbol" w:eastAsia="Symbol" w:hAnsi="Symbol" w:cs="Symbol"/>
              </w:rPr>
              <w:t>³</w:t>
            </w:r>
            <w:r>
              <w:t>50 kg</w:t>
            </w:r>
          </w:p>
        </w:tc>
        <w:tc>
          <w:tcPr>
            <w:tcW w:w="1842" w:type="dxa"/>
          </w:tcPr>
          <w:p w14:paraId="57BE2EEA" w14:textId="7AC23FC9" w:rsidR="00D364D5" w:rsidRDefault="00D364D5" w:rsidP="00D364D5">
            <w:pPr>
              <w:pStyle w:val="TableText0"/>
            </w:pPr>
            <w:r>
              <w:t>11.8 (1.8)</w:t>
            </w:r>
          </w:p>
        </w:tc>
        <w:tc>
          <w:tcPr>
            <w:tcW w:w="1985" w:type="dxa"/>
          </w:tcPr>
          <w:p w14:paraId="265E7A39" w14:textId="77777777" w:rsidR="00D364D5" w:rsidRDefault="00D364D5" w:rsidP="00D364D5">
            <w:pPr>
              <w:pStyle w:val="TableText0"/>
            </w:pPr>
            <w:r>
              <w:t>25.7 (3.8)</w:t>
            </w:r>
          </w:p>
          <w:p w14:paraId="361AB18F" w14:textId="2B063696" w:rsidR="00D364D5" w:rsidRDefault="00D364D5" w:rsidP="00D364D5">
            <w:pPr>
              <w:pStyle w:val="TableText0"/>
            </w:pPr>
            <w:r>
              <w:t>27.0 (25.0, 27.0)</w:t>
            </w:r>
          </w:p>
        </w:tc>
      </w:tr>
      <w:tr w:rsidR="00D364D5" w14:paraId="0229D4A7" w14:textId="77777777" w:rsidTr="00D364D5">
        <w:tc>
          <w:tcPr>
            <w:tcW w:w="988" w:type="dxa"/>
            <w:vMerge/>
          </w:tcPr>
          <w:p w14:paraId="50B0C50E" w14:textId="77777777" w:rsidR="00D364D5" w:rsidRDefault="00D364D5" w:rsidP="00843FE7">
            <w:pPr>
              <w:pStyle w:val="TableFigureHeading"/>
            </w:pPr>
          </w:p>
        </w:tc>
        <w:tc>
          <w:tcPr>
            <w:tcW w:w="1701" w:type="dxa"/>
          </w:tcPr>
          <w:p w14:paraId="28848A25" w14:textId="7C496D21" w:rsidR="00D364D5" w:rsidRDefault="00FA6068" w:rsidP="00D364D5">
            <w:pPr>
              <w:pStyle w:val="TableText0"/>
            </w:pPr>
            <w:r>
              <w:t>ALGLU</w:t>
            </w:r>
            <w:r w:rsidR="00D364D5">
              <w:t xml:space="preserve"> + placebo</w:t>
            </w:r>
          </w:p>
        </w:tc>
        <w:tc>
          <w:tcPr>
            <w:tcW w:w="2268" w:type="dxa"/>
          </w:tcPr>
          <w:p w14:paraId="7FB48208" w14:textId="6C010EE7" w:rsidR="00D364D5" w:rsidRDefault="00D364D5" w:rsidP="00D364D5">
            <w:pPr>
              <w:pStyle w:val="TableText0"/>
            </w:pPr>
            <w:r>
              <w:t xml:space="preserve">ALGLU 20 mg/kg 2nd weekly; placebo matched for weight. </w:t>
            </w:r>
          </w:p>
        </w:tc>
        <w:tc>
          <w:tcPr>
            <w:tcW w:w="1842" w:type="dxa"/>
          </w:tcPr>
          <w:p w14:paraId="4AED6FE1" w14:textId="1A023A06" w:rsidR="00D364D5" w:rsidRDefault="00D364D5" w:rsidP="00D364D5">
            <w:pPr>
              <w:pStyle w:val="TableText0"/>
            </w:pPr>
            <w:r>
              <w:t>12.0 (0.7)</w:t>
            </w:r>
          </w:p>
        </w:tc>
        <w:tc>
          <w:tcPr>
            <w:tcW w:w="1985" w:type="dxa"/>
          </w:tcPr>
          <w:p w14:paraId="29F4A4FC" w14:textId="77777777" w:rsidR="00D364D5" w:rsidRDefault="00D364D5" w:rsidP="00D364D5">
            <w:pPr>
              <w:pStyle w:val="TableText0"/>
            </w:pPr>
            <w:r>
              <w:t>26.2 (2.0)</w:t>
            </w:r>
          </w:p>
          <w:p w14:paraId="11E9F810" w14:textId="469C370B" w:rsidR="00D364D5" w:rsidRDefault="00D364D5" w:rsidP="00D364D5">
            <w:pPr>
              <w:pStyle w:val="TableText0"/>
            </w:pPr>
            <w:r>
              <w:t>27.0 (26.0, 27.0)</w:t>
            </w:r>
          </w:p>
        </w:tc>
      </w:tr>
      <w:tr w:rsidR="00D364D5" w14:paraId="6084C2D4" w14:textId="77777777" w:rsidTr="00D364D5">
        <w:tc>
          <w:tcPr>
            <w:tcW w:w="988" w:type="dxa"/>
            <w:vMerge w:val="restart"/>
          </w:tcPr>
          <w:p w14:paraId="19CFC736" w14:textId="58456F9B" w:rsidR="00D364D5" w:rsidRDefault="00D364D5" w:rsidP="00843FE7">
            <w:pPr>
              <w:pStyle w:val="TableFigureHeading"/>
            </w:pPr>
            <w:r>
              <w:t>COMET</w:t>
            </w:r>
          </w:p>
        </w:tc>
        <w:tc>
          <w:tcPr>
            <w:tcW w:w="1701" w:type="dxa"/>
          </w:tcPr>
          <w:p w14:paraId="531A3377" w14:textId="75536822" w:rsidR="00D364D5" w:rsidRDefault="00FA6068" w:rsidP="00D364D5">
            <w:pPr>
              <w:pStyle w:val="TableText0"/>
            </w:pPr>
            <w:r>
              <w:t>AVAL</w:t>
            </w:r>
          </w:p>
        </w:tc>
        <w:tc>
          <w:tcPr>
            <w:tcW w:w="2268" w:type="dxa"/>
          </w:tcPr>
          <w:p w14:paraId="2F354CB3" w14:textId="017C1DF9" w:rsidR="00D364D5" w:rsidRDefault="00D364D5" w:rsidP="00D364D5">
            <w:pPr>
              <w:pStyle w:val="TableText0"/>
            </w:pPr>
            <w:r>
              <w:t>20 mg/kg 2nd weekly</w:t>
            </w:r>
          </w:p>
        </w:tc>
        <w:tc>
          <w:tcPr>
            <w:tcW w:w="1842" w:type="dxa"/>
          </w:tcPr>
          <w:p w14:paraId="2ACC3B28" w14:textId="5898EE9C" w:rsidR="00D364D5" w:rsidRDefault="00D364D5" w:rsidP="00D364D5">
            <w:pPr>
              <w:pStyle w:val="TableText0"/>
            </w:pPr>
            <w:r>
              <w:t xml:space="preserve">49 weeks protocol </w:t>
            </w:r>
          </w:p>
        </w:tc>
        <w:tc>
          <w:tcPr>
            <w:tcW w:w="1985" w:type="dxa"/>
          </w:tcPr>
          <w:p w14:paraId="780635FC" w14:textId="18970689" w:rsidR="00D364D5" w:rsidRDefault="00D364D5" w:rsidP="00D364D5">
            <w:pPr>
              <w:pStyle w:val="TableText0"/>
            </w:pPr>
            <w:r>
              <w:t>NR</w:t>
            </w:r>
          </w:p>
        </w:tc>
      </w:tr>
      <w:tr w:rsidR="00D364D5" w14:paraId="43B347C5" w14:textId="77777777" w:rsidTr="00D364D5">
        <w:tc>
          <w:tcPr>
            <w:tcW w:w="988" w:type="dxa"/>
            <w:vMerge/>
          </w:tcPr>
          <w:p w14:paraId="6033296A" w14:textId="77777777" w:rsidR="00D364D5" w:rsidRDefault="00D364D5" w:rsidP="00843FE7">
            <w:pPr>
              <w:pStyle w:val="TableFigureHeading"/>
            </w:pPr>
          </w:p>
        </w:tc>
        <w:tc>
          <w:tcPr>
            <w:tcW w:w="1701" w:type="dxa"/>
          </w:tcPr>
          <w:p w14:paraId="25C89EA7" w14:textId="1391B803" w:rsidR="00D364D5" w:rsidRDefault="00FA6068" w:rsidP="00D364D5">
            <w:pPr>
              <w:pStyle w:val="TableText0"/>
            </w:pPr>
            <w:r>
              <w:t>ALGLU</w:t>
            </w:r>
          </w:p>
        </w:tc>
        <w:tc>
          <w:tcPr>
            <w:tcW w:w="2268" w:type="dxa"/>
          </w:tcPr>
          <w:p w14:paraId="1C7B29A9" w14:textId="5FC3A275" w:rsidR="00D364D5" w:rsidRDefault="00D364D5" w:rsidP="00D364D5">
            <w:pPr>
              <w:pStyle w:val="TableText0"/>
            </w:pPr>
            <w:r>
              <w:t>20 mg/kg 2nd weekly</w:t>
            </w:r>
          </w:p>
        </w:tc>
        <w:tc>
          <w:tcPr>
            <w:tcW w:w="1842" w:type="dxa"/>
          </w:tcPr>
          <w:p w14:paraId="3BFA0CB0" w14:textId="2B30665A" w:rsidR="00D364D5" w:rsidRDefault="00D364D5" w:rsidP="00D364D5">
            <w:pPr>
              <w:pStyle w:val="TableText0"/>
            </w:pPr>
            <w:r>
              <w:t xml:space="preserve">49 weeks protocol </w:t>
            </w:r>
          </w:p>
        </w:tc>
        <w:tc>
          <w:tcPr>
            <w:tcW w:w="1985" w:type="dxa"/>
          </w:tcPr>
          <w:p w14:paraId="02C5A30B" w14:textId="2BEF72F1" w:rsidR="00D364D5" w:rsidRDefault="00D364D5" w:rsidP="00D364D5">
            <w:pPr>
              <w:pStyle w:val="TableText0"/>
            </w:pPr>
            <w:r>
              <w:t>NR</w:t>
            </w:r>
          </w:p>
        </w:tc>
      </w:tr>
    </w:tbl>
    <w:p w14:paraId="196569F1" w14:textId="77777777" w:rsidR="00D364D5" w:rsidRDefault="00843FE7" w:rsidP="00D364D5">
      <w:pPr>
        <w:pStyle w:val="TableFigureFooter"/>
      </w:pPr>
      <w:r>
        <w:t xml:space="preserve"> </w:t>
      </w:r>
      <w:r w:rsidR="00D364D5">
        <w:t xml:space="preserve">Source: Table 22, p62 of the submission. </w:t>
      </w:r>
    </w:p>
    <w:p w14:paraId="5546BDB3" w14:textId="5EED6D88" w:rsidR="00843FE7" w:rsidRDefault="00D364D5" w:rsidP="00D364D5">
      <w:pPr>
        <w:pStyle w:val="TableFigureFooter"/>
      </w:pPr>
      <w:r>
        <w:t xml:space="preserve">ALGLU = alglucosidase; </w:t>
      </w:r>
      <w:r w:rsidR="00FA6068">
        <w:t xml:space="preserve">AVAL = </w:t>
      </w:r>
      <w:proofErr w:type="spellStart"/>
      <w:r w:rsidR="00FA6068">
        <w:t>avalglucosidase</w:t>
      </w:r>
      <w:proofErr w:type="spellEnd"/>
      <w:r w:rsidR="00FA6068">
        <w:t xml:space="preserve">; </w:t>
      </w:r>
      <w:r>
        <w:t xml:space="preserve">CIPA = cipaglucosidase; </w:t>
      </w:r>
      <w:r w:rsidR="00FA6068">
        <w:t xml:space="preserve">CIPAMIG = cipaglucosidase + </w:t>
      </w:r>
      <w:proofErr w:type="spellStart"/>
      <w:r w:rsidR="00FA6068">
        <w:t>miglustat</w:t>
      </w:r>
      <w:proofErr w:type="spellEnd"/>
      <w:r w:rsidR="00FA6068">
        <w:t xml:space="preserve">; </w:t>
      </w:r>
      <w:r>
        <w:t xml:space="preserve">MIG = </w:t>
      </w:r>
      <w:proofErr w:type="spellStart"/>
      <w:r>
        <w:t>miglustat</w:t>
      </w:r>
      <w:proofErr w:type="spellEnd"/>
      <w:r>
        <w:t>; NR = not reported; SD = standard deviation.</w:t>
      </w:r>
    </w:p>
    <w:p w14:paraId="731238F7" w14:textId="476D7A89" w:rsidR="006B1C79" w:rsidRPr="00D017E3" w:rsidRDefault="00D96497" w:rsidP="00EC5836">
      <w:pPr>
        <w:pStyle w:val="3-BodyText"/>
        <w:rPr>
          <w:color w:val="000000" w:themeColor="text1"/>
        </w:rPr>
      </w:pPr>
      <w:r>
        <w:rPr>
          <w:color w:val="000000" w:themeColor="text1"/>
        </w:rPr>
        <w:t xml:space="preserve">Inclusion and exclusion </w:t>
      </w:r>
      <w:r w:rsidR="00962F90">
        <w:rPr>
          <w:color w:val="000000" w:themeColor="text1"/>
        </w:rPr>
        <w:t>criteria</w:t>
      </w:r>
      <w:r>
        <w:rPr>
          <w:color w:val="000000" w:themeColor="text1"/>
        </w:rPr>
        <w:t xml:space="preserve"> in the trials are shown in ATTACHMENT ES.4, Table ES.4.1. </w:t>
      </w:r>
      <w:r w:rsidR="002A104F" w:rsidRPr="00D017E3">
        <w:rPr>
          <w:color w:val="000000" w:themeColor="text1"/>
        </w:rPr>
        <w:t>Baseline characteristics of patients in the trials are shown in</w:t>
      </w:r>
      <w:r w:rsidR="00E93180">
        <w:rPr>
          <w:color w:val="000000" w:themeColor="text1"/>
        </w:rPr>
        <w:t xml:space="preserve"> </w:t>
      </w:r>
      <w:r w:rsidR="00E93180">
        <w:rPr>
          <w:color w:val="000000" w:themeColor="text1"/>
        </w:rPr>
        <w:fldChar w:fldCharType="begin"/>
      </w:r>
      <w:r w:rsidR="00E93180">
        <w:rPr>
          <w:color w:val="000000" w:themeColor="text1"/>
        </w:rPr>
        <w:instrText xml:space="preserve"> REF _Ref184128817 \h </w:instrText>
      </w:r>
      <w:r w:rsidR="00E93180">
        <w:rPr>
          <w:color w:val="000000" w:themeColor="text1"/>
        </w:rPr>
      </w:r>
      <w:r w:rsidR="00E93180">
        <w:rPr>
          <w:color w:val="000000" w:themeColor="text1"/>
        </w:rPr>
        <w:fldChar w:fldCharType="separate"/>
      </w:r>
      <w:r w:rsidR="007A62D0">
        <w:t xml:space="preserve">Table </w:t>
      </w:r>
      <w:r w:rsidR="007A62D0">
        <w:rPr>
          <w:noProof/>
        </w:rPr>
        <w:t>5</w:t>
      </w:r>
      <w:r w:rsidR="00E93180">
        <w:rPr>
          <w:color w:val="000000" w:themeColor="text1"/>
        </w:rPr>
        <w:fldChar w:fldCharType="end"/>
      </w:r>
      <w:r w:rsidR="002A104F" w:rsidRPr="00D017E3">
        <w:rPr>
          <w:color w:val="000000" w:themeColor="text1"/>
        </w:rPr>
        <w:t xml:space="preserve">. </w:t>
      </w:r>
      <w:r w:rsidR="00D87811" w:rsidRPr="00660928">
        <w:rPr>
          <w:iCs/>
          <w:color w:val="000000" w:themeColor="text1"/>
        </w:rPr>
        <w:t>The ESC noted that only one patient treated with AVAL in COMET was aged less than 18 years.</w:t>
      </w:r>
    </w:p>
    <w:p w14:paraId="74FC041E" w14:textId="5932403D" w:rsidR="002A104F" w:rsidRDefault="00E93180" w:rsidP="006E2B50">
      <w:pPr>
        <w:pStyle w:val="Caption"/>
      </w:pPr>
      <w:bookmarkStart w:id="26" w:name="_Ref184128817"/>
      <w:r>
        <w:t xml:space="preserve">Table </w:t>
      </w:r>
      <w:r w:rsidR="005C2AA5">
        <w:fldChar w:fldCharType="begin"/>
      </w:r>
      <w:r w:rsidR="005C2AA5">
        <w:instrText xml:space="preserve"> SEQ Table \* ARABIC </w:instrText>
      </w:r>
      <w:r w:rsidR="005C2AA5">
        <w:fldChar w:fldCharType="separate"/>
      </w:r>
      <w:r w:rsidR="007A62D0">
        <w:rPr>
          <w:noProof/>
        </w:rPr>
        <w:t>5</w:t>
      </w:r>
      <w:r w:rsidR="005C2AA5">
        <w:rPr>
          <w:noProof/>
        </w:rPr>
        <w:fldChar w:fldCharType="end"/>
      </w:r>
      <w:bookmarkEnd w:id="26"/>
      <w:r>
        <w:t xml:space="preserve">: </w:t>
      </w:r>
      <w:r w:rsidR="002A104F">
        <w:t xml:space="preserve">Baseline characteristics of patients in the trials </w:t>
      </w:r>
    </w:p>
    <w:tbl>
      <w:tblPr>
        <w:tblStyle w:val="TableGrid"/>
        <w:tblW w:w="0" w:type="auto"/>
        <w:tblLook w:val="04A0" w:firstRow="1" w:lastRow="0" w:firstColumn="1" w:lastColumn="0" w:noHBand="0" w:noVBand="1"/>
        <w:tblCaption w:val="Table 5: Baseline characteristics of patients in the trials "/>
      </w:tblPr>
      <w:tblGrid>
        <w:gridCol w:w="1803"/>
        <w:gridCol w:w="1803"/>
        <w:gridCol w:w="1803"/>
        <w:gridCol w:w="1804"/>
        <w:gridCol w:w="1804"/>
      </w:tblGrid>
      <w:tr w:rsidR="002A104F" w14:paraId="27EB09F6" w14:textId="77777777" w:rsidTr="4CC5A1CD">
        <w:trPr>
          <w:trHeight w:val="300"/>
        </w:trPr>
        <w:tc>
          <w:tcPr>
            <w:tcW w:w="1803" w:type="dxa"/>
          </w:tcPr>
          <w:p w14:paraId="47AD2CF3" w14:textId="77777777" w:rsidR="002A104F" w:rsidRDefault="002A104F" w:rsidP="006E2B50">
            <w:pPr>
              <w:pStyle w:val="In-tableHeading"/>
              <w:keepNext/>
            </w:pPr>
          </w:p>
        </w:tc>
        <w:tc>
          <w:tcPr>
            <w:tcW w:w="3606" w:type="dxa"/>
            <w:gridSpan w:val="2"/>
          </w:tcPr>
          <w:p w14:paraId="3F12A120" w14:textId="2F1A8E0F" w:rsidR="002A104F" w:rsidRDefault="002A104F" w:rsidP="006E2B50">
            <w:pPr>
              <w:pStyle w:val="In-tableHeading"/>
              <w:keepNext/>
            </w:pPr>
            <w:r>
              <w:t>PROPEL</w:t>
            </w:r>
          </w:p>
        </w:tc>
        <w:tc>
          <w:tcPr>
            <w:tcW w:w="3608" w:type="dxa"/>
            <w:gridSpan w:val="2"/>
          </w:tcPr>
          <w:p w14:paraId="7301D23B" w14:textId="57341EAD" w:rsidR="002A104F" w:rsidRDefault="002A104F" w:rsidP="006E2B50">
            <w:pPr>
              <w:pStyle w:val="In-tableHeading"/>
              <w:keepNext/>
            </w:pPr>
            <w:r>
              <w:t>COMET</w:t>
            </w:r>
          </w:p>
        </w:tc>
      </w:tr>
      <w:tr w:rsidR="002A104F" w14:paraId="43DC3D27" w14:textId="77777777" w:rsidTr="002A104F">
        <w:tc>
          <w:tcPr>
            <w:tcW w:w="1803" w:type="dxa"/>
          </w:tcPr>
          <w:p w14:paraId="7EE9E4D3" w14:textId="77777777" w:rsidR="002A104F" w:rsidRDefault="002A104F" w:rsidP="006E2B50">
            <w:pPr>
              <w:pStyle w:val="In-tableHeading"/>
              <w:keepNext/>
            </w:pPr>
          </w:p>
        </w:tc>
        <w:tc>
          <w:tcPr>
            <w:tcW w:w="1803" w:type="dxa"/>
          </w:tcPr>
          <w:p w14:paraId="12213623" w14:textId="77777777" w:rsidR="00FA6068" w:rsidRDefault="00FA6068" w:rsidP="006E2B50">
            <w:pPr>
              <w:pStyle w:val="In-tableHeading"/>
              <w:keepNext/>
            </w:pPr>
            <w:r>
              <w:t>CIPAMIG</w:t>
            </w:r>
          </w:p>
          <w:p w14:paraId="6DFC7746" w14:textId="78E55CAC" w:rsidR="002A104F" w:rsidRDefault="002A104F" w:rsidP="006E2B50">
            <w:pPr>
              <w:pStyle w:val="In-tableHeading"/>
              <w:keepNext/>
            </w:pPr>
            <w:r>
              <w:t xml:space="preserve">N = </w:t>
            </w:r>
            <w:r w:rsidR="003E00B1">
              <w:t>85</w:t>
            </w:r>
          </w:p>
        </w:tc>
        <w:tc>
          <w:tcPr>
            <w:tcW w:w="1803" w:type="dxa"/>
          </w:tcPr>
          <w:p w14:paraId="1467FAA4" w14:textId="36EEED05" w:rsidR="002A104F" w:rsidRDefault="00FA6068" w:rsidP="006E2B50">
            <w:pPr>
              <w:pStyle w:val="In-tableHeading"/>
              <w:keepNext/>
            </w:pPr>
            <w:r>
              <w:t>ALGU</w:t>
            </w:r>
          </w:p>
          <w:p w14:paraId="0978A59B" w14:textId="2A4F5BAF" w:rsidR="002A104F" w:rsidRDefault="002A104F" w:rsidP="006E2B50">
            <w:pPr>
              <w:pStyle w:val="In-tableHeading"/>
              <w:keepNext/>
            </w:pPr>
            <w:r>
              <w:t xml:space="preserve">N = </w:t>
            </w:r>
            <w:r w:rsidR="003E00B1">
              <w:t>38</w:t>
            </w:r>
          </w:p>
        </w:tc>
        <w:tc>
          <w:tcPr>
            <w:tcW w:w="1804" w:type="dxa"/>
          </w:tcPr>
          <w:p w14:paraId="251D1F06" w14:textId="5F0DF673" w:rsidR="002A104F" w:rsidRDefault="00FA6068" w:rsidP="006E2B50">
            <w:pPr>
              <w:pStyle w:val="In-tableHeading"/>
              <w:keepNext/>
            </w:pPr>
            <w:r>
              <w:t>AVAL</w:t>
            </w:r>
          </w:p>
          <w:p w14:paraId="7475D172" w14:textId="69704DD0" w:rsidR="002A104F" w:rsidRDefault="002A104F" w:rsidP="006E2B50">
            <w:pPr>
              <w:pStyle w:val="In-tableHeading"/>
              <w:keepNext/>
            </w:pPr>
            <w:r>
              <w:t xml:space="preserve">N = </w:t>
            </w:r>
            <w:r w:rsidR="00AD200C">
              <w:t>51</w:t>
            </w:r>
          </w:p>
        </w:tc>
        <w:tc>
          <w:tcPr>
            <w:tcW w:w="1804" w:type="dxa"/>
          </w:tcPr>
          <w:p w14:paraId="70FEB84A" w14:textId="577EDF63" w:rsidR="002A104F" w:rsidRDefault="00FA6068" w:rsidP="006E2B50">
            <w:pPr>
              <w:pStyle w:val="In-tableHeading"/>
              <w:keepNext/>
            </w:pPr>
            <w:r>
              <w:t>ALGLU</w:t>
            </w:r>
          </w:p>
          <w:p w14:paraId="66F0EDB6" w14:textId="2A27ECB6" w:rsidR="002A104F" w:rsidRDefault="002A104F" w:rsidP="006E2B50">
            <w:pPr>
              <w:pStyle w:val="In-tableHeading"/>
              <w:keepNext/>
            </w:pPr>
            <w:r>
              <w:t xml:space="preserve">N = </w:t>
            </w:r>
            <w:r w:rsidR="00AD200C">
              <w:t>49</w:t>
            </w:r>
          </w:p>
        </w:tc>
      </w:tr>
      <w:tr w:rsidR="002A104F" w14:paraId="7DBB0105" w14:textId="77777777" w:rsidTr="002A104F">
        <w:tc>
          <w:tcPr>
            <w:tcW w:w="1803" w:type="dxa"/>
          </w:tcPr>
          <w:p w14:paraId="15B0F705" w14:textId="77777777" w:rsidR="002A104F" w:rsidRDefault="003E00B1" w:rsidP="003E00B1">
            <w:pPr>
              <w:pStyle w:val="TableText0"/>
            </w:pPr>
            <w:r>
              <w:t>Age, years</w:t>
            </w:r>
          </w:p>
          <w:p w14:paraId="70F36D25" w14:textId="77777777" w:rsidR="003E00B1" w:rsidRDefault="003E00B1" w:rsidP="003E00B1">
            <w:pPr>
              <w:pStyle w:val="TableText0"/>
              <w:jc w:val="right"/>
            </w:pPr>
            <w:r>
              <w:t>Mean (SD)</w:t>
            </w:r>
          </w:p>
          <w:p w14:paraId="0FC51A05" w14:textId="77777777" w:rsidR="003E00B1" w:rsidRDefault="003E00B1" w:rsidP="003E00B1">
            <w:pPr>
              <w:pStyle w:val="TableText0"/>
              <w:jc w:val="right"/>
            </w:pPr>
            <w:r>
              <w:t>Median (IQR)</w:t>
            </w:r>
          </w:p>
          <w:p w14:paraId="7322D96E" w14:textId="7368DA0D" w:rsidR="003E00B1" w:rsidRDefault="003E00B1" w:rsidP="003E00B1">
            <w:pPr>
              <w:pStyle w:val="TableText0"/>
              <w:jc w:val="right"/>
            </w:pPr>
            <w:r>
              <w:t>Range</w:t>
            </w:r>
          </w:p>
        </w:tc>
        <w:tc>
          <w:tcPr>
            <w:tcW w:w="1803" w:type="dxa"/>
          </w:tcPr>
          <w:p w14:paraId="07D8C6B2" w14:textId="77777777" w:rsidR="002A104F" w:rsidRDefault="002A104F" w:rsidP="003E00B1">
            <w:pPr>
              <w:pStyle w:val="TableText0"/>
            </w:pPr>
          </w:p>
          <w:p w14:paraId="5CE4C1CF" w14:textId="77777777" w:rsidR="003E00B1" w:rsidRDefault="003E00B1" w:rsidP="003E00B1">
            <w:pPr>
              <w:pStyle w:val="TableText0"/>
            </w:pPr>
            <w:r>
              <w:t>47.6 (13.2)</w:t>
            </w:r>
          </w:p>
          <w:p w14:paraId="5E97707B" w14:textId="77777777" w:rsidR="003E00B1" w:rsidRDefault="003E00B1" w:rsidP="003E00B1">
            <w:pPr>
              <w:pStyle w:val="TableText0"/>
            </w:pPr>
            <w:r>
              <w:t>48.0 (38.0, 57.0)</w:t>
            </w:r>
          </w:p>
          <w:p w14:paraId="1AFC501E" w14:textId="06807C10" w:rsidR="003E00B1" w:rsidRDefault="003E00B1" w:rsidP="003E00B1">
            <w:pPr>
              <w:pStyle w:val="TableText0"/>
            </w:pPr>
            <w:r>
              <w:t>19, 74</w:t>
            </w:r>
          </w:p>
        </w:tc>
        <w:tc>
          <w:tcPr>
            <w:tcW w:w="1803" w:type="dxa"/>
          </w:tcPr>
          <w:p w14:paraId="73DE24E2" w14:textId="77777777" w:rsidR="002A104F" w:rsidRDefault="002A104F" w:rsidP="003E00B1">
            <w:pPr>
              <w:pStyle w:val="TableText0"/>
            </w:pPr>
          </w:p>
          <w:p w14:paraId="7FFFF249" w14:textId="77777777" w:rsidR="003E00B1" w:rsidRDefault="003E00B1" w:rsidP="003E00B1">
            <w:pPr>
              <w:pStyle w:val="TableText0"/>
            </w:pPr>
            <w:r>
              <w:t>45.1 (13.3)</w:t>
            </w:r>
          </w:p>
          <w:p w14:paraId="4C7014B6" w14:textId="77777777" w:rsidR="003E00B1" w:rsidRDefault="003E00B1" w:rsidP="003E00B1">
            <w:pPr>
              <w:pStyle w:val="TableText0"/>
            </w:pPr>
            <w:r>
              <w:t>46.0 (34.0, 55.0)</w:t>
            </w:r>
          </w:p>
          <w:p w14:paraId="5C9A4BD0" w14:textId="07E741E6" w:rsidR="003E00B1" w:rsidRDefault="003E00B1" w:rsidP="003E00B1">
            <w:pPr>
              <w:pStyle w:val="TableText0"/>
            </w:pPr>
            <w:r>
              <w:t>22, 66</w:t>
            </w:r>
          </w:p>
        </w:tc>
        <w:tc>
          <w:tcPr>
            <w:tcW w:w="1804" w:type="dxa"/>
          </w:tcPr>
          <w:p w14:paraId="3676D23F" w14:textId="77777777" w:rsidR="002A104F" w:rsidRDefault="002A104F" w:rsidP="003E00B1">
            <w:pPr>
              <w:pStyle w:val="TableText0"/>
            </w:pPr>
          </w:p>
          <w:p w14:paraId="0EA094FB" w14:textId="68A82F07" w:rsidR="00AD200C" w:rsidRDefault="00AD200C" w:rsidP="003E00B1">
            <w:pPr>
              <w:pStyle w:val="TableText0"/>
            </w:pPr>
            <w:r>
              <w:t>46.0 (14.5)</w:t>
            </w:r>
          </w:p>
          <w:p w14:paraId="22A6288A" w14:textId="77777777" w:rsidR="00AD200C" w:rsidRDefault="00AD200C" w:rsidP="003E00B1">
            <w:pPr>
              <w:pStyle w:val="TableText0"/>
            </w:pPr>
            <w:r>
              <w:t>NR</w:t>
            </w:r>
          </w:p>
          <w:p w14:paraId="265B5E41" w14:textId="0B432182" w:rsidR="00AD200C" w:rsidRDefault="00AD200C" w:rsidP="003E00B1">
            <w:pPr>
              <w:pStyle w:val="TableText0"/>
            </w:pPr>
            <w:r>
              <w:t>16, 78</w:t>
            </w:r>
          </w:p>
        </w:tc>
        <w:tc>
          <w:tcPr>
            <w:tcW w:w="1804" w:type="dxa"/>
          </w:tcPr>
          <w:p w14:paraId="41937783" w14:textId="77777777" w:rsidR="002A104F" w:rsidRDefault="002A104F" w:rsidP="003E00B1">
            <w:pPr>
              <w:pStyle w:val="TableText0"/>
            </w:pPr>
          </w:p>
          <w:p w14:paraId="38F45D13" w14:textId="77777777" w:rsidR="00AD200C" w:rsidRDefault="00AD200C" w:rsidP="003E00B1">
            <w:pPr>
              <w:pStyle w:val="TableText0"/>
            </w:pPr>
            <w:r>
              <w:t>50.3 (13.7)</w:t>
            </w:r>
          </w:p>
          <w:p w14:paraId="06ED82D0" w14:textId="77777777" w:rsidR="00AD200C" w:rsidRDefault="00AD200C" w:rsidP="003E00B1">
            <w:pPr>
              <w:pStyle w:val="TableText0"/>
            </w:pPr>
            <w:r>
              <w:t>NR</w:t>
            </w:r>
          </w:p>
          <w:p w14:paraId="1A3BA87A" w14:textId="5AE5C485" w:rsidR="00AD200C" w:rsidRDefault="00AD200C" w:rsidP="003E00B1">
            <w:pPr>
              <w:pStyle w:val="TableText0"/>
            </w:pPr>
            <w:r>
              <w:t>20, 78</w:t>
            </w:r>
          </w:p>
        </w:tc>
      </w:tr>
      <w:tr w:rsidR="002A104F" w14:paraId="2D827502" w14:textId="77777777" w:rsidTr="002A104F">
        <w:tc>
          <w:tcPr>
            <w:tcW w:w="1803" w:type="dxa"/>
          </w:tcPr>
          <w:p w14:paraId="0A231F92" w14:textId="66FA314B" w:rsidR="002A104F" w:rsidRDefault="003E00B1" w:rsidP="003E00B1">
            <w:pPr>
              <w:pStyle w:val="TableText0"/>
            </w:pPr>
            <w:r>
              <w:t>Female, n (%)</w:t>
            </w:r>
          </w:p>
        </w:tc>
        <w:tc>
          <w:tcPr>
            <w:tcW w:w="1803" w:type="dxa"/>
          </w:tcPr>
          <w:p w14:paraId="007ED62C" w14:textId="7829E98C" w:rsidR="002A104F" w:rsidRDefault="003E00B1" w:rsidP="003E00B1">
            <w:pPr>
              <w:pStyle w:val="TableText0"/>
            </w:pPr>
            <w:r>
              <w:t>49 (57.6%)</w:t>
            </w:r>
          </w:p>
        </w:tc>
        <w:tc>
          <w:tcPr>
            <w:tcW w:w="1803" w:type="dxa"/>
          </w:tcPr>
          <w:p w14:paraId="1CEAF6F5" w14:textId="77CE3A04" w:rsidR="002A104F" w:rsidRDefault="003E00B1" w:rsidP="003E00B1">
            <w:pPr>
              <w:pStyle w:val="TableText0"/>
            </w:pPr>
            <w:r>
              <w:t>18 (47.4%)</w:t>
            </w:r>
          </w:p>
        </w:tc>
        <w:tc>
          <w:tcPr>
            <w:tcW w:w="1804" w:type="dxa"/>
          </w:tcPr>
          <w:p w14:paraId="7D10C57B" w14:textId="1B320F5E" w:rsidR="002A104F" w:rsidRDefault="00AD200C" w:rsidP="003E00B1">
            <w:pPr>
              <w:pStyle w:val="TableText0"/>
            </w:pPr>
            <w:r>
              <w:t>24 (47%)</w:t>
            </w:r>
          </w:p>
        </w:tc>
        <w:tc>
          <w:tcPr>
            <w:tcW w:w="1804" w:type="dxa"/>
          </w:tcPr>
          <w:p w14:paraId="0774F909" w14:textId="2B939726" w:rsidR="002A104F" w:rsidRDefault="00AD200C" w:rsidP="003E00B1">
            <w:pPr>
              <w:pStyle w:val="TableText0"/>
            </w:pPr>
            <w:r>
              <w:t>24 (49%)</w:t>
            </w:r>
          </w:p>
        </w:tc>
      </w:tr>
      <w:tr w:rsidR="002A104F" w14:paraId="6F8592E9" w14:textId="77777777" w:rsidTr="002A104F">
        <w:tc>
          <w:tcPr>
            <w:tcW w:w="1803" w:type="dxa"/>
          </w:tcPr>
          <w:p w14:paraId="00CFA40C" w14:textId="00AAFD32" w:rsidR="002A104F" w:rsidRDefault="003E00B1" w:rsidP="003E00B1">
            <w:pPr>
              <w:pStyle w:val="TableText0"/>
            </w:pPr>
            <w:r>
              <w:t>Prior ERT, n (%)</w:t>
            </w:r>
          </w:p>
        </w:tc>
        <w:tc>
          <w:tcPr>
            <w:tcW w:w="1803" w:type="dxa"/>
          </w:tcPr>
          <w:p w14:paraId="38D51D6D" w14:textId="69816123" w:rsidR="002A104F" w:rsidRDefault="003E00B1" w:rsidP="003E00B1">
            <w:pPr>
              <w:pStyle w:val="TableText0"/>
            </w:pPr>
            <w:r>
              <w:t>65 (76.5%)</w:t>
            </w:r>
          </w:p>
        </w:tc>
        <w:tc>
          <w:tcPr>
            <w:tcW w:w="1803" w:type="dxa"/>
          </w:tcPr>
          <w:p w14:paraId="62D6B9DC" w14:textId="58088767" w:rsidR="002A104F" w:rsidRDefault="003E00B1" w:rsidP="003E00B1">
            <w:pPr>
              <w:pStyle w:val="TableText0"/>
            </w:pPr>
            <w:r>
              <w:t>30 (78.9%)</w:t>
            </w:r>
          </w:p>
        </w:tc>
        <w:tc>
          <w:tcPr>
            <w:tcW w:w="1804" w:type="dxa"/>
          </w:tcPr>
          <w:p w14:paraId="62A51B5D" w14:textId="07D51A22" w:rsidR="002A104F" w:rsidRDefault="00AD200C" w:rsidP="003E00B1">
            <w:pPr>
              <w:pStyle w:val="TableText0"/>
            </w:pPr>
            <w:r>
              <w:t>NA</w:t>
            </w:r>
          </w:p>
        </w:tc>
        <w:tc>
          <w:tcPr>
            <w:tcW w:w="1804" w:type="dxa"/>
          </w:tcPr>
          <w:p w14:paraId="7317B4F2" w14:textId="77AFE402" w:rsidR="002A104F" w:rsidRDefault="00AD200C" w:rsidP="003E00B1">
            <w:pPr>
              <w:pStyle w:val="TableText0"/>
            </w:pPr>
            <w:r>
              <w:t>NA</w:t>
            </w:r>
          </w:p>
        </w:tc>
      </w:tr>
      <w:tr w:rsidR="002A104F" w14:paraId="620B8F1C" w14:textId="77777777" w:rsidTr="00E44F68">
        <w:trPr>
          <w:trHeight w:val="1044"/>
        </w:trPr>
        <w:tc>
          <w:tcPr>
            <w:tcW w:w="1803" w:type="dxa"/>
          </w:tcPr>
          <w:p w14:paraId="76F2F83F" w14:textId="77CDEAC9" w:rsidR="002A104F" w:rsidRDefault="003E00B1" w:rsidP="003E00B1">
            <w:pPr>
              <w:pStyle w:val="TableText0"/>
            </w:pPr>
            <w:r>
              <w:t>ERT duration, years</w:t>
            </w:r>
          </w:p>
          <w:p w14:paraId="0D80512E" w14:textId="77777777" w:rsidR="003E00B1" w:rsidRDefault="003E00B1" w:rsidP="003E00B1">
            <w:pPr>
              <w:pStyle w:val="TableText0"/>
              <w:jc w:val="right"/>
            </w:pPr>
            <w:r>
              <w:t>Mean (SD)</w:t>
            </w:r>
          </w:p>
          <w:p w14:paraId="1804CA42" w14:textId="77777777" w:rsidR="003E00B1" w:rsidRDefault="003E00B1" w:rsidP="003E00B1">
            <w:pPr>
              <w:pStyle w:val="TableText0"/>
              <w:jc w:val="right"/>
            </w:pPr>
            <w:r>
              <w:t>Median (IQR)</w:t>
            </w:r>
          </w:p>
          <w:p w14:paraId="7261DD2B" w14:textId="3695200A" w:rsidR="003E00B1" w:rsidRDefault="003E00B1" w:rsidP="003E00B1">
            <w:pPr>
              <w:pStyle w:val="TableText0"/>
              <w:jc w:val="right"/>
            </w:pPr>
            <w:r>
              <w:t>Range</w:t>
            </w:r>
          </w:p>
        </w:tc>
        <w:tc>
          <w:tcPr>
            <w:tcW w:w="1803" w:type="dxa"/>
          </w:tcPr>
          <w:p w14:paraId="6030D771" w14:textId="77777777" w:rsidR="002A104F" w:rsidRDefault="002A104F" w:rsidP="003E00B1">
            <w:pPr>
              <w:pStyle w:val="TableText0"/>
            </w:pPr>
          </w:p>
          <w:p w14:paraId="165AF21B" w14:textId="77777777" w:rsidR="003E00B1" w:rsidRDefault="003E00B1" w:rsidP="003E00B1">
            <w:pPr>
              <w:pStyle w:val="TableText0"/>
            </w:pPr>
            <w:r>
              <w:t>7.5 (3.4)</w:t>
            </w:r>
          </w:p>
          <w:p w14:paraId="689ECF0D" w14:textId="77777777" w:rsidR="003E00B1" w:rsidRDefault="003E00B1" w:rsidP="003E00B1">
            <w:pPr>
              <w:pStyle w:val="TableText0"/>
            </w:pPr>
            <w:r>
              <w:t>7.6 (4.3, 10.2)</w:t>
            </w:r>
          </w:p>
          <w:p w14:paraId="2F6EA372" w14:textId="62821B46" w:rsidR="003E00B1" w:rsidRDefault="003E00B1" w:rsidP="003E00B1">
            <w:pPr>
              <w:pStyle w:val="TableText0"/>
            </w:pPr>
            <w:r>
              <w:t>2.0, 13.7</w:t>
            </w:r>
          </w:p>
        </w:tc>
        <w:tc>
          <w:tcPr>
            <w:tcW w:w="1803" w:type="dxa"/>
          </w:tcPr>
          <w:p w14:paraId="79CD7A78" w14:textId="77777777" w:rsidR="002A104F" w:rsidRDefault="002A104F" w:rsidP="003E00B1">
            <w:pPr>
              <w:pStyle w:val="TableText0"/>
            </w:pPr>
          </w:p>
          <w:p w14:paraId="7C7AC306" w14:textId="77777777" w:rsidR="003E00B1" w:rsidRDefault="003E00B1" w:rsidP="003E00B1">
            <w:pPr>
              <w:pStyle w:val="TableText0"/>
            </w:pPr>
            <w:r>
              <w:t>7.1 (3.6)</w:t>
            </w:r>
          </w:p>
          <w:p w14:paraId="03A06BB2" w14:textId="77777777" w:rsidR="003E00B1" w:rsidRDefault="003E00B1" w:rsidP="003E00B1">
            <w:pPr>
              <w:pStyle w:val="TableText0"/>
            </w:pPr>
            <w:r>
              <w:t>7.1 (3.8, 10.4)</w:t>
            </w:r>
          </w:p>
          <w:p w14:paraId="42812AC0" w14:textId="30F434B7" w:rsidR="003E00B1" w:rsidRDefault="003E00B1" w:rsidP="003E00B1">
            <w:pPr>
              <w:pStyle w:val="TableText0"/>
            </w:pPr>
            <w:r>
              <w:t>2.1, 13.2</w:t>
            </w:r>
          </w:p>
        </w:tc>
        <w:tc>
          <w:tcPr>
            <w:tcW w:w="1804" w:type="dxa"/>
          </w:tcPr>
          <w:p w14:paraId="7051D586" w14:textId="58BB1C35" w:rsidR="002A104F" w:rsidRDefault="00AD200C" w:rsidP="003E00B1">
            <w:pPr>
              <w:pStyle w:val="TableText0"/>
            </w:pPr>
            <w:r>
              <w:t>NA</w:t>
            </w:r>
          </w:p>
        </w:tc>
        <w:tc>
          <w:tcPr>
            <w:tcW w:w="1804" w:type="dxa"/>
          </w:tcPr>
          <w:p w14:paraId="0E79645A" w14:textId="3B4F3A24" w:rsidR="002A104F" w:rsidRDefault="00AD200C" w:rsidP="003E00B1">
            <w:pPr>
              <w:pStyle w:val="TableText0"/>
            </w:pPr>
            <w:r>
              <w:t>NA</w:t>
            </w:r>
          </w:p>
        </w:tc>
      </w:tr>
      <w:tr w:rsidR="00E44F68" w14:paraId="0A54974D" w14:textId="77777777">
        <w:tc>
          <w:tcPr>
            <w:tcW w:w="1803" w:type="dxa"/>
          </w:tcPr>
          <w:p w14:paraId="707E0AC6" w14:textId="7EAB9803" w:rsidR="00E44F68" w:rsidRDefault="00E44F68" w:rsidP="003E00B1">
            <w:pPr>
              <w:pStyle w:val="TableText0"/>
            </w:pPr>
            <w:r>
              <w:t>Using any assistive device, n (%)</w:t>
            </w:r>
            <w:r w:rsidRPr="000A2E87">
              <w:rPr>
                <w:vertAlign w:val="superscript"/>
              </w:rPr>
              <w:t>1</w:t>
            </w:r>
          </w:p>
        </w:tc>
        <w:tc>
          <w:tcPr>
            <w:tcW w:w="1803" w:type="dxa"/>
          </w:tcPr>
          <w:p w14:paraId="2E703375" w14:textId="10B509CD" w:rsidR="00E44F68" w:rsidRDefault="00E44F68" w:rsidP="003E00B1">
            <w:pPr>
              <w:pStyle w:val="TableText0"/>
            </w:pPr>
            <w:r>
              <w:t>17 (20.0%)</w:t>
            </w:r>
          </w:p>
        </w:tc>
        <w:tc>
          <w:tcPr>
            <w:tcW w:w="1803" w:type="dxa"/>
          </w:tcPr>
          <w:p w14:paraId="2172EE24" w14:textId="0E33AED4" w:rsidR="00E44F68" w:rsidRDefault="00E44F68" w:rsidP="003E00B1">
            <w:pPr>
              <w:pStyle w:val="TableText0"/>
            </w:pPr>
            <w:r>
              <w:t>11 (28.9%)</w:t>
            </w:r>
          </w:p>
        </w:tc>
        <w:tc>
          <w:tcPr>
            <w:tcW w:w="3608" w:type="dxa"/>
            <w:gridSpan w:val="2"/>
          </w:tcPr>
          <w:p w14:paraId="519633F8" w14:textId="063AA5B0" w:rsidR="00E44F68" w:rsidRDefault="00E44F68" w:rsidP="00E44F68">
            <w:pPr>
              <w:pStyle w:val="TableText0"/>
              <w:jc w:val="center"/>
            </w:pPr>
            <w:r>
              <w:t>NR</w:t>
            </w:r>
          </w:p>
        </w:tc>
      </w:tr>
      <w:tr w:rsidR="00E44F68" w14:paraId="5581A312" w14:textId="77777777">
        <w:tc>
          <w:tcPr>
            <w:tcW w:w="1803" w:type="dxa"/>
          </w:tcPr>
          <w:p w14:paraId="6A3D0F28" w14:textId="054A1CFA" w:rsidR="00E44F68" w:rsidRDefault="00E44F68" w:rsidP="003E00B1">
            <w:pPr>
              <w:pStyle w:val="TableText0"/>
            </w:pPr>
            <w:r>
              <w:t>History of falls, n (%)</w:t>
            </w:r>
            <w:r w:rsidRPr="00DF14F3">
              <w:rPr>
                <w:vertAlign w:val="superscript"/>
              </w:rPr>
              <w:t>2</w:t>
            </w:r>
          </w:p>
        </w:tc>
        <w:tc>
          <w:tcPr>
            <w:tcW w:w="1803" w:type="dxa"/>
          </w:tcPr>
          <w:p w14:paraId="437B557C" w14:textId="412522C6" w:rsidR="00E44F68" w:rsidRDefault="00E44F68" w:rsidP="003E00B1">
            <w:pPr>
              <w:pStyle w:val="TableText0"/>
            </w:pPr>
            <w:r>
              <w:t>44 (51.8%)</w:t>
            </w:r>
          </w:p>
        </w:tc>
        <w:tc>
          <w:tcPr>
            <w:tcW w:w="1803" w:type="dxa"/>
          </w:tcPr>
          <w:p w14:paraId="6D8B5BB9" w14:textId="096A9D30" w:rsidR="00E44F68" w:rsidRDefault="00E44F68" w:rsidP="003E00B1">
            <w:pPr>
              <w:pStyle w:val="TableText0"/>
            </w:pPr>
            <w:r>
              <w:t>17 (44.7%)</w:t>
            </w:r>
          </w:p>
        </w:tc>
        <w:tc>
          <w:tcPr>
            <w:tcW w:w="3608" w:type="dxa"/>
            <w:gridSpan w:val="2"/>
          </w:tcPr>
          <w:p w14:paraId="4B0337D4" w14:textId="0C47BD7C" w:rsidR="00E44F68" w:rsidRDefault="00E44F68" w:rsidP="00E44F68">
            <w:pPr>
              <w:pStyle w:val="TableText0"/>
              <w:jc w:val="center"/>
            </w:pPr>
            <w:r>
              <w:t>NR</w:t>
            </w:r>
          </w:p>
        </w:tc>
      </w:tr>
      <w:tr w:rsidR="002A104F" w14:paraId="683C51B4" w14:textId="77777777" w:rsidTr="002A104F">
        <w:tc>
          <w:tcPr>
            <w:tcW w:w="1803" w:type="dxa"/>
          </w:tcPr>
          <w:p w14:paraId="6765DD00" w14:textId="53E4C346" w:rsidR="002A104F" w:rsidRDefault="003E00B1" w:rsidP="003E00B1">
            <w:pPr>
              <w:pStyle w:val="TableText0"/>
            </w:pPr>
            <w:r>
              <w:t>6MWD, m</w:t>
            </w:r>
          </w:p>
          <w:p w14:paraId="334D8588" w14:textId="77777777" w:rsidR="003E00B1" w:rsidRDefault="003E00B1" w:rsidP="003E00B1">
            <w:pPr>
              <w:pStyle w:val="TableText0"/>
              <w:jc w:val="right"/>
            </w:pPr>
            <w:r>
              <w:t>Mean (SD)</w:t>
            </w:r>
          </w:p>
          <w:p w14:paraId="3D7BA45A" w14:textId="77777777" w:rsidR="003E00B1" w:rsidRDefault="003E00B1" w:rsidP="003E00B1">
            <w:pPr>
              <w:pStyle w:val="TableText0"/>
              <w:jc w:val="right"/>
            </w:pPr>
            <w:r>
              <w:t>Median (IQR)</w:t>
            </w:r>
          </w:p>
          <w:p w14:paraId="6959C852" w14:textId="61F7FF3B" w:rsidR="003E00B1" w:rsidRDefault="003E00B1" w:rsidP="003E00B1">
            <w:pPr>
              <w:pStyle w:val="TableText0"/>
              <w:jc w:val="right"/>
            </w:pPr>
            <w:r>
              <w:t>Range</w:t>
            </w:r>
          </w:p>
        </w:tc>
        <w:tc>
          <w:tcPr>
            <w:tcW w:w="1803" w:type="dxa"/>
          </w:tcPr>
          <w:p w14:paraId="72496448" w14:textId="77777777" w:rsidR="002A104F" w:rsidRDefault="002A104F" w:rsidP="003E00B1">
            <w:pPr>
              <w:pStyle w:val="TableText0"/>
            </w:pPr>
          </w:p>
          <w:p w14:paraId="6FC8B900" w14:textId="77777777" w:rsidR="003E00B1" w:rsidRDefault="000A2E87" w:rsidP="003E00B1">
            <w:pPr>
              <w:pStyle w:val="TableText0"/>
            </w:pPr>
            <w:r>
              <w:t>357.9 (111.8)</w:t>
            </w:r>
          </w:p>
          <w:p w14:paraId="593472B0" w14:textId="77777777" w:rsidR="000A2E87" w:rsidRDefault="000A2E87" w:rsidP="003E00B1">
            <w:pPr>
              <w:pStyle w:val="TableText0"/>
            </w:pPr>
            <w:r>
              <w:t>359.5 (298.9, 418.5)</w:t>
            </w:r>
          </w:p>
          <w:p w14:paraId="3466E960" w14:textId="01BCE18D" w:rsidR="000A2E87" w:rsidRDefault="000A2E87" w:rsidP="003E00B1">
            <w:pPr>
              <w:pStyle w:val="TableText0"/>
            </w:pPr>
            <w:r>
              <w:t>79.0, 575.0</w:t>
            </w:r>
          </w:p>
        </w:tc>
        <w:tc>
          <w:tcPr>
            <w:tcW w:w="1803" w:type="dxa"/>
          </w:tcPr>
          <w:p w14:paraId="27D80E49" w14:textId="77777777" w:rsidR="002A104F" w:rsidRDefault="002A104F" w:rsidP="003E00B1">
            <w:pPr>
              <w:pStyle w:val="TableText0"/>
            </w:pPr>
          </w:p>
          <w:p w14:paraId="6B4C9F79" w14:textId="77777777" w:rsidR="000A2E87" w:rsidRDefault="000A2E87" w:rsidP="003E00B1">
            <w:pPr>
              <w:pStyle w:val="TableText0"/>
            </w:pPr>
            <w:r>
              <w:t>350.1 (119.8)</w:t>
            </w:r>
          </w:p>
          <w:p w14:paraId="20B14B7E" w14:textId="77777777" w:rsidR="000A2E87" w:rsidRDefault="000A2E87" w:rsidP="003E00B1">
            <w:pPr>
              <w:pStyle w:val="TableText0"/>
            </w:pPr>
            <w:r>
              <w:t>358.4 (285.5, 420.0)</w:t>
            </w:r>
          </w:p>
          <w:p w14:paraId="6B13DDD1" w14:textId="4799A30E" w:rsidR="000A2E87" w:rsidRDefault="000A2E87" w:rsidP="003E00B1">
            <w:pPr>
              <w:pStyle w:val="TableText0"/>
            </w:pPr>
            <w:r>
              <w:t>112.5, 623.0</w:t>
            </w:r>
          </w:p>
        </w:tc>
        <w:tc>
          <w:tcPr>
            <w:tcW w:w="1804" w:type="dxa"/>
          </w:tcPr>
          <w:p w14:paraId="4CF19EAF" w14:textId="77777777" w:rsidR="002A104F" w:rsidRDefault="002A104F" w:rsidP="003E00B1">
            <w:pPr>
              <w:pStyle w:val="TableText0"/>
            </w:pPr>
          </w:p>
          <w:p w14:paraId="145375D6" w14:textId="77777777" w:rsidR="00AD200C" w:rsidRDefault="00AD200C" w:rsidP="003E00B1">
            <w:pPr>
              <w:pStyle w:val="TableText0"/>
            </w:pPr>
            <w:r>
              <w:t>399.3 (110.9)</w:t>
            </w:r>
          </w:p>
          <w:p w14:paraId="07F8CD01" w14:textId="77777777" w:rsidR="00AD200C" w:rsidRDefault="00AD200C" w:rsidP="003E00B1">
            <w:pPr>
              <w:pStyle w:val="TableText0"/>
            </w:pPr>
            <w:r>
              <w:t>NR</w:t>
            </w:r>
          </w:p>
          <w:p w14:paraId="743181E0" w14:textId="0D5BB4A2" w:rsidR="00AD200C" w:rsidRDefault="00AD200C" w:rsidP="003E00B1">
            <w:pPr>
              <w:pStyle w:val="TableText0"/>
            </w:pPr>
            <w:r>
              <w:t>118, 630.0</w:t>
            </w:r>
          </w:p>
        </w:tc>
        <w:tc>
          <w:tcPr>
            <w:tcW w:w="1804" w:type="dxa"/>
          </w:tcPr>
          <w:p w14:paraId="717A2ED5" w14:textId="77777777" w:rsidR="002A104F" w:rsidRDefault="002A104F" w:rsidP="003E00B1">
            <w:pPr>
              <w:pStyle w:val="TableText0"/>
            </w:pPr>
          </w:p>
          <w:p w14:paraId="5DBBF5D9" w14:textId="77777777" w:rsidR="00AD200C" w:rsidRDefault="00AD200C" w:rsidP="003E00B1">
            <w:pPr>
              <w:pStyle w:val="TableText0"/>
            </w:pPr>
            <w:r>
              <w:t>378.1 (116.2)</w:t>
            </w:r>
          </w:p>
          <w:p w14:paraId="6C7A6DCF" w14:textId="77777777" w:rsidR="00AD200C" w:rsidRDefault="00AD200C" w:rsidP="003E00B1">
            <w:pPr>
              <w:pStyle w:val="TableText0"/>
            </w:pPr>
            <w:r>
              <w:t>NR</w:t>
            </w:r>
          </w:p>
          <w:p w14:paraId="2A505E3F" w14:textId="43748D79" w:rsidR="00AD200C" w:rsidRDefault="00AD200C" w:rsidP="003E00B1">
            <w:pPr>
              <w:pStyle w:val="TableText0"/>
            </w:pPr>
            <w:r>
              <w:t>138.0, 592.0</w:t>
            </w:r>
          </w:p>
        </w:tc>
      </w:tr>
      <w:tr w:rsidR="007A0254" w14:paraId="69A18494" w14:textId="77777777" w:rsidTr="002A104F">
        <w:tc>
          <w:tcPr>
            <w:tcW w:w="1803" w:type="dxa"/>
          </w:tcPr>
          <w:p w14:paraId="264871BC" w14:textId="77777777" w:rsidR="007A0254" w:rsidRDefault="007A0254" w:rsidP="003E00B1">
            <w:pPr>
              <w:pStyle w:val="TableText0"/>
            </w:pPr>
            <w:r>
              <w:t>6MWD, % predicted</w:t>
            </w:r>
          </w:p>
          <w:p w14:paraId="35C5742E" w14:textId="77777777" w:rsidR="007A0254" w:rsidRDefault="007A0254" w:rsidP="007A0254">
            <w:pPr>
              <w:pStyle w:val="TableText0"/>
              <w:jc w:val="right"/>
            </w:pPr>
            <w:r>
              <w:t>Mean (SD)</w:t>
            </w:r>
          </w:p>
          <w:p w14:paraId="7334738A" w14:textId="77777777" w:rsidR="007A0254" w:rsidRDefault="007A0254" w:rsidP="007A0254">
            <w:pPr>
              <w:pStyle w:val="TableText0"/>
              <w:jc w:val="right"/>
            </w:pPr>
            <w:r>
              <w:t>Median (IQR)</w:t>
            </w:r>
          </w:p>
          <w:p w14:paraId="2C5CF9C8" w14:textId="6E2FEC00" w:rsidR="007A0254" w:rsidRDefault="007A0254" w:rsidP="007A0254">
            <w:pPr>
              <w:pStyle w:val="TableText0"/>
              <w:jc w:val="right"/>
            </w:pPr>
            <w:r>
              <w:t>Range</w:t>
            </w:r>
          </w:p>
        </w:tc>
        <w:tc>
          <w:tcPr>
            <w:tcW w:w="1803" w:type="dxa"/>
          </w:tcPr>
          <w:p w14:paraId="25A6F488" w14:textId="77777777" w:rsidR="007A0254" w:rsidRDefault="007A0254" w:rsidP="003E00B1">
            <w:pPr>
              <w:pStyle w:val="TableText0"/>
            </w:pPr>
          </w:p>
          <w:p w14:paraId="7450FB6E" w14:textId="77777777" w:rsidR="007A0254" w:rsidRDefault="007A0254" w:rsidP="003E00B1">
            <w:pPr>
              <w:pStyle w:val="TableText0"/>
            </w:pPr>
            <w:r>
              <w:t>57.8 (15.8)</w:t>
            </w:r>
          </w:p>
          <w:p w14:paraId="12699A0D" w14:textId="77777777" w:rsidR="007A0254" w:rsidRDefault="007A0254" w:rsidP="003E00B1">
            <w:pPr>
              <w:pStyle w:val="TableText0"/>
            </w:pPr>
            <w:r>
              <w:t>59.2 (48.2, 69.4)</w:t>
            </w:r>
          </w:p>
          <w:p w14:paraId="05E73883" w14:textId="5B383BBB" w:rsidR="007A0254" w:rsidRDefault="007A0254" w:rsidP="003E00B1">
            <w:pPr>
              <w:pStyle w:val="TableText0"/>
            </w:pPr>
            <w:r>
              <w:t>11.1, 91.0</w:t>
            </w:r>
          </w:p>
        </w:tc>
        <w:tc>
          <w:tcPr>
            <w:tcW w:w="1803" w:type="dxa"/>
          </w:tcPr>
          <w:p w14:paraId="34D810D0" w14:textId="77777777" w:rsidR="007A0254" w:rsidRDefault="007A0254" w:rsidP="003E00B1">
            <w:pPr>
              <w:pStyle w:val="TableText0"/>
            </w:pPr>
          </w:p>
          <w:p w14:paraId="1BC74FF8" w14:textId="77777777" w:rsidR="007A0254" w:rsidRDefault="007A0254" w:rsidP="003E00B1">
            <w:pPr>
              <w:pStyle w:val="TableText0"/>
            </w:pPr>
            <w:r>
              <w:t>55.7 (17.2)</w:t>
            </w:r>
          </w:p>
          <w:p w14:paraId="2FE24B30" w14:textId="77777777" w:rsidR="007A0254" w:rsidRDefault="007A0254" w:rsidP="003E00B1">
            <w:pPr>
              <w:pStyle w:val="TableText0"/>
            </w:pPr>
            <w:r>
              <w:t>55.8 (46.6, 69.4)</w:t>
            </w:r>
          </w:p>
          <w:p w14:paraId="126FBEAD" w14:textId="39C850D8" w:rsidR="007A0254" w:rsidRDefault="007A0254" w:rsidP="003E00B1">
            <w:pPr>
              <w:pStyle w:val="TableText0"/>
            </w:pPr>
            <w:r>
              <w:t>17.1, 83.2</w:t>
            </w:r>
          </w:p>
        </w:tc>
        <w:tc>
          <w:tcPr>
            <w:tcW w:w="1804" w:type="dxa"/>
          </w:tcPr>
          <w:p w14:paraId="53C6FE5D" w14:textId="77777777" w:rsidR="007A0254" w:rsidRDefault="007A0254" w:rsidP="003E00B1">
            <w:pPr>
              <w:pStyle w:val="TableText0"/>
            </w:pPr>
          </w:p>
          <w:p w14:paraId="2E024BB5" w14:textId="77777777" w:rsidR="007A0254" w:rsidRDefault="007A0254" w:rsidP="003E00B1">
            <w:pPr>
              <w:pStyle w:val="TableText0"/>
            </w:pPr>
            <w:r>
              <w:t>57.3 (15.0)</w:t>
            </w:r>
          </w:p>
          <w:p w14:paraId="08A5BA39" w14:textId="77777777" w:rsidR="007A0254" w:rsidRDefault="007A0254" w:rsidP="003E00B1">
            <w:pPr>
              <w:pStyle w:val="TableText0"/>
            </w:pPr>
            <w:r>
              <w:t>NR</w:t>
            </w:r>
          </w:p>
          <w:p w14:paraId="63F2B874" w14:textId="305B6C45" w:rsidR="007A0254" w:rsidRDefault="007A0254" w:rsidP="003E00B1">
            <w:pPr>
              <w:pStyle w:val="TableText0"/>
            </w:pPr>
            <w:r>
              <w:t>18.5, 85.9</w:t>
            </w:r>
          </w:p>
        </w:tc>
        <w:tc>
          <w:tcPr>
            <w:tcW w:w="1804" w:type="dxa"/>
          </w:tcPr>
          <w:p w14:paraId="6F2007DD" w14:textId="77777777" w:rsidR="007A0254" w:rsidRDefault="007A0254" w:rsidP="003E00B1">
            <w:pPr>
              <w:pStyle w:val="TableText0"/>
            </w:pPr>
          </w:p>
          <w:p w14:paraId="35A375EB" w14:textId="5AEF870B" w:rsidR="007A0254" w:rsidRDefault="007A0254" w:rsidP="003E00B1">
            <w:pPr>
              <w:pStyle w:val="TableText0"/>
            </w:pPr>
            <w:r>
              <w:t>55.3 (16.6)</w:t>
            </w:r>
          </w:p>
          <w:p w14:paraId="57E10CCD" w14:textId="77777777" w:rsidR="007A0254" w:rsidRDefault="007A0254" w:rsidP="003E00B1">
            <w:pPr>
              <w:pStyle w:val="TableText0"/>
            </w:pPr>
            <w:r>
              <w:t>NR</w:t>
            </w:r>
          </w:p>
          <w:p w14:paraId="719B3086" w14:textId="492EFC06" w:rsidR="007A0254" w:rsidRDefault="007A0254" w:rsidP="003E00B1">
            <w:pPr>
              <w:pStyle w:val="TableText0"/>
            </w:pPr>
            <w:r>
              <w:t>22.6, 101.9</w:t>
            </w:r>
          </w:p>
        </w:tc>
      </w:tr>
      <w:tr w:rsidR="002A104F" w14:paraId="35B0BAAB" w14:textId="77777777" w:rsidTr="002A104F">
        <w:tc>
          <w:tcPr>
            <w:tcW w:w="1803" w:type="dxa"/>
          </w:tcPr>
          <w:p w14:paraId="7397D921" w14:textId="77777777" w:rsidR="002A104F" w:rsidRDefault="000A2E87" w:rsidP="003E00B1">
            <w:pPr>
              <w:pStyle w:val="TableText0"/>
            </w:pPr>
            <w:r>
              <w:t>6MWD category, n (%)</w:t>
            </w:r>
          </w:p>
          <w:p w14:paraId="5C70634F" w14:textId="77777777" w:rsidR="000A2E87" w:rsidRDefault="000A2E87" w:rsidP="000A2E87">
            <w:pPr>
              <w:pStyle w:val="TableText0"/>
              <w:jc w:val="right"/>
            </w:pPr>
            <w:r>
              <w:rPr>
                <w:rFonts w:ascii="Symbol" w:eastAsia="Symbol" w:hAnsi="Symbol" w:cs="Symbol"/>
              </w:rPr>
              <w:t>³</w:t>
            </w:r>
            <w:r>
              <w:t>75 to &lt;150m</w:t>
            </w:r>
          </w:p>
          <w:p w14:paraId="2958D9A9" w14:textId="7C0261A9" w:rsidR="000A2E87" w:rsidRDefault="000A2E87" w:rsidP="000A2E87">
            <w:pPr>
              <w:pStyle w:val="TableText0"/>
              <w:jc w:val="right"/>
            </w:pPr>
            <w:r>
              <w:rPr>
                <w:rFonts w:ascii="Symbol" w:eastAsia="Symbol" w:hAnsi="Symbol" w:cs="Symbol"/>
              </w:rPr>
              <w:t>³</w:t>
            </w:r>
            <w:r w:rsidR="002C72A2">
              <w:t>1</w:t>
            </w:r>
            <w:r>
              <w:t>50 to &lt;400m</w:t>
            </w:r>
          </w:p>
          <w:p w14:paraId="6D1756C8" w14:textId="38068CA9" w:rsidR="000A2E87" w:rsidRDefault="000A2E87" w:rsidP="000A2E87">
            <w:pPr>
              <w:pStyle w:val="TableText0"/>
              <w:jc w:val="right"/>
            </w:pPr>
            <w:r>
              <w:rPr>
                <w:rFonts w:ascii="Symbol" w:eastAsia="Symbol" w:hAnsi="Symbol" w:cs="Symbol"/>
              </w:rPr>
              <w:t>³</w:t>
            </w:r>
            <w:r>
              <w:t>400m</w:t>
            </w:r>
          </w:p>
        </w:tc>
        <w:tc>
          <w:tcPr>
            <w:tcW w:w="1803" w:type="dxa"/>
          </w:tcPr>
          <w:p w14:paraId="65BB1BA7" w14:textId="77777777" w:rsidR="002A104F" w:rsidRDefault="002A104F" w:rsidP="003E00B1">
            <w:pPr>
              <w:pStyle w:val="TableText0"/>
            </w:pPr>
          </w:p>
          <w:p w14:paraId="42133C34" w14:textId="77777777" w:rsidR="000A2E87" w:rsidRDefault="000A2E87" w:rsidP="003E00B1">
            <w:pPr>
              <w:pStyle w:val="TableText0"/>
            </w:pPr>
          </w:p>
          <w:p w14:paraId="047D2CC0" w14:textId="77777777" w:rsidR="000A2E87" w:rsidRDefault="000A2E87" w:rsidP="003E00B1">
            <w:pPr>
              <w:pStyle w:val="TableText0"/>
            </w:pPr>
            <w:r>
              <w:t>4 (4.7%)</w:t>
            </w:r>
          </w:p>
          <w:p w14:paraId="65470701" w14:textId="77777777" w:rsidR="000A2E87" w:rsidRDefault="000A2E87" w:rsidP="003E00B1">
            <w:pPr>
              <w:pStyle w:val="TableText0"/>
            </w:pPr>
            <w:r>
              <w:t>55 (64.7%)</w:t>
            </w:r>
          </w:p>
          <w:p w14:paraId="3369222E" w14:textId="76010633" w:rsidR="000A2E87" w:rsidRDefault="000A2E87" w:rsidP="003E00B1">
            <w:pPr>
              <w:pStyle w:val="TableText0"/>
            </w:pPr>
            <w:r>
              <w:t>26 (30.6%)</w:t>
            </w:r>
          </w:p>
        </w:tc>
        <w:tc>
          <w:tcPr>
            <w:tcW w:w="1803" w:type="dxa"/>
          </w:tcPr>
          <w:p w14:paraId="63D4BD43" w14:textId="77777777" w:rsidR="002A104F" w:rsidRDefault="002A104F" w:rsidP="003E00B1">
            <w:pPr>
              <w:pStyle w:val="TableText0"/>
            </w:pPr>
          </w:p>
          <w:p w14:paraId="505D2663" w14:textId="77777777" w:rsidR="000A2E87" w:rsidRDefault="000A2E87" w:rsidP="003E00B1">
            <w:pPr>
              <w:pStyle w:val="TableText0"/>
            </w:pPr>
          </w:p>
          <w:p w14:paraId="6A129109" w14:textId="77777777" w:rsidR="000A2E87" w:rsidRDefault="000A2E87" w:rsidP="003E00B1">
            <w:pPr>
              <w:pStyle w:val="TableText0"/>
            </w:pPr>
            <w:r>
              <w:t>4 (10.5%)</w:t>
            </w:r>
          </w:p>
          <w:p w14:paraId="47DE51DF" w14:textId="77777777" w:rsidR="000A2E87" w:rsidRDefault="000A2E87" w:rsidP="003E00B1">
            <w:pPr>
              <w:pStyle w:val="TableText0"/>
            </w:pPr>
            <w:r>
              <w:t>22 (57.9%)</w:t>
            </w:r>
          </w:p>
          <w:p w14:paraId="63510B5C" w14:textId="2ACF31B5" w:rsidR="000A2E87" w:rsidRDefault="000A2E87" w:rsidP="003E00B1">
            <w:pPr>
              <w:pStyle w:val="TableText0"/>
            </w:pPr>
            <w:r>
              <w:t>12 (31.6%)</w:t>
            </w:r>
          </w:p>
        </w:tc>
        <w:tc>
          <w:tcPr>
            <w:tcW w:w="1804" w:type="dxa"/>
          </w:tcPr>
          <w:p w14:paraId="372DC1A8" w14:textId="42CBF8FB" w:rsidR="002A104F" w:rsidRDefault="00AD200C" w:rsidP="003E00B1">
            <w:pPr>
              <w:pStyle w:val="TableText0"/>
            </w:pPr>
            <w:r>
              <w:t>NR</w:t>
            </w:r>
          </w:p>
        </w:tc>
        <w:tc>
          <w:tcPr>
            <w:tcW w:w="1804" w:type="dxa"/>
          </w:tcPr>
          <w:p w14:paraId="716B1FD2" w14:textId="0BDFF89F" w:rsidR="002A104F" w:rsidRDefault="00AD200C" w:rsidP="003E00B1">
            <w:pPr>
              <w:pStyle w:val="TableText0"/>
            </w:pPr>
            <w:r>
              <w:t>NR</w:t>
            </w:r>
          </w:p>
        </w:tc>
      </w:tr>
      <w:tr w:rsidR="002A104F" w14:paraId="08FD75DB" w14:textId="77777777" w:rsidTr="002A104F">
        <w:tc>
          <w:tcPr>
            <w:tcW w:w="1803" w:type="dxa"/>
          </w:tcPr>
          <w:p w14:paraId="18F72829" w14:textId="77777777" w:rsidR="002A104F" w:rsidRDefault="000A2E87" w:rsidP="003E00B1">
            <w:pPr>
              <w:pStyle w:val="TableText0"/>
            </w:pPr>
            <w:r>
              <w:t>% predicted FVC</w:t>
            </w:r>
          </w:p>
          <w:p w14:paraId="5A5E8129" w14:textId="77777777" w:rsidR="000A2E87" w:rsidRDefault="000A2E87" w:rsidP="000A2E87">
            <w:pPr>
              <w:pStyle w:val="TableText0"/>
              <w:jc w:val="right"/>
            </w:pPr>
            <w:r>
              <w:t>Mean (SD)</w:t>
            </w:r>
          </w:p>
          <w:p w14:paraId="56E099A2" w14:textId="77777777" w:rsidR="000A2E87" w:rsidRDefault="000A2E87" w:rsidP="000A2E87">
            <w:pPr>
              <w:pStyle w:val="TableText0"/>
              <w:jc w:val="right"/>
            </w:pPr>
            <w:r>
              <w:t>Median (IQR)</w:t>
            </w:r>
          </w:p>
          <w:p w14:paraId="57F603DE" w14:textId="215FB21C" w:rsidR="000A2E87" w:rsidRDefault="000A2E87" w:rsidP="000A2E87">
            <w:pPr>
              <w:pStyle w:val="TableText0"/>
              <w:jc w:val="right"/>
            </w:pPr>
            <w:r>
              <w:t>Range</w:t>
            </w:r>
          </w:p>
        </w:tc>
        <w:tc>
          <w:tcPr>
            <w:tcW w:w="1803" w:type="dxa"/>
          </w:tcPr>
          <w:p w14:paraId="1A9747B2" w14:textId="77777777" w:rsidR="002A104F" w:rsidRDefault="002A104F" w:rsidP="003E00B1">
            <w:pPr>
              <w:pStyle w:val="TableText0"/>
            </w:pPr>
          </w:p>
          <w:p w14:paraId="65ABCB31" w14:textId="77777777" w:rsidR="000A2E87" w:rsidRDefault="000A2E87" w:rsidP="003E00B1">
            <w:pPr>
              <w:pStyle w:val="TableText0"/>
            </w:pPr>
            <w:r>
              <w:t>70.7 (19.6)</w:t>
            </w:r>
          </w:p>
          <w:p w14:paraId="735E46BA" w14:textId="77777777" w:rsidR="000A2E87" w:rsidRDefault="000A2E87" w:rsidP="003E00B1">
            <w:pPr>
              <w:pStyle w:val="TableText0"/>
            </w:pPr>
            <w:r>
              <w:t>70.0 (56.0, 84.0)</w:t>
            </w:r>
          </w:p>
          <w:p w14:paraId="13FF3C02" w14:textId="347AE5B0" w:rsidR="000A2E87" w:rsidRDefault="000A2E87" w:rsidP="003E00B1">
            <w:pPr>
              <w:pStyle w:val="TableText0"/>
            </w:pPr>
            <w:r>
              <w:t>30.5, 132.5</w:t>
            </w:r>
          </w:p>
        </w:tc>
        <w:tc>
          <w:tcPr>
            <w:tcW w:w="1803" w:type="dxa"/>
          </w:tcPr>
          <w:p w14:paraId="161B9E35" w14:textId="77777777" w:rsidR="002A104F" w:rsidRDefault="002A104F" w:rsidP="003E00B1">
            <w:pPr>
              <w:pStyle w:val="TableText0"/>
            </w:pPr>
          </w:p>
          <w:p w14:paraId="01E96F80" w14:textId="77777777" w:rsidR="000A2E87" w:rsidRDefault="000A2E87" w:rsidP="003E00B1">
            <w:pPr>
              <w:pStyle w:val="TableText0"/>
            </w:pPr>
            <w:r>
              <w:t>70.0 (21.3)</w:t>
            </w:r>
          </w:p>
          <w:p w14:paraId="7B6CB602" w14:textId="77777777" w:rsidR="000A2E87" w:rsidRDefault="000A2E87" w:rsidP="003E00B1">
            <w:pPr>
              <w:pStyle w:val="TableText0"/>
            </w:pPr>
            <w:r>
              <w:t>71.2 (50.0, 89.0)</w:t>
            </w:r>
          </w:p>
          <w:p w14:paraId="41ADE2D5" w14:textId="27AEF9A3" w:rsidR="000A2E87" w:rsidRDefault="000A2E87" w:rsidP="003E00B1">
            <w:pPr>
              <w:pStyle w:val="TableText0"/>
            </w:pPr>
            <w:r>
              <w:t>31.5, 122.0</w:t>
            </w:r>
          </w:p>
        </w:tc>
        <w:tc>
          <w:tcPr>
            <w:tcW w:w="1804" w:type="dxa"/>
          </w:tcPr>
          <w:p w14:paraId="176DE34F" w14:textId="77777777" w:rsidR="002A104F" w:rsidRDefault="002A104F" w:rsidP="003E00B1">
            <w:pPr>
              <w:pStyle w:val="TableText0"/>
            </w:pPr>
          </w:p>
          <w:p w14:paraId="431ACC67" w14:textId="77777777" w:rsidR="00AD200C" w:rsidRDefault="00AD200C" w:rsidP="003E00B1">
            <w:pPr>
              <w:pStyle w:val="TableText0"/>
            </w:pPr>
            <w:r>
              <w:t>62.5 (14.4)</w:t>
            </w:r>
          </w:p>
          <w:p w14:paraId="7B5B3D42" w14:textId="77777777" w:rsidR="00AD200C" w:rsidRDefault="00AD200C" w:rsidP="003E00B1">
            <w:pPr>
              <w:pStyle w:val="TableText0"/>
            </w:pPr>
            <w:r>
              <w:t>NR</w:t>
            </w:r>
          </w:p>
          <w:p w14:paraId="46E3D182" w14:textId="3BAB5E4F" w:rsidR="00AD200C" w:rsidRDefault="00AD200C" w:rsidP="003E00B1">
            <w:pPr>
              <w:pStyle w:val="TableText0"/>
            </w:pPr>
            <w:r>
              <w:t>32.1, 84.8</w:t>
            </w:r>
          </w:p>
        </w:tc>
        <w:tc>
          <w:tcPr>
            <w:tcW w:w="1804" w:type="dxa"/>
          </w:tcPr>
          <w:p w14:paraId="1EC76251" w14:textId="77777777" w:rsidR="002A104F" w:rsidRDefault="002A104F" w:rsidP="003E00B1">
            <w:pPr>
              <w:pStyle w:val="TableText0"/>
            </w:pPr>
          </w:p>
          <w:p w14:paraId="096DBB8D" w14:textId="77777777" w:rsidR="00AD200C" w:rsidRDefault="00AD200C" w:rsidP="003E00B1">
            <w:pPr>
              <w:pStyle w:val="TableText0"/>
            </w:pPr>
            <w:r>
              <w:t>61.6 (12.4)</w:t>
            </w:r>
          </w:p>
          <w:p w14:paraId="42B4179E" w14:textId="77777777" w:rsidR="00AD200C" w:rsidRDefault="007A0254" w:rsidP="003E00B1">
            <w:pPr>
              <w:pStyle w:val="TableText0"/>
            </w:pPr>
            <w:r>
              <w:t>NR</w:t>
            </w:r>
          </w:p>
          <w:p w14:paraId="2CE930AF" w14:textId="78E4BB9F" w:rsidR="007A0254" w:rsidRDefault="007A0254" w:rsidP="003E00B1">
            <w:pPr>
              <w:pStyle w:val="TableText0"/>
            </w:pPr>
            <w:r>
              <w:t>39.3, 84.5</w:t>
            </w:r>
          </w:p>
        </w:tc>
      </w:tr>
      <w:tr w:rsidR="00572B3E" w14:paraId="30A38192" w14:textId="77777777" w:rsidTr="002A104F">
        <w:tc>
          <w:tcPr>
            <w:tcW w:w="1803" w:type="dxa"/>
          </w:tcPr>
          <w:p w14:paraId="13808C91" w14:textId="77777777" w:rsidR="00572B3E" w:rsidRDefault="00572B3E" w:rsidP="003E00B1">
            <w:pPr>
              <w:pStyle w:val="TableText0"/>
            </w:pPr>
            <w:r>
              <w:t>PROMIS PF score</w:t>
            </w:r>
          </w:p>
          <w:p w14:paraId="459D61D4" w14:textId="77777777" w:rsidR="00572B3E" w:rsidRDefault="00572B3E" w:rsidP="00572B3E">
            <w:pPr>
              <w:pStyle w:val="TableText0"/>
              <w:jc w:val="right"/>
            </w:pPr>
            <w:r>
              <w:t>Mean (SD)</w:t>
            </w:r>
          </w:p>
          <w:p w14:paraId="41BEE2F9" w14:textId="77777777" w:rsidR="00572B3E" w:rsidRDefault="00572B3E" w:rsidP="00572B3E">
            <w:pPr>
              <w:pStyle w:val="TableText0"/>
              <w:jc w:val="right"/>
            </w:pPr>
            <w:r>
              <w:t>Median (IQR)</w:t>
            </w:r>
          </w:p>
          <w:p w14:paraId="0380DA0B" w14:textId="531645F2" w:rsidR="00572B3E" w:rsidRDefault="00572B3E" w:rsidP="00572B3E">
            <w:pPr>
              <w:pStyle w:val="TableText0"/>
              <w:jc w:val="right"/>
            </w:pPr>
            <w:r>
              <w:t>Range</w:t>
            </w:r>
          </w:p>
        </w:tc>
        <w:tc>
          <w:tcPr>
            <w:tcW w:w="1803" w:type="dxa"/>
          </w:tcPr>
          <w:p w14:paraId="3230B5B4" w14:textId="77777777" w:rsidR="00572B3E" w:rsidRDefault="00572B3E" w:rsidP="003E00B1">
            <w:pPr>
              <w:pStyle w:val="TableText0"/>
            </w:pPr>
          </w:p>
          <w:p w14:paraId="13101FA9" w14:textId="77777777" w:rsidR="00572B3E" w:rsidRDefault="00605508" w:rsidP="003E00B1">
            <w:pPr>
              <w:pStyle w:val="TableText0"/>
            </w:pPr>
            <w:r>
              <w:t>66.9 (12.3)</w:t>
            </w:r>
          </w:p>
          <w:p w14:paraId="28202EAA" w14:textId="77777777" w:rsidR="00605508" w:rsidRDefault="00605508" w:rsidP="003E00B1">
            <w:pPr>
              <w:pStyle w:val="TableText0"/>
            </w:pPr>
            <w:r>
              <w:t>67.0 (60.0, 75.5)</w:t>
            </w:r>
          </w:p>
          <w:p w14:paraId="013990F2" w14:textId="3A98DB9C" w:rsidR="00605508" w:rsidRDefault="00605508" w:rsidP="003E00B1">
            <w:pPr>
              <w:pStyle w:val="TableText0"/>
            </w:pPr>
            <w:r>
              <w:t xml:space="preserve">37.0, 96.0 </w:t>
            </w:r>
          </w:p>
        </w:tc>
        <w:tc>
          <w:tcPr>
            <w:tcW w:w="1803" w:type="dxa"/>
          </w:tcPr>
          <w:p w14:paraId="1A15572B" w14:textId="77777777" w:rsidR="00572B3E" w:rsidRDefault="00572B3E" w:rsidP="003E00B1">
            <w:pPr>
              <w:pStyle w:val="TableText0"/>
            </w:pPr>
          </w:p>
          <w:p w14:paraId="3DCAA36F" w14:textId="77777777" w:rsidR="00605508" w:rsidRDefault="00605508" w:rsidP="003E00B1">
            <w:pPr>
              <w:pStyle w:val="TableText0"/>
            </w:pPr>
            <w:r>
              <w:t>68.0 (13.1)</w:t>
            </w:r>
          </w:p>
          <w:p w14:paraId="6BB1BA56" w14:textId="77777777" w:rsidR="00605508" w:rsidRDefault="00605508" w:rsidP="003E00B1">
            <w:pPr>
              <w:pStyle w:val="TableText0"/>
            </w:pPr>
            <w:r>
              <w:t>67.0 (59.0, 74.0)</w:t>
            </w:r>
          </w:p>
          <w:p w14:paraId="187A4931" w14:textId="61CCBF88" w:rsidR="00605508" w:rsidRDefault="00605508" w:rsidP="003E00B1">
            <w:pPr>
              <w:pStyle w:val="TableText0"/>
            </w:pPr>
            <w:r>
              <w:t>44.0, 97.0</w:t>
            </w:r>
          </w:p>
        </w:tc>
        <w:tc>
          <w:tcPr>
            <w:tcW w:w="1804" w:type="dxa"/>
          </w:tcPr>
          <w:p w14:paraId="265695E6" w14:textId="5BA97D4A" w:rsidR="00572B3E" w:rsidRDefault="00605508" w:rsidP="003E00B1">
            <w:pPr>
              <w:pStyle w:val="TableText0"/>
            </w:pPr>
            <w:r>
              <w:t>NA</w:t>
            </w:r>
          </w:p>
        </w:tc>
        <w:tc>
          <w:tcPr>
            <w:tcW w:w="1804" w:type="dxa"/>
          </w:tcPr>
          <w:p w14:paraId="62C16744" w14:textId="5E7A8CFF" w:rsidR="00572B3E" w:rsidRDefault="00605508" w:rsidP="003E00B1">
            <w:pPr>
              <w:pStyle w:val="TableText0"/>
            </w:pPr>
            <w:r>
              <w:t>NA</w:t>
            </w:r>
          </w:p>
        </w:tc>
      </w:tr>
      <w:tr w:rsidR="00605508" w14:paraId="412F9A1E" w14:textId="77777777" w:rsidTr="002A104F">
        <w:tc>
          <w:tcPr>
            <w:tcW w:w="1803" w:type="dxa"/>
          </w:tcPr>
          <w:p w14:paraId="08140BAA" w14:textId="77777777" w:rsidR="00605508" w:rsidRDefault="00605508" w:rsidP="003E00B1">
            <w:pPr>
              <w:pStyle w:val="TableText0"/>
            </w:pPr>
            <w:r>
              <w:t xml:space="preserve">SF-12 PCS </w:t>
            </w:r>
          </w:p>
          <w:p w14:paraId="0B0B3589" w14:textId="77777777" w:rsidR="00605508" w:rsidRDefault="00605508" w:rsidP="003E00B1">
            <w:pPr>
              <w:pStyle w:val="TableText0"/>
            </w:pPr>
            <w:r>
              <w:t>Mean (SD)</w:t>
            </w:r>
          </w:p>
          <w:p w14:paraId="5EB03F5B" w14:textId="03F91316" w:rsidR="00605508" w:rsidRDefault="00605508" w:rsidP="003E00B1">
            <w:pPr>
              <w:pStyle w:val="TableText0"/>
            </w:pPr>
            <w:r>
              <w:t>Range</w:t>
            </w:r>
          </w:p>
        </w:tc>
        <w:tc>
          <w:tcPr>
            <w:tcW w:w="1803" w:type="dxa"/>
          </w:tcPr>
          <w:p w14:paraId="2A7B6F42" w14:textId="59C911F9" w:rsidR="00605508" w:rsidRDefault="00605508" w:rsidP="003E00B1">
            <w:pPr>
              <w:pStyle w:val="TableText0"/>
            </w:pPr>
            <w:r>
              <w:t>NA</w:t>
            </w:r>
          </w:p>
        </w:tc>
        <w:tc>
          <w:tcPr>
            <w:tcW w:w="1803" w:type="dxa"/>
          </w:tcPr>
          <w:p w14:paraId="5C6811B7" w14:textId="10EFAE24" w:rsidR="00605508" w:rsidRDefault="00605508" w:rsidP="003E00B1">
            <w:pPr>
              <w:pStyle w:val="TableText0"/>
            </w:pPr>
            <w:r>
              <w:t>NA</w:t>
            </w:r>
          </w:p>
        </w:tc>
        <w:tc>
          <w:tcPr>
            <w:tcW w:w="1804" w:type="dxa"/>
          </w:tcPr>
          <w:p w14:paraId="5D34E837" w14:textId="77777777" w:rsidR="00605508" w:rsidRDefault="00605508" w:rsidP="003E00B1">
            <w:pPr>
              <w:pStyle w:val="TableText0"/>
            </w:pPr>
          </w:p>
          <w:p w14:paraId="6C702629" w14:textId="77777777" w:rsidR="00605508" w:rsidRDefault="00605508" w:rsidP="003E00B1">
            <w:pPr>
              <w:pStyle w:val="TableText0"/>
            </w:pPr>
            <w:r>
              <w:t>35.6 (7.8)</w:t>
            </w:r>
          </w:p>
          <w:p w14:paraId="1F7C720C" w14:textId="3B85A518" w:rsidR="00605508" w:rsidRDefault="00605508" w:rsidP="003E00B1">
            <w:pPr>
              <w:pStyle w:val="TableText0"/>
            </w:pPr>
            <w:r>
              <w:t>17.8, 55.8</w:t>
            </w:r>
          </w:p>
        </w:tc>
        <w:tc>
          <w:tcPr>
            <w:tcW w:w="1804" w:type="dxa"/>
          </w:tcPr>
          <w:p w14:paraId="622EDD79" w14:textId="77777777" w:rsidR="00605508" w:rsidRDefault="00605508" w:rsidP="003E00B1">
            <w:pPr>
              <w:pStyle w:val="TableText0"/>
            </w:pPr>
          </w:p>
          <w:p w14:paraId="16594491" w14:textId="77777777" w:rsidR="00605508" w:rsidRDefault="00605508" w:rsidP="003E00B1">
            <w:pPr>
              <w:pStyle w:val="TableText0"/>
            </w:pPr>
            <w:r>
              <w:t>36.8 (9.4)</w:t>
            </w:r>
          </w:p>
          <w:p w14:paraId="043004AA" w14:textId="7954DB6F" w:rsidR="00605508" w:rsidRDefault="00605508" w:rsidP="003E00B1">
            <w:pPr>
              <w:pStyle w:val="TableText0"/>
            </w:pPr>
            <w:r>
              <w:t>16.3, 57.3</w:t>
            </w:r>
          </w:p>
        </w:tc>
      </w:tr>
      <w:tr w:rsidR="00605508" w14:paraId="68EBBF36" w14:textId="77777777" w:rsidTr="002A104F">
        <w:tc>
          <w:tcPr>
            <w:tcW w:w="1803" w:type="dxa"/>
          </w:tcPr>
          <w:p w14:paraId="7CA4AF2E" w14:textId="77777777" w:rsidR="00605508" w:rsidRDefault="00605508" w:rsidP="003E00B1">
            <w:pPr>
              <w:pStyle w:val="TableText0"/>
            </w:pPr>
            <w:r>
              <w:t>SF-12 MCS</w:t>
            </w:r>
          </w:p>
          <w:p w14:paraId="0E98F2D1" w14:textId="77777777" w:rsidR="00605508" w:rsidRDefault="00605508" w:rsidP="003E00B1">
            <w:pPr>
              <w:pStyle w:val="TableText0"/>
            </w:pPr>
            <w:r>
              <w:t>Mean (SD)</w:t>
            </w:r>
          </w:p>
          <w:p w14:paraId="76BC5F84" w14:textId="27C07D56" w:rsidR="00605508" w:rsidRDefault="00605508" w:rsidP="003E00B1">
            <w:pPr>
              <w:pStyle w:val="TableText0"/>
            </w:pPr>
            <w:r>
              <w:t>Range</w:t>
            </w:r>
          </w:p>
        </w:tc>
        <w:tc>
          <w:tcPr>
            <w:tcW w:w="1803" w:type="dxa"/>
          </w:tcPr>
          <w:p w14:paraId="33A9478F" w14:textId="7643F24A" w:rsidR="00605508" w:rsidRDefault="00605508" w:rsidP="003E00B1">
            <w:pPr>
              <w:pStyle w:val="TableText0"/>
            </w:pPr>
            <w:r>
              <w:t>NA</w:t>
            </w:r>
          </w:p>
        </w:tc>
        <w:tc>
          <w:tcPr>
            <w:tcW w:w="1803" w:type="dxa"/>
          </w:tcPr>
          <w:p w14:paraId="002B157D" w14:textId="51111E57" w:rsidR="00605508" w:rsidRDefault="00605508" w:rsidP="003E00B1">
            <w:pPr>
              <w:pStyle w:val="TableText0"/>
            </w:pPr>
            <w:r>
              <w:t>NA</w:t>
            </w:r>
          </w:p>
        </w:tc>
        <w:tc>
          <w:tcPr>
            <w:tcW w:w="1804" w:type="dxa"/>
          </w:tcPr>
          <w:p w14:paraId="26EFB46F" w14:textId="77777777" w:rsidR="00605508" w:rsidRDefault="00605508" w:rsidP="003E00B1">
            <w:pPr>
              <w:pStyle w:val="TableText0"/>
            </w:pPr>
          </w:p>
          <w:p w14:paraId="1E7C52EA" w14:textId="77777777" w:rsidR="00605508" w:rsidRDefault="00605508" w:rsidP="003E00B1">
            <w:pPr>
              <w:pStyle w:val="TableText0"/>
            </w:pPr>
            <w:r>
              <w:t>48.3 (10.1)</w:t>
            </w:r>
          </w:p>
          <w:p w14:paraId="0FE41C67" w14:textId="31FCD01A" w:rsidR="00605508" w:rsidRDefault="00605508" w:rsidP="003E00B1">
            <w:pPr>
              <w:pStyle w:val="TableText0"/>
            </w:pPr>
            <w:r>
              <w:t>24.2, 70.8</w:t>
            </w:r>
          </w:p>
        </w:tc>
        <w:tc>
          <w:tcPr>
            <w:tcW w:w="1804" w:type="dxa"/>
          </w:tcPr>
          <w:p w14:paraId="7D0A4991" w14:textId="77777777" w:rsidR="00605508" w:rsidRDefault="00605508" w:rsidP="003E00B1">
            <w:pPr>
              <w:pStyle w:val="TableText0"/>
            </w:pPr>
          </w:p>
          <w:p w14:paraId="5BB4ACB2" w14:textId="77777777" w:rsidR="00605508" w:rsidRDefault="00605508" w:rsidP="003E00B1">
            <w:pPr>
              <w:pStyle w:val="TableText0"/>
            </w:pPr>
            <w:r>
              <w:t>50.6 (8.7)</w:t>
            </w:r>
          </w:p>
          <w:p w14:paraId="3D22538B" w14:textId="60FA76AB" w:rsidR="00605508" w:rsidRDefault="00605508" w:rsidP="003E00B1">
            <w:pPr>
              <w:pStyle w:val="TableText0"/>
            </w:pPr>
            <w:r>
              <w:t>30.4, 65.0</w:t>
            </w:r>
          </w:p>
        </w:tc>
      </w:tr>
    </w:tbl>
    <w:p w14:paraId="33DB6FD8" w14:textId="0106AC81" w:rsidR="00AD200C" w:rsidRDefault="000A2E87" w:rsidP="000D2D05">
      <w:pPr>
        <w:pStyle w:val="TableFigureFooter"/>
        <w:jc w:val="both"/>
      </w:pPr>
      <w:r>
        <w:t xml:space="preserve">Source: </w:t>
      </w:r>
      <w:r w:rsidR="00AD200C">
        <w:t xml:space="preserve">PROPEL CSR, Table 9, pp74-75; Table 10, pp75-76, Table 11, p77. </w:t>
      </w:r>
      <w:r w:rsidR="007A0254">
        <w:t xml:space="preserve">Diaz-Manera, 2021. </w:t>
      </w:r>
    </w:p>
    <w:p w14:paraId="27FDC01A" w14:textId="5E20AABC" w:rsidR="00DF14F3" w:rsidRPr="00DF14F3" w:rsidRDefault="00AD200C" w:rsidP="000D2D05">
      <w:pPr>
        <w:pStyle w:val="TableFigureFooter"/>
        <w:spacing w:after="0"/>
        <w:jc w:val="both"/>
      </w:pPr>
      <w:r w:rsidRPr="26403EC0">
        <w:rPr>
          <w:vertAlign w:val="superscript"/>
        </w:rPr>
        <w:t>1</w:t>
      </w:r>
      <w:r w:rsidRPr="26403EC0">
        <w:t xml:space="preserve"> Walking stick, walking frame or chair walker; if used for 6MWD at baseline required for all later tests.</w:t>
      </w:r>
      <w:r w:rsidR="00DF14F3" w:rsidRPr="26403EC0">
        <w:t xml:space="preserve"> </w:t>
      </w:r>
      <w:r w:rsidR="00DF14F3" w:rsidRPr="26403EC0">
        <w:rPr>
          <w:vertAlign w:val="superscript"/>
        </w:rPr>
        <w:t>2</w:t>
      </w:r>
      <w:r w:rsidR="00DF14F3" w:rsidRPr="26403EC0">
        <w:t xml:space="preserve"> Falls were not defined in the </w:t>
      </w:r>
      <w:r w:rsidR="00E44F68" w:rsidRPr="26403EC0">
        <w:t xml:space="preserve">PROPEL or COMET Protocols.  </w:t>
      </w:r>
    </w:p>
    <w:p w14:paraId="48FDDD5A" w14:textId="02EF6A3A" w:rsidR="007E7CD3" w:rsidRPr="000D2D05" w:rsidRDefault="00AD200C" w:rsidP="000D2D05">
      <w:pPr>
        <w:pStyle w:val="In-tableHeading"/>
        <w:jc w:val="both"/>
      </w:pPr>
      <w:r w:rsidRPr="000D2D05">
        <w:t xml:space="preserve">6MWD = six-minute walking distance; </w:t>
      </w:r>
      <w:r w:rsidR="00FA6068" w:rsidRPr="000D2D05">
        <w:t xml:space="preserve">ALGLU = alglucosidase; AVAL = </w:t>
      </w:r>
      <w:proofErr w:type="spellStart"/>
      <w:r w:rsidR="00FA6068" w:rsidRPr="000D2D05">
        <w:t>avalglucosidase</w:t>
      </w:r>
      <w:proofErr w:type="spellEnd"/>
      <w:r w:rsidR="00FA6068" w:rsidRPr="000D2D05">
        <w:t xml:space="preserve">; CIPAMIG = Cipaglucosidase + </w:t>
      </w:r>
      <w:proofErr w:type="spellStart"/>
      <w:r w:rsidR="00FA6068" w:rsidRPr="000D2D05">
        <w:t>miglustat</w:t>
      </w:r>
      <w:proofErr w:type="spellEnd"/>
      <w:r w:rsidR="00FA6068" w:rsidRPr="000D2D05">
        <w:t xml:space="preserve">; </w:t>
      </w:r>
      <w:r w:rsidRPr="000D2D05">
        <w:t xml:space="preserve">ERT = enzyme replacement therapy; FVC = forced vital capacity; IQR = inter-quartile range; </w:t>
      </w:r>
      <w:r w:rsidR="00664F04" w:rsidRPr="000D2D05">
        <w:t xml:space="preserve">m = </w:t>
      </w:r>
      <w:proofErr w:type="spellStart"/>
      <w:r w:rsidR="000E7313" w:rsidRPr="000D2D05">
        <w:t>met</w:t>
      </w:r>
      <w:r w:rsidR="009733EC" w:rsidRPr="000D2D05">
        <w:t>re</w:t>
      </w:r>
      <w:r w:rsidR="000E7313" w:rsidRPr="000D2D05">
        <w:t>s</w:t>
      </w:r>
      <w:proofErr w:type="spellEnd"/>
      <w:r w:rsidR="00664F04" w:rsidRPr="000D2D05">
        <w:t xml:space="preserve">; </w:t>
      </w:r>
      <w:r w:rsidR="00605508" w:rsidRPr="000D2D05">
        <w:t>PROMIS PF = Patient-Reported Outcomes Measurement Information System Physical Function;</w:t>
      </w:r>
      <w:r w:rsidR="00FA6068" w:rsidRPr="000D2D05">
        <w:t xml:space="preserve"> </w:t>
      </w:r>
      <w:r w:rsidRPr="000D2D05">
        <w:t>SD = standard deviation</w:t>
      </w:r>
      <w:r w:rsidR="00605508" w:rsidRPr="000D2D05">
        <w:t xml:space="preserve">; SF-12 MCS = Short Form 12 item, Mental Component Summary; SF-12 PCS = Short Form 12 item, Physical Component Summary. </w:t>
      </w:r>
    </w:p>
    <w:p w14:paraId="79EC8835" w14:textId="136FD99B" w:rsidR="007E7CD3" w:rsidRPr="007E7CD3" w:rsidRDefault="007E7CD3" w:rsidP="26403EC0">
      <w:pPr>
        <w:pStyle w:val="3-BodyText"/>
        <w:rPr>
          <w:color w:val="000000" w:themeColor="text1"/>
        </w:rPr>
      </w:pPr>
      <w:r w:rsidRPr="26403EC0">
        <w:rPr>
          <w:color w:val="000000" w:themeColor="text1"/>
        </w:rPr>
        <w:t xml:space="preserve">In PROPEL, </w:t>
      </w:r>
      <w:r w:rsidR="00634FEE" w:rsidRPr="26403EC0">
        <w:rPr>
          <w:color w:val="000000" w:themeColor="text1"/>
        </w:rPr>
        <w:t>ALGLU</w:t>
      </w:r>
      <w:r w:rsidRPr="26403EC0">
        <w:rPr>
          <w:color w:val="000000" w:themeColor="text1"/>
        </w:rPr>
        <w:t xml:space="preserve"> </w:t>
      </w:r>
      <w:r w:rsidR="007D780A" w:rsidRPr="26403EC0">
        <w:rPr>
          <w:color w:val="000000" w:themeColor="text1"/>
        </w:rPr>
        <w:t xml:space="preserve">therapy </w:t>
      </w:r>
      <w:r w:rsidRPr="26403EC0">
        <w:rPr>
          <w:color w:val="000000" w:themeColor="text1"/>
        </w:rPr>
        <w:t>before the trial</w:t>
      </w:r>
      <w:r w:rsidR="007D780A" w:rsidRPr="26403EC0">
        <w:rPr>
          <w:color w:val="000000" w:themeColor="text1"/>
        </w:rPr>
        <w:t xml:space="preserve"> was permitted</w:t>
      </w:r>
      <w:r w:rsidR="00826976" w:rsidRPr="26403EC0">
        <w:rPr>
          <w:color w:val="000000" w:themeColor="text1"/>
        </w:rPr>
        <w:t xml:space="preserve"> while it was not</w:t>
      </w:r>
      <w:r w:rsidRPr="26403EC0">
        <w:rPr>
          <w:color w:val="000000" w:themeColor="text1"/>
        </w:rPr>
        <w:t xml:space="preserve"> in COMET. </w:t>
      </w:r>
      <w:r w:rsidR="00E14D30" w:rsidRPr="26403EC0">
        <w:rPr>
          <w:color w:val="000000" w:themeColor="text1"/>
        </w:rPr>
        <w:t xml:space="preserve">This </w:t>
      </w:r>
      <w:r w:rsidRPr="26403EC0">
        <w:rPr>
          <w:color w:val="000000" w:themeColor="text1"/>
        </w:rPr>
        <w:t>is a</w:t>
      </w:r>
      <w:r w:rsidR="00ED6CA1" w:rsidRPr="26403EC0">
        <w:rPr>
          <w:color w:val="000000" w:themeColor="text1"/>
        </w:rPr>
        <w:t xml:space="preserve">n important </w:t>
      </w:r>
      <w:r w:rsidRPr="26403EC0">
        <w:rPr>
          <w:color w:val="000000" w:themeColor="text1"/>
        </w:rPr>
        <w:t>difference in design</w:t>
      </w:r>
      <w:r w:rsidR="00E14D30" w:rsidRPr="26403EC0">
        <w:rPr>
          <w:color w:val="000000" w:themeColor="text1"/>
        </w:rPr>
        <w:t>, because m</w:t>
      </w:r>
      <w:r w:rsidRPr="26403EC0">
        <w:t xml:space="preserve">ost patients with LOPD starting ERT for the first time </w:t>
      </w:r>
      <w:r w:rsidR="00CE686C" w:rsidRPr="26403EC0">
        <w:t>demonstrate improved respiratory muscle strength and exercise capacity</w:t>
      </w:r>
      <w:r w:rsidRPr="26403EC0">
        <w:t>, but many experience a secondary decline in FVC and 6MWD</w:t>
      </w:r>
      <w:r w:rsidR="00E14D30" w:rsidRPr="26403EC0">
        <w:t xml:space="preserve"> despite continued ERT</w:t>
      </w:r>
      <w:r w:rsidRPr="26403EC0">
        <w:t>.</w:t>
      </w:r>
      <w:r w:rsidRPr="26403EC0">
        <w:rPr>
          <w:rStyle w:val="FootnoteReference"/>
        </w:rPr>
        <w:footnoteReference w:id="4"/>
      </w:r>
      <w:r w:rsidRPr="26403EC0">
        <w:t xml:space="preserve"> </w:t>
      </w:r>
      <w:r w:rsidR="00DD46BA" w:rsidRPr="26403EC0">
        <w:t>It is unknown whether patients benefit from switching from one ERT to another</w:t>
      </w:r>
      <w:r w:rsidR="007D780A" w:rsidRPr="26403EC0">
        <w:t xml:space="preserve">, </w:t>
      </w:r>
      <w:r w:rsidR="00141491" w:rsidRPr="26403EC0">
        <w:t xml:space="preserve">or how long </w:t>
      </w:r>
      <w:r w:rsidR="00275E79" w:rsidRPr="26403EC0">
        <w:t>such an effect might</w:t>
      </w:r>
      <w:r w:rsidR="00141491" w:rsidRPr="26403EC0">
        <w:t xml:space="preserve"> last, </w:t>
      </w:r>
      <w:r w:rsidR="007D780A" w:rsidRPr="26403EC0">
        <w:t xml:space="preserve">but </w:t>
      </w:r>
      <w:r w:rsidR="003D117E" w:rsidRPr="26403EC0">
        <w:t>if there is a short-term benefit from switching</w:t>
      </w:r>
      <w:r w:rsidR="00DF52A2" w:rsidRPr="26403EC0">
        <w:t>,</w:t>
      </w:r>
      <w:r w:rsidR="003D117E" w:rsidRPr="26403EC0">
        <w:t xml:space="preserve"> </w:t>
      </w:r>
      <w:r w:rsidR="007D780A" w:rsidRPr="26403EC0">
        <w:t xml:space="preserve">the effect of </w:t>
      </w:r>
      <w:r w:rsidR="00263A5C" w:rsidRPr="26403EC0">
        <w:t>CIPAMIG</w:t>
      </w:r>
      <w:r w:rsidR="007D780A" w:rsidRPr="26403EC0">
        <w:t xml:space="preserve"> relative to </w:t>
      </w:r>
      <w:r w:rsidR="00263A5C" w:rsidRPr="26403EC0">
        <w:t>ALGLU</w:t>
      </w:r>
      <w:r w:rsidR="007D780A" w:rsidRPr="26403EC0">
        <w:t xml:space="preserve"> may be exaggerated </w:t>
      </w:r>
      <w:r w:rsidR="00141491" w:rsidRPr="26403EC0">
        <w:t xml:space="preserve">in a relatively short duration trial </w:t>
      </w:r>
      <w:r w:rsidR="003D117E" w:rsidRPr="26403EC0">
        <w:t xml:space="preserve">by comparison </w:t>
      </w:r>
      <w:r w:rsidR="007D780A" w:rsidRPr="26403EC0">
        <w:t xml:space="preserve">with ongoing </w:t>
      </w:r>
      <w:r w:rsidR="00263A5C" w:rsidRPr="26403EC0">
        <w:t>ALGLU</w:t>
      </w:r>
      <w:r w:rsidR="007D780A" w:rsidRPr="26403EC0">
        <w:t xml:space="preserve"> rather than with first-time treatment as in COMET.</w:t>
      </w:r>
    </w:p>
    <w:p w14:paraId="1ED9F6A7" w14:textId="768D2790" w:rsidR="007A0254" w:rsidRPr="00D13E74" w:rsidRDefault="007E7CD3" w:rsidP="00EC5836">
      <w:pPr>
        <w:pStyle w:val="3-BodyText"/>
        <w:rPr>
          <w:color w:val="0066FF"/>
        </w:rPr>
      </w:pPr>
      <w:r>
        <w:t>B</w:t>
      </w:r>
      <w:r w:rsidR="007A0254">
        <w:t xml:space="preserve">aseline characteristics </w:t>
      </w:r>
      <w:r>
        <w:t xml:space="preserve">other than prior ERT use </w:t>
      </w:r>
      <w:r w:rsidR="007A0254">
        <w:t xml:space="preserve">were similar in the PROPEL and COMET trials, and </w:t>
      </w:r>
      <w:r w:rsidR="00DD46BA">
        <w:t xml:space="preserve">in all cases </w:t>
      </w:r>
      <w:r w:rsidR="007A0254">
        <w:t>similar for intervention and comparison groups, except that FVC was slightly lower in COMET than in PROPEL</w:t>
      </w:r>
      <w:r w:rsidR="00141491">
        <w:t xml:space="preserve">, consistent with the inclusion criteria for % predicted FVC in COMET having an upper limit and </w:t>
      </w:r>
      <w:r w:rsidR="007E42DD">
        <w:t xml:space="preserve">not in </w:t>
      </w:r>
      <w:r w:rsidR="00141491">
        <w:t>PROPEL</w:t>
      </w:r>
      <w:r w:rsidR="007A0254">
        <w:t xml:space="preserve">. </w:t>
      </w:r>
    </w:p>
    <w:p w14:paraId="07D9706B" w14:textId="2A9709EC" w:rsidR="00D13E74" w:rsidRPr="003330A2" w:rsidRDefault="00D13E74" w:rsidP="26403EC0">
      <w:pPr>
        <w:pStyle w:val="3-BodyText"/>
        <w:rPr>
          <w:color w:val="0066FF"/>
        </w:rPr>
      </w:pPr>
      <w:r w:rsidRPr="26403EC0">
        <w:t xml:space="preserve">It should be noted, however, that sleep studies were not performed as part of either PROPEL or COMET, so whether patients in the trials were comparable </w:t>
      </w:r>
      <w:r w:rsidR="00275E79" w:rsidRPr="26403EC0">
        <w:t>with regard to sleep-disordered breathing</w:t>
      </w:r>
      <w:r w:rsidRPr="26403EC0">
        <w:t xml:space="preserve"> is unknown. </w:t>
      </w:r>
      <w:r w:rsidR="00275E79" w:rsidRPr="26403EC0">
        <w:t xml:space="preserve">This is important because sleep-disordered breathing is an independent criterion for access to the LSDP for Pompe Disease. </w:t>
      </w:r>
    </w:p>
    <w:p w14:paraId="5E21DD88" w14:textId="330B150A" w:rsidR="00AA5189" w:rsidRDefault="00AA5189" w:rsidP="00AA5189">
      <w:pPr>
        <w:pStyle w:val="5-SubsectionSubheading"/>
      </w:pPr>
      <w:bookmarkStart w:id="27" w:name="_Toc187576330"/>
      <w:r>
        <w:t>Trial outcomes - Minimum Clinically Important Differences</w:t>
      </w:r>
      <w:bookmarkEnd w:id="27"/>
    </w:p>
    <w:p w14:paraId="543C8824" w14:textId="77777777" w:rsidR="00AA5189" w:rsidRDefault="00AA5189" w:rsidP="26403EC0">
      <w:pPr>
        <w:pStyle w:val="3-BodyText"/>
        <w:rPr>
          <w:color w:val="000000" w:themeColor="text1"/>
        </w:rPr>
      </w:pPr>
      <w:r w:rsidRPr="26403EC0">
        <w:rPr>
          <w:color w:val="000000" w:themeColor="text1"/>
        </w:rPr>
        <w:t xml:space="preserve">Minimum clinically important differences (MCID) for 6MWD and % predicted FVC in Pompe Disease have not been defined. </w:t>
      </w:r>
    </w:p>
    <w:p w14:paraId="313FAFD6" w14:textId="70199F51" w:rsidR="00AA5189" w:rsidRDefault="000D2D6B" w:rsidP="00AA5189">
      <w:pPr>
        <w:pStyle w:val="3-BodyText"/>
        <w:rPr>
          <w:color w:val="000000" w:themeColor="text1"/>
        </w:rPr>
      </w:pPr>
      <w:r>
        <w:rPr>
          <w:color w:val="000000" w:themeColor="text1"/>
        </w:rPr>
        <w:t xml:space="preserve">Studies in other conditions suggest that for </w:t>
      </w:r>
      <w:r w:rsidR="00483E2D">
        <w:rPr>
          <w:color w:val="000000" w:themeColor="text1"/>
        </w:rPr>
        <w:t>Patient</w:t>
      </w:r>
      <w:r w:rsidR="00103190">
        <w:rPr>
          <w:color w:val="000000" w:themeColor="text1"/>
        </w:rPr>
        <w:t>-Reported Outcomes Measurement Information System</w:t>
      </w:r>
      <w:r w:rsidR="00483E2D">
        <w:rPr>
          <w:color w:val="000000" w:themeColor="text1"/>
        </w:rPr>
        <w:t xml:space="preserve"> </w:t>
      </w:r>
      <w:r w:rsidR="00F65B31">
        <w:rPr>
          <w:color w:val="000000" w:themeColor="text1"/>
        </w:rPr>
        <w:t>Physical Function (</w:t>
      </w:r>
      <w:r w:rsidR="00AA5189">
        <w:rPr>
          <w:color w:val="000000" w:themeColor="text1"/>
        </w:rPr>
        <w:t>PROMIS PF</w:t>
      </w:r>
      <w:r w:rsidR="00F65B31">
        <w:rPr>
          <w:color w:val="000000" w:themeColor="text1"/>
        </w:rPr>
        <w:t>)</w:t>
      </w:r>
      <w:r w:rsidR="00AA5189">
        <w:rPr>
          <w:color w:val="000000" w:themeColor="text1"/>
        </w:rPr>
        <w:t xml:space="preserve"> scores</w:t>
      </w:r>
      <w:r>
        <w:rPr>
          <w:color w:val="000000" w:themeColor="text1"/>
        </w:rPr>
        <w:t>, a change of</w:t>
      </w:r>
      <w:r w:rsidR="00AA5189">
        <w:rPr>
          <w:color w:val="000000" w:themeColor="text1"/>
        </w:rPr>
        <w:t xml:space="preserve"> 2-6 </w:t>
      </w:r>
      <w:r>
        <w:rPr>
          <w:color w:val="000000" w:themeColor="text1"/>
        </w:rPr>
        <w:t xml:space="preserve">is a reasonable MCID. An analysis of the PROPEL data </w:t>
      </w:r>
      <w:r w:rsidR="00AA5189">
        <w:rPr>
          <w:color w:val="000000" w:themeColor="text1"/>
        </w:rPr>
        <w:t xml:space="preserve">suggested that for patients with baseline 6MWD over 150 m, a change in PROMIS PF score of at least 4 </w:t>
      </w:r>
      <w:r>
        <w:rPr>
          <w:color w:val="000000" w:themeColor="text1"/>
        </w:rPr>
        <w:t>was associated with</w:t>
      </w:r>
      <w:r w:rsidR="00AA5189">
        <w:rPr>
          <w:color w:val="000000" w:themeColor="text1"/>
        </w:rPr>
        <w:t xml:space="preserve"> a change in 6MWD of about 7%, or 20-30 m for most patients in PROPEL (Claeys, 2024). For patients with baseline 6MWD less than 150 m the analysis failed: improvements in PROMIS PF corresponded to </w:t>
      </w:r>
      <w:r w:rsidR="00AA5189" w:rsidRPr="00E44F68">
        <w:rPr>
          <w:color w:val="000000" w:themeColor="text1"/>
          <w:u w:val="single"/>
        </w:rPr>
        <w:t>falls</w:t>
      </w:r>
      <w:r w:rsidR="00AA5189">
        <w:rPr>
          <w:color w:val="000000" w:themeColor="text1"/>
        </w:rPr>
        <w:t xml:space="preserve"> in 6MWD (see Figure 1 of Claeys, 2024); however, there were only 8 patients with baseline 6MWD less than 150 m.</w:t>
      </w:r>
    </w:p>
    <w:p w14:paraId="2C4210B5" w14:textId="77777777" w:rsidR="00CD7235" w:rsidRPr="00CD7235" w:rsidRDefault="00AA5189" w:rsidP="00AA5189">
      <w:pPr>
        <w:pStyle w:val="3-BodyText"/>
        <w:rPr>
          <w:rFonts w:cstheme="minorHAnsi"/>
          <w:color w:val="141413"/>
          <w:szCs w:val="24"/>
          <w:lang w:val="en-GB"/>
        </w:rPr>
      </w:pPr>
      <w:r>
        <w:t xml:space="preserve">Premature mortality in Pompe Disease is mostly related to respiratory failure, due to respiratory muscle weakness, and % predicted FVC is the most widely used measure of respiratory muscle strength (maximum inspiratory and expiratory pressures are very difficult to measure reliably in untrained subjects; inspiratory pressures during a sniff and gastric pressure during a cough are more reliable but </w:t>
      </w:r>
      <w:r w:rsidR="00FA6068">
        <w:t>require insertion of an oesophageal or gastric balloon</w:t>
      </w:r>
      <w:r>
        <w:t xml:space="preserve">). </w:t>
      </w:r>
    </w:p>
    <w:p w14:paraId="734967A6" w14:textId="7A8C9559" w:rsidR="00AA5189" w:rsidRPr="008034E2" w:rsidRDefault="00AA5189" w:rsidP="00AA5189">
      <w:pPr>
        <w:pStyle w:val="3-BodyText"/>
        <w:rPr>
          <w:rFonts w:cstheme="minorHAnsi"/>
          <w:color w:val="141413"/>
          <w:szCs w:val="24"/>
          <w:lang w:val="en-GB"/>
        </w:rPr>
      </w:pPr>
      <w:r>
        <w:t>Cohort studies suggest that ERT has a substantial effect on survival; in a cohort of 283 patients initiated before ERT was available, the hazard ratio (95% CI) for death in patients treated with ERT at any time was 0.41 (0.19, 0.87).</w:t>
      </w:r>
      <w:r>
        <w:rPr>
          <w:rStyle w:val="FootnoteReference"/>
        </w:rPr>
        <w:footnoteReference w:id="5"/>
      </w:r>
      <w:r>
        <w:t xml:space="preserve"> A systematic review and meta-analysis of 19 studies with 438 patients found that the rate ratio (95% credible interval) for mortality over average follow-up of 45 months among treated vs untreated patients was 0.21 (0.11, 0.41) while </w:t>
      </w:r>
      <w:r w:rsidR="00141491">
        <w:t>the difference between treated and un-treated patients</w:t>
      </w:r>
      <w:r>
        <w:t xml:space="preserve"> in % predicted FVC over the same period was 6</w:t>
      </w:r>
      <w:r w:rsidR="003D117E">
        <w:t xml:space="preserve"> percentage points</w:t>
      </w:r>
      <w:r>
        <w:t>.</w:t>
      </w:r>
      <w:r>
        <w:rPr>
          <w:rStyle w:val="FootnoteReference"/>
        </w:rPr>
        <w:footnoteReference w:id="6"/>
      </w:r>
      <w:r>
        <w:t xml:space="preserve"> The </w:t>
      </w:r>
      <w:r w:rsidR="00E44F68">
        <w:t>difference</w:t>
      </w:r>
      <w:r>
        <w:t xml:space="preserve"> (95% CI) </w:t>
      </w:r>
      <w:r w:rsidR="00E44F68">
        <w:t>between ALGLU-treated and placebo-treated patients in</w:t>
      </w:r>
      <w:r>
        <w:t xml:space="preserve"> % predicted FVC was 3.40 (1.03, 5.77).</w:t>
      </w:r>
      <w:r>
        <w:rPr>
          <w:rStyle w:val="FootnoteReference"/>
          <w:color w:val="000000" w:themeColor="text1"/>
        </w:rPr>
        <w:footnoteReference w:id="7"/>
      </w:r>
      <w:r>
        <w:t xml:space="preserve"> Assuming that the</w:t>
      </w:r>
      <w:r w:rsidDel="003D117E">
        <w:t xml:space="preserve"> </w:t>
      </w:r>
      <w:r w:rsidR="000D2D6B">
        <w:t xml:space="preserve">observed </w:t>
      </w:r>
      <w:r>
        <w:t>mortality benefit is explained by the</w:t>
      </w:r>
      <w:r w:rsidDel="003D117E">
        <w:t xml:space="preserve"> </w:t>
      </w:r>
      <w:r w:rsidR="000D2D6B">
        <w:t xml:space="preserve">observed </w:t>
      </w:r>
      <w:r>
        <w:t xml:space="preserve">improvement in % predicted FVC, </w:t>
      </w:r>
      <w:r w:rsidR="000D2D6B">
        <w:t>and that a much smaller mortality ben</w:t>
      </w:r>
      <w:r w:rsidR="003D117E">
        <w:t>e</w:t>
      </w:r>
      <w:r w:rsidR="000D2D6B">
        <w:t>fit would be clinically</w:t>
      </w:r>
      <w:r w:rsidR="003D117E">
        <w:t xml:space="preserve"> important,</w:t>
      </w:r>
      <w:r w:rsidR="000D2D6B">
        <w:t xml:space="preserve"> </w:t>
      </w:r>
      <w:r>
        <w:t xml:space="preserve">the MCID for % predicted FVC is </w:t>
      </w:r>
      <w:r w:rsidRPr="00660928">
        <w:rPr>
          <w:iCs/>
        </w:rPr>
        <w:t>very</w:t>
      </w:r>
      <w:r>
        <w:t xml:space="preserve"> small. </w:t>
      </w:r>
    </w:p>
    <w:p w14:paraId="66804331" w14:textId="4771FBE3" w:rsidR="00AA5189" w:rsidRPr="00702D1A" w:rsidRDefault="003D117E" w:rsidP="26403EC0">
      <w:pPr>
        <w:pStyle w:val="3-BodyText"/>
        <w:rPr>
          <w:color w:val="000000" w:themeColor="text1"/>
        </w:rPr>
      </w:pPr>
      <w:r w:rsidRPr="26403EC0">
        <w:rPr>
          <w:color w:val="000000" w:themeColor="text1"/>
        </w:rPr>
        <w:t>F</w:t>
      </w:r>
      <w:r w:rsidR="00AA5189" w:rsidRPr="26403EC0" w:rsidDel="00D14C2E">
        <w:rPr>
          <w:color w:val="000000" w:themeColor="text1"/>
        </w:rPr>
        <w:t xml:space="preserve">or patients aged over 6 years, the maximum acceptable variation </w:t>
      </w:r>
      <w:r w:rsidR="00AA5189" w:rsidRPr="26403EC0" w:rsidDel="00880471">
        <w:rPr>
          <w:color w:val="000000" w:themeColor="text1"/>
        </w:rPr>
        <w:t>in</w:t>
      </w:r>
      <w:r w:rsidR="00AA5189" w:rsidRPr="26403EC0">
        <w:rPr>
          <w:color w:val="000000" w:themeColor="text1"/>
        </w:rPr>
        <w:t xml:space="preserve"> FVC with consecutive forced expiratory efforts is 150 mL, which for an adult aged 47 years with 50th percentile height and % predicted FVC of 70</w:t>
      </w:r>
      <w:r w:rsidR="00457F01" w:rsidRPr="26403EC0">
        <w:rPr>
          <w:color w:val="000000" w:themeColor="text1"/>
        </w:rPr>
        <w:t>,</w:t>
      </w:r>
      <w:r w:rsidR="00AA5189" w:rsidRPr="26403EC0">
        <w:rPr>
          <w:color w:val="000000" w:themeColor="text1"/>
        </w:rPr>
        <w:t xml:space="preserve"> corresponds to a difference in % predicted FVC of 4. </w:t>
      </w:r>
      <w:r w:rsidR="008A5E64" w:rsidRPr="26403EC0">
        <w:rPr>
          <w:color w:val="000000" w:themeColor="text1"/>
        </w:rPr>
        <w:t>For patients with lower predicted FVC</w:t>
      </w:r>
      <w:r w:rsidR="009F2A7E" w:rsidRPr="26403EC0">
        <w:rPr>
          <w:color w:val="000000" w:themeColor="text1"/>
        </w:rPr>
        <w:t>,</w:t>
      </w:r>
      <w:r w:rsidR="008A5E64" w:rsidRPr="26403EC0">
        <w:rPr>
          <w:color w:val="000000" w:themeColor="text1"/>
        </w:rPr>
        <w:t xml:space="preserve"> the effect on % predicted FVC of the same absolute difference in FVC is greater</w:t>
      </w:r>
      <w:r w:rsidR="000E57CD" w:rsidRPr="26403EC0">
        <w:rPr>
          <w:color w:val="000000" w:themeColor="text1"/>
        </w:rPr>
        <w:t xml:space="preserve">. </w:t>
      </w:r>
      <w:r w:rsidR="00A02868" w:rsidRPr="26403EC0">
        <w:rPr>
          <w:color w:val="000000" w:themeColor="text1"/>
        </w:rPr>
        <w:t>Because in Pompe Disease the FVC tends to fall over time, while in patients who are still growing predicted FVC will be rising and in patients who are not growing it will fall with age, the effect on % predicted FVC of the constant effort-to-effort variability is very complex</w:t>
      </w:r>
      <w:r w:rsidR="00AA5189" w:rsidRPr="26403EC0">
        <w:rPr>
          <w:color w:val="000000" w:themeColor="text1"/>
        </w:rPr>
        <w:t>. For this reason, it is difficult to interpret small mean or median changes when</w:t>
      </w:r>
      <w:r w:rsidR="00CD7235" w:rsidRPr="26403EC0">
        <w:rPr>
          <w:color w:val="000000" w:themeColor="text1"/>
        </w:rPr>
        <w:t xml:space="preserve"> most</w:t>
      </w:r>
      <w:r w:rsidR="00AA5189" w:rsidRPr="26403EC0">
        <w:rPr>
          <w:color w:val="000000" w:themeColor="text1"/>
        </w:rPr>
        <w:t xml:space="preserve"> </w:t>
      </w:r>
      <w:r w:rsidR="00CD7235" w:rsidRPr="26403EC0">
        <w:rPr>
          <w:color w:val="000000" w:themeColor="text1"/>
        </w:rPr>
        <w:t xml:space="preserve">individual patient </w:t>
      </w:r>
      <w:r w:rsidR="00AA5189" w:rsidRPr="26403EC0">
        <w:rPr>
          <w:color w:val="000000" w:themeColor="text1"/>
        </w:rPr>
        <w:t xml:space="preserve">values correspond to changes in FVC no larger than is expected with consecutive manoeuvres (see </w:t>
      </w:r>
      <w:r w:rsidR="0069422A" w:rsidRPr="26403EC0">
        <w:rPr>
          <w:color w:val="000000" w:themeColor="text1"/>
        </w:rPr>
        <w:t>e.g.</w:t>
      </w:r>
      <w:r w:rsidR="00AA5189" w:rsidRPr="26403EC0">
        <w:rPr>
          <w:color w:val="000000" w:themeColor="text1"/>
        </w:rPr>
        <w:t xml:space="preserve">, the median and inter-quartile range data for % predicted FVC in </w:t>
      </w:r>
      <w:r w:rsidR="00AA5189" w:rsidRPr="00702D1A">
        <w:rPr>
          <w:color w:val="000000" w:themeColor="text1"/>
        </w:rPr>
        <w:fldChar w:fldCharType="begin"/>
      </w:r>
      <w:r w:rsidR="00AA5189" w:rsidRPr="00702D1A">
        <w:rPr>
          <w:color w:val="000000" w:themeColor="text1"/>
        </w:rPr>
        <w:instrText xml:space="preserve"> REF _Ref184130662 \h </w:instrText>
      </w:r>
      <w:r w:rsidR="007C2A66" w:rsidRPr="00702D1A">
        <w:rPr>
          <w:color w:val="000000" w:themeColor="text1"/>
        </w:rPr>
        <w:instrText xml:space="preserve"> \* MERGEFORMAT </w:instrText>
      </w:r>
      <w:r w:rsidR="00AA5189" w:rsidRPr="00702D1A">
        <w:rPr>
          <w:color w:val="000000" w:themeColor="text1"/>
        </w:rPr>
      </w:r>
      <w:r w:rsidR="00AA5189" w:rsidRPr="00702D1A">
        <w:rPr>
          <w:color w:val="000000" w:themeColor="text1"/>
        </w:rPr>
        <w:fldChar w:fldCharType="separate"/>
      </w:r>
      <w:r w:rsidR="007A62D0">
        <w:t xml:space="preserve">Table </w:t>
      </w:r>
      <w:r w:rsidR="007A62D0">
        <w:rPr>
          <w:noProof/>
        </w:rPr>
        <w:t>6</w:t>
      </w:r>
      <w:r w:rsidR="00AA5189" w:rsidRPr="00702D1A">
        <w:rPr>
          <w:color w:val="000000" w:themeColor="text1"/>
        </w:rPr>
        <w:fldChar w:fldCharType="end"/>
      </w:r>
      <w:r w:rsidR="00AA5189" w:rsidRPr="26403EC0">
        <w:rPr>
          <w:color w:val="000000" w:themeColor="text1"/>
        </w:rPr>
        <w:t xml:space="preserve">). </w:t>
      </w:r>
      <w:r w:rsidRPr="26403EC0">
        <w:rPr>
          <w:color w:val="000000" w:themeColor="text1"/>
        </w:rPr>
        <w:t xml:space="preserve">For this reason also, the MCID for % predicted FVC may be less than the difference that can be measured reliably.  </w:t>
      </w:r>
    </w:p>
    <w:p w14:paraId="4A4FE085" w14:textId="1C5613CC" w:rsidR="00B60939" w:rsidRDefault="00B60939" w:rsidP="00EC5836">
      <w:pPr>
        <w:pStyle w:val="4-SubsectionHeading"/>
      </w:pPr>
      <w:bookmarkStart w:id="28" w:name="_Toc22897641"/>
      <w:bookmarkStart w:id="29" w:name="_Toc187576331"/>
      <w:r w:rsidRPr="0098262F">
        <w:t>Comparative effectiveness</w:t>
      </w:r>
      <w:bookmarkEnd w:id="28"/>
      <w:bookmarkEnd w:id="29"/>
    </w:p>
    <w:p w14:paraId="0DF2CD12" w14:textId="51289A0E" w:rsidR="00A05915" w:rsidRDefault="008034E2" w:rsidP="00EC5836">
      <w:pPr>
        <w:pStyle w:val="3-BodyText"/>
        <w:rPr>
          <w:color w:val="000000" w:themeColor="text1"/>
        </w:rPr>
      </w:pPr>
      <w:r>
        <w:rPr>
          <w:color w:val="000000" w:themeColor="text1"/>
        </w:rPr>
        <w:t>6MWD and % predicted FVC results</w:t>
      </w:r>
      <w:r w:rsidR="007A640B" w:rsidRPr="007A640B">
        <w:rPr>
          <w:color w:val="000000" w:themeColor="text1"/>
        </w:rPr>
        <w:t xml:space="preserve"> in the trials are shown in</w:t>
      </w:r>
      <w:r w:rsidR="00C936FF">
        <w:rPr>
          <w:color w:val="000000" w:themeColor="text1"/>
        </w:rPr>
        <w:t xml:space="preserve"> </w:t>
      </w:r>
      <w:r w:rsidR="00C936FF">
        <w:rPr>
          <w:color w:val="000000" w:themeColor="text1"/>
        </w:rPr>
        <w:fldChar w:fldCharType="begin"/>
      </w:r>
      <w:r w:rsidR="00C936FF">
        <w:rPr>
          <w:color w:val="000000" w:themeColor="text1"/>
        </w:rPr>
        <w:instrText xml:space="preserve"> REF _Ref184130662 \h </w:instrText>
      </w:r>
      <w:r w:rsidR="00C936FF">
        <w:rPr>
          <w:color w:val="000000" w:themeColor="text1"/>
        </w:rPr>
      </w:r>
      <w:r w:rsidR="00C936FF">
        <w:rPr>
          <w:color w:val="000000" w:themeColor="text1"/>
        </w:rPr>
        <w:fldChar w:fldCharType="separate"/>
      </w:r>
      <w:r w:rsidR="007A62D0">
        <w:t xml:space="preserve">Table </w:t>
      </w:r>
      <w:r w:rsidR="007A62D0">
        <w:rPr>
          <w:noProof/>
        </w:rPr>
        <w:t>6</w:t>
      </w:r>
      <w:r w:rsidR="00C936FF">
        <w:rPr>
          <w:color w:val="000000" w:themeColor="text1"/>
        </w:rPr>
        <w:fldChar w:fldCharType="end"/>
      </w:r>
      <w:r w:rsidR="007A640B" w:rsidRPr="007A640B">
        <w:rPr>
          <w:color w:val="000000" w:themeColor="text1"/>
        </w:rPr>
        <w:t xml:space="preserve">. </w:t>
      </w:r>
    </w:p>
    <w:p w14:paraId="1841312E" w14:textId="3E659D8D" w:rsidR="008034E2" w:rsidRDefault="008034E2" w:rsidP="00EC5836">
      <w:pPr>
        <w:pStyle w:val="3-BodyText"/>
        <w:rPr>
          <w:color w:val="000000" w:themeColor="text1"/>
        </w:rPr>
      </w:pPr>
      <w:r>
        <w:rPr>
          <w:color w:val="000000" w:themeColor="text1"/>
        </w:rPr>
        <w:t xml:space="preserve">Changes in 6MWD with </w:t>
      </w:r>
      <w:r w:rsidR="00263A5C">
        <w:rPr>
          <w:color w:val="000000" w:themeColor="text1"/>
        </w:rPr>
        <w:t>CIPAMIG</w:t>
      </w:r>
      <w:r>
        <w:rPr>
          <w:color w:val="000000" w:themeColor="text1"/>
        </w:rPr>
        <w:t xml:space="preserve"> and </w:t>
      </w:r>
      <w:r w:rsidR="00263A5C">
        <w:rPr>
          <w:color w:val="000000" w:themeColor="text1"/>
        </w:rPr>
        <w:t>AVAL</w:t>
      </w:r>
      <w:r>
        <w:rPr>
          <w:color w:val="000000" w:themeColor="text1"/>
        </w:rPr>
        <w:t xml:space="preserve"> were near or below the MCID</w:t>
      </w:r>
      <w:r w:rsidR="00197DF9">
        <w:rPr>
          <w:color w:val="000000" w:themeColor="text1"/>
        </w:rPr>
        <w:t xml:space="preserve"> defined </w:t>
      </w:r>
      <w:r w:rsidR="003D117E">
        <w:rPr>
          <w:color w:val="000000" w:themeColor="text1"/>
        </w:rPr>
        <w:t xml:space="preserve">by Claeys, 2024 (see </w:t>
      </w:r>
      <w:r w:rsidR="00197DF9">
        <w:rPr>
          <w:color w:val="000000" w:themeColor="text1"/>
        </w:rPr>
        <w:t>6.14</w:t>
      </w:r>
      <w:r w:rsidR="003D117E">
        <w:rPr>
          <w:color w:val="000000" w:themeColor="text1"/>
        </w:rPr>
        <w:t>)</w:t>
      </w:r>
      <w:r>
        <w:rPr>
          <w:color w:val="000000" w:themeColor="text1"/>
        </w:rPr>
        <w:t xml:space="preserve">. </w:t>
      </w:r>
    </w:p>
    <w:p w14:paraId="7C04301E" w14:textId="2B40415C" w:rsidR="00657F04" w:rsidRDefault="00C50F9A" w:rsidP="26403EC0">
      <w:pPr>
        <w:pStyle w:val="3-BodyText"/>
        <w:rPr>
          <w:color w:val="000000" w:themeColor="text1"/>
        </w:rPr>
      </w:pPr>
      <w:r w:rsidRPr="26403EC0">
        <w:rPr>
          <w:color w:val="000000" w:themeColor="text1"/>
        </w:rPr>
        <w:t>Differences in</w:t>
      </w:r>
      <w:r w:rsidR="00657F04" w:rsidRPr="26403EC0">
        <w:rPr>
          <w:color w:val="000000" w:themeColor="text1"/>
        </w:rPr>
        <w:t xml:space="preserve"> % predicted FVC</w:t>
      </w:r>
      <w:r w:rsidRPr="26403EC0">
        <w:rPr>
          <w:color w:val="000000" w:themeColor="text1"/>
        </w:rPr>
        <w:t xml:space="preserve"> between CIPAMIG</w:t>
      </w:r>
      <w:r w:rsidR="00657F04" w:rsidRPr="26403EC0">
        <w:rPr>
          <w:color w:val="000000" w:themeColor="text1"/>
        </w:rPr>
        <w:t xml:space="preserve"> </w:t>
      </w:r>
      <w:r w:rsidRPr="26403EC0">
        <w:rPr>
          <w:color w:val="000000" w:themeColor="text1"/>
        </w:rPr>
        <w:t xml:space="preserve">and AVAL </w:t>
      </w:r>
      <w:r w:rsidR="00657F04" w:rsidRPr="26403EC0">
        <w:rPr>
          <w:color w:val="000000" w:themeColor="text1"/>
        </w:rPr>
        <w:t>were similar to th</w:t>
      </w:r>
      <w:r w:rsidRPr="26403EC0">
        <w:rPr>
          <w:color w:val="000000" w:themeColor="text1"/>
        </w:rPr>
        <w:t>e differences between ALGLU and placebo</w:t>
      </w:r>
      <w:r w:rsidR="00657F04" w:rsidRPr="26403EC0">
        <w:rPr>
          <w:color w:val="000000" w:themeColor="text1"/>
        </w:rPr>
        <w:t xml:space="preserve"> seen in the placebo-controlled trial,</w:t>
      </w:r>
      <w:r w:rsidR="00197DF9" w:rsidRPr="26403EC0">
        <w:rPr>
          <w:color w:val="000000" w:themeColor="text1"/>
          <w:vertAlign w:val="superscript"/>
        </w:rPr>
        <w:t>4</w:t>
      </w:r>
      <w:r w:rsidR="00657F04" w:rsidRPr="26403EC0">
        <w:rPr>
          <w:color w:val="000000" w:themeColor="text1"/>
        </w:rPr>
        <w:t xml:space="preserve"> and, based on the mortality benefits associated with ERT, clinically significant. However, these represent changes for many individual patients below the smallest change in % predicted FVC that can be accurately measured.  </w:t>
      </w:r>
      <w:r w:rsidR="005C2003" w:rsidRPr="26403EC0">
        <w:rPr>
          <w:color w:val="000000" w:themeColor="text1"/>
        </w:rPr>
        <w:t xml:space="preserve"> </w:t>
      </w:r>
    </w:p>
    <w:p w14:paraId="6E363822" w14:textId="45F80476" w:rsidR="00C50F9A" w:rsidRDefault="00C50F9A" w:rsidP="00EC5836">
      <w:pPr>
        <w:pStyle w:val="3-BodyText"/>
        <w:rPr>
          <w:color w:val="000000" w:themeColor="text1"/>
        </w:rPr>
      </w:pPr>
      <w:r>
        <w:rPr>
          <w:color w:val="000000" w:themeColor="text1"/>
        </w:rPr>
        <w:t>In PROPEL</w:t>
      </w:r>
      <w:r w:rsidR="00F035F7">
        <w:rPr>
          <w:color w:val="000000" w:themeColor="text1"/>
        </w:rPr>
        <w:t>,</w:t>
      </w:r>
      <w:r>
        <w:rPr>
          <w:color w:val="000000" w:themeColor="text1"/>
        </w:rPr>
        <w:t xml:space="preserve"> patients allocated to ALGLU recorded clinically and statistically significant </w:t>
      </w:r>
      <w:r w:rsidRPr="00DA474F">
        <w:rPr>
          <w:color w:val="000000" w:themeColor="text1"/>
          <w:u w:val="single"/>
        </w:rPr>
        <w:t>falls</w:t>
      </w:r>
      <w:r>
        <w:rPr>
          <w:color w:val="000000" w:themeColor="text1"/>
        </w:rPr>
        <w:t xml:space="preserve"> in % predicted FVC, </w:t>
      </w:r>
      <w:r w:rsidR="00CE686C">
        <w:rPr>
          <w:color w:val="000000" w:themeColor="text1"/>
        </w:rPr>
        <w:t xml:space="preserve">the mean fall being greater than that seen in placebo-treated patients </w:t>
      </w:r>
      <w:r w:rsidR="00F035F7">
        <w:rPr>
          <w:color w:val="000000" w:themeColor="text1"/>
        </w:rPr>
        <w:t>over 78 weeks in the placebo-controlled trial of ALGLU.</w:t>
      </w:r>
      <w:r w:rsidR="00197DF9" w:rsidRPr="00197DF9">
        <w:rPr>
          <w:color w:val="000000" w:themeColor="text1"/>
          <w:vertAlign w:val="superscript"/>
        </w:rPr>
        <w:t>4</w:t>
      </w:r>
      <w:r w:rsidR="00F035F7">
        <w:rPr>
          <w:color w:val="000000" w:themeColor="text1"/>
        </w:rPr>
        <w:t xml:space="preserve"> This</w:t>
      </w:r>
      <w:r>
        <w:rPr>
          <w:color w:val="000000" w:themeColor="text1"/>
        </w:rPr>
        <w:t xml:space="preserve"> is not easily explained</w:t>
      </w:r>
      <w:r w:rsidR="00DA474F">
        <w:rPr>
          <w:color w:val="000000" w:themeColor="text1"/>
        </w:rPr>
        <w:t xml:space="preserve"> </w:t>
      </w:r>
      <w:r w:rsidR="00F035F7">
        <w:rPr>
          <w:color w:val="000000" w:themeColor="text1"/>
        </w:rPr>
        <w:t>and would</w:t>
      </w:r>
      <w:r>
        <w:rPr>
          <w:color w:val="000000" w:themeColor="text1"/>
        </w:rPr>
        <w:t xml:space="preserve"> exaggerate the effect of CIPAMIG</w:t>
      </w:r>
      <w:r w:rsidR="00F035F7">
        <w:rPr>
          <w:color w:val="000000" w:themeColor="text1"/>
        </w:rPr>
        <w:t xml:space="preserve"> vs AVAL in the indirect treatment comparison. </w:t>
      </w:r>
    </w:p>
    <w:p w14:paraId="532E4840" w14:textId="73C56D08" w:rsidR="00657F04" w:rsidRDefault="00657F04" w:rsidP="26403EC0">
      <w:pPr>
        <w:pStyle w:val="3-BodyText"/>
        <w:rPr>
          <w:color w:val="000000" w:themeColor="text1"/>
        </w:rPr>
      </w:pPr>
      <w:r w:rsidRPr="26403EC0">
        <w:rPr>
          <w:color w:val="000000" w:themeColor="text1"/>
        </w:rPr>
        <w:t xml:space="preserve">PROPEL patients receiving </w:t>
      </w:r>
      <w:r w:rsidR="00263A5C" w:rsidRPr="26403EC0">
        <w:rPr>
          <w:color w:val="000000" w:themeColor="text1"/>
        </w:rPr>
        <w:t>ALGLU</w:t>
      </w:r>
      <w:r w:rsidRPr="26403EC0">
        <w:rPr>
          <w:color w:val="000000" w:themeColor="text1"/>
        </w:rPr>
        <w:t xml:space="preserve"> before the trial</w:t>
      </w:r>
      <w:r w:rsidR="00052DF4" w:rsidRPr="26403EC0">
        <w:rPr>
          <w:color w:val="000000" w:themeColor="text1"/>
        </w:rPr>
        <w:t xml:space="preserve"> may have </w:t>
      </w:r>
      <w:r w:rsidRPr="26403EC0">
        <w:rPr>
          <w:color w:val="000000" w:themeColor="text1"/>
        </w:rPr>
        <w:t>had less improvement in 6MWD during the trial than the population as a whole</w:t>
      </w:r>
      <w:r w:rsidR="00052DF4" w:rsidRPr="26403EC0">
        <w:rPr>
          <w:color w:val="000000" w:themeColor="text1"/>
        </w:rPr>
        <w:t>, but the difference was neither statistically nor clinically significant</w:t>
      </w:r>
      <w:r w:rsidR="00C50F9A" w:rsidRPr="26403EC0">
        <w:rPr>
          <w:color w:val="000000" w:themeColor="text1"/>
        </w:rPr>
        <w:t xml:space="preserve">, reflecting </w:t>
      </w:r>
      <w:r w:rsidR="00F035F7" w:rsidRPr="26403EC0">
        <w:rPr>
          <w:color w:val="000000" w:themeColor="text1"/>
        </w:rPr>
        <w:t>the fact that</w:t>
      </w:r>
      <w:r w:rsidR="00C50F9A" w:rsidRPr="26403EC0">
        <w:rPr>
          <w:color w:val="000000" w:themeColor="text1"/>
        </w:rPr>
        <w:t xml:space="preserve"> these were 75% of the patients</w:t>
      </w:r>
      <w:r w:rsidR="00F035F7" w:rsidRPr="26403EC0">
        <w:rPr>
          <w:color w:val="000000" w:themeColor="text1"/>
        </w:rPr>
        <w:t xml:space="preserve"> and dominated the results of the population as a whole</w:t>
      </w:r>
      <w:r w:rsidR="00C50F9A" w:rsidRPr="26403EC0">
        <w:rPr>
          <w:color w:val="000000" w:themeColor="text1"/>
        </w:rPr>
        <w:t xml:space="preserve">. </w:t>
      </w:r>
    </w:p>
    <w:p w14:paraId="4C8348DD" w14:textId="16322739" w:rsidR="007A640B" w:rsidRDefault="00C936FF" w:rsidP="00C936FF">
      <w:pPr>
        <w:pStyle w:val="Caption"/>
      </w:pPr>
      <w:bookmarkStart w:id="30" w:name="_Ref184130662"/>
      <w:r>
        <w:t xml:space="preserve">Table </w:t>
      </w:r>
      <w:r w:rsidR="005C2AA5">
        <w:fldChar w:fldCharType="begin"/>
      </w:r>
      <w:r w:rsidR="005C2AA5">
        <w:instrText xml:space="preserve"> SEQ Table \* ARABIC </w:instrText>
      </w:r>
      <w:r w:rsidR="005C2AA5">
        <w:fldChar w:fldCharType="separate"/>
      </w:r>
      <w:r w:rsidR="007A62D0">
        <w:rPr>
          <w:noProof/>
        </w:rPr>
        <w:t>6</w:t>
      </w:r>
      <w:r w:rsidR="005C2AA5">
        <w:rPr>
          <w:noProof/>
        </w:rPr>
        <w:fldChar w:fldCharType="end"/>
      </w:r>
      <w:bookmarkEnd w:id="30"/>
      <w:r>
        <w:t xml:space="preserve">: </w:t>
      </w:r>
      <w:r w:rsidR="00AD4C9D">
        <w:t xml:space="preserve">6MWD and % </w:t>
      </w:r>
      <w:r w:rsidR="00D4366B">
        <w:t>p</w:t>
      </w:r>
      <w:r w:rsidR="00AD4C9D">
        <w:t xml:space="preserve">redicted FVC </w:t>
      </w:r>
      <w:r w:rsidR="00D4366B">
        <w:t>o</w:t>
      </w:r>
      <w:r w:rsidR="007A640B">
        <w:t xml:space="preserve">utcomes in the </w:t>
      </w:r>
      <w:r w:rsidR="00D4366B">
        <w:t>t</w:t>
      </w:r>
      <w:r w:rsidR="007A640B">
        <w:t>rials</w:t>
      </w:r>
    </w:p>
    <w:tbl>
      <w:tblPr>
        <w:tblStyle w:val="TableGrid"/>
        <w:tblW w:w="0" w:type="auto"/>
        <w:tblLook w:val="04A0" w:firstRow="1" w:lastRow="0" w:firstColumn="1" w:lastColumn="0" w:noHBand="0" w:noVBand="1"/>
        <w:tblCaption w:val="Table 6: 6MWD and % predicted FVC outcomes in the trials"/>
      </w:tblPr>
      <w:tblGrid>
        <w:gridCol w:w="2501"/>
        <w:gridCol w:w="1520"/>
        <w:gridCol w:w="146"/>
        <w:gridCol w:w="1667"/>
        <w:gridCol w:w="1591"/>
        <w:gridCol w:w="52"/>
        <w:gridCol w:w="1540"/>
      </w:tblGrid>
      <w:tr w:rsidR="007A640B" w14:paraId="2C64FCBD" w14:textId="1F55253F" w:rsidTr="26403EC0">
        <w:tc>
          <w:tcPr>
            <w:tcW w:w="2501" w:type="dxa"/>
          </w:tcPr>
          <w:p w14:paraId="4EA55B7B" w14:textId="77777777" w:rsidR="007A640B" w:rsidRDefault="007A640B" w:rsidP="007A640B">
            <w:pPr>
              <w:pStyle w:val="TableFigureHeading"/>
            </w:pPr>
          </w:p>
        </w:tc>
        <w:tc>
          <w:tcPr>
            <w:tcW w:w="6516" w:type="dxa"/>
            <w:gridSpan w:val="6"/>
          </w:tcPr>
          <w:p w14:paraId="20829CDC" w14:textId="7E27DA01" w:rsidR="007A640B" w:rsidRDefault="007A640B" w:rsidP="000D2D05">
            <w:pPr>
              <w:pStyle w:val="In-tableHeading"/>
            </w:pPr>
            <w:r>
              <w:t>PROPEL</w:t>
            </w:r>
          </w:p>
        </w:tc>
      </w:tr>
      <w:tr w:rsidR="00442EF4" w14:paraId="4B88159F" w14:textId="3EE122B2" w:rsidTr="26403EC0">
        <w:tc>
          <w:tcPr>
            <w:tcW w:w="2501" w:type="dxa"/>
          </w:tcPr>
          <w:p w14:paraId="74A46D75" w14:textId="77777777" w:rsidR="00442EF4" w:rsidRDefault="00442EF4" w:rsidP="007A640B">
            <w:pPr>
              <w:pStyle w:val="TableFigureHeading"/>
            </w:pPr>
          </w:p>
        </w:tc>
        <w:tc>
          <w:tcPr>
            <w:tcW w:w="3333" w:type="dxa"/>
            <w:gridSpan w:val="3"/>
          </w:tcPr>
          <w:p w14:paraId="0D8E4B36" w14:textId="428CD42A" w:rsidR="00442EF4" w:rsidRDefault="00442EF4" w:rsidP="000D2D05">
            <w:pPr>
              <w:pStyle w:val="In-tableHeading"/>
            </w:pPr>
            <w:r>
              <w:t>6MWD, meters</w:t>
            </w:r>
          </w:p>
        </w:tc>
        <w:tc>
          <w:tcPr>
            <w:tcW w:w="3183" w:type="dxa"/>
            <w:gridSpan w:val="3"/>
          </w:tcPr>
          <w:p w14:paraId="5DFCCB86" w14:textId="275E71A9" w:rsidR="00442EF4" w:rsidRDefault="00442EF4" w:rsidP="000D2D05">
            <w:pPr>
              <w:pStyle w:val="In-tableHeading"/>
            </w:pPr>
            <w:r>
              <w:t>% predicted FVC</w:t>
            </w:r>
          </w:p>
        </w:tc>
      </w:tr>
      <w:tr w:rsidR="00D4774B" w14:paraId="4FDB9095" w14:textId="4618AABF" w:rsidTr="26403EC0">
        <w:tc>
          <w:tcPr>
            <w:tcW w:w="2501" w:type="dxa"/>
          </w:tcPr>
          <w:p w14:paraId="3EB247EF" w14:textId="5493D117" w:rsidR="009140C5" w:rsidRDefault="009140C5" w:rsidP="00442EF4">
            <w:pPr>
              <w:pStyle w:val="TableText0"/>
            </w:pPr>
          </w:p>
        </w:tc>
        <w:tc>
          <w:tcPr>
            <w:tcW w:w="1520" w:type="dxa"/>
          </w:tcPr>
          <w:p w14:paraId="587E6720" w14:textId="77F4954C" w:rsidR="009140C5" w:rsidRDefault="00CD7235" w:rsidP="000D2D05">
            <w:pPr>
              <w:pStyle w:val="In-tableHeading"/>
            </w:pPr>
            <w:r>
              <w:t>CIPAMIG</w:t>
            </w:r>
            <w:r w:rsidR="006F1D5E">
              <w:t>, N= 85</w:t>
            </w:r>
          </w:p>
        </w:tc>
        <w:tc>
          <w:tcPr>
            <w:tcW w:w="1813" w:type="dxa"/>
            <w:gridSpan w:val="2"/>
          </w:tcPr>
          <w:p w14:paraId="2D87BB86" w14:textId="5DB3D7EB" w:rsidR="009140C5" w:rsidRDefault="00442EF4" w:rsidP="000D2D05">
            <w:pPr>
              <w:pStyle w:val="In-tableHeading"/>
            </w:pPr>
            <w:r>
              <w:t>A</w:t>
            </w:r>
            <w:r w:rsidR="00CD7235">
              <w:t xml:space="preserve">LGLU, </w:t>
            </w:r>
            <w:r w:rsidR="006F1D5E">
              <w:t>N = 37</w:t>
            </w:r>
          </w:p>
        </w:tc>
        <w:tc>
          <w:tcPr>
            <w:tcW w:w="1643" w:type="dxa"/>
            <w:gridSpan w:val="2"/>
          </w:tcPr>
          <w:p w14:paraId="04472586" w14:textId="40EFBE4C" w:rsidR="006F1D5E" w:rsidRDefault="00CD7235" w:rsidP="000D2D05">
            <w:pPr>
              <w:pStyle w:val="In-tableHeading"/>
            </w:pPr>
            <w:r>
              <w:t xml:space="preserve">CIPAMIG, </w:t>
            </w:r>
            <w:r w:rsidR="006F1D5E">
              <w:t>N = 85</w:t>
            </w:r>
          </w:p>
        </w:tc>
        <w:tc>
          <w:tcPr>
            <w:tcW w:w="1540" w:type="dxa"/>
          </w:tcPr>
          <w:p w14:paraId="3B5B3DC6" w14:textId="284ECD35" w:rsidR="009140C5" w:rsidRDefault="00CD7235" w:rsidP="000D2D05">
            <w:pPr>
              <w:pStyle w:val="In-tableHeading"/>
            </w:pPr>
            <w:r>
              <w:t xml:space="preserve">ALGLU, </w:t>
            </w:r>
            <w:r w:rsidR="006F1D5E">
              <w:t>N = 37</w:t>
            </w:r>
          </w:p>
        </w:tc>
      </w:tr>
      <w:tr w:rsidR="006E0F52" w14:paraId="4CCFDE70" w14:textId="77777777" w:rsidTr="26403EC0">
        <w:tc>
          <w:tcPr>
            <w:tcW w:w="2501" w:type="dxa"/>
          </w:tcPr>
          <w:p w14:paraId="03D38E82" w14:textId="77777777" w:rsidR="006E0F52" w:rsidRDefault="2ECDBC08" w:rsidP="26403EC0">
            <w:pPr>
              <w:pStyle w:val="TableText0"/>
            </w:pPr>
            <w:r w:rsidRPr="26403EC0">
              <w:t>Change from Baseline to 52 wk</w:t>
            </w:r>
          </w:p>
          <w:p w14:paraId="42ACF3CA" w14:textId="50583C24" w:rsidR="006E0F52" w:rsidRDefault="006E0F52" w:rsidP="006F1D5E">
            <w:pPr>
              <w:pStyle w:val="TableText0"/>
            </w:pPr>
            <w:r>
              <w:t>Median (IQR)</w:t>
            </w:r>
          </w:p>
        </w:tc>
        <w:tc>
          <w:tcPr>
            <w:tcW w:w="1520" w:type="dxa"/>
          </w:tcPr>
          <w:p w14:paraId="34637608" w14:textId="77777777" w:rsidR="006E0F52" w:rsidRDefault="006E0F52" w:rsidP="006F1D5E">
            <w:pPr>
              <w:pStyle w:val="TableText0"/>
              <w:rPr>
                <w:b/>
                <w:bCs/>
              </w:rPr>
            </w:pPr>
          </w:p>
          <w:p w14:paraId="00116015" w14:textId="6D0EAD5C" w:rsidR="006E0F52" w:rsidRPr="006E0F52" w:rsidRDefault="006E0F52" w:rsidP="006F1D5E">
            <w:pPr>
              <w:pStyle w:val="TableText0"/>
            </w:pPr>
            <w:r w:rsidRPr="006E0F52">
              <w:t>12.5 (-3.8, 43.5)</w:t>
            </w:r>
          </w:p>
        </w:tc>
        <w:tc>
          <w:tcPr>
            <w:tcW w:w="1813" w:type="dxa"/>
            <w:gridSpan w:val="2"/>
          </w:tcPr>
          <w:p w14:paraId="1F40BE4E" w14:textId="77777777" w:rsidR="006E0F52" w:rsidRDefault="006E0F52" w:rsidP="006F1D5E">
            <w:pPr>
              <w:pStyle w:val="TableText0"/>
            </w:pPr>
          </w:p>
          <w:p w14:paraId="359FB4FC" w14:textId="671D8C12" w:rsidR="006E0F52" w:rsidRDefault="006E0F52" w:rsidP="006F1D5E">
            <w:pPr>
              <w:pStyle w:val="TableText0"/>
            </w:pPr>
            <w:r>
              <w:t>3.2 (-21.8, 22.8)</w:t>
            </w:r>
          </w:p>
        </w:tc>
        <w:tc>
          <w:tcPr>
            <w:tcW w:w="1643" w:type="dxa"/>
            <w:gridSpan w:val="2"/>
          </w:tcPr>
          <w:p w14:paraId="22053D27" w14:textId="77777777" w:rsidR="006E0F52" w:rsidRDefault="006E0F52" w:rsidP="006F1D5E">
            <w:pPr>
              <w:pStyle w:val="TableText0"/>
            </w:pPr>
          </w:p>
          <w:p w14:paraId="4AEEF998" w14:textId="4DC0C089" w:rsidR="006E0F52" w:rsidRDefault="006E0F52" w:rsidP="006F1D5E">
            <w:pPr>
              <w:pStyle w:val="TableText0"/>
            </w:pPr>
            <w:r>
              <w:t>-1.0 (-5.0, 4.0)</w:t>
            </w:r>
          </w:p>
        </w:tc>
        <w:tc>
          <w:tcPr>
            <w:tcW w:w="1540" w:type="dxa"/>
          </w:tcPr>
          <w:p w14:paraId="2FBAA643" w14:textId="77777777" w:rsidR="006E0F52" w:rsidRDefault="006E0F52" w:rsidP="006F1D5E">
            <w:pPr>
              <w:pStyle w:val="TableText0"/>
              <w:rPr>
                <w:b/>
                <w:bCs/>
              </w:rPr>
            </w:pPr>
          </w:p>
          <w:p w14:paraId="4CEA1FB9" w14:textId="4837F9E1" w:rsidR="006E0F52" w:rsidRPr="006E0F52" w:rsidRDefault="006E0F52" w:rsidP="006F1D5E">
            <w:pPr>
              <w:pStyle w:val="TableText0"/>
            </w:pPr>
            <w:r w:rsidRPr="006E0F52">
              <w:t>-3.0 (</w:t>
            </w:r>
            <w:r>
              <w:t>-6.5, 0.0)</w:t>
            </w:r>
          </w:p>
        </w:tc>
      </w:tr>
      <w:tr w:rsidR="00D4774B" w14:paraId="68CA1F74" w14:textId="69514484" w:rsidTr="26403EC0">
        <w:tc>
          <w:tcPr>
            <w:tcW w:w="2501" w:type="dxa"/>
          </w:tcPr>
          <w:p w14:paraId="19C39DDE" w14:textId="7BFE1CD0" w:rsidR="00442EF4" w:rsidRDefault="729A5A7D" w:rsidP="26403EC0">
            <w:pPr>
              <w:pStyle w:val="TableText0"/>
            </w:pPr>
            <w:r w:rsidRPr="26403EC0">
              <w:t>LS Mean Change (95 %</w:t>
            </w:r>
            <w:r w:rsidR="7B89ECB7" w:rsidRPr="26403EC0">
              <w:t xml:space="preserve"> </w:t>
            </w:r>
            <w:r w:rsidRPr="26403EC0">
              <w:t xml:space="preserve">CI) </w:t>
            </w:r>
            <w:r w:rsidR="519E1E6E" w:rsidRPr="26403EC0">
              <w:t>to 52 wk</w:t>
            </w:r>
          </w:p>
        </w:tc>
        <w:tc>
          <w:tcPr>
            <w:tcW w:w="1520" w:type="dxa"/>
          </w:tcPr>
          <w:p w14:paraId="75841CC2" w14:textId="26F8AE34" w:rsidR="00442EF4" w:rsidRPr="006F1D5E" w:rsidRDefault="006F1D5E" w:rsidP="006F1D5E">
            <w:pPr>
              <w:pStyle w:val="TableText0"/>
              <w:rPr>
                <w:b/>
                <w:bCs/>
              </w:rPr>
            </w:pPr>
            <w:r w:rsidRPr="006F1D5E">
              <w:rPr>
                <w:b/>
                <w:bCs/>
              </w:rPr>
              <w:t>21.3 (12.1, 30.5)</w:t>
            </w:r>
          </w:p>
        </w:tc>
        <w:tc>
          <w:tcPr>
            <w:tcW w:w="1813" w:type="dxa"/>
            <w:gridSpan w:val="2"/>
          </w:tcPr>
          <w:p w14:paraId="3BEC615F" w14:textId="4D42C660" w:rsidR="00442EF4" w:rsidRDefault="006F1D5E" w:rsidP="006F1D5E">
            <w:pPr>
              <w:pStyle w:val="TableText0"/>
            </w:pPr>
            <w:r>
              <w:t>7.1 (-6.9, 21.1)</w:t>
            </w:r>
          </w:p>
        </w:tc>
        <w:tc>
          <w:tcPr>
            <w:tcW w:w="1643" w:type="dxa"/>
            <w:gridSpan w:val="2"/>
          </w:tcPr>
          <w:p w14:paraId="1AA8C589" w14:textId="444A3F73" w:rsidR="00442EF4" w:rsidRDefault="00D840CB" w:rsidP="006F1D5E">
            <w:pPr>
              <w:pStyle w:val="TableText0"/>
            </w:pPr>
            <w:r>
              <w:t>-1.0 (-2.3, 0.2)</w:t>
            </w:r>
          </w:p>
        </w:tc>
        <w:tc>
          <w:tcPr>
            <w:tcW w:w="1540" w:type="dxa"/>
          </w:tcPr>
          <w:p w14:paraId="6DBE7629" w14:textId="3966326B" w:rsidR="00442EF4" w:rsidRPr="00D840CB" w:rsidRDefault="00D840CB" w:rsidP="006F1D5E">
            <w:pPr>
              <w:pStyle w:val="TableText0"/>
              <w:rPr>
                <w:b/>
                <w:bCs/>
              </w:rPr>
            </w:pPr>
            <w:r w:rsidRPr="00D840CB">
              <w:rPr>
                <w:b/>
                <w:bCs/>
              </w:rPr>
              <w:t>-3.7 (-5.6, -1.8)</w:t>
            </w:r>
          </w:p>
        </w:tc>
      </w:tr>
      <w:tr w:rsidR="00442EF4" w14:paraId="6BDA40E2" w14:textId="3EC7E68D" w:rsidTr="26403EC0">
        <w:tc>
          <w:tcPr>
            <w:tcW w:w="2501" w:type="dxa"/>
          </w:tcPr>
          <w:p w14:paraId="2D25948F" w14:textId="15212308" w:rsidR="00442EF4" w:rsidRDefault="00C33AE5" w:rsidP="006F1D5E">
            <w:pPr>
              <w:pStyle w:val="TableText0"/>
            </w:pPr>
            <w:r>
              <w:t xml:space="preserve">LS Mean </w:t>
            </w:r>
            <w:r w:rsidR="00442EF4">
              <w:t xml:space="preserve">Difference (95% CI) </w:t>
            </w:r>
            <w:r w:rsidR="00263A5C">
              <w:t>CIPAMIG</w:t>
            </w:r>
            <w:r w:rsidR="00442EF4">
              <w:t xml:space="preserve"> - </w:t>
            </w:r>
            <w:r w:rsidR="00263A5C">
              <w:t>ALGLU</w:t>
            </w:r>
          </w:p>
        </w:tc>
        <w:tc>
          <w:tcPr>
            <w:tcW w:w="3333" w:type="dxa"/>
            <w:gridSpan w:val="3"/>
          </w:tcPr>
          <w:p w14:paraId="68FD0EC5" w14:textId="70C7B0AD" w:rsidR="00442EF4" w:rsidRDefault="006F1D5E" w:rsidP="006F1D5E">
            <w:pPr>
              <w:pStyle w:val="TableText0"/>
              <w:jc w:val="center"/>
            </w:pPr>
            <w:r>
              <w:t>14.2 (-2.6, 31.0)</w:t>
            </w:r>
          </w:p>
        </w:tc>
        <w:tc>
          <w:tcPr>
            <w:tcW w:w="3183" w:type="dxa"/>
            <w:gridSpan w:val="3"/>
          </w:tcPr>
          <w:p w14:paraId="15E47908" w14:textId="427A9EF0" w:rsidR="00442EF4" w:rsidRPr="00D840CB" w:rsidRDefault="00D840CB" w:rsidP="00AD4C9D">
            <w:pPr>
              <w:pStyle w:val="TableText0"/>
              <w:jc w:val="center"/>
              <w:rPr>
                <w:b/>
                <w:bCs/>
              </w:rPr>
            </w:pPr>
            <w:r w:rsidRPr="00D840CB">
              <w:rPr>
                <w:b/>
                <w:bCs/>
              </w:rPr>
              <w:t>2.7 (0.4, 4.9)</w:t>
            </w:r>
          </w:p>
        </w:tc>
      </w:tr>
      <w:tr w:rsidR="00E14D30" w14:paraId="1175963F" w14:textId="77777777" w:rsidTr="26403EC0">
        <w:tc>
          <w:tcPr>
            <w:tcW w:w="2501" w:type="dxa"/>
          </w:tcPr>
          <w:p w14:paraId="6AE576AC" w14:textId="77777777" w:rsidR="00E14D30" w:rsidRDefault="00E14D30" w:rsidP="00E14D30">
            <w:pPr>
              <w:pStyle w:val="TableText0"/>
            </w:pPr>
          </w:p>
        </w:tc>
        <w:tc>
          <w:tcPr>
            <w:tcW w:w="1666" w:type="dxa"/>
            <w:gridSpan w:val="2"/>
          </w:tcPr>
          <w:p w14:paraId="566CE569" w14:textId="77777777" w:rsidR="00A858EA" w:rsidRDefault="00E14D30" w:rsidP="00E14D30">
            <w:pPr>
              <w:pStyle w:val="TableText0"/>
              <w:jc w:val="center"/>
            </w:pPr>
            <w:r>
              <w:t xml:space="preserve">Patients with prior </w:t>
            </w:r>
            <w:r w:rsidR="007D780A">
              <w:t>alglucosidase</w:t>
            </w:r>
            <w:r>
              <w:t xml:space="preserve">, </w:t>
            </w:r>
          </w:p>
          <w:p w14:paraId="00068E70" w14:textId="74A41956" w:rsidR="00E14D30" w:rsidRDefault="00E14D30" w:rsidP="00E14D30">
            <w:pPr>
              <w:pStyle w:val="TableText0"/>
              <w:jc w:val="center"/>
            </w:pPr>
            <w:r>
              <w:t xml:space="preserve">n = </w:t>
            </w:r>
            <w:r w:rsidR="00DD46BA">
              <w:t>65</w:t>
            </w:r>
          </w:p>
        </w:tc>
        <w:tc>
          <w:tcPr>
            <w:tcW w:w="1667" w:type="dxa"/>
          </w:tcPr>
          <w:p w14:paraId="52039806" w14:textId="77777777" w:rsidR="00A858EA" w:rsidRDefault="00DD46BA" w:rsidP="00E14D30">
            <w:pPr>
              <w:pStyle w:val="TableText0"/>
              <w:jc w:val="center"/>
            </w:pPr>
            <w:r>
              <w:t>Patients with prior</w:t>
            </w:r>
            <w:r w:rsidR="007D780A">
              <w:t xml:space="preserve"> alglucosidase</w:t>
            </w:r>
            <w:r>
              <w:t xml:space="preserve">, </w:t>
            </w:r>
          </w:p>
          <w:p w14:paraId="16930C06" w14:textId="2AA9E003" w:rsidR="00E14D30" w:rsidRDefault="00DD46BA" w:rsidP="00E14D30">
            <w:pPr>
              <w:pStyle w:val="TableText0"/>
              <w:jc w:val="center"/>
            </w:pPr>
            <w:r>
              <w:t>n = 30</w:t>
            </w:r>
          </w:p>
        </w:tc>
        <w:tc>
          <w:tcPr>
            <w:tcW w:w="1591" w:type="dxa"/>
          </w:tcPr>
          <w:p w14:paraId="6E37A23E" w14:textId="77777777" w:rsidR="00A858EA" w:rsidRDefault="00DD46BA" w:rsidP="00E14D30">
            <w:pPr>
              <w:pStyle w:val="TableText0"/>
              <w:jc w:val="center"/>
            </w:pPr>
            <w:r>
              <w:t xml:space="preserve">Patients with prior </w:t>
            </w:r>
            <w:r w:rsidR="007D780A">
              <w:t>alglucosidase</w:t>
            </w:r>
            <w:r>
              <w:t xml:space="preserve">, </w:t>
            </w:r>
          </w:p>
          <w:p w14:paraId="2240F18A" w14:textId="6EEBFC36" w:rsidR="00E14D30" w:rsidRPr="00D840CB" w:rsidRDefault="00DD46BA" w:rsidP="00E14D30">
            <w:pPr>
              <w:pStyle w:val="TableText0"/>
              <w:jc w:val="center"/>
              <w:rPr>
                <w:b/>
                <w:bCs/>
              </w:rPr>
            </w:pPr>
            <w:r>
              <w:t>n = 65</w:t>
            </w:r>
          </w:p>
        </w:tc>
        <w:tc>
          <w:tcPr>
            <w:tcW w:w="1592" w:type="dxa"/>
            <w:gridSpan w:val="2"/>
          </w:tcPr>
          <w:p w14:paraId="3B5D8721" w14:textId="77777777" w:rsidR="00A858EA" w:rsidRDefault="00DD46BA" w:rsidP="00E14D30">
            <w:pPr>
              <w:pStyle w:val="TableText0"/>
              <w:jc w:val="center"/>
            </w:pPr>
            <w:r>
              <w:t xml:space="preserve">Patients with prior </w:t>
            </w:r>
            <w:r w:rsidR="007D780A">
              <w:t>alglucosidase</w:t>
            </w:r>
            <w:r>
              <w:t xml:space="preserve">, </w:t>
            </w:r>
          </w:p>
          <w:p w14:paraId="307EF479" w14:textId="675823AD" w:rsidR="00E14D30" w:rsidRPr="00D840CB" w:rsidRDefault="00DD46BA" w:rsidP="00E14D30">
            <w:pPr>
              <w:pStyle w:val="TableText0"/>
              <w:jc w:val="center"/>
              <w:rPr>
                <w:b/>
                <w:bCs/>
              </w:rPr>
            </w:pPr>
            <w:r>
              <w:t>n = 30</w:t>
            </w:r>
          </w:p>
        </w:tc>
      </w:tr>
      <w:tr w:rsidR="00E14D30" w14:paraId="0F2F7796" w14:textId="77777777" w:rsidTr="26403EC0">
        <w:tc>
          <w:tcPr>
            <w:tcW w:w="2501" w:type="dxa"/>
          </w:tcPr>
          <w:p w14:paraId="700AD1BD" w14:textId="3DF9AF85" w:rsidR="00E14D30" w:rsidRDefault="00E14D30" w:rsidP="26403EC0">
            <w:pPr>
              <w:pStyle w:val="TableText0"/>
            </w:pPr>
            <w:r w:rsidRPr="26403EC0">
              <w:t>LS Mean Change (95 %</w:t>
            </w:r>
            <w:r w:rsidR="7B89ECB7" w:rsidRPr="26403EC0">
              <w:t xml:space="preserve"> </w:t>
            </w:r>
            <w:r w:rsidRPr="26403EC0">
              <w:t>CI) to 52 wk</w:t>
            </w:r>
          </w:p>
        </w:tc>
        <w:tc>
          <w:tcPr>
            <w:tcW w:w="1666" w:type="dxa"/>
            <w:gridSpan w:val="2"/>
          </w:tcPr>
          <w:p w14:paraId="78F99A5E" w14:textId="25FC23F2" w:rsidR="00E14D30" w:rsidRPr="00DD46BA" w:rsidRDefault="00DD46BA" w:rsidP="00E14D30">
            <w:pPr>
              <w:pStyle w:val="TableText0"/>
              <w:jc w:val="center"/>
              <w:rPr>
                <w:b/>
                <w:bCs/>
              </w:rPr>
            </w:pPr>
            <w:r w:rsidRPr="00DD46BA">
              <w:rPr>
                <w:b/>
                <w:bCs/>
              </w:rPr>
              <w:t>17.0 (6.8, 27.3)</w:t>
            </w:r>
          </w:p>
        </w:tc>
        <w:tc>
          <w:tcPr>
            <w:tcW w:w="1667" w:type="dxa"/>
          </w:tcPr>
          <w:p w14:paraId="6A1D2243" w14:textId="28D705D0" w:rsidR="00E14D30" w:rsidRDefault="00DD46BA" w:rsidP="00E14D30">
            <w:pPr>
              <w:pStyle w:val="TableText0"/>
              <w:jc w:val="center"/>
            </w:pPr>
            <w:r>
              <w:t>0.6 (-14.5, 15.6)</w:t>
            </w:r>
          </w:p>
        </w:tc>
        <w:tc>
          <w:tcPr>
            <w:tcW w:w="1591" w:type="dxa"/>
          </w:tcPr>
          <w:p w14:paraId="64BDA6BA" w14:textId="5D9984BE" w:rsidR="00E14D30" w:rsidRPr="00DD46BA" w:rsidRDefault="00DD46BA" w:rsidP="00E14D30">
            <w:pPr>
              <w:pStyle w:val="TableText0"/>
              <w:jc w:val="center"/>
            </w:pPr>
            <w:r w:rsidRPr="00DD46BA">
              <w:t>-0.1 (-1.5, 1.2)</w:t>
            </w:r>
          </w:p>
        </w:tc>
        <w:tc>
          <w:tcPr>
            <w:tcW w:w="1592" w:type="dxa"/>
            <w:gridSpan w:val="2"/>
          </w:tcPr>
          <w:p w14:paraId="7AB8660A" w14:textId="5DE2B986" w:rsidR="00E14D30" w:rsidRPr="00DD46BA" w:rsidRDefault="00DD46BA" w:rsidP="00E14D30">
            <w:pPr>
              <w:pStyle w:val="TableText0"/>
              <w:jc w:val="center"/>
              <w:rPr>
                <w:b/>
                <w:bCs/>
              </w:rPr>
            </w:pPr>
            <w:r w:rsidRPr="00DD46BA">
              <w:rPr>
                <w:b/>
                <w:bCs/>
              </w:rPr>
              <w:t>-3.6 (-5.7, -1.6)</w:t>
            </w:r>
          </w:p>
        </w:tc>
      </w:tr>
      <w:tr w:rsidR="00E14D30" w14:paraId="64B88C00" w14:textId="77777777" w:rsidTr="26403EC0">
        <w:tc>
          <w:tcPr>
            <w:tcW w:w="2501" w:type="dxa"/>
          </w:tcPr>
          <w:p w14:paraId="2D5E57E5" w14:textId="188134E0" w:rsidR="00E14D30" w:rsidRDefault="00E14D30" w:rsidP="00E14D30">
            <w:pPr>
              <w:pStyle w:val="TableText0"/>
            </w:pPr>
            <w:r>
              <w:t xml:space="preserve">LS Mean Difference (95% CI) </w:t>
            </w:r>
            <w:r w:rsidR="00263A5C">
              <w:t>CIPAMIG</w:t>
            </w:r>
            <w:r>
              <w:t xml:space="preserve"> - A</w:t>
            </w:r>
            <w:r w:rsidR="00263A5C">
              <w:t>LGLU</w:t>
            </w:r>
          </w:p>
        </w:tc>
        <w:tc>
          <w:tcPr>
            <w:tcW w:w="3333" w:type="dxa"/>
            <w:gridSpan w:val="3"/>
          </w:tcPr>
          <w:p w14:paraId="175EACC8" w14:textId="7B0D240D" w:rsidR="00E14D30" w:rsidRDefault="00DD46BA" w:rsidP="00E14D30">
            <w:pPr>
              <w:pStyle w:val="TableText0"/>
              <w:jc w:val="center"/>
            </w:pPr>
            <w:r>
              <w:t>16.4 (-1.9, 34.8)</w:t>
            </w:r>
          </w:p>
        </w:tc>
        <w:tc>
          <w:tcPr>
            <w:tcW w:w="3183" w:type="dxa"/>
            <w:gridSpan w:val="3"/>
          </w:tcPr>
          <w:p w14:paraId="26173E2A" w14:textId="0FF271F9" w:rsidR="00E14D30" w:rsidRPr="00D840CB" w:rsidRDefault="00DD46BA" w:rsidP="00E14D30">
            <w:pPr>
              <w:pStyle w:val="TableText0"/>
              <w:jc w:val="center"/>
              <w:rPr>
                <w:b/>
                <w:bCs/>
              </w:rPr>
            </w:pPr>
            <w:r>
              <w:rPr>
                <w:b/>
                <w:bCs/>
              </w:rPr>
              <w:t>3.5 (1.0, 6.0)</w:t>
            </w:r>
          </w:p>
        </w:tc>
      </w:tr>
      <w:tr w:rsidR="00E14D30" w14:paraId="68216627" w14:textId="7903D828" w:rsidTr="26403EC0">
        <w:tc>
          <w:tcPr>
            <w:tcW w:w="2501" w:type="dxa"/>
          </w:tcPr>
          <w:p w14:paraId="2EF81C6F" w14:textId="77777777" w:rsidR="00E14D30" w:rsidRDefault="00E14D30" w:rsidP="00E14D30">
            <w:pPr>
              <w:pStyle w:val="TableText0"/>
            </w:pPr>
          </w:p>
        </w:tc>
        <w:tc>
          <w:tcPr>
            <w:tcW w:w="6516" w:type="dxa"/>
            <w:gridSpan w:val="6"/>
          </w:tcPr>
          <w:p w14:paraId="238875D6" w14:textId="79803EC9" w:rsidR="00E14D30" w:rsidRDefault="00E14D30" w:rsidP="000D2D05">
            <w:pPr>
              <w:pStyle w:val="In-tableHeading"/>
            </w:pPr>
            <w:r>
              <w:t>COMET</w:t>
            </w:r>
          </w:p>
        </w:tc>
      </w:tr>
      <w:tr w:rsidR="00E14D30" w14:paraId="54A678E0" w14:textId="451D5D98" w:rsidTr="26403EC0">
        <w:tc>
          <w:tcPr>
            <w:tcW w:w="2501" w:type="dxa"/>
          </w:tcPr>
          <w:p w14:paraId="6458C28D" w14:textId="77777777" w:rsidR="00E14D30" w:rsidRDefault="00E14D30" w:rsidP="00E14D30">
            <w:pPr>
              <w:pStyle w:val="TableText0"/>
            </w:pPr>
          </w:p>
        </w:tc>
        <w:tc>
          <w:tcPr>
            <w:tcW w:w="3333" w:type="dxa"/>
            <w:gridSpan w:val="3"/>
          </w:tcPr>
          <w:p w14:paraId="2296DBD5" w14:textId="5644BBB8" w:rsidR="00E14D30" w:rsidRDefault="00E14D30" w:rsidP="000D2D05">
            <w:pPr>
              <w:pStyle w:val="In-tableHeading"/>
            </w:pPr>
            <w:r>
              <w:t>6MWD, meters</w:t>
            </w:r>
          </w:p>
        </w:tc>
        <w:tc>
          <w:tcPr>
            <w:tcW w:w="3183" w:type="dxa"/>
            <w:gridSpan w:val="3"/>
          </w:tcPr>
          <w:p w14:paraId="129C7BAB" w14:textId="25E2638D" w:rsidR="00E14D30" w:rsidRDefault="00E14D30" w:rsidP="000D2D05">
            <w:pPr>
              <w:pStyle w:val="In-tableHeading"/>
            </w:pPr>
            <w:r>
              <w:t>% predicted FVC</w:t>
            </w:r>
          </w:p>
        </w:tc>
      </w:tr>
      <w:tr w:rsidR="00E14D30" w14:paraId="05E6B2BA" w14:textId="77777777" w:rsidTr="26403EC0">
        <w:tc>
          <w:tcPr>
            <w:tcW w:w="2501" w:type="dxa"/>
          </w:tcPr>
          <w:p w14:paraId="5BB0CD1C" w14:textId="77777777" w:rsidR="00E14D30" w:rsidRDefault="00E14D30" w:rsidP="00E14D30">
            <w:pPr>
              <w:pStyle w:val="TableText0"/>
            </w:pPr>
          </w:p>
        </w:tc>
        <w:tc>
          <w:tcPr>
            <w:tcW w:w="1520" w:type="dxa"/>
          </w:tcPr>
          <w:p w14:paraId="28B99532" w14:textId="6E1A1F4F" w:rsidR="00E14D30" w:rsidRPr="00CD7235" w:rsidRDefault="00CD7235" w:rsidP="00E14D30">
            <w:pPr>
              <w:pStyle w:val="TableText0"/>
              <w:rPr>
                <w:b/>
                <w:bCs/>
                <w:lang w:val="en-GB"/>
              </w:rPr>
            </w:pPr>
            <w:r w:rsidRPr="00CD7235">
              <w:rPr>
                <w:b/>
                <w:bCs/>
                <w:lang w:val="en-GB"/>
              </w:rPr>
              <w:t xml:space="preserve">AVAL, </w:t>
            </w:r>
            <w:r w:rsidR="00E14D30" w:rsidRPr="00CD7235">
              <w:rPr>
                <w:b/>
                <w:bCs/>
                <w:lang w:val="en-GB"/>
              </w:rPr>
              <w:t>N=51</w:t>
            </w:r>
          </w:p>
        </w:tc>
        <w:tc>
          <w:tcPr>
            <w:tcW w:w="1813" w:type="dxa"/>
            <w:gridSpan w:val="2"/>
          </w:tcPr>
          <w:p w14:paraId="729D79D3" w14:textId="04685E96" w:rsidR="00E14D30" w:rsidRPr="00CD7235" w:rsidRDefault="00CD7235" w:rsidP="00E14D30">
            <w:pPr>
              <w:pStyle w:val="TableText0"/>
              <w:rPr>
                <w:b/>
                <w:bCs/>
              </w:rPr>
            </w:pPr>
            <w:r w:rsidRPr="00CD7235">
              <w:rPr>
                <w:b/>
                <w:bCs/>
              </w:rPr>
              <w:t xml:space="preserve">ALGLU, </w:t>
            </w:r>
            <w:r w:rsidR="00E14D30" w:rsidRPr="00CD7235">
              <w:rPr>
                <w:b/>
                <w:bCs/>
              </w:rPr>
              <w:t>N = 49</w:t>
            </w:r>
          </w:p>
        </w:tc>
        <w:tc>
          <w:tcPr>
            <w:tcW w:w="1643" w:type="dxa"/>
            <w:gridSpan w:val="2"/>
          </w:tcPr>
          <w:p w14:paraId="1E578B9D" w14:textId="70FEEB92" w:rsidR="00E14D30" w:rsidRPr="00CD7235" w:rsidRDefault="00CD7235" w:rsidP="00E14D30">
            <w:pPr>
              <w:pStyle w:val="TableText0"/>
              <w:rPr>
                <w:b/>
                <w:bCs/>
                <w:lang w:val="en-GB"/>
              </w:rPr>
            </w:pPr>
            <w:r w:rsidRPr="00CD7235">
              <w:rPr>
                <w:b/>
                <w:bCs/>
                <w:lang w:val="en-GB"/>
              </w:rPr>
              <w:t xml:space="preserve">AVAL, </w:t>
            </w:r>
            <w:r w:rsidR="00E14D30" w:rsidRPr="00CD7235">
              <w:rPr>
                <w:b/>
                <w:bCs/>
                <w:lang w:val="en-GB"/>
              </w:rPr>
              <w:t>N=51</w:t>
            </w:r>
          </w:p>
        </w:tc>
        <w:tc>
          <w:tcPr>
            <w:tcW w:w="1540" w:type="dxa"/>
          </w:tcPr>
          <w:p w14:paraId="1F93D889" w14:textId="583EB00C" w:rsidR="00E14D30" w:rsidRPr="00CD7235" w:rsidRDefault="00CD7235" w:rsidP="00E14D30">
            <w:pPr>
              <w:pStyle w:val="TableText0"/>
              <w:rPr>
                <w:b/>
                <w:bCs/>
              </w:rPr>
            </w:pPr>
            <w:r w:rsidRPr="00CD7235">
              <w:rPr>
                <w:b/>
                <w:bCs/>
              </w:rPr>
              <w:t xml:space="preserve">ALGLU, </w:t>
            </w:r>
            <w:r w:rsidR="00E14D30" w:rsidRPr="00CD7235">
              <w:rPr>
                <w:b/>
                <w:bCs/>
              </w:rPr>
              <w:t>N = 49</w:t>
            </w:r>
          </w:p>
        </w:tc>
      </w:tr>
      <w:tr w:rsidR="00E14D30" w14:paraId="5CDD452F" w14:textId="184114BB" w:rsidTr="26403EC0">
        <w:tc>
          <w:tcPr>
            <w:tcW w:w="2501" w:type="dxa"/>
          </w:tcPr>
          <w:p w14:paraId="117811C1" w14:textId="65979F30" w:rsidR="00E14D30" w:rsidRDefault="00E14D30" w:rsidP="26403EC0">
            <w:pPr>
              <w:pStyle w:val="TableText0"/>
            </w:pPr>
            <w:r w:rsidRPr="26403EC0">
              <w:t>LS Mean Change (95% CI) to 49 wk</w:t>
            </w:r>
          </w:p>
        </w:tc>
        <w:tc>
          <w:tcPr>
            <w:tcW w:w="1520" w:type="dxa"/>
          </w:tcPr>
          <w:p w14:paraId="464DCD90" w14:textId="447B7345" w:rsidR="00E14D30" w:rsidRPr="00DD46BA" w:rsidRDefault="00E14D30" w:rsidP="00E14D30">
            <w:pPr>
              <w:pStyle w:val="TableText0"/>
              <w:rPr>
                <w:b/>
                <w:bCs/>
              </w:rPr>
            </w:pPr>
            <w:r w:rsidRPr="00DD46BA">
              <w:rPr>
                <w:b/>
                <w:bCs/>
              </w:rPr>
              <w:t>32.2 (12.7, 51.7)</w:t>
            </w:r>
          </w:p>
        </w:tc>
        <w:tc>
          <w:tcPr>
            <w:tcW w:w="1813" w:type="dxa"/>
            <w:gridSpan w:val="2"/>
          </w:tcPr>
          <w:p w14:paraId="0B5BE9AB" w14:textId="02FD382E" w:rsidR="00E14D30" w:rsidRDefault="00E14D30" w:rsidP="00E14D30">
            <w:pPr>
              <w:pStyle w:val="TableText0"/>
            </w:pPr>
            <w:r>
              <w:t>2.2 (-18.2, 22.6)</w:t>
            </w:r>
          </w:p>
        </w:tc>
        <w:tc>
          <w:tcPr>
            <w:tcW w:w="1643" w:type="dxa"/>
            <w:gridSpan w:val="2"/>
          </w:tcPr>
          <w:p w14:paraId="31D3ECD9" w14:textId="50E89573" w:rsidR="00E14D30" w:rsidRDefault="00E14D30" w:rsidP="00E14D30">
            <w:pPr>
              <w:pStyle w:val="TableText0"/>
            </w:pPr>
            <w:r>
              <w:t>2.9 (-0.8, 4.6)</w:t>
            </w:r>
          </w:p>
        </w:tc>
        <w:tc>
          <w:tcPr>
            <w:tcW w:w="1540" w:type="dxa"/>
          </w:tcPr>
          <w:p w14:paraId="13C519F6" w14:textId="65F7DF7D" w:rsidR="00E14D30" w:rsidRDefault="00E14D30" w:rsidP="00E14D30">
            <w:pPr>
              <w:pStyle w:val="TableText0"/>
            </w:pPr>
            <w:r>
              <w:t>0.5 (-0.9, 2.3)</w:t>
            </w:r>
          </w:p>
        </w:tc>
      </w:tr>
      <w:tr w:rsidR="00E14D30" w14:paraId="6FCE82C2" w14:textId="0B81A58C" w:rsidTr="26403EC0">
        <w:tc>
          <w:tcPr>
            <w:tcW w:w="2501" w:type="dxa"/>
          </w:tcPr>
          <w:p w14:paraId="28682DA3" w14:textId="77777777" w:rsidR="00E14D30" w:rsidRDefault="00E14D30" w:rsidP="00E14D30">
            <w:pPr>
              <w:pStyle w:val="TableText0"/>
            </w:pPr>
            <w:r>
              <w:t>LS Mean Difference (95% CI)</w:t>
            </w:r>
          </w:p>
          <w:p w14:paraId="2FB406C6" w14:textId="19649161" w:rsidR="00E14D30" w:rsidRDefault="00263A5C" w:rsidP="00E14D30">
            <w:pPr>
              <w:pStyle w:val="TableText0"/>
            </w:pPr>
            <w:r>
              <w:t>AVAL - ALGLU</w:t>
            </w:r>
          </w:p>
        </w:tc>
        <w:tc>
          <w:tcPr>
            <w:tcW w:w="3333" w:type="dxa"/>
            <w:gridSpan w:val="3"/>
          </w:tcPr>
          <w:p w14:paraId="457CB829" w14:textId="37DAB850" w:rsidR="00E14D30" w:rsidRPr="00AD4C9D" w:rsidRDefault="00E14D30" w:rsidP="00E14D30">
            <w:pPr>
              <w:pStyle w:val="TableText0"/>
              <w:jc w:val="center"/>
              <w:rPr>
                <w:b/>
                <w:bCs/>
              </w:rPr>
            </w:pPr>
            <w:r w:rsidRPr="00AD4C9D">
              <w:rPr>
                <w:b/>
                <w:bCs/>
              </w:rPr>
              <w:t>30.0 (1.3, 58.7)</w:t>
            </w:r>
          </w:p>
        </w:tc>
        <w:tc>
          <w:tcPr>
            <w:tcW w:w="3183" w:type="dxa"/>
            <w:gridSpan w:val="3"/>
          </w:tcPr>
          <w:p w14:paraId="07B8A1A9" w14:textId="06EDF174" w:rsidR="00E14D30" w:rsidRDefault="00E14D30" w:rsidP="00E14D30">
            <w:pPr>
              <w:pStyle w:val="TableText0"/>
              <w:jc w:val="center"/>
            </w:pPr>
            <w:r>
              <w:t>2.4 (-0.1, 5.0)</w:t>
            </w:r>
          </w:p>
        </w:tc>
      </w:tr>
    </w:tbl>
    <w:p w14:paraId="52F7F34E" w14:textId="77777777" w:rsidR="00B90DD5" w:rsidRDefault="00D840CB" w:rsidP="00AD4C9D">
      <w:pPr>
        <w:pStyle w:val="TableFigureFooter"/>
      </w:pPr>
      <w:r>
        <w:t xml:space="preserve">Source: PROPEL CSR, Table 20, p94; Table 22, p98; </w:t>
      </w:r>
      <w:r w:rsidR="00AD4C9D">
        <w:t>Diaz-Manera, 2021.</w:t>
      </w:r>
    </w:p>
    <w:p w14:paraId="03BAAA87" w14:textId="23E6BA63" w:rsidR="00AD4C9D" w:rsidRDefault="00B90DD5" w:rsidP="00AD4C9D">
      <w:pPr>
        <w:pStyle w:val="TableFigureFooter"/>
      </w:pPr>
      <w:r w:rsidRPr="26403EC0">
        <w:t>Note that one patient was excluded because performance at baseline was deliberately restricted.</w:t>
      </w:r>
      <w:r w:rsidR="001B7A36" w:rsidRPr="26403EC0">
        <w:t xml:space="preserve"> All patients in COMET were treatment naive. </w:t>
      </w:r>
      <w:r w:rsidRPr="26403EC0">
        <w:t xml:space="preserve"> </w:t>
      </w:r>
      <w:r w:rsidR="00CD7235" w:rsidRPr="26403EC0">
        <w:t xml:space="preserve">Statistically significant results are in </w:t>
      </w:r>
      <w:r w:rsidR="00CD7235" w:rsidRPr="26403EC0">
        <w:rPr>
          <w:b/>
          <w:bCs/>
        </w:rPr>
        <w:t>bold</w:t>
      </w:r>
      <w:r w:rsidR="00CD7235" w:rsidRPr="26403EC0">
        <w:t xml:space="preserve">. </w:t>
      </w:r>
    </w:p>
    <w:p w14:paraId="33EC4B4B" w14:textId="76A41F56" w:rsidR="007A640B" w:rsidRDefault="00AD4C9D" w:rsidP="00AD4C9D">
      <w:pPr>
        <w:pStyle w:val="TableFigureFooter"/>
      </w:pPr>
      <w:r w:rsidRPr="26403EC0">
        <w:t xml:space="preserve">6MWD = six-minute walking distance; </w:t>
      </w:r>
      <w:r w:rsidR="00CD7235" w:rsidRPr="26403EC0">
        <w:t xml:space="preserve">ALGLU = alglucosidase; AVAL. = </w:t>
      </w:r>
      <w:proofErr w:type="spellStart"/>
      <w:r w:rsidR="00CD7235" w:rsidRPr="26403EC0">
        <w:t>Avalglucosidase</w:t>
      </w:r>
      <w:proofErr w:type="spellEnd"/>
      <w:r w:rsidR="00CD7235" w:rsidRPr="26403EC0">
        <w:t xml:space="preserve">; </w:t>
      </w:r>
      <w:r w:rsidRPr="26403EC0">
        <w:t xml:space="preserve">CI = confidence interval; </w:t>
      </w:r>
      <w:r w:rsidR="00CD7235" w:rsidRPr="26403EC0">
        <w:t xml:space="preserve">CIPAMIG. = cipaglucosidase + </w:t>
      </w:r>
      <w:proofErr w:type="spellStart"/>
      <w:r w:rsidR="00CD7235" w:rsidRPr="26403EC0">
        <w:t>miglustat</w:t>
      </w:r>
      <w:proofErr w:type="spellEnd"/>
      <w:r w:rsidR="00CD7235" w:rsidRPr="26403EC0">
        <w:t xml:space="preserve">; </w:t>
      </w:r>
      <w:r w:rsidRPr="26403EC0">
        <w:t xml:space="preserve">FVC = forced vital capacity; LS = least squares. </w:t>
      </w:r>
    </w:p>
    <w:p w14:paraId="6F568888" w14:textId="651108A1" w:rsidR="00852DD5" w:rsidRDefault="00A858EA" w:rsidP="00852DD5">
      <w:pPr>
        <w:pStyle w:val="3-BodyText"/>
        <w:rPr>
          <w:color w:val="000000" w:themeColor="text1"/>
        </w:rPr>
      </w:pPr>
      <w:r>
        <w:rPr>
          <w:color w:val="000000" w:themeColor="text1"/>
        </w:rPr>
        <w:t xml:space="preserve">In </w:t>
      </w:r>
      <w:r w:rsidR="00263A5C">
        <w:rPr>
          <w:color w:val="000000" w:themeColor="text1"/>
        </w:rPr>
        <w:t>ALGLU</w:t>
      </w:r>
      <w:r>
        <w:rPr>
          <w:color w:val="000000" w:themeColor="text1"/>
        </w:rPr>
        <w:t>-treated patients</w:t>
      </w:r>
      <w:r w:rsidR="00C50F9A">
        <w:rPr>
          <w:color w:val="000000" w:themeColor="text1"/>
        </w:rPr>
        <w:t xml:space="preserve"> in the COMET trial</w:t>
      </w:r>
      <w:r>
        <w:rPr>
          <w:color w:val="000000" w:themeColor="text1"/>
        </w:rPr>
        <w:t xml:space="preserve">, the results for 6MWD </w:t>
      </w:r>
      <w:r w:rsidR="00C936FF">
        <w:rPr>
          <w:color w:val="000000" w:themeColor="text1"/>
        </w:rPr>
        <w:t>we</w:t>
      </w:r>
      <w:r>
        <w:rPr>
          <w:color w:val="000000" w:themeColor="text1"/>
        </w:rPr>
        <w:t>re clearly inferior</w:t>
      </w:r>
      <w:r w:rsidR="003C2787">
        <w:rPr>
          <w:color w:val="000000" w:themeColor="text1"/>
        </w:rPr>
        <w:t>,</w:t>
      </w:r>
      <w:r>
        <w:rPr>
          <w:color w:val="000000" w:themeColor="text1"/>
        </w:rPr>
        <w:t xml:space="preserve"> and the results for % predicted FVC </w:t>
      </w:r>
      <w:r w:rsidR="00C936FF">
        <w:rPr>
          <w:color w:val="000000" w:themeColor="text1"/>
        </w:rPr>
        <w:t>wer</w:t>
      </w:r>
      <w:r>
        <w:rPr>
          <w:color w:val="000000" w:themeColor="text1"/>
        </w:rPr>
        <w:t xml:space="preserve">e probably inferior </w:t>
      </w:r>
      <w:r w:rsidR="002E13B3">
        <w:rPr>
          <w:color w:val="000000" w:themeColor="text1"/>
        </w:rPr>
        <w:t xml:space="preserve">compared </w:t>
      </w:r>
      <w:r>
        <w:rPr>
          <w:color w:val="000000" w:themeColor="text1"/>
        </w:rPr>
        <w:t xml:space="preserve">to those in </w:t>
      </w:r>
      <w:r w:rsidR="00263A5C">
        <w:rPr>
          <w:color w:val="000000" w:themeColor="text1"/>
        </w:rPr>
        <w:t>ALGLU</w:t>
      </w:r>
      <w:r>
        <w:rPr>
          <w:color w:val="000000" w:themeColor="text1"/>
        </w:rPr>
        <w:t>-treated patients i</w:t>
      </w:r>
      <w:r w:rsidR="00852DD5">
        <w:rPr>
          <w:color w:val="000000" w:themeColor="text1"/>
        </w:rPr>
        <w:t>n the placebo-</w:t>
      </w:r>
      <w:r>
        <w:rPr>
          <w:color w:val="000000" w:themeColor="text1"/>
        </w:rPr>
        <w:t xml:space="preserve">controlled trial of </w:t>
      </w:r>
      <w:r w:rsidR="00263A5C">
        <w:rPr>
          <w:color w:val="000000" w:themeColor="text1"/>
        </w:rPr>
        <w:t>ALGLU</w:t>
      </w:r>
      <w:r>
        <w:rPr>
          <w:color w:val="000000" w:themeColor="text1"/>
        </w:rPr>
        <w:t xml:space="preserve"> in LOPD.</w:t>
      </w:r>
      <w:r w:rsidRPr="00A858EA">
        <w:rPr>
          <w:color w:val="000000" w:themeColor="text1"/>
          <w:vertAlign w:val="superscript"/>
        </w:rPr>
        <w:t>4</w:t>
      </w:r>
      <w:r>
        <w:rPr>
          <w:color w:val="000000" w:themeColor="text1"/>
        </w:rPr>
        <w:t xml:space="preserve"> In that trial</w:t>
      </w:r>
      <w:r w:rsidR="00852DD5">
        <w:rPr>
          <w:color w:val="000000" w:themeColor="text1"/>
        </w:rPr>
        <w:t xml:space="preserve"> </w:t>
      </w:r>
      <w:r>
        <w:rPr>
          <w:color w:val="000000" w:themeColor="text1"/>
        </w:rPr>
        <w:t>t</w:t>
      </w:r>
      <w:r w:rsidR="00852DD5">
        <w:rPr>
          <w:color w:val="000000" w:themeColor="text1"/>
        </w:rPr>
        <w:t xml:space="preserve">he mean (95% CI) change in 6MWD to 78 weeks was 25.1 (10.1, 40.2) in the </w:t>
      </w:r>
      <w:r w:rsidR="00263A5C">
        <w:rPr>
          <w:color w:val="000000" w:themeColor="text1"/>
        </w:rPr>
        <w:t>ALGLU</w:t>
      </w:r>
      <w:r w:rsidR="00852DD5">
        <w:rPr>
          <w:color w:val="000000" w:themeColor="text1"/>
        </w:rPr>
        <w:t xml:space="preserve">-treated group and -3.0 (-24.2, 18.2) in the placebo-treated group, with a mean (95% CI) between-group difference of 28.1 (2.1, 54.2). The mean (95% CI) change in % predicted FVC was 1.2 (-0.16, 2.6) in the </w:t>
      </w:r>
      <w:r w:rsidR="00263A5C">
        <w:rPr>
          <w:color w:val="000000" w:themeColor="text1"/>
        </w:rPr>
        <w:t>ALGLU</w:t>
      </w:r>
      <w:r w:rsidR="00852DD5">
        <w:rPr>
          <w:color w:val="000000" w:themeColor="text1"/>
        </w:rPr>
        <w:t>-treated group and -2.2 (-4.1, -0.3) in the placebo-treated group, with a mean (95% CI) between-group difference of 3.4 (1.0, 5.8).</w:t>
      </w:r>
      <w:r w:rsidRPr="00A858EA">
        <w:rPr>
          <w:color w:val="000000" w:themeColor="text1"/>
          <w:vertAlign w:val="superscript"/>
        </w:rPr>
        <w:t>4</w:t>
      </w:r>
      <w:r w:rsidR="00141491">
        <w:rPr>
          <w:color w:val="000000" w:themeColor="text1"/>
        </w:rPr>
        <w:t xml:space="preserve"> </w:t>
      </w:r>
      <w:r w:rsidR="00F234D0">
        <w:rPr>
          <w:color w:val="000000" w:themeColor="text1"/>
        </w:rPr>
        <w:t xml:space="preserve">Given that patients in both trials were treatment-naive, it is difficult to explain the lesser effect of ALGLU in COMET than in the placebo-controlled trial. </w:t>
      </w:r>
    </w:p>
    <w:p w14:paraId="53491211" w14:textId="29BB02EF" w:rsidR="00D11C68" w:rsidRDefault="00CF5436" w:rsidP="00EC5836">
      <w:pPr>
        <w:pStyle w:val="3-BodyText"/>
        <w:rPr>
          <w:color w:val="000000" w:themeColor="text1"/>
        </w:rPr>
      </w:pPr>
      <w:r>
        <w:rPr>
          <w:color w:val="000000" w:themeColor="text1"/>
        </w:rPr>
        <w:t xml:space="preserve">Data for changes in </w:t>
      </w:r>
      <w:r w:rsidR="00572B3E">
        <w:rPr>
          <w:color w:val="000000" w:themeColor="text1"/>
        </w:rPr>
        <w:t xml:space="preserve">quality-of-life measures in the trials </w:t>
      </w:r>
      <w:r>
        <w:rPr>
          <w:color w:val="000000" w:themeColor="text1"/>
        </w:rPr>
        <w:t>are shown in</w:t>
      </w:r>
      <w:r w:rsidR="00C936FF">
        <w:rPr>
          <w:color w:val="000000" w:themeColor="text1"/>
        </w:rPr>
        <w:t xml:space="preserve"> </w:t>
      </w:r>
      <w:r w:rsidR="00C936FF">
        <w:rPr>
          <w:color w:val="000000" w:themeColor="text1"/>
        </w:rPr>
        <w:fldChar w:fldCharType="begin"/>
      </w:r>
      <w:r w:rsidR="00C936FF">
        <w:rPr>
          <w:color w:val="000000" w:themeColor="text1"/>
        </w:rPr>
        <w:instrText xml:space="preserve"> REF _Ref184130732 \h </w:instrText>
      </w:r>
      <w:r w:rsidR="00C936FF">
        <w:rPr>
          <w:color w:val="000000" w:themeColor="text1"/>
        </w:rPr>
      </w:r>
      <w:r w:rsidR="00C936FF">
        <w:rPr>
          <w:color w:val="000000" w:themeColor="text1"/>
        </w:rPr>
        <w:fldChar w:fldCharType="separate"/>
      </w:r>
      <w:r w:rsidR="007A62D0">
        <w:t xml:space="preserve">Table </w:t>
      </w:r>
      <w:r w:rsidR="007A62D0">
        <w:rPr>
          <w:noProof/>
        </w:rPr>
        <w:t>7</w:t>
      </w:r>
      <w:r w:rsidR="00C936FF">
        <w:rPr>
          <w:color w:val="000000" w:themeColor="text1"/>
        </w:rPr>
        <w:fldChar w:fldCharType="end"/>
      </w:r>
      <w:r>
        <w:rPr>
          <w:color w:val="000000" w:themeColor="text1"/>
        </w:rPr>
        <w:t xml:space="preserve">. </w:t>
      </w:r>
    </w:p>
    <w:p w14:paraId="60FD3F83" w14:textId="7FA21EA5" w:rsidR="004979DA" w:rsidRDefault="00CF5436" w:rsidP="26403EC0">
      <w:pPr>
        <w:pStyle w:val="3-BodyText"/>
        <w:rPr>
          <w:color w:val="000000" w:themeColor="text1"/>
        </w:rPr>
      </w:pPr>
      <w:r w:rsidRPr="26403EC0">
        <w:rPr>
          <w:color w:val="000000" w:themeColor="text1"/>
        </w:rPr>
        <w:t>The</w:t>
      </w:r>
      <w:r w:rsidR="00572B3E" w:rsidRPr="26403EC0">
        <w:rPr>
          <w:color w:val="000000" w:themeColor="text1"/>
        </w:rPr>
        <w:t xml:space="preserve"> PROPEL trial used the</w:t>
      </w:r>
      <w:r w:rsidRPr="26403EC0">
        <w:rPr>
          <w:color w:val="000000" w:themeColor="text1"/>
        </w:rPr>
        <w:t xml:space="preserve"> PROMIS</w:t>
      </w:r>
      <w:r w:rsidR="00572B3E" w:rsidRPr="26403EC0">
        <w:rPr>
          <w:color w:val="000000" w:themeColor="text1"/>
        </w:rPr>
        <w:t xml:space="preserve"> PF scale (PF = physical function), this scale </w:t>
      </w:r>
      <w:r w:rsidRPr="26403EC0">
        <w:rPr>
          <w:color w:val="000000" w:themeColor="text1"/>
        </w:rPr>
        <w:t>has a mean score in a reference population of 50, with a standard deviation of 10</w:t>
      </w:r>
      <w:r w:rsidR="00572B3E" w:rsidRPr="26403EC0">
        <w:rPr>
          <w:color w:val="000000" w:themeColor="text1"/>
        </w:rPr>
        <w:t>;</w:t>
      </w:r>
      <w:r w:rsidRPr="26403EC0">
        <w:rPr>
          <w:color w:val="000000" w:themeColor="text1"/>
        </w:rPr>
        <w:t xml:space="preserve"> higher scores indicate better function</w:t>
      </w:r>
      <w:r w:rsidR="004979DA" w:rsidRPr="26403EC0">
        <w:rPr>
          <w:color w:val="000000" w:themeColor="text1"/>
        </w:rPr>
        <w:t>.</w:t>
      </w:r>
      <w:r w:rsidR="00D11C68" w:rsidRPr="26403EC0">
        <w:rPr>
          <w:color w:val="000000" w:themeColor="text1"/>
        </w:rPr>
        <w:t xml:space="preserve"> </w:t>
      </w:r>
      <w:r w:rsidR="008034E2" w:rsidRPr="26403EC0">
        <w:rPr>
          <w:color w:val="000000" w:themeColor="text1"/>
        </w:rPr>
        <w:t>A change in score of 2-6 has been proposed as a</w:t>
      </w:r>
      <w:r w:rsidR="00114F38" w:rsidRPr="26403EC0">
        <w:rPr>
          <w:color w:val="000000" w:themeColor="text1"/>
        </w:rPr>
        <w:t>n</w:t>
      </w:r>
      <w:r w:rsidR="008034E2" w:rsidRPr="26403EC0">
        <w:rPr>
          <w:color w:val="000000" w:themeColor="text1"/>
        </w:rPr>
        <w:t xml:space="preserve"> MCID</w:t>
      </w:r>
      <w:r w:rsidR="009509E4" w:rsidRPr="26403EC0">
        <w:rPr>
          <w:color w:val="000000" w:themeColor="text1"/>
        </w:rPr>
        <w:t xml:space="preserve"> (Claeys, 2024)</w:t>
      </w:r>
      <w:r w:rsidR="008034E2" w:rsidRPr="26403EC0">
        <w:rPr>
          <w:color w:val="000000" w:themeColor="text1"/>
        </w:rPr>
        <w:t xml:space="preserve">. </w:t>
      </w:r>
      <w:r w:rsidR="004979DA" w:rsidRPr="26403EC0">
        <w:rPr>
          <w:color w:val="000000" w:themeColor="text1"/>
        </w:rPr>
        <w:t>Most patients had baseline scores in the normal range (</w:t>
      </w:r>
      <w:r w:rsidR="00D73E00" w:rsidRPr="26403EC0">
        <w:rPr>
          <w:color w:val="000000" w:themeColor="text1"/>
        </w:rPr>
        <w:t xml:space="preserve">see </w:t>
      </w:r>
      <w:r w:rsidR="00D73E00">
        <w:rPr>
          <w:color w:val="000000" w:themeColor="text1"/>
        </w:rPr>
        <w:fldChar w:fldCharType="begin"/>
      </w:r>
      <w:r w:rsidR="00D73E00">
        <w:rPr>
          <w:color w:val="000000" w:themeColor="text1"/>
        </w:rPr>
        <w:instrText xml:space="preserve"> REF _Ref184128817 \h </w:instrText>
      </w:r>
      <w:r w:rsidR="00D73E00">
        <w:rPr>
          <w:color w:val="000000" w:themeColor="text1"/>
        </w:rPr>
      </w:r>
      <w:r w:rsidR="00D73E00">
        <w:rPr>
          <w:color w:val="000000" w:themeColor="text1"/>
        </w:rPr>
        <w:fldChar w:fldCharType="separate"/>
      </w:r>
      <w:r w:rsidR="007A62D0">
        <w:t xml:space="preserve">Table </w:t>
      </w:r>
      <w:r w:rsidR="007A62D0">
        <w:rPr>
          <w:noProof/>
        </w:rPr>
        <w:t>5</w:t>
      </w:r>
      <w:r w:rsidR="00D73E00">
        <w:rPr>
          <w:color w:val="000000" w:themeColor="text1"/>
        </w:rPr>
        <w:fldChar w:fldCharType="end"/>
      </w:r>
      <w:r w:rsidR="00D73E00" w:rsidRPr="26403EC0">
        <w:rPr>
          <w:color w:val="000000" w:themeColor="text1"/>
        </w:rPr>
        <w:t>)</w:t>
      </w:r>
      <w:r w:rsidR="004979DA" w:rsidRPr="26403EC0">
        <w:rPr>
          <w:color w:val="000000" w:themeColor="text1"/>
        </w:rPr>
        <w:t xml:space="preserve">. </w:t>
      </w:r>
    </w:p>
    <w:p w14:paraId="55B900DC" w14:textId="1CF3CC15" w:rsidR="00CF5436" w:rsidRPr="008034E2" w:rsidRDefault="00572B3E" w:rsidP="26403EC0">
      <w:pPr>
        <w:pStyle w:val="3-BodyText"/>
        <w:rPr>
          <w:color w:val="000000" w:themeColor="text1"/>
        </w:rPr>
      </w:pPr>
      <w:r w:rsidRPr="26403EC0">
        <w:rPr>
          <w:color w:val="000000" w:themeColor="text1"/>
        </w:rPr>
        <w:t>The COMET trial used the SF-12, with physical component summary</w:t>
      </w:r>
      <w:r w:rsidR="008034E2" w:rsidRPr="26403EC0">
        <w:rPr>
          <w:color w:val="000000" w:themeColor="text1"/>
        </w:rPr>
        <w:t xml:space="preserve"> (PCS)</w:t>
      </w:r>
      <w:r w:rsidRPr="26403EC0">
        <w:rPr>
          <w:color w:val="000000" w:themeColor="text1"/>
        </w:rPr>
        <w:t xml:space="preserve"> and mental component summary</w:t>
      </w:r>
      <w:r w:rsidR="008034E2" w:rsidRPr="26403EC0">
        <w:rPr>
          <w:color w:val="000000" w:themeColor="text1"/>
        </w:rPr>
        <w:t xml:space="preserve"> (MCS)</w:t>
      </w:r>
      <w:r w:rsidRPr="26403EC0">
        <w:rPr>
          <w:color w:val="000000" w:themeColor="text1"/>
        </w:rPr>
        <w:t xml:space="preserve"> scores. </w:t>
      </w:r>
      <w:r w:rsidR="004979DA" w:rsidRPr="26403EC0">
        <w:rPr>
          <w:color w:val="000000" w:themeColor="text1"/>
        </w:rPr>
        <w:t xml:space="preserve">These scores have a mean value in a reference population of 50 with standard deviation of 10. Most patients had PCS scores low in the normal range and MCS scores in the normal range. </w:t>
      </w:r>
      <w:r w:rsidR="008034E2" w:rsidRPr="26403EC0">
        <w:rPr>
          <w:color w:val="000000" w:themeColor="text1"/>
        </w:rPr>
        <w:t xml:space="preserve">The MCID for SF-12 MCS and PCS have been estimated for a range of conditions, and most are about 5, but values for Pompe Disease </w:t>
      </w:r>
      <w:r w:rsidR="00D11C68" w:rsidRPr="26403EC0">
        <w:rPr>
          <w:color w:val="000000" w:themeColor="text1"/>
        </w:rPr>
        <w:t>have</w:t>
      </w:r>
      <w:r w:rsidR="008034E2" w:rsidRPr="26403EC0">
        <w:rPr>
          <w:color w:val="000000" w:themeColor="text1"/>
        </w:rPr>
        <w:t xml:space="preserve"> not</w:t>
      </w:r>
      <w:r w:rsidR="00D11C68" w:rsidRPr="26403EC0">
        <w:rPr>
          <w:color w:val="000000" w:themeColor="text1"/>
        </w:rPr>
        <w:t xml:space="preserve"> been</w:t>
      </w:r>
      <w:r w:rsidR="008034E2" w:rsidRPr="26403EC0">
        <w:rPr>
          <w:color w:val="000000" w:themeColor="text1"/>
        </w:rPr>
        <w:t xml:space="preserve"> defined.   </w:t>
      </w:r>
    </w:p>
    <w:p w14:paraId="1C924BBA" w14:textId="1C62E968" w:rsidR="00572B3E" w:rsidRDefault="00C936FF" w:rsidP="00C936FF">
      <w:pPr>
        <w:pStyle w:val="Caption"/>
      </w:pPr>
      <w:bookmarkStart w:id="31" w:name="_Ref184130732"/>
      <w:r>
        <w:t xml:space="preserve">Table </w:t>
      </w:r>
      <w:r w:rsidR="005C2AA5">
        <w:fldChar w:fldCharType="begin"/>
      </w:r>
      <w:r w:rsidR="005C2AA5">
        <w:instrText xml:space="preserve"> SEQ Table \* ARABIC </w:instrText>
      </w:r>
      <w:r w:rsidR="005C2AA5">
        <w:fldChar w:fldCharType="separate"/>
      </w:r>
      <w:r w:rsidR="007A62D0">
        <w:rPr>
          <w:noProof/>
        </w:rPr>
        <w:t>7</w:t>
      </w:r>
      <w:r w:rsidR="005C2AA5">
        <w:rPr>
          <w:noProof/>
        </w:rPr>
        <w:fldChar w:fldCharType="end"/>
      </w:r>
      <w:bookmarkEnd w:id="31"/>
      <w:r w:rsidR="00572B3E">
        <w:t>: Changes in QoL scores in the trials</w:t>
      </w:r>
    </w:p>
    <w:tbl>
      <w:tblPr>
        <w:tblStyle w:val="TableGrid"/>
        <w:tblW w:w="0" w:type="auto"/>
        <w:tblLook w:val="04A0" w:firstRow="1" w:lastRow="0" w:firstColumn="1" w:lastColumn="0" w:noHBand="0" w:noVBand="1"/>
        <w:tblCaption w:val="Table 7: Changes in QoL scores in the trials"/>
      </w:tblPr>
      <w:tblGrid>
        <w:gridCol w:w="2972"/>
        <w:gridCol w:w="2977"/>
        <w:gridCol w:w="2977"/>
      </w:tblGrid>
      <w:tr w:rsidR="00572B3E" w14:paraId="68A85DA2" w14:textId="77777777" w:rsidTr="00636312">
        <w:tc>
          <w:tcPr>
            <w:tcW w:w="2972" w:type="dxa"/>
          </w:tcPr>
          <w:p w14:paraId="49FE2C35" w14:textId="77777777" w:rsidR="00572B3E" w:rsidRDefault="00572B3E" w:rsidP="00572B3E">
            <w:pPr>
              <w:pStyle w:val="TableFigureHeading"/>
            </w:pPr>
          </w:p>
        </w:tc>
        <w:tc>
          <w:tcPr>
            <w:tcW w:w="5954" w:type="dxa"/>
            <w:gridSpan w:val="2"/>
          </w:tcPr>
          <w:p w14:paraId="7CBDB250" w14:textId="4830B1B7" w:rsidR="00572B3E" w:rsidRDefault="00572B3E" w:rsidP="00572B3E">
            <w:pPr>
              <w:pStyle w:val="TableFigureHeading"/>
              <w:jc w:val="center"/>
            </w:pPr>
            <w:r>
              <w:t>PROPEL PROMIS PF Score</w:t>
            </w:r>
          </w:p>
        </w:tc>
      </w:tr>
      <w:tr w:rsidR="00572B3E" w14:paraId="16B520F3" w14:textId="77777777" w:rsidTr="00D80CBB">
        <w:tc>
          <w:tcPr>
            <w:tcW w:w="2972" w:type="dxa"/>
          </w:tcPr>
          <w:p w14:paraId="2A1DB610" w14:textId="77777777" w:rsidR="00572B3E" w:rsidRDefault="00572B3E" w:rsidP="00572B3E">
            <w:pPr>
              <w:pStyle w:val="TableFigureHeading"/>
            </w:pPr>
          </w:p>
        </w:tc>
        <w:tc>
          <w:tcPr>
            <w:tcW w:w="2977" w:type="dxa"/>
            <w:vAlign w:val="center"/>
          </w:tcPr>
          <w:p w14:paraId="50DE4752" w14:textId="48AB5312" w:rsidR="00572B3E" w:rsidRDefault="00263A5C" w:rsidP="000D2D05">
            <w:pPr>
              <w:pStyle w:val="In-tableHeading"/>
            </w:pPr>
            <w:r>
              <w:t xml:space="preserve">CIPAMIG, </w:t>
            </w:r>
            <w:r w:rsidR="00572B3E">
              <w:t>N= 85</w:t>
            </w:r>
          </w:p>
        </w:tc>
        <w:tc>
          <w:tcPr>
            <w:tcW w:w="2977" w:type="dxa"/>
            <w:vAlign w:val="center"/>
          </w:tcPr>
          <w:p w14:paraId="7A6307E0" w14:textId="39212AF7" w:rsidR="00572B3E" w:rsidRDefault="00263A5C" w:rsidP="000D2D05">
            <w:pPr>
              <w:pStyle w:val="In-tableHeading"/>
            </w:pPr>
            <w:r>
              <w:t xml:space="preserve">ALGLU, </w:t>
            </w:r>
            <w:r w:rsidR="00572B3E">
              <w:t>N = 37</w:t>
            </w:r>
          </w:p>
        </w:tc>
      </w:tr>
      <w:tr w:rsidR="008E25A0" w14:paraId="402F4A6D" w14:textId="77777777" w:rsidTr="00D80CBB">
        <w:tc>
          <w:tcPr>
            <w:tcW w:w="2972" w:type="dxa"/>
          </w:tcPr>
          <w:p w14:paraId="3DBDD462" w14:textId="78524953" w:rsidR="008E25A0" w:rsidRDefault="3A1554EA" w:rsidP="26403EC0">
            <w:pPr>
              <w:pStyle w:val="TableText0"/>
            </w:pPr>
            <w:r w:rsidRPr="26403EC0">
              <w:t>LS Mean Change (95 %CI) to 52 wk</w:t>
            </w:r>
          </w:p>
        </w:tc>
        <w:tc>
          <w:tcPr>
            <w:tcW w:w="2977" w:type="dxa"/>
            <w:vAlign w:val="center"/>
          </w:tcPr>
          <w:p w14:paraId="36897FBB" w14:textId="2BAB7D1C" w:rsidR="008E25A0" w:rsidRPr="000543DC" w:rsidRDefault="008E25A0" w:rsidP="00636312">
            <w:pPr>
              <w:pStyle w:val="TableText0"/>
              <w:jc w:val="center"/>
              <w:rPr>
                <w:b/>
                <w:bCs/>
              </w:rPr>
            </w:pPr>
            <w:r w:rsidRPr="000543DC">
              <w:rPr>
                <w:b/>
                <w:bCs/>
              </w:rPr>
              <w:t>1.98 (0.15, 3.80)</w:t>
            </w:r>
          </w:p>
        </w:tc>
        <w:tc>
          <w:tcPr>
            <w:tcW w:w="2977" w:type="dxa"/>
            <w:vAlign w:val="center"/>
          </w:tcPr>
          <w:p w14:paraId="53F5F163" w14:textId="4BD111A6" w:rsidR="008E25A0" w:rsidRDefault="008E25A0" w:rsidP="00636312">
            <w:pPr>
              <w:pStyle w:val="TableText0"/>
              <w:jc w:val="center"/>
            </w:pPr>
            <w:r>
              <w:t>0.11 (-2.7, 2.9)</w:t>
            </w:r>
          </w:p>
        </w:tc>
      </w:tr>
      <w:tr w:rsidR="008E25A0" w14:paraId="08B3F110" w14:textId="77777777" w:rsidTr="00636312">
        <w:tc>
          <w:tcPr>
            <w:tcW w:w="2972" w:type="dxa"/>
          </w:tcPr>
          <w:p w14:paraId="71470EBD" w14:textId="29C3B60E" w:rsidR="008E25A0" w:rsidRDefault="008E25A0" w:rsidP="008E25A0">
            <w:pPr>
              <w:pStyle w:val="TableText0"/>
            </w:pPr>
            <w:r>
              <w:t xml:space="preserve">LS Mean Difference (95% CI) </w:t>
            </w:r>
            <w:r w:rsidR="00263A5C">
              <w:t>CIPAMIG - ALGLU</w:t>
            </w:r>
          </w:p>
        </w:tc>
        <w:tc>
          <w:tcPr>
            <w:tcW w:w="5954" w:type="dxa"/>
            <w:gridSpan w:val="2"/>
            <w:vAlign w:val="center"/>
          </w:tcPr>
          <w:p w14:paraId="6F2A09BF" w14:textId="0084BA5F" w:rsidR="008E25A0" w:rsidRDefault="008E25A0" w:rsidP="00636312">
            <w:pPr>
              <w:pStyle w:val="TableText0"/>
              <w:jc w:val="center"/>
            </w:pPr>
            <w:r>
              <w:t>1.87 (</w:t>
            </w:r>
            <w:r w:rsidR="000543DC">
              <w:t>-1.5, 5.2)</w:t>
            </w:r>
            <w:r>
              <w:t>)</w:t>
            </w:r>
          </w:p>
        </w:tc>
      </w:tr>
      <w:tr w:rsidR="008E25A0" w14:paraId="64AC391D" w14:textId="77777777" w:rsidTr="00636312">
        <w:tc>
          <w:tcPr>
            <w:tcW w:w="2972" w:type="dxa"/>
          </w:tcPr>
          <w:p w14:paraId="7A33B69F" w14:textId="77777777" w:rsidR="008E25A0" w:rsidRDefault="008E25A0" w:rsidP="008E25A0">
            <w:pPr>
              <w:pStyle w:val="TableText0"/>
            </w:pPr>
          </w:p>
        </w:tc>
        <w:tc>
          <w:tcPr>
            <w:tcW w:w="5954" w:type="dxa"/>
            <w:gridSpan w:val="2"/>
          </w:tcPr>
          <w:p w14:paraId="5552EB24" w14:textId="2B9F4CC4" w:rsidR="008E25A0" w:rsidRDefault="008E25A0" w:rsidP="000D2D05">
            <w:pPr>
              <w:pStyle w:val="In-tableHeading"/>
            </w:pPr>
            <w:r>
              <w:t>COMET</w:t>
            </w:r>
            <w:r w:rsidR="00AE0693">
              <w:t xml:space="preserve"> SF-12 </w:t>
            </w:r>
            <w:proofErr w:type="gramStart"/>
            <w:r w:rsidR="00AE0693">
              <w:t>Scores</w:t>
            </w:r>
            <w:proofErr w:type="gramEnd"/>
          </w:p>
        </w:tc>
      </w:tr>
      <w:tr w:rsidR="008E25A0" w14:paraId="74067935" w14:textId="77777777" w:rsidTr="00D80CBB">
        <w:tc>
          <w:tcPr>
            <w:tcW w:w="2972" w:type="dxa"/>
          </w:tcPr>
          <w:p w14:paraId="3E180725" w14:textId="77777777" w:rsidR="008E25A0" w:rsidRDefault="008E25A0" w:rsidP="008E25A0">
            <w:pPr>
              <w:pStyle w:val="TableText0"/>
            </w:pPr>
          </w:p>
        </w:tc>
        <w:tc>
          <w:tcPr>
            <w:tcW w:w="2977" w:type="dxa"/>
            <w:vAlign w:val="center"/>
          </w:tcPr>
          <w:p w14:paraId="3AD6E8B7" w14:textId="47398512" w:rsidR="008E25A0" w:rsidRPr="00263A5C" w:rsidRDefault="00263A5C" w:rsidP="000D2D05">
            <w:pPr>
              <w:pStyle w:val="In-tableHeading"/>
              <w:rPr>
                <w:snapToGrid w:val="0"/>
              </w:rPr>
            </w:pPr>
            <w:r>
              <w:rPr>
                <w:snapToGrid w:val="0"/>
              </w:rPr>
              <w:t xml:space="preserve">AVAL, </w:t>
            </w:r>
            <w:r w:rsidR="008E25A0">
              <w:t>N</w:t>
            </w:r>
            <w:r w:rsidR="008E25A0" w:rsidRPr="00C33AE5">
              <w:t>=51</w:t>
            </w:r>
          </w:p>
        </w:tc>
        <w:tc>
          <w:tcPr>
            <w:tcW w:w="2977" w:type="dxa"/>
            <w:vAlign w:val="center"/>
          </w:tcPr>
          <w:p w14:paraId="61AA78E3" w14:textId="7C569242" w:rsidR="008E25A0" w:rsidRDefault="00263A5C" w:rsidP="000D2D05">
            <w:pPr>
              <w:pStyle w:val="In-tableHeading"/>
            </w:pPr>
            <w:r>
              <w:t xml:space="preserve">ALGLU, </w:t>
            </w:r>
            <w:r w:rsidR="008E25A0">
              <w:t>N = 49</w:t>
            </w:r>
          </w:p>
        </w:tc>
      </w:tr>
      <w:tr w:rsidR="008E25A0" w14:paraId="36FEEA1E" w14:textId="77777777" w:rsidTr="00D80CBB">
        <w:tc>
          <w:tcPr>
            <w:tcW w:w="2972" w:type="dxa"/>
          </w:tcPr>
          <w:p w14:paraId="3E7F6026" w14:textId="77777777" w:rsidR="008E25A0" w:rsidRDefault="008E25A0" w:rsidP="008E25A0">
            <w:pPr>
              <w:pStyle w:val="TableText0"/>
            </w:pPr>
            <w:r>
              <w:t>SF-12 PCS</w:t>
            </w:r>
          </w:p>
          <w:p w14:paraId="3764E21C" w14:textId="7752CC95" w:rsidR="008E25A0" w:rsidRDefault="3A1554EA" w:rsidP="26403EC0">
            <w:pPr>
              <w:pStyle w:val="TableText0"/>
            </w:pPr>
            <w:r w:rsidRPr="26403EC0">
              <w:t>LS Mean Change (95 %CI) to 49 wk</w:t>
            </w:r>
          </w:p>
        </w:tc>
        <w:tc>
          <w:tcPr>
            <w:tcW w:w="2977" w:type="dxa"/>
            <w:vAlign w:val="center"/>
          </w:tcPr>
          <w:p w14:paraId="34432FC1" w14:textId="605646ED" w:rsidR="008E25A0" w:rsidRPr="000543DC" w:rsidRDefault="008E25A0" w:rsidP="00636312">
            <w:pPr>
              <w:pStyle w:val="TableText0"/>
              <w:jc w:val="center"/>
              <w:rPr>
                <w:b/>
                <w:bCs/>
              </w:rPr>
            </w:pPr>
            <w:r w:rsidRPr="000543DC">
              <w:rPr>
                <w:b/>
                <w:bCs/>
              </w:rPr>
              <w:t>2.4 (0.4, 4.3)</w:t>
            </w:r>
          </w:p>
        </w:tc>
        <w:tc>
          <w:tcPr>
            <w:tcW w:w="2977" w:type="dxa"/>
            <w:vAlign w:val="center"/>
          </w:tcPr>
          <w:p w14:paraId="108BC1F4" w14:textId="6430AD44" w:rsidR="008E25A0" w:rsidRDefault="008E25A0" w:rsidP="00636312">
            <w:pPr>
              <w:pStyle w:val="TableText0"/>
              <w:jc w:val="center"/>
            </w:pPr>
            <w:r>
              <w:t>1.6 (-1.0, 3.7)</w:t>
            </w:r>
          </w:p>
        </w:tc>
      </w:tr>
      <w:tr w:rsidR="008E25A0" w14:paraId="5ECA9AA9" w14:textId="77777777" w:rsidTr="00636312">
        <w:tc>
          <w:tcPr>
            <w:tcW w:w="2972" w:type="dxa"/>
          </w:tcPr>
          <w:p w14:paraId="16A1781D" w14:textId="77777777" w:rsidR="008E25A0" w:rsidRDefault="008E25A0" w:rsidP="008E25A0">
            <w:pPr>
              <w:pStyle w:val="TableText0"/>
            </w:pPr>
            <w:r>
              <w:t>SF-12 PCS</w:t>
            </w:r>
          </w:p>
          <w:p w14:paraId="6C6853B1" w14:textId="774DBD3E" w:rsidR="008E25A0" w:rsidRDefault="008E25A0" w:rsidP="008E25A0">
            <w:pPr>
              <w:pStyle w:val="TableText0"/>
            </w:pPr>
            <w:r>
              <w:t xml:space="preserve">LS Mean Difference (95% CI) </w:t>
            </w:r>
            <w:r w:rsidR="00263A5C">
              <w:t>AVAL - ALGLU</w:t>
            </w:r>
          </w:p>
        </w:tc>
        <w:tc>
          <w:tcPr>
            <w:tcW w:w="5954" w:type="dxa"/>
            <w:gridSpan w:val="2"/>
            <w:vAlign w:val="center"/>
          </w:tcPr>
          <w:p w14:paraId="64E9728B" w14:textId="11AB1B34" w:rsidR="008E25A0" w:rsidRDefault="008E25A0" w:rsidP="00636312">
            <w:pPr>
              <w:pStyle w:val="TableText0"/>
              <w:jc w:val="center"/>
            </w:pPr>
            <w:r>
              <w:t>0.77 (-2.13, 3.67)</w:t>
            </w:r>
          </w:p>
        </w:tc>
      </w:tr>
      <w:tr w:rsidR="008E25A0" w14:paraId="480E9196" w14:textId="77777777" w:rsidTr="00D80CBB">
        <w:tc>
          <w:tcPr>
            <w:tcW w:w="2972" w:type="dxa"/>
          </w:tcPr>
          <w:p w14:paraId="3C378763" w14:textId="69242FD2" w:rsidR="008E25A0" w:rsidRDefault="008E25A0" w:rsidP="008E25A0">
            <w:pPr>
              <w:pStyle w:val="TableText0"/>
            </w:pPr>
            <w:r>
              <w:t>SF-12 MCS</w:t>
            </w:r>
          </w:p>
          <w:p w14:paraId="1D9C3664" w14:textId="3951AB72" w:rsidR="008E25A0" w:rsidRDefault="3A1554EA" w:rsidP="26403EC0">
            <w:pPr>
              <w:pStyle w:val="TableText0"/>
            </w:pPr>
            <w:r w:rsidRPr="26403EC0">
              <w:t>LS Mean Change (95 %CI) to 49 wk</w:t>
            </w:r>
          </w:p>
        </w:tc>
        <w:tc>
          <w:tcPr>
            <w:tcW w:w="2977" w:type="dxa"/>
            <w:vAlign w:val="center"/>
          </w:tcPr>
          <w:p w14:paraId="0CDF4A83" w14:textId="549F8E86" w:rsidR="008E25A0" w:rsidRPr="00AE0693" w:rsidRDefault="008E25A0" w:rsidP="00636312">
            <w:pPr>
              <w:pStyle w:val="TableFigureHeading"/>
              <w:jc w:val="center"/>
              <w:rPr>
                <w:b w:val="0"/>
                <w:bCs w:val="0"/>
              </w:rPr>
            </w:pPr>
            <w:r w:rsidRPr="00AE0693">
              <w:rPr>
                <w:b w:val="0"/>
                <w:bCs w:val="0"/>
              </w:rPr>
              <w:t>2.9 (</w:t>
            </w:r>
            <w:r w:rsidR="00AE0693" w:rsidRPr="00AE0693">
              <w:rPr>
                <w:b w:val="0"/>
                <w:bCs w:val="0"/>
              </w:rPr>
              <w:t>-1.2, 5.3)</w:t>
            </w:r>
          </w:p>
        </w:tc>
        <w:tc>
          <w:tcPr>
            <w:tcW w:w="2977" w:type="dxa"/>
            <w:vAlign w:val="center"/>
          </w:tcPr>
          <w:p w14:paraId="6D3A2F32" w14:textId="6A323CE5" w:rsidR="008E25A0" w:rsidRPr="00AE0693" w:rsidRDefault="00AE0693" w:rsidP="00636312">
            <w:pPr>
              <w:pStyle w:val="TableFigureHeading"/>
              <w:jc w:val="center"/>
              <w:rPr>
                <w:b w:val="0"/>
                <w:bCs w:val="0"/>
              </w:rPr>
            </w:pPr>
            <w:r w:rsidRPr="00AE0693">
              <w:rPr>
                <w:b w:val="0"/>
                <w:bCs w:val="0"/>
              </w:rPr>
              <w:t>0.76 (-0.73, 2.25)</w:t>
            </w:r>
          </w:p>
        </w:tc>
      </w:tr>
      <w:tr w:rsidR="008E25A0" w14:paraId="1C022F57" w14:textId="77777777" w:rsidTr="00636312">
        <w:tc>
          <w:tcPr>
            <w:tcW w:w="2972" w:type="dxa"/>
          </w:tcPr>
          <w:p w14:paraId="0D2AFD06" w14:textId="6630D51A" w:rsidR="008E25A0" w:rsidRDefault="008E25A0" w:rsidP="008E25A0">
            <w:pPr>
              <w:pStyle w:val="TableText0"/>
            </w:pPr>
            <w:r>
              <w:t>SF-12 MCS</w:t>
            </w:r>
          </w:p>
          <w:p w14:paraId="71F40E97" w14:textId="534C13C1" w:rsidR="008E25A0" w:rsidRDefault="008E25A0" w:rsidP="008E25A0">
            <w:pPr>
              <w:pStyle w:val="TableText0"/>
            </w:pPr>
            <w:r>
              <w:t xml:space="preserve">LS Mean Difference (95% CI) </w:t>
            </w:r>
            <w:r w:rsidR="00263A5C">
              <w:t>AVAL - ALGLU</w:t>
            </w:r>
          </w:p>
        </w:tc>
        <w:tc>
          <w:tcPr>
            <w:tcW w:w="5954" w:type="dxa"/>
            <w:gridSpan w:val="2"/>
            <w:vAlign w:val="center"/>
          </w:tcPr>
          <w:p w14:paraId="597F9055" w14:textId="7F62A9BD" w:rsidR="008E25A0" w:rsidRPr="00AE0693" w:rsidRDefault="00AE0693" w:rsidP="00636312">
            <w:pPr>
              <w:pStyle w:val="TableFigureHeading"/>
              <w:jc w:val="center"/>
              <w:rPr>
                <w:b w:val="0"/>
                <w:bCs w:val="0"/>
              </w:rPr>
            </w:pPr>
            <w:r w:rsidRPr="00AE0693">
              <w:rPr>
                <w:b w:val="0"/>
                <w:bCs w:val="0"/>
              </w:rPr>
              <w:t>2</w:t>
            </w:r>
            <w:r>
              <w:rPr>
                <w:b w:val="0"/>
                <w:bCs w:val="0"/>
              </w:rPr>
              <w:t>.</w:t>
            </w:r>
            <w:r w:rsidRPr="00AE0693">
              <w:rPr>
                <w:b w:val="0"/>
                <w:bCs w:val="0"/>
              </w:rPr>
              <w:t>12 (-1.46, 5.69)</w:t>
            </w:r>
          </w:p>
        </w:tc>
      </w:tr>
    </w:tbl>
    <w:p w14:paraId="0864548D" w14:textId="77777777" w:rsidR="002C72A2" w:rsidRDefault="002C72A2" w:rsidP="002C72A2">
      <w:pPr>
        <w:pStyle w:val="TableFigureFooter"/>
      </w:pPr>
      <w:r>
        <w:t>Source: PROPEL CSR, Table 26, p111; Diaz-Manera, 2021.</w:t>
      </w:r>
    </w:p>
    <w:p w14:paraId="3EDB1B6B" w14:textId="5C492E14" w:rsidR="002C72A2" w:rsidRPr="002C72A2" w:rsidRDefault="002C72A2" w:rsidP="002C72A2">
      <w:pPr>
        <w:pStyle w:val="TableFigureFooter"/>
      </w:pPr>
      <w:r>
        <w:t xml:space="preserve">CI = confidence interval; LS = least squares; PROMIS PF = </w:t>
      </w:r>
      <w:r w:rsidRPr="00605508">
        <w:t>Patient-Reported Outcomes Measurement Information System</w:t>
      </w:r>
      <w:r>
        <w:t xml:space="preserve"> Physical Function; QoL = quality of life; SD = standard deviation; SF-12 MCS = Short Form 12 item, Mental Component Summary; SF-12 PCS = Short Form 12 item, Physical Component Summary. </w:t>
      </w:r>
    </w:p>
    <w:p w14:paraId="3CE9D2D9" w14:textId="49499BC4" w:rsidR="00052DF4" w:rsidRPr="00702D1A" w:rsidRDefault="008034E2" w:rsidP="00384BC9">
      <w:pPr>
        <w:pStyle w:val="3-BodyText"/>
        <w:rPr>
          <w:color w:val="000000" w:themeColor="text1"/>
          <w:lang w:val="en-GB"/>
        </w:rPr>
      </w:pPr>
      <w:r w:rsidRPr="00702D1A">
        <w:rPr>
          <w:color w:val="000000" w:themeColor="text1"/>
          <w:lang w:val="en-GB"/>
        </w:rPr>
        <w:t>There were no clinically important changes in quality-of-life scores in either trial.</w:t>
      </w:r>
      <w:r w:rsidR="00D11C68" w:rsidRPr="00702D1A">
        <w:rPr>
          <w:color w:val="000000" w:themeColor="text1"/>
          <w:lang w:val="en-GB"/>
        </w:rPr>
        <w:t xml:space="preserve"> </w:t>
      </w:r>
      <w:r w:rsidR="00A34917" w:rsidRPr="00702D1A">
        <w:rPr>
          <w:color w:val="000000" w:themeColor="text1"/>
          <w:lang w:val="en-GB"/>
        </w:rPr>
        <w:t xml:space="preserve">This </w:t>
      </w:r>
      <w:r w:rsidR="00212EC3" w:rsidRPr="00702D1A">
        <w:rPr>
          <w:color w:val="000000" w:themeColor="text1"/>
          <w:lang w:val="en-GB"/>
        </w:rPr>
        <w:t xml:space="preserve">is </w:t>
      </w:r>
      <w:r w:rsidR="009509E4" w:rsidRPr="00702D1A">
        <w:rPr>
          <w:color w:val="000000" w:themeColor="text1"/>
          <w:lang w:val="en-GB"/>
        </w:rPr>
        <w:t>not surprising</w:t>
      </w:r>
      <w:r w:rsidR="00212EC3" w:rsidRPr="00702D1A">
        <w:rPr>
          <w:color w:val="000000" w:themeColor="text1"/>
          <w:lang w:val="en-GB"/>
        </w:rPr>
        <w:t xml:space="preserve"> given </w:t>
      </w:r>
      <w:r w:rsidR="00A34917" w:rsidRPr="00702D1A">
        <w:rPr>
          <w:color w:val="000000" w:themeColor="text1"/>
          <w:lang w:val="en-GB"/>
        </w:rPr>
        <w:t xml:space="preserve">most patients' pre-treatment scores were within or only slightly below the normal range. </w:t>
      </w:r>
    </w:p>
    <w:p w14:paraId="1E0D4604" w14:textId="60209EDF" w:rsidR="00052DF4" w:rsidRPr="00052DF4" w:rsidRDefault="00052DF4" w:rsidP="00052DF4">
      <w:pPr>
        <w:pStyle w:val="5-SubsectionSubheading"/>
        <w:rPr>
          <w:lang w:val="en-GB"/>
        </w:rPr>
      </w:pPr>
      <w:bookmarkStart w:id="32" w:name="_Toc187576332"/>
      <w:r>
        <w:rPr>
          <w:lang w:val="en-GB"/>
        </w:rPr>
        <w:t>Indirect Treatment Comparison</w:t>
      </w:r>
      <w:r w:rsidR="00033042">
        <w:rPr>
          <w:lang w:val="en-GB"/>
        </w:rPr>
        <w:t xml:space="preserve"> comparing CIPAMIG and AVAL</w:t>
      </w:r>
      <w:bookmarkEnd w:id="32"/>
    </w:p>
    <w:p w14:paraId="4CD83911" w14:textId="1A8F5478" w:rsidR="001B7A36" w:rsidRDefault="00C936FF" w:rsidP="00A20DB5">
      <w:pPr>
        <w:pStyle w:val="3-BodyText"/>
        <w:rPr>
          <w:color w:val="000000" w:themeColor="text1"/>
          <w:lang w:val="en-GB"/>
        </w:rPr>
      </w:pPr>
      <w:r>
        <w:rPr>
          <w:color w:val="000000" w:themeColor="text1"/>
          <w:lang w:val="en-GB"/>
        </w:rPr>
        <w:t>The indirect treatment comparison was a</w:t>
      </w:r>
      <w:r w:rsidR="002F1C56">
        <w:rPr>
          <w:color w:val="000000" w:themeColor="text1"/>
          <w:lang w:val="en-GB"/>
        </w:rPr>
        <w:t xml:space="preserve"> Bucher-method comparison using PROPEL and COMET with alglucosidase as the common treatment. Analyses were presented for the whole PROPEL population (76.5% ERT experienced and </w:t>
      </w:r>
      <w:r w:rsidR="001B7A36">
        <w:rPr>
          <w:color w:val="000000" w:themeColor="text1"/>
          <w:lang w:val="en-GB"/>
        </w:rPr>
        <w:t>2</w:t>
      </w:r>
      <w:r w:rsidR="002F1C56">
        <w:rPr>
          <w:color w:val="000000" w:themeColor="text1"/>
          <w:lang w:val="en-GB"/>
        </w:rPr>
        <w:t>3.5% ERT naive) versus the COMET population (100% ERT naive), and for the ERT naive patients in PROPEL vs COMET.</w:t>
      </w:r>
    </w:p>
    <w:p w14:paraId="4D5715D3" w14:textId="32E4B4C8" w:rsidR="00A05915" w:rsidRDefault="001B7A36" w:rsidP="00A20DB5">
      <w:pPr>
        <w:pStyle w:val="3-BodyText"/>
        <w:rPr>
          <w:color w:val="000000" w:themeColor="text1"/>
          <w:lang w:val="en-GB"/>
        </w:rPr>
      </w:pPr>
      <w:r>
        <w:rPr>
          <w:color w:val="000000" w:themeColor="text1"/>
          <w:lang w:val="en-GB"/>
        </w:rPr>
        <w:t>Because nearly all LOPD patients in Australia are receiving ERT</w:t>
      </w:r>
      <w:r w:rsidR="005F5DA5">
        <w:rPr>
          <w:color w:val="000000" w:themeColor="text1"/>
          <w:lang w:val="en-GB"/>
        </w:rPr>
        <w:t>,</w:t>
      </w:r>
      <w:r>
        <w:rPr>
          <w:color w:val="000000" w:themeColor="text1"/>
          <w:lang w:val="en-GB"/>
        </w:rPr>
        <w:t xml:space="preserve"> neither the treatment comparison for the populations as a whole nor that for the ERT naive PROPEL population vs COMET </w:t>
      </w:r>
      <w:r w:rsidR="00C936FF">
        <w:rPr>
          <w:color w:val="000000" w:themeColor="text1"/>
          <w:lang w:val="en-GB"/>
        </w:rPr>
        <w:t>was</w:t>
      </w:r>
      <w:r>
        <w:rPr>
          <w:color w:val="000000" w:themeColor="text1"/>
          <w:lang w:val="en-GB"/>
        </w:rPr>
        <w:t xml:space="preserve"> informative. </w:t>
      </w:r>
    </w:p>
    <w:p w14:paraId="5205F71F" w14:textId="1DCC1736" w:rsidR="003D4EC8" w:rsidRDefault="002F1C56" w:rsidP="00A20DB5">
      <w:pPr>
        <w:pStyle w:val="3-BodyText"/>
        <w:rPr>
          <w:color w:val="000000" w:themeColor="text1"/>
          <w:lang w:val="en-GB"/>
        </w:rPr>
      </w:pPr>
      <w:r>
        <w:rPr>
          <w:color w:val="000000" w:themeColor="text1"/>
          <w:lang w:val="en-GB"/>
        </w:rPr>
        <w:t xml:space="preserve">A network meta-analysis was presented (a) using data from PROPEL and COMET, and (b) including not only PROPEL and COMET but also </w:t>
      </w:r>
      <w:r w:rsidR="004A40FF">
        <w:rPr>
          <w:color w:val="000000" w:themeColor="text1"/>
          <w:lang w:val="en-GB"/>
        </w:rPr>
        <w:t>the</w:t>
      </w:r>
      <w:r>
        <w:rPr>
          <w:color w:val="000000" w:themeColor="text1"/>
          <w:lang w:val="en-GB"/>
        </w:rPr>
        <w:t xml:space="preserve"> open label extension </w:t>
      </w:r>
      <w:r w:rsidR="004A40FF">
        <w:rPr>
          <w:color w:val="000000" w:themeColor="text1"/>
          <w:lang w:val="en-GB"/>
        </w:rPr>
        <w:t>phases of PROPEL and COMET</w:t>
      </w:r>
      <w:r>
        <w:rPr>
          <w:color w:val="000000" w:themeColor="text1"/>
          <w:lang w:val="en-GB"/>
        </w:rPr>
        <w:t xml:space="preserve">. </w:t>
      </w:r>
    </w:p>
    <w:p w14:paraId="2E4842E1" w14:textId="48539C89" w:rsidR="002F1C56" w:rsidRPr="00702D1A" w:rsidRDefault="003D4EC8" w:rsidP="00A20DB5">
      <w:pPr>
        <w:pStyle w:val="3-BodyText"/>
      </w:pPr>
      <w:r w:rsidRPr="26403EC0">
        <w:t xml:space="preserve">The network meta-analysis was </w:t>
      </w:r>
      <w:r w:rsidR="004A40FF" w:rsidRPr="26403EC0">
        <w:t>funded</w:t>
      </w:r>
      <w:r w:rsidRPr="26403EC0">
        <w:t xml:space="preserve"> by </w:t>
      </w:r>
      <w:r w:rsidR="004A40FF" w:rsidRPr="26403EC0">
        <w:t xml:space="preserve">Amicus Therapeutics and five of ten authors of the published paper were employees or stockholders of Amicus, including the </w:t>
      </w:r>
      <w:r w:rsidR="00554063" w:rsidRPr="26403EC0">
        <w:t>corresponding</w:t>
      </w:r>
      <w:r w:rsidR="004A40FF" w:rsidRPr="26403EC0">
        <w:t xml:space="preserve"> author</w:t>
      </w:r>
      <w:r w:rsidR="00D017E3" w:rsidRPr="26403EC0">
        <w:t xml:space="preserve">. The authors declared that they had no </w:t>
      </w:r>
      <w:r w:rsidR="004B2FB8">
        <w:t xml:space="preserve">other </w:t>
      </w:r>
      <w:r w:rsidR="00D017E3" w:rsidRPr="26403EC0">
        <w:t>competing interests or relevant affiliations with any organization or entity with the subject matter or materials discussed in the manuscript</w:t>
      </w:r>
      <w:r w:rsidR="00554063" w:rsidRPr="26403EC0">
        <w:t>.</w:t>
      </w:r>
    </w:p>
    <w:p w14:paraId="23C668CA" w14:textId="66C9E213" w:rsidR="00123087" w:rsidRDefault="000B0074" w:rsidP="00A20DB5">
      <w:pPr>
        <w:pStyle w:val="3-BodyText"/>
        <w:rPr>
          <w:color w:val="000000" w:themeColor="text1"/>
        </w:rPr>
      </w:pPr>
      <w:r w:rsidRPr="26403EC0">
        <w:rPr>
          <w:color w:val="000000" w:themeColor="text1"/>
        </w:rPr>
        <w:t>The study propose</w:t>
      </w:r>
      <w:r w:rsidR="002F1C56" w:rsidRPr="26403EC0">
        <w:rPr>
          <w:color w:val="000000" w:themeColor="text1"/>
        </w:rPr>
        <w:t>d</w:t>
      </w:r>
      <w:r w:rsidRPr="26403EC0">
        <w:rPr>
          <w:color w:val="000000" w:themeColor="text1"/>
        </w:rPr>
        <w:t xml:space="preserve"> a non-inferiority margin for </w:t>
      </w:r>
      <w:r w:rsidR="0051298E" w:rsidRPr="26403EC0">
        <w:rPr>
          <w:color w:val="000000" w:themeColor="text1"/>
        </w:rPr>
        <w:t xml:space="preserve">the Bucher indirect treatment comparison </w:t>
      </w:r>
      <w:r w:rsidRPr="26403EC0">
        <w:rPr>
          <w:color w:val="000000" w:themeColor="text1"/>
        </w:rPr>
        <w:t>% predicted FVC of -1.1</w:t>
      </w:r>
      <w:r w:rsidR="0051298E" w:rsidRPr="26403EC0">
        <w:rPr>
          <w:color w:val="000000" w:themeColor="text1"/>
        </w:rPr>
        <w:t xml:space="preserve"> (</w:t>
      </w:r>
      <w:r w:rsidR="00263A5C" w:rsidRPr="26403EC0">
        <w:rPr>
          <w:color w:val="000000" w:themeColor="text1"/>
        </w:rPr>
        <w:t>CIPAMIG - AVAL</w:t>
      </w:r>
      <w:r w:rsidR="0051298E" w:rsidRPr="26403EC0">
        <w:rPr>
          <w:color w:val="000000" w:themeColor="text1"/>
        </w:rPr>
        <w:t>). This was</w:t>
      </w:r>
      <w:r w:rsidR="00110C51" w:rsidRPr="26403EC0">
        <w:rPr>
          <w:color w:val="000000" w:themeColor="text1"/>
        </w:rPr>
        <w:t xml:space="preserve"> </w:t>
      </w:r>
      <w:r w:rsidR="00123087" w:rsidRPr="26403EC0">
        <w:rPr>
          <w:color w:val="000000" w:themeColor="text1"/>
        </w:rPr>
        <w:t xml:space="preserve">the margin used in the COMET trial, which </w:t>
      </w:r>
      <w:r w:rsidR="00110C51" w:rsidRPr="26403EC0">
        <w:rPr>
          <w:color w:val="000000" w:themeColor="text1"/>
        </w:rPr>
        <w:t>PBAC consider</w:t>
      </w:r>
      <w:r w:rsidR="00123087" w:rsidRPr="26403EC0">
        <w:rPr>
          <w:color w:val="000000" w:themeColor="text1"/>
        </w:rPr>
        <w:t>ed in relation to the proposed listing of</w:t>
      </w:r>
      <w:r w:rsidR="00110C51" w:rsidRPr="26403EC0">
        <w:rPr>
          <w:color w:val="000000" w:themeColor="text1"/>
        </w:rPr>
        <w:t xml:space="preserve"> </w:t>
      </w:r>
      <w:r w:rsidR="00263A5C" w:rsidRPr="26403EC0">
        <w:rPr>
          <w:color w:val="000000" w:themeColor="text1"/>
        </w:rPr>
        <w:t>AVAL</w:t>
      </w:r>
      <w:r w:rsidRPr="26403EC0">
        <w:rPr>
          <w:color w:val="000000" w:themeColor="text1"/>
        </w:rPr>
        <w:t xml:space="preserve">. </w:t>
      </w:r>
      <w:r w:rsidR="00384BC9" w:rsidRPr="26403EC0">
        <w:rPr>
          <w:color w:val="000000" w:themeColor="text1"/>
        </w:rPr>
        <w:t xml:space="preserve">That margin was </w:t>
      </w:r>
      <w:r w:rsidR="0051298E" w:rsidRPr="26403EC0">
        <w:rPr>
          <w:color w:val="000000" w:themeColor="text1"/>
        </w:rPr>
        <w:t xml:space="preserve">in turn </w:t>
      </w:r>
      <w:r w:rsidR="00384BC9" w:rsidRPr="26403EC0">
        <w:rPr>
          <w:color w:val="000000" w:themeColor="text1"/>
        </w:rPr>
        <w:t xml:space="preserve">based on the placebo-controlled trial of </w:t>
      </w:r>
      <w:r w:rsidR="00263A5C" w:rsidRPr="26403EC0">
        <w:rPr>
          <w:color w:val="000000" w:themeColor="text1"/>
        </w:rPr>
        <w:t>ALGLU</w:t>
      </w:r>
      <w:r w:rsidR="00384BC9" w:rsidRPr="26403EC0">
        <w:rPr>
          <w:color w:val="000000" w:themeColor="text1"/>
        </w:rPr>
        <w:t>,</w:t>
      </w:r>
      <w:r w:rsidR="00A05915" w:rsidRPr="26403EC0">
        <w:rPr>
          <w:color w:val="000000" w:themeColor="text1"/>
          <w:vertAlign w:val="superscript"/>
        </w:rPr>
        <w:t>4</w:t>
      </w:r>
      <w:r w:rsidR="00384BC9" w:rsidRPr="26403EC0">
        <w:rPr>
          <w:color w:val="000000" w:themeColor="text1"/>
        </w:rPr>
        <w:t xml:space="preserve"> being "approximately 50% of the lower bound of the 80% confidence interval for the alglucosidase alfa versus placebo treatment effect"</w:t>
      </w:r>
      <w:r w:rsidR="008F206E" w:rsidRPr="26403EC0">
        <w:rPr>
          <w:color w:val="000000" w:themeColor="text1"/>
        </w:rPr>
        <w:t xml:space="preserve"> (</w:t>
      </w:r>
      <w:r w:rsidR="00F06980" w:rsidRPr="26403EC0">
        <w:rPr>
          <w:color w:val="000000" w:themeColor="text1"/>
        </w:rPr>
        <w:t>COMET</w:t>
      </w:r>
      <w:r w:rsidR="008F206E" w:rsidRPr="26403EC0">
        <w:rPr>
          <w:color w:val="000000" w:themeColor="text1"/>
        </w:rPr>
        <w:t xml:space="preserve"> Protocol, p112)</w:t>
      </w:r>
      <w:r w:rsidR="00384BC9" w:rsidRPr="26403EC0">
        <w:rPr>
          <w:color w:val="000000" w:themeColor="text1"/>
        </w:rPr>
        <w:t>.</w:t>
      </w:r>
      <w:r w:rsidR="00CD7235" w:rsidRPr="26403EC0">
        <w:rPr>
          <w:color w:val="000000" w:themeColor="text1"/>
        </w:rPr>
        <w:t xml:space="preserve"> </w:t>
      </w:r>
      <w:r w:rsidR="00384BC9" w:rsidRPr="26403EC0">
        <w:rPr>
          <w:color w:val="000000" w:themeColor="text1"/>
        </w:rPr>
        <w:t xml:space="preserve"> </w:t>
      </w:r>
    </w:p>
    <w:p w14:paraId="4CAA827F" w14:textId="48E30D7A" w:rsidR="00554BAB" w:rsidRPr="00702D1A" w:rsidRDefault="46209C98" w:rsidP="00A20DB5">
      <w:pPr>
        <w:pStyle w:val="3-BodyText"/>
        <w:rPr>
          <w:color w:val="000000" w:themeColor="text1"/>
          <w:lang w:val="en-GB"/>
        </w:rPr>
      </w:pPr>
      <w:r w:rsidRPr="0211DC3E">
        <w:rPr>
          <w:color w:val="000000" w:themeColor="text1"/>
          <w:lang w:val="en-GB"/>
        </w:rPr>
        <w:t>Th</w:t>
      </w:r>
      <w:r w:rsidR="1FF9689F" w:rsidRPr="0211DC3E">
        <w:rPr>
          <w:color w:val="000000" w:themeColor="text1"/>
          <w:lang w:val="en-GB"/>
        </w:rPr>
        <w:t>is</w:t>
      </w:r>
      <w:r w:rsidRPr="0211DC3E">
        <w:rPr>
          <w:color w:val="000000" w:themeColor="text1"/>
          <w:lang w:val="en-GB"/>
        </w:rPr>
        <w:t xml:space="preserve"> proposed non-inferiority margin is </w:t>
      </w:r>
      <w:r w:rsidR="4382BBA9" w:rsidRPr="0211DC3E">
        <w:rPr>
          <w:color w:val="000000" w:themeColor="text1"/>
          <w:lang w:val="en-GB"/>
        </w:rPr>
        <w:t xml:space="preserve">approximately </w:t>
      </w:r>
      <w:r w:rsidR="7F02FE95" w:rsidRPr="0211DC3E">
        <w:rPr>
          <w:color w:val="000000" w:themeColor="text1"/>
          <w:lang w:val="en-GB"/>
        </w:rPr>
        <w:t>40% of</w:t>
      </w:r>
      <w:r w:rsidRPr="0211DC3E">
        <w:rPr>
          <w:color w:val="000000" w:themeColor="text1"/>
          <w:lang w:val="en-GB"/>
        </w:rPr>
        <w:t xml:space="preserve"> the treatment effect</w:t>
      </w:r>
      <w:r w:rsidR="50B411D5" w:rsidRPr="0211DC3E">
        <w:rPr>
          <w:color w:val="000000" w:themeColor="text1"/>
          <w:lang w:val="en-GB"/>
        </w:rPr>
        <w:t>s</w:t>
      </w:r>
      <w:r w:rsidRPr="0211DC3E">
        <w:rPr>
          <w:color w:val="000000" w:themeColor="text1"/>
          <w:lang w:val="en-GB"/>
        </w:rPr>
        <w:t xml:space="preserve"> in </w:t>
      </w:r>
      <w:r w:rsidR="7F02FE95" w:rsidRPr="0211DC3E">
        <w:rPr>
          <w:color w:val="000000" w:themeColor="text1"/>
          <w:lang w:val="en-GB"/>
        </w:rPr>
        <w:t>the PROPEL (2.7) and COMET (2.4) trials. The 95% CI for the effect</w:t>
      </w:r>
      <w:r w:rsidR="1FF9689F" w:rsidRPr="0211DC3E">
        <w:rPr>
          <w:color w:val="000000" w:themeColor="text1"/>
          <w:lang w:val="en-GB"/>
        </w:rPr>
        <w:t>s</w:t>
      </w:r>
      <w:r w:rsidR="7F02FE95" w:rsidRPr="0211DC3E">
        <w:rPr>
          <w:color w:val="000000" w:themeColor="text1"/>
          <w:lang w:val="en-GB"/>
        </w:rPr>
        <w:t xml:space="preserve"> in PROPEL and COMET were, approximately, zero to </w:t>
      </w:r>
      <w:r w:rsidR="49D76B06" w:rsidRPr="0211DC3E">
        <w:rPr>
          <w:color w:val="000000" w:themeColor="text1"/>
          <w:lang w:val="en-GB"/>
        </w:rPr>
        <w:t>5</w:t>
      </w:r>
      <w:r w:rsidR="7F02FE95" w:rsidRPr="0211DC3E">
        <w:rPr>
          <w:color w:val="000000" w:themeColor="text1"/>
          <w:lang w:val="en-GB"/>
        </w:rPr>
        <w:t xml:space="preserve">. </w:t>
      </w:r>
      <w:r w:rsidR="126454EC" w:rsidRPr="0211DC3E">
        <w:rPr>
          <w:color w:val="000000" w:themeColor="text1"/>
          <w:lang w:val="en-GB"/>
        </w:rPr>
        <w:t>I</w:t>
      </w:r>
      <w:r w:rsidR="7F02FE95" w:rsidRPr="0211DC3E">
        <w:rPr>
          <w:color w:val="000000" w:themeColor="text1"/>
          <w:lang w:val="en-GB"/>
        </w:rPr>
        <w:t xml:space="preserve">t is difficult for the non-inferiority criterion for </w:t>
      </w:r>
      <w:r w:rsidR="3CFC1A22" w:rsidRPr="0211DC3E">
        <w:rPr>
          <w:color w:val="000000" w:themeColor="text1"/>
          <w:lang w:val="en-GB"/>
        </w:rPr>
        <w:t>CIPAMIG</w:t>
      </w:r>
      <w:r w:rsidR="7F02FE95" w:rsidRPr="0211DC3E">
        <w:rPr>
          <w:color w:val="000000" w:themeColor="text1"/>
          <w:lang w:val="en-GB"/>
        </w:rPr>
        <w:t xml:space="preserve"> vs </w:t>
      </w:r>
      <w:r w:rsidR="3CFC1A22" w:rsidRPr="0211DC3E">
        <w:rPr>
          <w:color w:val="000000" w:themeColor="text1"/>
          <w:lang w:val="en-GB"/>
        </w:rPr>
        <w:t>AVAL</w:t>
      </w:r>
      <w:r w:rsidR="7F02FE95" w:rsidRPr="0211DC3E">
        <w:rPr>
          <w:color w:val="000000" w:themeColor="text1"/>
          <w:lang w:val="en-GB"/>
        </w:rPr>
        <w:t xml:space="preserve"> not to be met, </w:t>
      </w:r>
      <w:r w:rsidR="00184A8D">
        <w:rPr>
          <w:color w:val="000000" w:themeColor="text1"/>
          <w:lang w:val="en-GB"/>
        </w:rPr>
        <w:t>which would mean</w:t>
      </w:r>
      <w:r w:rsidR="00601A82" w:rsidRPr="0211DC3E">
        <w:rPr>
          <w:color w:val="000000" w:themeColor="text1"/>
          <w:lang w:val="en-GB"/>
        </w:rPr>
        <w:t xml:space="preserve"> </w:t>
      </w:r>
      <w:r w:rsidR="7F02FE95" w:rsidRPr="0211DC3E">
        <w:rPr>
          <w:color w:val="000000" w:themeColor="text1"/>
          <w:lang w:val="en-GB"/>
        </w:rPr>
        <w:t xml:space="preserve">meeting the non-inferiority criterion would be consistent with </w:t>
      </w:r>
      <w:r w:rsidR="3CFC1A22" w:rsidRPr="0211DC3E">
        <w:rPr>
          <w:color w:val="000000" w:themeColor="text1"/>
          <w:lang w:val="en-GB"/>
        </w:rPr>
        <w:t>CIPAMIG</w:t>
      </w:r>
      <w:r w:rsidR="7F02FE95" w:rsidRPr="0211DC3E">
        <w:rPr>
          <w:color w:val="000000" w:themeColor="text1"/>
          <w:lang w:val="en-GB"/>
        </w:rPr>
        <w:t xml:space="preserve"> being inferior to placebo. </w:t>
      </w:r>
    </w:p>
    <w:p w14:paraId="2809CE70" w14:textId="3D854189" w:rsidR="00B870F5" w:rsidRPr="00702D1A" w:rsidRDefault="00B870F5" w:rsidP="00A20DB5">
      <w:pPr>
        <w:pStyle w:val="3-BodyText"/>
        <w:rPr>
          <w:color w:val="000000" w:themeColor="text1"/>
          <w:lang w:val="en-GB"/>
        </w:rPr>
      </w:pPr>
      <w:r w:rsidRPr="00702D1A">
        <w:rPr>
          <w:color w:val="000000" w:themeColor="text1"/>
          <w:lang w:val="en-GB"/>
        </w:rPr>
        <w:t xml:space="preserve">Further, effect sizes for % predicted FVC </w:t>
      </w:r>
      <w:r w:rsidR="0051298E" w:rsidRPr="00702D1A">
        <w:rPr>
          <w:color w:val="000000" w:themeColor="text1"/>
          <w:lang w:val="en-GB"/>
        </w:rPr>
        <w:t xml:space="preserve">of around 3 </w:t>
      </w:r>
      <w:r w:rsidRPr="00702D1A">
        <w:rPr>
          <w:color w:val="000000" w:themeColor="text1"/>
          <w:lang w:val="en-GB"/>
        </w:rPr>
        <w:t xml:space="preserve">appear to be associated with large mortality benefits, and a treatment with </w:t>
      </w:r>
      <w:r w:rsidR="004F5AF1" w:rsidRPr="00702D1A">
        <w:rPr>
          <w:color w:val="000000" w:themeColor="text1"/>
          <w:lang w:val="en-GB"/>
        </w:rPr>
        <w:t>30-4</w:t>
      </w:r>
      <w:r w:rsidRPr="00702D1A">
        <w:rPr>
          <w:color w:val="000000" w:themeColor="text1"/>
          <w:lang w:val="en-GB"/>
        </w:rPr>
        <w:t xml:space="preserve">0% less effect on mortality </w:t>
      </w:r>
      <w:r w:rsidR="00634FEE" w:rsidRPr="00702D1A">
        <w:rPr>
          <w:color w:val="000000" w:themeColor="text1"/>
          <w:lang w:val="en-GB"/>
        </w:rPr>
        <w:t>c</w:t>
      </w:r>
      <w:r w:rsidRPr="00702D1A">
        <w:rPr>
          <w:color w:val="000000" w:themeColor="text1"/>
          <w:lang w:val="en-GB"/>
        </w:rPr>
        <w:t>ould not</w:t>
      </w:r>
      <w:r w:rsidR="00634FEE" w:rsidRPr="00702D1A">
        <w:rPr>
          <w:color w:val="000000" w:themeColor="text1"/>
          <w:lang w:val="en-GB"/>
        </w:rPr>
        <w:t xml:space="preserve"> reasonably </w:t>
      </w:r>
      <w:r w:rsidRPr="00702D1A">
        <w:rPr>
          <w:color w:val="000000" w:themeColor="text1"/>
          <w:lang w:val="en-GB"/>
        </w:rPr>
        <w:t xml:space="preserve">be </w:t>
      </w:r>
      <w:r w:rsidR="002F1C56" w:rsidRPr="00702D1A">
        <w:rPr>
          <w:color w:val="000000" w:themeColor="text1"/>
          <w:lang w:val="en-GB"/>
        </w:rPr>
        <w:t xml:space="preserve">considered </w:t>
      </w:r>
      <w:r w:rsidRPr="00702D1A">
        <w:rPr>
          <w:color w:val="000000" w:themeColor="text1"/>
          <w:lang w:val="en-GB"/>
        </w:rPr>
        <w:t xml:space="preserve">clinically equivalent. </w:t>
      </w:r>
    </w:p>
    <w:p w14:paraId="0FDDAF9E" w14:textId="6DEE3AFD" w:rsidR="002C72A2" w:rsidRDefault="000B0074" w:rsidP="26403EC0">
      <w:pPr>
        <w:pStyle w:val="3-BodyText"/>
        <w:rPr>
          <w:color w:val="000000" w:themeColor="text1"/>
        </w:rPr>
      </w:pPr>
      <w:r w:rsidRPr="26403EC0">
        <w:rPr>
          <w:color w:val="000000" w:themeColor="text1"/>
        </w:rPr>
        <w:t>The s</w:t>
      </w:r>
      <w:r w:rsidR="0051298E" w:rsidRPr="26403EC0">
        <w:rPr>
          <w:color w:val="000000" w:themeColor="text1"/>
        </w:rPr>
        <w:t>ubmission</w:t>
      </w:r>
      <w:r w:rsidRPr="26403EC0">
        <w:rPr>
          <w:color w:val="000000" w:themeColor="text1"/>
        </w:rPr>
        <w:t xml:space="preserve"> suggest</w:t>
      </w:r>
      <w:r w:rsidR="0051298E" w:rsidRPr="26403EC0">
        <w:rPr>
          <w:color w:val="000000" w:themeColor="text1"/>
        </w:rPr>
        <w:t>ed</w:t>
      </w:r>
      <w:r w:rsidRPr="26403EC0">
        <w:rPr>
          <w:color w:val="000000" w:themeColor="text1"/>
        </w:rPr>
        <w:t xml:space="preserve"> a non-inferiority margin for 6MWD of 57.2 m</w:t>
      </w:r>
      <w:r w:rsidR="0051298E" w:rsidRPr="26403EC0">
        <w:rPr>
          <w:color w:val="000000" w:themeColor="text1"/>
        </w:rPr>
        <w:t>, based on the analysis of the PROPEL data by Claeys, 2024</w:t>
      </w:r>
      <w:r w:rsidR="00B870F5" w:rsidRPr="26403EC0">
        <w:rPr>
          <w:color w:val="000000" w:themeColor="text1"/>
        </w:rPr>
        <w:t>.</w:t>
      </w:r>
      <w:r w:rsidRPr="26403EC0">
        <w:rPr>
          <w:color w:val="000000" w:themeColor="text1"/>
        </w:rPr>
        <w:t xml:space="preserve"> </w:t>
      </w:r>
      <w:r w:rsidR="000543DC" w:rsidRPr="00660928">
        <w:rPr>
          <w:iCs/>
          <w:color w:val="000000" w:themeColor="text1"/>
        </w:rPr>
        <w:t>T</w:t>
      </w:r>
      <w:r w:rsidR="000543DC" w:rsidRPr="26403EC0">
        <w:rPr>
          <w:color w:val="000000" w:themeColor="text1"/>
        </w:rPr>
        <w:t>his is too large</w:t>
      </w:r>
      <w:r w:rsidR="00B870F5" w:rsidRPr="26403EC0">
        <w:rPr>
          <w:color w:val="000000" w:themeColor="text1"/>
        </w:rPr>
        <w:t xml:space="preserve">, </w:t>
      </w:r>
      <w:r w:rsidR="000A614E" w:rsidRPr="26403EC0">
        <w:rPr>
          <w:color w:val="000000" w:themeColor="text1"/>
        </w:rPr>
        <w:t>as</w:t>
      </w:r>
      <w:r w:rsidR="00B870F5" w:rsidRPr="26403EC0">
        <w:rPr>
          <w:color w:val="000000" w:themeColor="text1"/>
        </w:rPr>
        <w:t xml:space="preserve"> it is </w:t>
      </w:r>
      <w:r w:rsidR="007A60D2" w:rsidRPr="26403EC0">
        <w:rPr>
          <w:color w:val="000000" w:themeColor="text1"/>
        </w:rPr>
        <w:t xml:space="preserve">2 </w:t>
      </w:r>
      <w:r w:rsidR="00B870F5" w:rsidRPr="26403EC0">
        <w:rPr>
          <w:color w:val="000000" w:themeColor="text1"/>
        </w:rPr>
        <w:t xml:space="preserve">to </w:t>
      </w:r>
      <w:r w:rsidR="007A60D2" w:rsidRPr="26403EC0">
        <w:rPr>
          <w:color w:val="000000" w:themeColor="text1"/>
        </w:rPr>
        <w:t xml:space="preserve">3 </w:t>
      </w:r>
      <w:r w:rsidR="00B870F5" w:rsidRPr="26403EC0">
        <w:rPr>
          <w:color w:val="000000" w:themeColor="text1"/>
        </w:rPr>
        <w:t xml:space="preserve">times the </w:t>
      </w:r>
      <w:r w:rsidR="0051298E" w:rsidRPr="26403EC0">
        <w:rPr>
          <w:color w:val="000000" w:themeColor="text1"/>
        </w:rPr>
        <w:t xml:space="preserve">best supported </w:t>
      </w:r>
      <w:r w:rsidR="00B870F5" w:rsidRPr="26403EC0">
        <w:rPr>
          <w:color w:val="000000" w:themeColor="text1"/>
        </w:rPr>
        <w:t>MCID</w:t>
      </w:r>
      <w:r w:rsidR="0051298E" w:rsidRPr="26403EC0">
        <w:rPr>
          <w:color w:val="000000" w:themeColor="text1"/>
        </w:rPr>
        <w:t xml:space="preserve"> from the same analysis</w:t>
      </w:r>
      <w:r w:rsidR="00B870F5" w:rsidRPr="26403EC0">
        <w:rPr>
          <w:color w:val="000000" w:themeColor="text1"/>
        </w:rPr>
        <w:t>.</w:t>
      </w:r>
      <w:r w:rsidR="0051298E" w:rsidRPr="26403EC0">
        <w:rPr>
          <w:color w:val="000000" w:themeColor="text1"/>
        </w:rPr>
        <w:t xml:space="preserve"> </w:t>
      </w:r>
      <w:r w:rsidR="00B870F5" w:rsidRPr="26403EC0">
        <w:rPr>
          <w:color w:val="000000" w:themeColor="text1"/>
        </w:rPr>
        <w:t xml:space="preserve"> </w:t>
      </w:r>
    </w:p>
    <w:p w14:paraId="367E3546" w14:textId="7344D2DC" w:rsidR="004F5AF1" w:rsidRDefault="004F5AF1" w:rsidP="00EC5836">
      <w:pPr>
        <w:pStyle w:val="3-BodyText"/>
        <w:rPr>
          <w:color w:val="000000" w:themeColor="text1"/>
        </w:rPr>
      </w:pPr>
      <w:r>
        <w:rPr>
          <w:color w:val="000000" w:themeColor="text1"/>
        </w:rPr>
        <w:t>Results of the indirect treatment comparison are shown in</w:t>
      </w:r>
      <w:r w:rsidR="00C936FF">
        <w:rPr>
          <w:color w:val="000000" w:themeColor="text1"/>
        </w:rPr>
        <w:t xml:space="preserve"> </w:t>
      </w:r>
      <w:r w:rsidR="00C936FF">
        <w:rPr>
          <w:color w:val="000000" w:themeColor="text1"/>
        </w:rPr>
        <w:fldChar w:fldCharType="begin"/>
      </w:r>
      <w:r w:rsidR="00C936FF">
        <w:rPr>
          <w:color w:val="000000" w:themeColor="text1"/>
        </w:rPr>
        <w:instrText xml:space="preserve"> REF _Ref184130896 \h </w:instrText>
      </w:r>
      <w:r w:rsidR="00C936FF">
        <w:rPr>
          <w:color w:val="000000" w:themeColor="text1"/>
        </w:rPr>
      </w:r>
      <w:r w:rsidR="00C936FF">
        <w:rPr>
          <w:color w:val="000000" w:themeColor="text1"/>
        </w:rPr>
        <w:fldChar w:fldCharType="separate"/>
      </w:r>
      <w:r w:rsidR="007A62D0">
        <w:t xml:space="preserve">Table </w:t>
      </w:r>
      <w:r w:rsidR="007A62D0">
        <w:rPr>
          <w:noProof/>
        </w:rPr>
        <w:t>8</w:t>
      </w:r>
      <w:r w:rsidR="00C936FF">
        <w:rPr>
          <w:color w:val="000000" w:themeColor="text1"/>
        </w:rPr>
        <w:fldChar w:fldCharType="end"/>
      </w:r>
      <w:r>
        <w:rPr>
          <w:color w:val="000000" w:themeColor="text1"/>
        </w:rPr>
        <w:t xml:space="preserve">. </w:t>
      </w:r>
    </w:p>
    <w:p w14:paraId="3C3AB94F" w14:textId="35288604" w:rsidR="004F5AF1" w:rsidRDefault="00C936FF" w:rsidP="00C936FF">
      <w:pPr>
        <w:pStyle w:val="Caption"/>
      </w:pPr>
      <w:bookmarkStart w:id="33" w:name="_Ref184130896"/>
      <w:r>
        <w:t xml:space="preserve">Table </w:t>
      </w:r>
      <w:r w:rsidR="005C2AA5">
        <w:fldChar w:fldCharType="begin"/>
      </w:r>
      <w:r w:rsidR="005C2AA5">
        <w:instrText xml:space="preserve"> SEQ Table \* ARABIC </w:instrText>
      </w:r>
      <w:r w:rsidR="005C2AA5">
        <w:fldChar w:fldCharType="separate"/>
      </w:r>
      <w:r w:rsidR="007A62D0">
        <w:rPr>
          <w:noProof/>
        </w:rPr>
        <w:t>8</w:t>
      </w:r>
      <w:r w:rsidR="005C2AA5">
        <w:rPr>
          <w:noProof/>
        </w:rPr>
        <w:fldChar w:fldCharType="end"/>
      </w:r>
      <w:bookmarkEnd w:id="33"/>
      <w:r w:rsidR="004F5AF1">
        <w:t>: Results of the indirect treatment comparison for 6MWD and % predicted FVC</w:t>
      </w:r>
    </w:p>
    <w:tbl>
      <w:tblPr>
        <w:tblStyle w:val="TableGrid"/>
        <w:tblW w:w="0" w:type="auto"/>
        <w:tblLook w:val="04A0" w:firstRow="1" w:lastRow="0" w:firstColumn="1" w:lastColumn="0" w:noHBand="0" w:noVBand="1"/>
        <w:tblCaption w:val="Table 8: Results of the indirect treatment comparison for 6MWD and % predicted FVC"/>
      </w:tblPr>
      <w:tblGrid>
        <w:gridCol w:w="1102"/>
        <w:gridCol w:w="1113"/>
        <w:gridCol w:w="1118"/>
        <w:gridCol w:w="1124"/>
        <w:gridCol w:w="1110"/>
        <w:gridCol w:w="1107"/>
        <w:gridCol w:w="1124"/>
        <w:gridCol w:w="1219"/>
      </w:tblGrid>
      <w:tr w:rsidR="004F5AF1" w14:paraId="52C1DEE8" w14:textId="77777777" w:rsidTr="26403EC0">
        <w:tc>
          <w:tcPr>
            <w:tcW w:w="1102" w:type="dxa"/>
          </w:tcPr>
          <w:p w14:paraId="6A9B9AB9" w14:textId="77777777" w:rsidR="004F5AF1" w:rsidRDefault="004F5AF1" w:rsidP="004F5AF1">
            <w:pPr>
              <w:pStyle w:val="TableFigureHeading"/>
            </w:pPr>
          </w:p>
        </w:tc>
        <w:tc>
          <w:tcPr>
            <w:tcW w:w="3355" w:type="dxa"/>
            <w:gridSpan w:val="3"/>
          </w:tcPr>
          <w:p w14:paraId="0A26B438" w14:textId="6C6A07EB" w:rsidR="004F5AF1" w:rsidRDefault="004F5AF1" w:rsidP="004F5AF1">
            <w:pPr>
              <w:pStyle w:val="TableFigureHeading"/>
            </w:pPr>
            <w:r>
              <w:t>PROPEL</w:t>
            </w:r>
          </w:p>
        </w:tc>
        <w:tc>
          <w:tcPr>
            <w:tcW w:w="3341" w:type="dxa"/>
            <w:gridSpan w:val="3"/>
          </w:tcPr>
          <w:p w14:paraId="62EF9B91" w14:textId="2B435065" w:rsidR="004F5AF1" w:rsidRDefault="004F5AF1" w:rsidP="004F5AF1">
            <w:pPr>
              <w:pStyle w:val="TableFigureHeading"/>
            </w:pPr>
            <w:r>
              <w:t>COMET</w:t>
            </w:r>
          </w:p>
        </w:tc>
        <w:tc>
          <w:tcPr>
            <w:tcW w:w="1219" w:type="dxa"/>
            <w:vMerge w:val="restart"/>
          </w:tcPr>
          <w:p w14:paraId="1D2FEDC8" w14:textId="582253C8" w:rsidR="004F5AF1" w:rsidRDefault="004F5AF1" w:rsidP="004F5AF1">
            <w:pPr>
              <w:pStyle w:val="TableFigureHeading"/>
            </w:pPr>
            <w:r>
              <w:t>Indirect Comparison</w:t>
            </w:r>
            <w:r w:rsidR="002737E9">
              <w:t xml:space="preserve"> (95% CI)</w:t>
            </w:r>
            <w:r>
              <w:t>,</w:t>
            </w:r>
            <w:r w:rsidR="002737E9">
              <w:t xml:space="preserve"> CIPA</w:t>
            </w:r>
            <w:r w:rsidR="00201E77">
              <w:t>MIG</w:t>
            </w:r>
            <w:r w:rsidR="002737E9">
              <w:t xml:space="preserve"> - AVAL</w:t>
            </w:r>
            <w:r>
              <w:t xml:space="preserve"> </w:t>
            </w:r>
          </w:p>
        </w:tc>
      </w:tr>
      <w:tr w:rsidR="004F5AF1" w14:paraId="35799A2D" w14:textId="77777777" w:rsidTr="26403EC0">
        <w:tc>
          <w:tcPr>
            <w:tcW w:w="1102" w:type="dxa"/>
          </w:tcPr>
          <w:p w14:paraId="72914E88" w14:textId="77777777" w:rsidR="004F5AF1" w:rsidRDefault="004F5AF1" w:rsidP="004F5AF1">
            <w:pPr>
              <w:pStyle w:val="TableFigureHeading"/>
            </w:pPr>
          </w:p>
        </w:tc>
        <w:tc>
          <w:tcPr>
            <w:tcW w:w="2231" w:type="dxa"/>
            <w:gridSpan w:val="2"/>
          </w:tcPr>
          <w:p w14:paraId="578A6B17" w14:textId="0823C667" w:rsidR="004F5AF1" w:rsidRDefault="004F5AF1" w:rsidP="004F5AF1">
            <w:pPr>
              <w:pStyle w:val="TableFigureHeading"/>
            </w:pPr>
            <w:r w:rsidRPr="26403EC0">
              <w:t>6MWD, meters, mean change from baseline to 52 wk (SD)</w:t>
            </w:r>
          </w:p>
        </w:tc>
        <w:tc>
          <w:tcPr>
            <w:tcW w:w="1124" w:type="dxa"/>
          </w:tcPr>
          <w:p w14:paraId="743B3442" w14:textId="78D64FFC" w:rsidR="004F5AF1" w:rsidRDefault="004F5AF1" w:rsidP="004F5AF1">
            <w:pPr>
              <w:pStyle w:val="TableFigureHeading"/>
            </w:pPr>
            <w:r>
              <w:t>Difference</w:t>
            </w:r>
            <w:r w:rsidR="002737E9">
              <w:t xml:space="preserve"> (95% CI)</w:t>
            </w:r>
            <w:r>
              <w:t xml:space="preserve"> </w:t>
            </w:r>
          </w:p>
        </w:tc>
        <w:tc>
          <w:tcPr>
            <w:tcW w:w="2217" w:type="dxa"/>
            <w:gridSpan w:val="2"/>
          </w:tcPr>
          <w:p w14:paraId="1AC36DFB" w14:textId="01446A1B" w:rsidR="004F5AF1" w:rsidRDefault="004F5AF1" w:rsidP="004F5AF1">
            <w:pPr>
              <w:pStyle w:val="TableFigureHeading"/>
            </w:pPr>
            <w:r w:rsidRPr="26403EC0">
              <w:t>6MWD, meters, mean change from baseline to 49 wk (S</w:t>
            </w:r>
            <w:r w:rsidR="2F98912D" w:rsidRPr="26403EC0">
              <w:t>EM</w:t>
            </w:r>
            <w:r w:rsidRPr="26403EC0">
              <w:t>)</w:t>
            </w:r>
          </w:p>
        </w:tc>
        <w:tc>
          <w:tcPr>
            <w:tcW w:w="1124" w:type="dxa"/>
          </w:tcPr>
          <w:p w14:paraId="565EEBFB" w14:textId="135D4FEE" w:rsidR="004F5AF1" w:rsidRDefault="004F5AF1" w:rsidP="004F5AF1">
            <w:pPr>
              <w:pStyle w:val="TableFigureHeading"/>
            </w:pPr>
            <w:r>
              <w:t>Difference</w:t>
            </w:r>
            <w:r w:rsidR="002737E9">
              <w:t xml:space="preserve"> (95% CI)</w:t>
            </w:r>
            <w:r>
              <w:t xml:space="preserve"> </w:t>
            </w:r>
          </w:p>
        </w:tc>
        <w:tc>
          <w:tcPr>
            <w:tcW w:w="1219" w:type="dxa"/>
            <w:vMerge/>
          </w:tcPr>
          <w:p w14:paraId="128FE60F" w14:textId="77777777" w:rsidR="004F5AF1" w:rsidRDefault="004F5AF1" w:rsidP="004F5AF1">
            <w:pPr>
              <w:pStyle w:val="TableFigureHeading"/>
            </w:pPr>
          </w:p>
        </w:tc>
      </w:tr>
      <w:tr w:rsidR="002737E9" w14:paraId="2E201665" w14:textId="77777777" w:rsidTr="26403EC0">
        <w:tc>
          <w:tcPr>
            <w:tcW w:w="1102" w:type="dxa"/>
          </w:tcPr>
          <w:p w14:paraId="151C8A31" w14:textId="77777777" w:rsidR="002737E9" w:rsidRDefault="002737E9" w:rsidP="004F5AF1">
            <w:pPr>
              <w:pStyle w:val="TableFigureHeading"/>
            </w:pPr>
          </w:p>
        </w:tc>
        <w:tc>
          <w:tcPr>
            <w:tcW w:w="1113" w:type="dxa"/>
          </w:tcPr>
          <w:p w14:paraId="02EE251D" w14:textId="79E0EDD5" w:rsidR="002737E9" w:rsidRPr="004F5AF1" w:rsidRDefault="002737E9" w:rsidP="004F5AF1">
            <w:pPr>
              <w:pStyle w:val="PBACTabletext"/>
              <w:rPr>
                <w:b/>
                <w:bCs/>
              </w:rPr>
            </w:pPr>
            <w:r w:rsidRPr="00822708">
              <w:rPr>
                <w:b/>
                <w:bCs/>
              </w:rPr>
              <w:t>CIPAMIG</w:t>
            </w:r>
          </w:p>
        </w:tc>
        <w:tc>
          <w:tcPr>
            <w:tcW w:w="1118" w:type="dxa"/>
          </w:tcPr>
          <w:p w14:paraId="05127C91" w14:textId="5CFDA268" w:rsidR="002737E9" w:rsidRDefault="002737E9" w:rsidP="004F5AF1">
            <w:pPr>
              <w:pStyle w:val="TableFigureHeading"/>
            </w:pPr>
            <w:r>
              <w:t>ALGLU</w:t>
            </w:r>
          </w:p>
        </w:tc>
        <w:tc>
          <w:tcPr>
            <w:tcW w:w="1124" w:type="dxa"/>
            <w:vMerge w:val="restart"/>
          </w:tcPr>
          <w:p w14:paraId="31416E8B" w14:textId="54CA0816" w:rsidR="002737E9" w:rsidRPr="00B75FB6" w:rsidRDefault="002737E9" w:rsidP="004F5AF1">
            <w:pPr>
              <w:pStyle w:val="TableFigureHeading"/>
              <w:rPr>
                <w:b w:val="0"/>
                <w:bCs w:val="0"/>
              </w:rPr>
            </w:pPr>
            <w:r w:rsidRPr="00B75FB6">
              <w:rPr>
                <w:b w:val="0"/>
                <w:bCs w:val="0"/>
              </w:rPr>
              <w:t>14.2 (-2.6, 31.0)</w:t>
            </w:r>
          </w:p>
        </w:tc>
        <w:tc>
          <w:tcPr>
            <w:tcW w:w="1110" w:type="dxa"/>
          </w:tcPr>
          <w:p w14:paraId="363A86E2" w14:textId="11D33CA4" w:rsidR="002737E9" w:rsidRDefault="002737E9" w:rsidP="004F5AF1">
            <w:pPr>
              <w:pStyle w:val="TableFigureHeading"/>
            </w:pPr>
            <w:r>
              <w:t>AVAL</w:t>
            </w:r>
          </w:p>
        </w:tc>
        <w:tc>
          <w:tcPr>
            <w:tcW w:w="1107" w:type="dxa"/>
          </w:tcPr>
          <w:p w14:paraId="7E556DBB" w14:textId="0AA33DC8" w:rsidR="002737E9" w:rsidRDefault="002737E9" w:rsidP="004F5AF1">
            <w:pPr>
              <w:pStyle w:val="TableFigureHeading"/>
            </w:pPr>
            <w:r>
              <w:t>ALGLU</w:t>
            </w:r>
          </w:p>
        </w:tc>
        <w:tc>
          <w:tcPr>
            <w:tcW w:w="1124" w:type="dxa"/>
            <w:vMerge w:val="restart"/>
          </w:tcPr>
          <w:p w14:paraId="1A46F4DD" w14:textId="77777777" w:rsidR="002737E9" w:rsidRPr="00B75FB6" w:rsidRDefault="002737E9" w:rsidP="004F5AF1">
            <w:pPr>
              <w:pStyle w:val="TableFigureHeading"/>
            </w:pPr>
            <w:r w:rsidRPr="00B75FB6">
              <w:t>30.0 (1.3, 58.7)</w:t>
            </w:r>
          </w:p>
          <w:p w14:paraId="2E5F92C6" w14:textId="0792E86D" w:rsidR="002737E9" w:rsidRDefault="002737E9" w:rsidP="004F5AF1">
            <w:pPr>
              <w:pStyle w:val="TableFigureHeading"/>
            </w:pPr>
          </w:p>
        </w:tc>
        <w:tc>
          <w:tcPr>
            <w:tcW w:w="1219" w:type="dxa"/>
            <w:vMerge w:val="restart"/>
          </w:tcPr>
          <w:p w14:paraId="2A3B2944" w14:textId="77777777" w:rsidR="002737E9" w:rsidRPr="002737E9" w:rsidRDefault="002737E9" w:rsidP="004F5AF1">
            <w:pPr>
              <w:pStyle w:val="TableFigureHeading"/>
              <w:rPr>
                <w:b w:val="0"/>
                <w:bCs w:val="0"/>
              </w:rPr>
            </w:pPr>
            <w:r w:rsidRPr="002737E9">
              <w:rPr>
                <w:b w:val="0"/>
                <w:bCs w:val="0"/>
              </w:rPr>
              <w:t>-15.8 (-49.0, 17.5)</w:t>
            </w:r>
          </w:p>
          <w:p w14:paraId="238E88BA" w14:textId="5709AEDA" w:rsidR="002737E9" w:rsidRDefault="002737E9" w:rsidP="004F5AF1">
            <w:pPr>
              <w:pStyle w:val="TableFigureHeading"/>
            </w:pPr>
          </w:p>
        </w:tc>
      </w:tr>
      <w:tr w:rsidR="002737E9" w14:paraId="465E3FDB" w14:textId="77777777" w:rsidTr="26403EC0">
        <w:tc>
          <w:tcPr>
            <w:tcW w:w="1102" w:type="dxa"/>
          </w:tcPr>
          <w:p w14:paraId="2007FDD4" w14:textId="196C545D" w:rsidR="002737E9" w:rsidRDefault="002737E9" w:rsidP="004F5AF1">
            <w:pPr>
              <w:pStyle w:val="TableFigureHeading"/>
            </w:pPr>
            <w:r>
              <w:t>All patients</w:t>
            </w:r>
          </w:p>
        </w:tc>
        <w:tc>
          <w:tcPr>
            <w:tcW w:w="1113" w:type="dxa"/>
          </w:tcPr>
          <w:p w14:paraId="6DA17F63" w14:textId="1B03A1A4" w:rsidR="002737E9" w:rsidRPr="002737E9" w:rsidRDefault="002737E9" w:rsidP="004F5AF1">
            <w:pPr>
              <w:pStyle w:val="TableFigureHeading"/>
              <w:rPr>
                <w:b w:val="0"/>
                <w:bCs w:val="0"/>
              </w:rPr>
            </w:pPr>
            <w:r w:rsidRPr="002737E9">
              <w:rPr>
                <w:b w:val="0"/>
                <w:bCs w:val="0"/>
              </w:rPr>
              <w:t>21.3 (4.7)</w:t>
            </w:r>
          </w:p>
        </w:tc>
        <w:tc>
          <w:tcPr>
            <w:tcW w:w="1118" w:type="dxa"/>
          </w:tcPr>
          <w:p w14:paraId="67A0DCD8" w14:textId="62BB8A4C" w:rsidR="002737E9" w:rsidRPr="002737E9" w:rsidRDefault="002737E9" w:rsidP="004F5AF1">
            <w:pPr>
              <w:pStyle w:val="TableFigureHeading"/>
              <w:rPr>
                <w:b w:val="0"/>
                <w:bCs w:val="0"/>
              </w:rPr>
            </w:pPr>
            <w:r w:rsidRPr="002737E9">
              <w:rPr>
                <w:b w:val="0"/>
                <w:bCs w:val="0"/>
              </w:rPr>
              <w:t>7.1 (7.0)</w:t>
            </w:r>
          </w:p>
        </w:tc>
        <w:tc>
          <w:tcPr>
            <w:tcW w:w="1124" w:type="dxa"/>
            <w:vMerge/>
          </w:tcPr>
          <w:p w14:paraId="21452941" w14:textId="77777777" w:rsidR="002737E9" w:rsidRPr="002737E9" w:rsidRDefault="002737E9" w:rsidP="004F5AF1">
            <w:pPr>
              <w:pStyle w:val="TableFigureHeading"/>
              <w:rPr>
                <w:b w:val="0"/>
                <w:bCs w:val="0"/>
              </w:rPr>
            </w:pPr>
          </w:p>
        </w:tc>
        <w:tc>
          <w:tcPr>
            <w:tcW w:w="1110" w:type="dxa"/>
          </w:tcPr>
          <w:p w14:paraId="754C73D5" w14:textId="5033EFF6" w:rsidR="002737E9" w:rsidRPr="002737E9" w:rsidRDefault="002737E9" w:rsidP="004F5AF1">
            <w:pPr>
              <w:pStyle w:val="TableFigureHeading"/>
              <w:rPr>
                <w:b w:val="0"/>
                <w:bCs w:val="0"/>
              </w:rPr>
            </w:pPr>
            <w:r w:rsidRPr="002737E9">
              <w:rPr>
                <w:b w:val="0"/>
                <w:bCs w:val="0"/>
              </w:rPr>
              <w:t>32.2 (9.9)</w:t>
            </w:r>
          </w:p>
        </w:tc>
        <w:tc>
          <w:tcPr>
            <w:tcW w:w="1107" w:type="dxa"/>
          </w:tcPr>
          <w:p w14:paraId="1104AEB0" w14:textId="660C64C1" w:rsidR="002737E9" w:rsidRPr="002737E9" w:rsidRDefault="002737E9" w:rsidP="004F5AF1">
            <w:pPr>
              <w:pStyle w:val="TableFigureHeading"/>
              <w:rPr>
                <w:b w:val="0"/>
                <w:bCs w:val="0"/>
              </w:rPr>
            </w:pPr>
            <w:r w:rsidRPr="002737E9">
              <w:rPr>
                <w:b w:val="0"/>
                <w:bCs w:val="0"/>
              </w:rPr>
              <w:t>2.2 (10.4)</w:t>
            </w:r>
          </w:p>
        </w:tc>
        <w:tc>
          <w:tcPr>
            <w:tcW w:w="1124" w:type="dxa"/>
            <w:vMerge/>
          </w:tcPr>
          <w:p w14:paraId="7BAE5699" w14:textId="77777777" w:rsidR="002737E9" w:rsidRDefault="002737E9" w:rsidP="004F5AF1">
            <w:pPr>
              <w:pStyle w:val="TableFigureHeading"/>
            </w:pPr>
          </w:p>
        </w:tc>
        <w:tc>
          <w:tcPr>
            <w:tcW w:w="1219" w:type="dxa"/>
            <w:vMerge/>
          </w:tcPr>
          <w:p w14:paraId="6A3D226B" w14:textId="77777777" w:rsidR="002737E9" w:rsidRDefault="002737E9" w:rsidP="004F5AF1">
            <w:pPr>
              <w:pStyle w:val="TableFigureHeading"/>
            </w:pPr>
          </w:p>
        </w:tc>
      </w:tr>
      <w:tr w:rsidR="004F5AF1" w14:paraId="11306CE2" w14:textId="77777777" w:rsidTr="26403EC0">
        <w:tc>
          <w:tcPr>
            <w:tcW w:w="1102" w:type="dxa"/>
          </w:tcPr>
          <w:p w14:paraId="28C49E5C" w14:textId="0B2E97B6" w:rsidR="004F5AF1" w:rsidRDefault="002737E9" w:rsidP="004F5AF1">
            <w:pPr>
              <w:pStyle w:val="TableFigureHeading"/>
            </w:pPr>
            <w:r>
              <w:t>ERT Naive</w:t>
            </w:r>
          </w:p>
        </w:tc>
        <w:tc>
          <w:tcPr>
            <w:tcW w:w="1113" w:type="dxa"/>
          </w:tcPr>
          <w:p w14:paraId="19FBF52F" w14:textId="1D8FA70E" w:rsidR="004F5AF1" w:rsidRPr="002737E9" w:rsidRDefault="002737E9" w:rsidP="004F5AF1">
            <w:pPr>
              <w:pStyle w:val="TableFigureHeading"/>
              <w:rPr>
                <w:b w:val="0"/>
                <w:bCs w:val="0"/>
              </w:rPr>
            </w:pPr>
            <w:r w:rsidRPr="002737E9">
              <w:rPr>
                <w:b w:val="0"/>
                <w:bCs w:val="0"/>
              </w:rPr>
              <w:t>33.4 (48.7)</w:t>
            </w:r>
          </w:p>
        </w:tc>
        <w:tc>
          <w:tcPr>
            <w:tcW w:w="1118" w:type="dxa"/>
          </w:tcPr>
          <w:p w14:paraId="71F9C3AB" w14:textId="54DCC374" w:rsidR="004F5AF1" w:rsidRPr="002737E9" w:rsidRDefault="002737E9" w:rsidP="004F5AF1">
            <w:pPr>
              <w:pStyle w:val="TableFigureHeading"/>
              <w:rPr>
                <w:b w:val="0"/>
                <w:bCs w:val="0"/>
              </w:rPr>
            </w:pPr>
            <w:r w:rsidRPr="002737E9">
              <w:rPr>
                <w:b w:val="0"/>
                <w:bCs w:val="0"/>
              </w:rPr>
              <w:t>38.3 (29.3)</w:t>
            </w:r>
          </w:p>
        </w:tc>
        <w:tc>
          <w:tcPr>
            <w:tcW w:w="1124" w:type="dxa"/>
          </w:tcPr>
          <w:p w14:paraId="15D46EC9" w14:textId="7EC10F62" w:rsidR="004F5AF1" w:rsidRPr="002737E9" w:rsidRDefault="002737E9" w:rsidP="004F5AF1">
            <w:pPr>
              <w:pStyle w:val="TableFigureHeading"/>
              <w:rPr>
                <w:b w:val="0"/>
                <w:bCs w:val="0"/>
              </w:rPr>
            </w:pPr>
            <w:r w:rsidRPr="002737E9">
              <w:rPr>
                <w:b w:val="0"/>
                <w:bCs w:val="0"/>
              </w:rPr>
              <w:t>-6.6 (-48.2, 35.1)</w:t>
            </w:r>
          </w:p>
        </w:tc>
        <w:tc>
          <w:tcPr>
            <w:tcW w:w="1110" w:type="dxa"/>
          </w:tcPr>
          <w:p w14:paraId="11AACBA5" w14:textId="691562E2" w:rsidR="004F5AF1" w:rsidRPr="002737E9" w:rsidRDefault="002737E9" w:rsidP="004F5AF1">
            <w:pPr>
              <w:pStyle w:val="TableFigureHeading"/>
              <w:rPr>
                <w:b w:val="0"/>
                <w:bCs w:val="0"/>
              </w:rPr>
            </w:pPr>
            <w:r w:rsidRPr="002737E9">
              <w:rPr>
                <w:b w:val="0"/>
                <w:bCs w:val="0"/>
              </w:rPr>
              <w:t>32.2 (9.9)</w:t>
            </w:r>
          </w:p>
        </w:tc>
        <w:tc>
          <w:tcPr>
            <w:tcW w:w="1107" w:type="dxa"/>
          </w:tcPr>
          <w:p w14:paraId="60533C60" w14:textId="3DA96B5D" w:rsidR="004F5AF1" w:rsidRPr="002737E9" w:rsidRDefault="002737E9" w:rsidP="004F5AF1">
            <w:pPr>
              <w:pStyle w:val="TableFigureHeading"/>
              <w:rPr>
                <w:b w:val="0"/>
                <w:bCs w:val="0"/>
              </w:rPr>
            </w:pPr>
            <w:r w:rsidRPr="002737E9">
              <w:rPr>
                <w:b w:val="0"/>
                <w:bCs w:val="0"/>
              </w:rPr>
              <w:t>2.2 (10.4)</w:t>
            </w:r>
          </w:p>
        </w:tc>
        <w:tc>
          <w:tcPr>
            <w:tcW w:w="1124" w:type="dxa"/>
          </w:tcPr>
          <w:p w14:paraId="64919A49" w14:textId="77777777" w:rsidR="004F5AF1" w:rsidRPr="00B75FB6" w:rsidRDefault="002737E9" w:rsidP="004F5AF1">
            <w:pPr>
              <w:pStyle w:val="TableFigureHeading"/>
            </w:pPr>
            <w:r w:rsidRPr="00B75FB6">
              <w:t>30.0 (1.3, 59.8)</w:t>
            </w:r>
          </w:p>
          <w:p w14:paraId="74401AFE" w14:textId="58D8D9F2" w:rsidR="002737E9" w:rsidRDefault="002737E9" w:rsidP="004F5AF1">
            <w:pPr>
              <w:pStyle w:val="TableFigureHeading"/>
            </w:pPr>
          </w:p>
        </w:tc>
        <w:tc>
          <w:tcPr>
            <w:tcW w:w="1219" w:type="dxa"/>
          </w:tcPr>
          <w:p w14:paraId="37FD8D66" w14:textId="77777777" w:rsidR="004F5AF1" w:rsidRPr="002737E9" w:rsidRDefault="002737E9" w:rsidP="004F5AF1">
            <w:pPr>
              <w:pStyle w:val="TableFigureHeading"/>
              <w:rPr>
                <w:b w:val="0"/>
                <w:bCs w:val="0"/>
              </w:rPr>
            </w:pPr>
            <w:r w:rsidRPr="002737E9">
              <w:rPr>
                <w:b w:val="0"/>
                <w:bCs w:val="0"/>
              </w:rPr>
              <w:t>-36.8 (-87.1, 14.0)</w:t>
            </w:r>
          </w:p>
          <w:p w14:paraId="5A588698" w14:textId="645F324C" w:rsidR="002737E9" w:rsidRPr="002737E9" w:rsidRDefault="002737E9" w:rsidP="004F5AF1">
            <w:pPr>
              <w:pStyle w:val="TableFigureHeading"/>
              <w:rPr>
                <w:b w:val="0"/>
                <w:bCs w:val="0"/>
              </w:rPr>
            </w:pPr>
          </w:p>
        </w:tc>
      </w:tr>
      <w:tr w:rsidR="002737E9" w14:paraId="0942BC38" w14:textId="77777777" w:rsidTr="26403EC0">
        <w:tc>
          <w:tcPr>
            <w:tcW w:w="1102" w:type="dxa"/>
          </w:tcPr>
          <w:p w14:paraId="09CDD0A7" w14:textId="77777777" w:rsidR="002737E9" w:rsidRDefault="002737E9" w:rsidP="004F5AF1">
            <w:pPr>
              <w:pStyle w:val="TableFigureHeading"/>
            </w:pPr>
          </w:p>
        </w:tc>
        <w:tc>
          <w:tcPr>
            <w:tcW w:w="2231" w:type="dxa"/>
            <w:gridSpan w:val="2"/>
          </w:tcPr>
          <w:p w14:paraId="67E42F98" w14:textId="66FE81B1" w:rsidR="002737E9" w:rsidRDefault="2F98912D" w:rsidP="004F5AF1">
            <w:pPr>
              <w:pStyle w:val="TableFigureHeading"/>
            </w:pPr>
            <w:r w:rsidRPr="26403EC0">
              <w:t>% Predicted FVC, mean change from baseline to 52 wk (SD)</w:t>
            </w:r>
          </w:p>
        </w:tc>
        <w:tc>
          <w:tcPr>
            <w:tcW w:w="1124" w:type="dxa"/>
          </w:tcPr>
          <w:p w14:paraId="3802B7CE" w14:textId="04EF52D7" w:rsidR="002737E9" w:rsidRDefault="002737E9" w:rsidP="004F5AF1">
            <w:pPr>
              <w:pStyle w:val="TableFigureHeading"/>
            </w:pPr>
            <w:r>
              <w:t>Difference (95% CI)</w:t>
            </w:r>
          </w:p>
        </w:tc>
        <w:tc>
          <w:tcPr>
            <w:tcW w:w="2217" w:type="dxa"/>
            <w:gridSpan w:val="2"/>
          </w:tcPr>
          <w:p w14:paraId="7AD4AE2E" w14:textId="5EFE595C" w:rsidR="002737E9" w:rsidRDefault="2F98912D" w:rsidP="004F5AF1">
            <w:pPr>
              <w:pStyle w:val="TableFigureHeading"/>
            </w:pPr>
            <w:r w:rsidRPr="26403EC0">
              <w:t>% Predicted FVC, mean change from baseline to 49 wk (SEM)</w:t>
            </w:r>
          </w:p>
        </w:tc>
        <w:tc>
          <w:tcPr>
            <w:tcW w:w="1124" w:type="dxa"/>
          </w:tcPr>
          <w:p w14:paraId="4C2B2208" w14:textId="7DD017E7" w:rsidR="002737E9" w:rsidRDefault="002737E9" w:rsidP="004F5AF1">
            <w:pPr>
              <w:pStyle w:val="TableFigureHeading"/>
            </w:pPr>
            <w:r>
              <w:t>Difference (95% CI)</w:t>
            </w:r>
          </w:p>
        </w:tc>
        <w:tc>
          <w:tcPr>
            <w:tcW w:w="1219" w:type="dxa"/>
          </w:tcPr>
          <w:p w14:paraId="2DC56865" w14:textId="4E060166" w:rsidR="002737E9" w:rsidRDefault="002737E9" w:rsidP="004F5AF1">
            <w:pPr>
              <w:pStyle w:val="TableFigureHeading"/>
            </w:pPr>
            <w:r>
              <w:t>Indirect Comparison (95% CI), CIPA</w:t>
            </w:r>
            <w:r w:rsidR="00201E77">
              <w:t>MIG</w:t>
            </w:r>
            <w:r>
              <w:t xml:space="preserve"> - AVAL</w:t>
            </w:r>
          </w:p>
        </w:tc>
      </w:tr>
      <w:tr w:rsidR="00B75FB6" w14:paraId="6BF6422E" w14:textId="77777777" w:rsidTr="26403EC0">
        <w:tc>
          <w:tcPr>
            <w:tcW w:w="1102" w:type="dxa"/>
          </w:tcPr>
          <w:p w14:paraId="603B556E" w14:textId="6931E2D7" w:rsidR="00B75FB6" w:rsidRDefault="00B75FB6" w:rsidP="00B75FB6">
            <w:pPr>
              <w:pStyle w:val="TableFigureHeading"/>
            </w:pPr>
            <w:r>
              <w:t>All patients</w:t>
            </w:r>
          </w:p>
        </w:tc>
        <w:tc>
          <w:tcPr>
            <w:tcW w:w="1113" w:type="dxa"/>
          </w:tcPr>
          <w:p w14:paraId="5F4959CA" w14:textId="51D5587A" w:rsidR="00B75FB6" w:rsidRPr="00B75FB6" w:rsidRDefault="00B75FB6" w:rsidP="00B75FB6">
            <w:pPr>
              <w:pStyle w:val="TableFigureHeading"/>
              <w:rPr>
                <w:b w:val="0"/>
                <w:bCs w:val="0"/>
              </w:rPr>
            </w:pPr>
            <w:r w:rsidRPr="00B75FB6">
              <w:rPr>
                <w:b w:val="0"/>
                <w:bCs w:val="0"/>
              </w:rPr>
              <w:t>-0.9 (6.2)</w:t>
            </w:r>
          </w:p>
        </w:tc>
        <w:tc>
          <w:tcPr>
            <w:tcW w:w="1118" w:type="dxa"/>
          </w:tcPr>
          <w:p w14:paraId="1C068BC0" w14:textId="53C25433" w:rsidR="00B75FB6" w:rsidRPr="00B75FB6" w:rsidRDefault="00B75FB6" w:rsidP="00B75FB6">
            <w:pPr>
              <w:pStyle w:val="TableFigureHeading"/>
              <w:rPr>
                <w:b w:val="0"/>
                <w:bCs w:val="0"/>
              </w:rPr>
            </w:pPr>
            <w:r>
              <w:rPr>
                <w:b w:val="0"/>
                <w:bCs w:val="0"/>
              </w:rPr>
              <w:t>-4.0 (4.9)</w:t>
            </w:r>
          </w:p>
        </w:tc>
        <w:tc>
          <w:tcPr>
            <w:tcW w:w="1124" w:type="dxa"/>
          </w:tcPr>
          <w:p w14:paraId="422C17C5" w14:textId="16AA931B" w:rsidR="00B75FB6" w:rsidRPr="00B75FB6" w:rsidRDefault="00B75FB6" w:rsidP="00B75FB6">
            <w:pPr>
              <w:pStyle w:val="TableFigureHeading"/>
            </w:pPr>
            <w:r w:rsidRPr="00B75FB6">
              <w:t>2.7 (0.4, 5.0)</w:t>
            </w:r>
          </w:p>
        </w:tc>
        <w:tc>
          <w:tcPr>
            <w:tcW w:w="1110" w:type="dxa"/>
          </w:tcPr>
          <w:p w14:paraId="3098C44C" w14:textId="7BB4CCEA" w:rsidR="00B75FB6" w:rsidRPr="00B75FB6" w:rsidRDefault="00B75FB6" w:rsidP="00B75FB6">
            <w:pPr>
              <w:pStyle w:val="TableFigureHeading"/>
              <w:rPr>
                <w:b w:val="0"/>
                <w:bCs w:val="0"/>
              </w:rPr>
            </w:pPr>
            <w:r>
              <w:rPr>
                <w:b w:val="0"/>
                <w:bCs w:val="0"/>
              </w:rPr>
              <w:t>2.9 (0.9)</w:t>
            </w:r>
          </w:p>
        </w:tc>
        <w:tc>
          <w:tcPr>
            <w:tcW w:w="1107" w:type="dxa"/>
          </w:tcPr>
          <w:p w14:paraId="6FAF6861" w14:textId="585CC831" w:rsidR="00B75FB6" w:rsidRPr="00B75FB6" w:rsidRDefault="00B75FB6" w:rsidP="00B75FB6">
            <w:pPr>
              <w:pStyle w:val="TableFigureHeading"/>
              <w:rPr>
                <w:b w:val="0"/>
                <w:bCs w:val="0"/>
              </w:rPr>
            </w:pPr>
            <w:r>
              <w:rPr>
                <w:b w:val="0"/>
                <w:bCs w:val="0"/>
              </w:rPr>
              <w:t>0.5 (0.9)</w:t>
            </w:r>
          </w:p>
        </w:tc>
        <w:tc>
          <w:tcPr>
            <w:tcW w:w="1124" w:type="dxa"/>
          </w:tcPr>
          <w:p w14:paraId="37444A19" w14:textId="036BA25F" w:rsidR="00B75FB6" w:rsidRPr="00B75FB6" w:rsidRDefault="00B75FB6" w:rsidP="00B75FB6">
            <w:pPr>
              <w:pStyle w:val="TableFigureHeading"/>
              <w:rPr>
                <w:b w:val="0"/>
                <w:bCs w:val="0"/>
              </w:rPr>
            </w:pPr>
            <w:r>
              <w:rPr>
                <w:b w:val="0"/>
                <w:bCs w:val="0"/>
              </w:rPr>
              <w:t>2.4 (-0.1, 5.0)</w:t>
            </w:r>
          </w:p>
        </w:tc>
        <w:tc>
          <w:tcPr>
            <w:tcW w:w="1219" w:type="dxa"/>
          </w:tcPr>
          <w:p w14:paraId="51DB7A79" w14:textId="17636FBA" w:rsidR="00B75FB6" w:rsidRPr="00B75FB6" w:rsidRDefault="00B75FB6" w:rsidP="00B75FB6">
            <w:pPr>
              <w:pStyle w:val="TableFigureHeading"/>
              <w:rPr>
                <w:b w:val="0"/>
                <w:bCs w:val="0"/>
              </w:rPr>
            </w:pPr>
            <w:r>
              <w:rPr>
                <w:b w:val="0"/>
                <w:bCs w:val="0"/>
              </w:rPr>
              <w:t>0.2 (-3.2, 3.7)</w:t>
            </w:r>
          </w:p>
        </w:tc>
      </w:tr>
      <w:tr w:rsidR="00B75FB6" w14:paraId="55525085" w14:textId="77777777" w:rsidTr="26403EC0">
        <w:tc>
          <w:tcPr>
            <w:tcW w:w="1102" w:type="dxa"/>
          </w:tcPr>
          <w:p w14:paraId="6155D0D3" w14:textId="39D83CCE" w:rsidR="00B75FB6" w:rsidRDefault="00B75FB6" w:rsidP="00B75FB6">
            <w:pPr>
              <w:pStyle w:val="TableFigureHeading"/>
            </w:pPr>
            <w:r>
              <w:t>ERT Naive</w:t>
            </w:r>
          </w:p>
        </w:tc>
        <w:tc>
          <w:tcPr>
            <w:tcW w:w="1113" w:type="dxa"/>
          </w:tcPr>
          <w:p w14:paraId="34392112" w14:textId="53C72DC5" w:rsidR="00B75FB6" w:rsidRPr="00B75FB6" w:rsidRDefault="00B75FB6" w:rsidP="00B75FB6">
            <w:pPr>
              <w:pStyle w:val="TableFigureHeading"/>
              <w:rPr>
                <w:b w:val="0"/>
                <w:bCs w:val="0"/>
              </w:rPr>
            </w:pPr>
            <w:r>
              <w:rPr>
                <w:b w:val="0"/>
                <w:bCs w:val="0"/>
              </w:rPr>
              <w:t>-4.5 (1.5)</w:t>
            </w:r>
          </w:p>
        </w:tc>
        <w:tc>
          <w:tcPr>
            <w:tcW w:w="1118" w:type="dxa"/>
          </w:tcPr>
          <w:p w14:paraId="0EB67108" w14:textId="0B50F08E" w:rsidR="00B75FB6" w:rsidRPr="00B75FB6" w:rsidRDefault="00B75FB6" w:rsidP="00B75FB6">
            <w:pPr>
              <w:pStyle w:val="TableFigureHeading"/>
              <w:rPr>
                <w:b w:val="0"/>
                <w:bCs w:val="0"/>
              </w:rPr>
            </w:pPr>
            <w:r>
              <w:rPr>
                <w:b w:val="0"/>
                <w:bCs w:val="0"/>
              </w:rPr>
              <w:t>-2.5 (2.8)</w:t>
            </w:r>
          </w:p>
        </w:tc>
        <w:tc>
          <w:tcPr>
            <w:tcW w:w="1124" w:type="dxa"/>
          </w:tcPr>
          <w:p w14:paraId="081AE9F2" w14:textId="27CC23B2" w:rsidR="00B75FB6" w:rsidRPr="00B75FB6" w:rsidRDefault="00B75FB6" w:rsidP="00B75FB6">
            <w:pPr>
              <w:pStyle w:val="TableFigureHeading"/>
              <w:rPr>
                <w:b w:val="0"/>
                <w:bCs w:val="0"/>
              </w:rPr>
            </w:pPr>
            <w:r>
              <w:rPr>
                <w:b w:val="0"/>
                <w:bCs w:val="0"/>
              </w:rPr>
              <w:t>-1.95 (-8.9, 5.0)</w:t>
            </w:r>
          </w:p>
        </w:tc>
        <w:tc>
          <w:tcPr>
            <w:tcW w:w="1110" w:type="dxa"/>
          </w:tcPr>
          <w:p w14:paraId="0B8D9892" w14:textId="0F81D51B" w:rsidR="00B75FB6" w:rsidRPr="00B75FB6" w:rsidRDefault="00B75FB6" w:rsidP="00B75FB6">
            <w:pPr>
              <w:pStyle w:val="TableFigureHeading"/>
              <w:rPr>
                <w:b w:val="0"/>
                <w:bCs w:val="0"/>
              </w:rPr>
            </w:pPr>
            <w:r>
              <w:rPr>
                <w:b w:val="0"/>
                <w:bCs w:val="0"/>
              </w:rPr>
              <w:t>2.9 (0.9</w:t>
            </w:r>
          </w:p>
        </w:tc>
        <w:tc>
          <w:tcPr>
            <w:tcW w:w="1107" w:type="dxa"/>
          </w:tcPr>
          <w:p w14:paraId="5222E098" w14:textId="4C69A182" w:rsidR="00B75FB6" w:rsidRPr="00B75FB6" w:rsidRDefault="00B75FB6" w:rsidP="00B75FB6">
            <w:pPr>
              <w:pStyle w:val="TableFigureHeading"/>
              <w:rPr>
                <w:b w:val="0"/>
                <w:bCs w:val="0"/>
              </w:rPr>
            </w:pPr>
            <w:r>
              <w:rPr>
                <w:b w:val="0"/>
                <w:bCs w:val="0"/>
              </w:rPr>
              <w:t>0.5 (0.9)</w:t>
            </w:r>
          </w:p>
        </w:tc>
        <w:tc>
          <w:tcPr>
            <w:tcW w:w="1124" w:type="dxa"/>
          </w:tcPr>
          <w:p w14:paraId="1F0F12F8" w14:textId="2256E74B" w:rsidR="00B75FB6" w:rsidRPr="00B75FB6" w:rsidRDefault="00B75FB6" w:rsidP="00B75FB6">
            <w:pPr>
              <w:pStyle w:val="TableFigureHeading"/>
              <w:rPr>
                <w:b w:val="0"/>
                <w:bCs w:val="0"/>
              </w:rPr>
            </w:pPr>
            <w:r>
              <w:rPr>
                <w:b w:val="0"/>
                <w:bCs w:val="0"/>
              </w:rPr>
              <w:t>2.4 (-0.1, 5.0)</w:t>
            </w:r>
          </w:p>
        </w:tc>
        <w:tc>
          <w:tcPr>
            <w:tcW w:w="1219" w:type="dxa"/>
          </w:tcPr>
          <w:p w14:paraId="20576F37" w14:textId="61993DD4" w:rsidR="00B75FB6" w:rsidRPr="00B75FB6" w:rsidRDefault="00B75FB6" w:rsidP="00B75FB6">
            <w:pPr>
              <w:pStyle w:val="TableFigureHeading"/>
              <w:rPr>
                <w:b w:val="0"/>
                <w:bCs w:val="0"/>
              </w:rPr>
            </w:pPr>
            <w:r>
              <w:rPr>
                <w:b w:val="0"/>
                <w:bCs w:val="0"/>
              </w:rPr>
              <w:t>-4.4 (-11.8, 3.1)</w:t>
            </w:r>
          </w:p>
        </w:tc>
      </w:tr>
    </w:tbl>
    <w:p w14:paraId="74B565A0" w14:textId="0683FFD7" w:rsidR="004F5AF1" w:rsidRDefault="00B75FB6" w:rsidP="26403EC0">
      <w:pPr>
        <w:pStyle w:val="TableFigureHeading"/>
        <w:rPr>
          <w:b w:val="0"/>
          <w:bCs w:val="0"/>
        </w:rPr>
      </w:pPr>
      <w:r w:rsidRPr="26403EC0">
        <w:rPr>
          <w:b w:val="0"/>
          <w:bCs w:val="0"/>
        </w:rPr>
        <w:t xml:space="preserve">Source: Table 49, p119 of the submission; Diaz-Manera </w:t>
      </w:r>
      <w:r w:rsidR="00AE639A" w:rsidRPr="26403EC0">
        <w:rPr>
          <w:b w:val="0"/>
          <w:bCs w:val="0"/>
        </w:rPr>
        <w:t xml:space="preserve">(2021, does not report SD for 6MWD or % predicted FVC but does report SEM, and the SEM has been used where Table 49 gives NR. </w:t>
      </w:r>
      <w:r w:rsidR="00A6012D" w:rsidRPr="26403EC0">
        <w:t>Bold</w:t>
      </w:r>
      <w:r w:rsidR="00A6012D" w:rsidRPr="26403EC0">
        <w:rPr>
          <w:b w:val="0"/>
          <w:bCs w:val="0"/>
        </w:rPr>
        <w:t xml:space="preserve"> indicates statistical significance.</w:t>
      </w:r>
    </w:p>
    <w:p w14:paraId="1E70D896" w14:textId="741EB3B1" w:rsidR="00AE639A" w:rsidRPr="00B75FB6" w:rsidRDefault="00AE639A" w:rsidP="00523A5C">
      <w:pPr>
        <w:pStyle w:val="TableFigureHeading"/>
        <w:keepNext w:val="0"/>
        <w:keepLines/>
        <w:rPr>
          <w:b w:val="0"/>
          <w:bCs w:val="0"/>
        </w:rPr>
      </w:pPr>
      <w:r>
        <w:rPr>
          <w:b w:val="0"/>
          <w:bCs w:val="0"/>
        </w:rPr>
        <w:t xml:space="preserve">6MWD = six-minute walking distance; ALGLU = alglucosidase; AVAL = </w:t>
      </w:r>
      <w:proofErr w:type="spellStart"/>
      <w:r>
        <w:rPr>
          <w:b w:val="0"/>
          <w:bCs w:val="0"/>
        </w:rPr>
        <w:t>avalglucosidase</w:t>
      </w:r>
      <w:proofErr w:type="spellEnd"/>
      <w:r>
        <w:rPr>
          <w:b w:val="0"/>
          <w:bCs w:val="0"/>
        </w:rPr>
        <w:t xml:space="preserve">; CI = confidence interval; CIPAMIG = cipaglucosidase + </w:t>
      </w:r>
      <w:proofErr w:type="spellStart"/>
      <w:r>
        <w:rPr>
          <w:b w:val="0"/>
          <w:bCs w:val="0"/>
        </w:rPr>
        <w:t>miglustat</w:t>
      </w:r>
      <w:proofErr w:type="spellEnd"/>
      <w:r>
        <w:rPr>
          <w:b w:val="0"/>
          <w:bCs w:val="0"/>
        </w:rPr>
        <w:t xml:space="preserve">; ERT = enzyme replacement therapy; FVC = forced vital capacity; SD = standard deviation; SEM = standard error of the mean. </w:t>
      </w:r>
    </w:p>
    <w:p w14:paraId="1F2F8E73" w14:textId="15254F87" w:rsidR="004F5AF1" w:rsidRPr="00702D1A" w:rsidRDefault="00AE639A" w:rsidP="26403EC0">
      <w:pPr>
        <w:pStyle w:val="3-BodyText"/>
        <w:rPr>
          <w:color w:val="000000" w:themeColor="text1"/>
        </w:rPr>
      </w:pPr>
      <w:r w:rsidRPr="26403EC0">
        <w:rPr>
          <w:color w:val="000000" w:themeColor="text1"/>
        </w:rPr>
        <w:t xml:space="preserve">Although none reached statistical significance, </w:t>
      </w:r>
      <w:r w:rsidR="003D4EC8" w:rsidRPr="26403EC0">
        <w:rPr>
          <w:color w:val="000000" w:themeColor="text1"/>
        </w:rPr>
        <w:t>i</w:t>
      </w:r>
      <w:r w:rsidRPr="26403EC0">
        <w:rPr>
          <w:color w:val="000000" w:themeColor="text1"/>
        </w:rPr>
        <w:t>n both patient groups</w:t>
      </w:r>
      <w:r w:rsidR="00377CE6" w:rsidRPr="26403EC0">
        <w:rPr>
          <w:color w:val="000000" w:themeColor="text1"/>
        </w:rPr>
        <w:t>,</w:t>
      </w:r>
      <w:r w:rsidR="00B75FB6" w:rsidRPr="26403EC0">
        <w:rPr>
          <w:color w:val="000000" w:themeColor="text1"/>
        </w:rPr>
        <w:t xml:space="preserve"> comparisons</w:t>
      </w:r>
      <w:r w:rsidRPr="26403EC0">
        <w:rPr>
          <w:color w:val="000000" w:themeColor="text1"/>
        </w:rPr>
        <w:t xml:space="preserve"> of 6MWD</w:t>
      </w:r>
      <w:r w:rsidR="00B75FB6" w:rsidRPr="26403EC0">
        <w:rPr>
          <w:color w:val="000000" w:themeColor="text1"/>
        </w:rPr>
        <w:t xml:space="preserve"> favoured </w:t>
      </w:r>
      <w:r w:rsidR="00263A5C" w:rsidRPr="26403EC0">
        <w:rPr>
          <w:color w:val="000000" w:themeColor="text1"/>
        </w:rPr>
        <w:t>AVAL</w:t>
      </w:r>
      <w:r w:rsidR="00B75FB6" w:rsidRPr="26403EC0">
        <w:rPr>
          <w:color w:val="000000" w:themeColor="text1"/>
        </w:rPr>
        <w:t xml:space="preserve"> over </w:t>
      </w:r>
      <w:r w:rsidR="00263A5C" w:rsidRPr="26403EC0">
        <w:rPr>
          <w:color w:val="000000" w:themeColor="text1"/>
        </w:rPr>
        <w:t>CIPAMIG</w:t>
      </w:r>
      <w:r w:rsidRPr="26403EC0">
        <w:rPr>
          <w:color w:val="000000" w:themeColor="text1"/>
        </w:rPr>
        <w:t xml:space="preserve">, and for the ERT </w:t>
      </w:r>
      <w:r w:rsidR="007C2A66" w:rsidRPr="26403EC0">
        <w:rPr>
          <w:color w:val="000000" w:themeColor="text1"/>
        </w:rPr>
        <w:t>naïve,</w:t>
      </w:r>
      <w:r w:rsidRPr="26403EC0">
        <w:rPr>
          <w:color w:val="000000" w:themeColor="text1"/>
        </w:rPr>
        <w:t xml:space="preserve"> the difference was clinically significant.</w:t>
      </w:r>
      <w:r w:rsidR="00B75FB6" w:rsidRPr="26403EC0">
        <w:rPr>
          <w:color w:val="000000" w:themeColor="text1"/>
        </w:rPr>
        <w:t xml:space="preserve"> </w:t>
      </w:r>
      <w:r w:rsidRPr="26403EC0">
        <w:rPr>
          <w:color w:val="000000" w:themeColor="text1"/>
        </w:rPr>
        <w:t>In the ERT naive, the comparison of % predicted FVC favoured</w:t>
      </w:r>
      <w:r w:rsidR="009509E4" w:rsidRPr="26403EC0">
        <w:rPr>
          <w:color w:val="000000" w:themeColor="text1"/>
        </w:rPr>
        <w:t xml:space="preserve"> </w:t>
      </w:r>
      <w:r w:rsidR="00263A5C" w:rsidRPr="26403EC0">
        <w:rPr>
          <w:color w:val="000000" w:themeColor="text1"/>
        </w:rPr>
        <w:t>AVAL</w:t>
      </w:r>
      <w:r w:rsidR="00C50F9A" w:rsidRPr="26403EC0">
        <w:rPr>
          <w:color w:val="000000" w:themeColor="text1"/>
        </w:rPr>
        <w:t xml:space="preserve"> </w:t>
      </w:r>
      <w:r w:rsidRPr="26403EC0">
        <w:rPr>
          <w:color w:val="000000" w:themeColor="text1"/>
        </w:rPr>
        <w:t xml:space="preserve">and the difference was clinically significant. </w:t>
      </w:r>
    </w:p>
    <w:p w14:paraId="6B248DCC" w14:textId="7AFCD14C" w:rsidR="00AE639A" w:rsidRPr="00702D1A" w:rsidRDefault="00AE639A" w:rsidP="00EC5836">
      <w:pPr>
        <w:pStyle w:val="3-BodyText"/>
      </w:pPr>
      <w:r w:rsidRPr="26403EC0">
        <w:t>The network meta-analysis using PROPEL and COMET data</w:t>
      </w:r>
      <w:r w:rsidR="00A34917" w:rsidRPr="26403EC0">
        <w:t xml:space="preserve"> was consistent with the Bucher indirect treatment comparison, finding</w:t>
      </w:r>
      <w:r w:rsidRPr="26403EC0">
        <w:t xml:space="preserve"> that for </w:t>
      </w:r>
      <w:r w:rsidR="00E72EF5" w:rsidRPr="26403EC0">
        <w:t xml:space="preserve">both </w:t>
      </w:r>
      <w:r w:rsidRPr="26403EC0">
        <w:t xml:space="preserve">6MWD </w:t>
      </w:r>
      <w:r w:rsidR="00E72EF5" w:rsidRPr="26403EC0">
        <w:t>and % predicted FVC</w:t>
      </w:r>
      <w:r w:rsidR="00A11C05" w:rsidRPr="26403EC0">
        <w:t>,</w:t>
      </w:r>
      <w:r w:rsidR="00E72EF5" w:rsidRPr="26403EC0">
        <w:t xml:space="preserve"> </w:t>
      </w:r>
      <w:r w:rsidR="00263A5C" w:rsidRPr="26403EC0">
        <w:t>AVAL</w:t>
      </w:r>
      <w:r w:rsidRPr="26403EC0">
        <w:t xml:space="preserve"> was probably superior to </w:t>
      </w:r>
      <w:r w:rsidR="00263A5C" w:rsidRPr="26403EC0">
        <w:t>CIPAMIG</w:t>
      </w:r>
      <w:r w:rsidR="00E72EF5" w:rsidRPr="26403EC0">
        <w:t xml:space="preserve">. For 6MWD the </w:t>
      </w:r>
      <w:r w:rsidRPr="26403EC0">
        <w:t xml:space="preserve">relative effect </w:t>
      </w:r>
      <w:r w:rsidR="00E72EF5" w:rsidRPr="26403EC0">
        <w:t xml:space="preserve">(95% CI) </w:t>
      </w:r>
      <w:r w:rsidR="00263A5C" w:rsidRPr="26403EC0">
        <w:t>CIPAMIG</w:t>
      </w:r>
      <w:r w:rsidRPr="26403EC0">
        <w:t xml:space="preserve"> - </w:t>
      </w:r>
      <w:r w:rsidR="00263A5C" w:rsidRPr="26403EC0">
        <w:t>AVAL</w:t>
      </w:r>
      <w:r w:rsidRPr="26403EC0">
        <w:t xml:space="preserve"> </w:t>
      </w:r>
      <w:r w:rsidR="00E72EF5" w:rsidRPr="26403EC0">
        <w:t>for change from baseline was -10.0</w:t>
      </w:r>
      <w:r w:rsidR="003D4EC8" w:rsidRPr="26403EC0">
        <w:t xml:space="preserve"> m</w:t>
      </w:r>
      <w:r w:rsidR="00E72EF5" w:rsidRPr="26403EC0">
        <w:t xml:space="preserve"> (-23.6, 4.0) and the Bayesian probability of </w:t>
      </w:r>
      <w:r w:rsidR="00263A5C" w:rsidRPr="26403EC0">
        <w:t>AVAL</w:t>
      </w:r>
      <w:r w:rsidR="00E72EF5" w:rsidRPr="26403EC0">
        <w:t xml:space="preserve"> being superior was 91.8%. For % predicted FVC the relative effect (95% CI) </w:t>
      </w:r>
      <w:r w:rsidR="00263A5C" w:rsidRPr="26403EC0">
        <w:t>CIPAMIG</w:t>
      </w:r>
      <w:r w:rsidR="00E72EF5" w:rsidRPr="26403EC0">
        <w:t xml:space="preserve"> - </w:t>
      </w:r>
      <w:r w:rsidR="00263A5C" w:rsidRPr="26403EC0">
        <w:t>AVAL</w:t>
      </w:r>
      <w:r w:rsidR="00E72EF5" w:rsidRPr="26403EC0">
        <w:t xml:space="preserve"> for change from baseline was -1.45 (-3.01, 0.07) and the Bayesian probability of </w:t>
      </w:r>
      <w:r w:rsidR="00263A5C" w:rsidRPr="26403EC0">
        <w:t>AVAL</w:t>
      </w:r>
      <w:r w:rsidR="00E72EF5" w:rsidRPr="26403EC0">
        <w:t xml:space="preserve"> being superior was 96.8%. </w:t>
      </w:r>
      <w:r w:rsidR="00DF548D" w:rsidRPr="26403EC0">
        <w:t xml:space="preserve">The difference in 6MWD would be below the threshold of clinical significance; the difference in % predicted FVC would be clinically significant. </w:t>
      </w:r>
    </w:p>
    <w:p w14:paraId="3ACE2B5E" w14:textId="0D91F100" w:rsidR="00036BBB" w:rsidRPr="00660928" w:rsidRDefault="00E72EF5" w:rsidP="26403EC0">
      <w:pPr>
        <w:pStyle w:val="3-BodyText"/>
        <w:rPr>
          <w:iCs/>
        </w:rPr>
      </w:pPr>
      <w:r w:rsidRPr="26403EC0">
        <w:t xml:space="preserve">When </w:t>
      </w:r>
      <w:r w:rsidR="004A40FF" w:rsidRPr="26403EC0">
        <w:t xml:space="preserve">the </w:t>
      </w:r>
      <w:r w:rsidRPr="26403EC0">
        <w:t xml:space="preserve">open-label extension data </w:t>
      </w:r>
      <w:r w:rsidR="004A40FF" w:rsidRPr="26403EC0">
        <w:t xml:space="preserve">from PROPEL and COMET </w:t>
      </w:r>
      <w:r w:rsidRPr="26403EC0">
        <w:t>were included</w:t>
      </w:r>
      <w:r w:rsidR="00A34917" w:rsidRPr="26403EC0">
        <w:t xml:space="preserve"> in the network meta-analysis</w:t>
      </w:r>
      <w:r w:rsidR="003D4EC8" w:rsidRPr="26403EC0">
        <w:t xml:space="preserve"> </w:t>
      </w:r>
      <w:r w:rsidRPr="26403EC0">
        <w:t xml:space="preserve">these effects were reversed. </w:t>
      </w:r>
      <w:r w:rsidR="00263A5C" w:rsidRPr="26403EC0">
        <w:t>CIPAMIG</w:t>
      </w:r>
      <w:r w:rsidRPr="26403EC0">
        <w:t xml:space="preserve"> was </w:t>
      </w:r>
      <w:r w:rsidR="003D4EC8" w:rsidRPr="26403EC0">
        <w:t xml:space="preserve">found certainly </w:t>
      </w:r>
      <w:r w:rsidRPr="26403EC0">
        <w:t xml:space="preserve">superior to </w:t>
      </w:r>
      <w:r w:rsidR="00263A5C" w:rsidRPr="26403EC0">
        <w:t>AVAL</w:t>
      </w:r>
      <w:r w:rsidRPr="26403EC0">
        <w:t xml:space="preserve"> for 6MWD, with relative effect (95% CI) 28.9</w:t>
      </w:r>
      <w:r w:rsidR="003D4EC8" w:rsidRPr="26403EC0">
        <w:t xml:space="preserve"> m</w:t>
      </w:r>
      <w:r w:rsidRPr="26403EC0">
        <w:t xml:space="preserve"> (8.3, 50.1), and for % predicted FVC, with relative effect (95% CI) 2.9 (1.1, 4.7)</w:t>
      </w:r>
      <w:r w:rsidR="003D4EC8" w:rsidRPr="26403EC0">
        <w:t>;</w:t>
      </w:r>
      <w:r w:rsidRPr="26403EC0">
        <w:t xml:space="preserve"> </w:t>
      </w:r>
      <w:r w:rsidR="00C936FF" w:rsidRPr="26403EC0">
        <w:t xml:space="preserve">the </w:t>
      </w:r>
      <w:r w:rsidRPr="26403EC0">
        <w:t>Bayesian probability th</w:t>
      </w:r>
      <w:r w:rsidR="003D4EC8" w:rsidRPr="26403EC0">
        <w:t>a</w:t>
      </w:r>
      <w:r w:rsidRPr="26403EC0">
        <w:t xml:space="preserve">t </w:t>
      </w:r>
      <w:r w:rsidR="00263A5C" w:rsidRPr="26403EC0">
        <w:t>CIPAMIG</w:t>
      </w:r>
      <w:r w:rsidRPr="26403EC0">
        <w:t xml:space="preserve"> </w:t>
      </w:r>
      <w:r w:rsidR="003D4EC8" w:rsidRPr="26403EC0">
        <w:t>wa</w:t>
      </w:r>
      <w:r w:rsidRPr="26403EC0">
        <w:t>s superior</w:t>
      </w:r>
      <w:r w:rsidR="00A34917" w:rsidRPr="26403EC0">
        <w:t xml:space="preserve"> was</w:t>
      </w:r>
      <w:r w:rsidRPr="26403EC0">
        <w:t xml:space="preserve"> &gt; 99%</w:t>
      </w:r>
      <w:r w:rsidR="003D4EC8" w:rsidRPr="26403EC0">
        <w:t xml:space="preserve"> in both cases</w:t>
      </w:r>
      <w:r w:rsidRPr="26403EC0">
        <w:t xml:space="preserve">. </w:t>
      </w:r>
      <w:r w:rsidR="003D4EC8" w:rsidRPr="26403EC0">
        <w:t xml:space="preserve">Both differences would be clinically significant. </w:t>
      </w:r>
      <w:r w:rsidR="00036BBB" w:rsidRPr="26403EC0">
        <w:t>Because of the dependence of 6MWD and % predicted FVC on motivation and effort, results from the open label phases of the studies are less reliable than those from the double-blind phases.</w:t>
      </w:r>
      <w:r w:rsidR="00036BBB" w:rsidRPr="00660928">
        <w:rPr>
          <w:iCs/>
        </w:rPr>
        <w:t xml:space="preserve"> </w:t>
      </w:r>
    </w:p>
    <w:p w14:paraId="100CBEDC" w14:textId="37A08710" w:rsidR="00FC1222" w:rsidRPr="00FC1222" w:rsidRDefault="001B7A36" w:rsidP="26403EC0">
      <w:pPr>
        <w:pStyle w:val="3-BodyText"/>
        <w:rPr>
          <w:color w:val="0066FF"/>
        </w:rPr>
      </w:pPr>
      <w:r w:rsidRPr="26403EC0">
        <w:rPr>
          <w:color w:val="000000" w:themeColor="text1"/>
        </w:rPr>
        <w:t>The submission presented data</w:t>
      </w:r>
      <w:r w:rsidR="00FC1222" w:rsidRPr="26403EC0">
        <w:rPr>
          <w:color w:val="000000" w:themeColor="text1"/>
        </w:rPr>
        <w:t xml:space="preserve"> from a number of pre-specified subgroups. Apart from ERT experienced vs ERT naive patients (see </w:t>
      </w:r>
      <w:r w:rsidR="00201E77" w:rsidRPr="26403EC0">
        <w:rPr>
          <w:color w:val="000000" w:themeColor="text1"/>
        </w:rPr>
        <w:t>Tables 6 and 8</w:t>
      </w:r>
      <w:r w:rsidR="00FC1222" w:rsidRPr="26403EC0">
        <w:rPr>
          <w:color w:val="000000" w:themeColor="text1"/>
        </w:rPr>
        <w:t>) these showed no clinically or statistically significant effects.</w:t>
      </w:r>
    </w:p>
    <w:p w14:paraId="07F4955E" w14:textId="1B0A4DFC" w:rsidR="00FC1222" w:rsidRPr="00FC1222" w:rsidRDefault="00FC1222" w:rsidP="26403EC0">
      <w:pPr>
        <w:pStyle w:val="3-BodyText"/>
        <w:rPr>
          <w:color w:val="0066FF"/>
        </w:rPr>
      </w:pPr>
      <w:r w:rsidRPr="26403EC0">
        <w:rPr>
          <w:color w:val="000000" w:themeColor="text1"/>
        </w:rPr>
        <w:t xml:space="preserve">The submission </w:t>
      </w:r>
      <w:r w:rsidR="006970C5" w:rsidRPr="26403EC0">
        <w:rPr>
          <w:color w:val="000000" w:themeColor="text1"/>
        </w:rPr>
        <w:t xml:space="preserve">also included data for 17 patients in PROPEL treated in Australian centres . The point estimates of effect on 6MWD and % predicted FVC were similar to those of the population as a whole. </w:t>
      </w:r>
    </w:p>
    <w:p w14:paraId="1452C351" w14:textId="0D19F1B0" w:rsidR="00B60939" w:rsidRPr="0098262F" w:rsidRDefault="00B60939" w:rsidP="00D86231">
      <w:pPr>
        <w:pStyle w:val="4-SubsectionHeading"/>
      </w:pPr>
      <w:bookmarkStart w:id="34" w:name="_Toc22897642"/>
      <w:bookmarkStart w:id="35" w:name="_Toc187576333"/>
      <w:r w:rsidRPr="0098262F">
        <w:t>Comparative harms</w:t>
      </w:r>
      <w:bookmarkEnd w:id="34"/>
      <w:bookmarkEnd w:id="35"/>
    </w:p>
    <w:p w14:paraId="5A0865CC" w14:textId="0EEA982A" w:rsidR="006970C5" w:rsidRDefault="006970C5" w:rsidP="00A732C9">
      <w:pPr>
        <w:pStyle w:val="3-BodyText"/>
      </w:pPr>
      <w:r w:rsidRPr="00A732C9">
        <w:t>Adverse events in the trials are shown in</w:t>
      </w:r>
      <w:r w:rsidR="00C936FF">
        <w:t xml:space="preserve"> </w:t>
      </w:r>
      <w:r w:rsidR="00C936FF">
        <w:fldChar w:fldCharType="begin"/>
      </w:r>
      <w:r w:rsidR="00C936FF">
        <w:instrText xml:space="preserve"> REF _Ref184130970 \h </w:instrText>
      </w:r>
      <w:r w:rsidR="00C936FF">
        <w:fldChar w:fldCharType="separate"/>
      </w:r>
      <w:r w:rsidR="007A62D0">
        <w:t xml:space="preserve">Table </w:t>
      </w:r>
      <w:r w:rsidR="007A62D0">
        <w:rPr>
          <w:noProof/>
        </w:rPr>
        <w:t>9</w:t>
      </w:r>
      <w:r w:rsidR="00C936FF">
        <w:fldChar w:fldCharType="end"/>
      </w:r>
      <w:r w:rsidRPr="00A732C9">
        <w:t xml:space="preserve">. </w:t>
      </w:r>
    </w:p>
    <w:p w14:paraId="3C5B3843" w14:textId="18F8A785" w:rsidR="00C822ED" w:rsidRDefault="00C822ED" w:rsidP="00A732C9">
      <w:pPr>
        <w:pStyle w:val="3-BodyText"/>
      </w:pPr>
      <w:r w:rsidRPr="26403EC0">
        <w:t xml:space="preserve">The frequency of adverse events was generally lower in PROPEL than in COMET, but this </w:t>
      </w:r>
      <w:r w:rsidR="009509E4" w:rsidRPr="26403EC0">
        <w:t>difference was accounted for mostly by differences in the respective ALGLU-treated arms. I</w:t>
      </w:r>
      <w:r w:rsidRPr="26403EC0">
        <w:t>nfusion-associated reactions were similar in</w:t>
      </w:r>
      <w:r w:rsidR="009509E4" w:rsidRPr="26403EC0">
        <w:t xml:space="preserve"> all groups in</w:t>
      </w:r>
      <w:r w:rsidRPr="26403EC0">
        <w:t xml:space="preserve"> the two trials. </w:t>
      </w:r>
    </w:p>
    <w:p w14:paraId="68D16B35" w14:textId="4F46F226" w:rsidR="00C822ED" w:rsidRDefault="00C822ED" w:rsidP="00A732C9">
      <w:pPr>
        <w:pStyle w:val="3-BodyText"/>
      </w:pPr>
      <w:r w:rsidRPr="26403EC0">
        <w:t xml:space="preserve">Antibodies to recombinant human acid alpha-glucosidase (rh-GAA) appeared in nearly all patients receiving ERT; there was no clear difference between </w:t>
      </w:r>
      <w:r w:rsidR="00263A5C" w:rsidRPr="26403EC0">
        <w:t>ALGLU</w:t>
      </w:r>
      <w:r w:rsidRPr="26403EC0">
        <w:t xml:space="preserve">, </w:t>
      </w:r>
      <w:r w:rsidR="00263A5C" w:rsidRPr="26403EC0">
        <w:t>AVAL</w:t>
      </w:r>
      <w:r w:rsidRPr="26403EC0">
        <w:t xml:space="preserve"> and </w:t>
      </w:r>
      <w:r w:rsidR="00263A5C" w:rsidRPr="26403EC0">
        <w:t>CIPAMIG</w:t>
      </w:r>
      <w:r w:rsidRPr="26403EC0">
        <w:t xml:space="preserve">. </w:t>
      </w:r>
      <w:r w:rsidR="00201E77" w:rsidRPr="26403EC0">
        <w:t>Severe immune reactions were infrequent</w:t>
      </w:r>
      <w:r w:rsidR="00722527" w:rsidRPr="26403EC0">
        <w:t xml:space="preserve"> in the PROPEL trial; there was one anaphylactoid reaction in a CIPAMIG-treated patient</w:t>
      </w:r>
      <w:r w:rsidR="00201E77" w:rsidRPr="26403EC0">
        <w:t xml:space="preserve">. </w:t>
      </w:r>
    </w:p>
    <w:p w14:paraId="27301EFB" w14:textId="5D21AFFC" w:rsidR="00C822ED" w:rsidRDefault="00C822ED" w:rsidP="00A732C9">
      <w:pPr>
        <w:pStyle w:val="3-BodyText"/>
      </w:pPr>
      <w:r>
        <w:t xml:space="preserve">Comparative harms were not assessed in the indirect treatment comparison or network meta-analysis. </w:t>
      </w:r>
    </w:p>
    <w:p w14:paraId="49D5DEF6" w14:textId="6EFE5396" w:rsidR="006471FB" w:rsidRDefault="00FC780B">
      <w:pPr>
        <w:pStyle w:val="3-BodyText"/>
      </w:pPr>
      <w:r w:rsidRPr="26403EC0">
        <w:t xml:space="preserve">The need for patients to receive </w:t>
      </w:r>
      <w:proofErr w:type="spellStart"/>
      <w:r w:rsidRPr="26403EC0">
        <w:t>miglustat</w:t>
      </w:r>
      <w:proofErr w:type="spellEnd"/>
      <w:r w:rsidRPr="26403EC0">
        <w:t xml:space="preserve"> one hour before the infusion of cipaglucosidase begins, and </w:t>
      </w:r>
      <w:proofErr w:type="spellStart"/>
      <w:r w:rsidRPr="26403EC0">
        <w:t>to</w:t>
      </w:r>
      <w:proofErr w:type="spellEnd"/>
      <w:r w:rsidRPr="26403EC0">
        <w:t xml:space="preserve"> fast for two hours before taking </w:t>
      </w:r>
      <w:proofErr w:type="spellStart"/>
      <w:r w:rsidRPr="26403EC0">
        <w:t>miglustat</w:t>
      </w:r>
      <w:proofErr w:type="spellEnd"/>
      <w:r w:rsidRPr="26403EC0">
        <w:t xml:space="preserve">, </w:t>
      </w:r>
      <w:r w:rsidR="006471FB" w:rsidRPr="26403EC0">
        <w:t>may i</w:t>
      </w:r>
      <w:r w:rsidRPr="26403EC0">
        <w:t xml:space="preserve">ncrease the treatment burden </w:t>
      </w:r>
      <w:r w:rsidR="006471FB" w:rsidRPr="26403EC0">
        <w:t xml:space="preserve">of </w:t>
      </w:r>
      <w:r w:rsidR="00263A5C" w:rsidRPr="26403EC0">
        <w:t>CIPAMIG</w:t>
      </w:r>
      <w:r w:rsidR="006471FB" w:rsidRPr="26403EC0">
        <w:t xml:space="preserve"> </w:t>
      </w:r>
      <w:r w:rsidRPr="26403EC0">
        <w:t xml:space="preserve">compared to </w:t>
      </w:r>
      <w:r w:rsidR="00263A5C" w:rsidRPr="26403EC0">
        <w:t>ALGLU</w:t>
      </w:r>
      <w:r w:rsidRPr="26403EC0">
        <w:t xml:space="preserve"> and </w:t>
      </w:r>
      <w:r w:rsidR="00263A5C" w:rsidRPr="26403EC0">
        <w:t>AVAL</w:t>
      </w:r>
      <w:r w:rsidRPr="26403EC0">
        <w:t xml:space="preserve">. </w:t>
      </w:r>
      <w:r w:rsidR="006471FB" w:rsidRPr="26403EC0">
        <w:t xml:space="preserve">No data relevant to this issue were collected in the trials. </w:t>
      </w:r>
    </w:p>
    <w:p w14:paraId="78A48BD4" w14:textId="21D6D5D4" w:rsidR="00B6319B" w:rsidRDefault="00B6319B" w:rsidP="006471FB">
      <w:pPr>
        <w:pStyle w:val="5-SubsectionSubheading"/>
      </w:pPr>
      <w:bookmarkStart w:id="36" w:name="_Toc187576334"/>
      <w:r>
        <w:t>Extended Assessment of Harms</w:t>
      </w:r>
      <w:bookmarkEnd w:id="36"/>
    </w:p>
    <w:p w14:paraId="2F8CB5E5" w14:textId="0D90408E" w:rsidR="00254237" w:rsidRDefault="00B6319B" w:rsidP="00A732C9">
      <w:pPr>
        <w:pStyle w:val="3-BodyText"/>
      </w:pPr>
      <w:r w:rsidRPr="26403EC0">
        <w:t xml:space="preserve">Data from the open-label extension (OLE) of PROPEL were presented. </w:t>
      </w:r>
      <w:r w:rsidR="001A3F5E" w:rsidRPr="26403EC0">
        <w:t>The frequency of adverse events was similar to that seen in the double-blind phase, and n</w:t>
      </w:r>
      <w:r w:rsidRPr="26403EC0">
        <w:t xml:space="preserve">o new adverse events were identified in the OLE data set. </w:t>
      </w:r>
    </w:p>
    <w:p w14:paraId="0FDC4758" w14:textId="796528E6" w:rsidR="00C822ED" w:rsidRDefault="00B6319B" w:rsidP="00A732C9">
      <w:pPr>
        <w:pStyle w:val="3-BodyText"/>
      </w:pPr>
      <w:r w:rsidRPr="26403EC0">
        <w:t xml:space="preserve">Infusion-associated reactions occurred </w:t>
      </w:r>
      <w:r w:rsidR="00254237" w:rsidRPr="26403EC0">
        <w:t>in 27 (</w:t>
      </w:r>
      <w:r w:rsidRPr="26403EC0">
        <w:t>31.8%</w:t>
      </w:r>
      <w:r w:rsidR="00254237" w:rsidRPr="26403EC0">
        <w:t>)</w:t>
      </w:r>
      <w:r w:rsidRPr="26403EC0">
        <w:t xml:space="preserve"> patients continuing </w:t>
      </w:r>
      <w:r w:rsidR="00263A5C" w:rsidRPr="26403EC0">
        <w:t>CIPAMIG</w:t>
      </w:r>
      <w:r w:rsidR="00254237" w:rsidRPr="26403EC0">
        <w:t>, in</w:t>
      </w:r>
      <w:r w:rsidRPr="26403EC0">
        <w:t xml:space="preserve"> </w:t>
      </w:r>
      <w:r w:rsidR="00254237" w:rsidRPr="26403EC0">
        <w:t>19 (</w:t>
      </w:r>
      <w:r w:rsidRPr="26403EC0">
        <w:t>27.0%</w:t>
      </w:r>
      <w:r w:rsidR="00254237" w:rsidRPr="26403EC0">
        <w:t>) patients</w:t>
      </w:r>
      <w:r w:rsidRPr="26403EC0">
        <w:t xml:space="preserve"> switching to </w:t>
      </w:r>
      <w:r w:rsidR="00263A5C" w:rsidRPr="26403EC0">
        <w:t>CIPAMIG</w:t>
      </w:r>
      <w:r w:rsidRPr="26403EC0">
        <w:t xml:space="preserve"> from </w:t>
      </w:r>
      <w:r w:rsidR="00263A5C" w:rsidRPr="26403EC0">
        <w:t>ALGLU</w:t>
      </w:r>
      <w:r w:rsidRPr="26403EC0">
        <w:t xml:space="preserve">, </w:t>
      </w:r>
      <w:r w:rsidR="00254237" w:rsidRPr="26403EC0">
        <w:t>and in</w:t>
      </w:r>
      <w:r w:rsidRPr="26403EC0">
        <w:t xml:space="preserve"> </w:t>
      </w:r>
      <w:r w:rsidR="00254237" w:rsidRPr="26403EC0">
        <w:t>21 (</w:t>
      </w:r>
      <w:r w:rsidRPr="26403EC0">
        <w:t>24.7%</w:t>
      </w:r>
      <w:r w:rsidR="00254237" w:rsidRPr="26403EC0">
        <w:t>)</w:t>
      </w:r>
      <w:r w:rsidRPr="26403EC0">
        <w:t xml:space="preserve"> in </w:t>
      </w:r>
      <w:r w:rsidR="00263A5C" w:rsidRPr="26403EC0">
        <w:t>CIPAMIG</w:t>
      </w:r>
      <w:r w:rsidRPr="26403EC0">
        <w:t xml:space="preserve">-treated patients </w:t>
      </w:r>
      <w:r w:rsidR="00254237" w:rsidRPr="26403EC0">
        <w:t xml:space="preserve">in the double-blind phase.  </w:t>
      </w:r>
      <w:r w:rsidRPr="26403EC0">
        <w:t xml:space="preserve"> </w:t>
      </w:r>
    </w:p>
    <w:p w14:paraId="3BB0F778" w14:textId="35DC2E4B" w:rsidR="00254237" w:rsidRDefault="00263A5C" w:rsidP="00A732C9">
      <w:pPr>
        <w:pStyle w:val="3-BodyText"/>
      </w:pPr>
      <w:r w:rsidRPr="26403EC0">
        <w:t>CIPAMIG</w:t>
      </w:r>
      <w:r w:rsidR="00254237" w:rsidRPr="26403EC0">
        <w:t xml:space="preserve"> was discontinued because of an </w:t>
      </w:r>
      <w:r w:rsidR="002654F5" w:rsidRPr="26403EC0">
        <w:t>infusion-associated reaction</w:t>
      </w:r>
      <w:r w:rsidR="00254237" w:rsidRPr="26403EC0">
        <w:t xml:space="preserve"> in 5 (4.1%) patients. </w:t>
      </w:r>
    </w:p>
    <w:p w14:paraId="070B8F1A" w14:textId="58DA2814" w:rsidR="00254237" w:rsidRPr="00A732C9" w:rsidRDefault="00B93466" w:rsidP="00A732C9">
      <w:pPr>
        <w:pStyle w:val="3-BodyText"/>
      </w:pPr>
      <w:r>
        <w:t xml:space="preserve">No </w:t>
      </w:r>
      <w:r w:rsidR="005459E7">
        <w:t xml:space="preserve">new </w:t>
      </w:r>
      <w:r>
        <w:t>adverse events were reported in</w:t>
      </w:r>
      <w:r w:rsidR="00254237">
        <w:t xml:space="preserve"> post-marketing surveillance of </w:t>
      </w:r>
      <w:r w:rsidR="00263A5C">
        <w:t>CIPAMIG</w:t>
      </w:r>
      <w:r w:rsidR="00254237">
        <w:t xml:space="preserve"> was presented, but exposure was modest (total </w:t>
      </w:r>
      <w:r w:rsidR="004E5F6D">
        <w:t>51.2</w:t>
      </w:r>
      <w:r w:rsidR="00254237">
        <w:t xml:space="preserve"> patient</w:t>
      </w:r>
      <w:r w:rsidR="005D64EE">
        <w:t xml:space="preserve"> </w:t>
      </w:r>
      <w:r w:rsidR="00254237">
        <w:t>years)</w:t>
      </w:r>
      <w:r w:rsidR="004E5F6D">
        <w:t xml:space="preserve">. </w:t>
      </w:r>
    </w:p>
    <w:p w14:paraId="310B2246" w14:textId="67B2FC71" w:rsidR="00B60939" w:rsidRDefault="00C936FF" w:rsidP="00C936FF">
      <w:pPr>
        <w:pStyle w:val="Caption"/>
        <w:rPr>
          <w:rStyle w:val="CommentReference"/>
          <w:b/>
          <w:szCs w:val="24"/>
        </w:rPr>
      </w:pPr>
      <w:bookmarkStart w:id="37" w:name="_Ref184130970"/>
      <w:r>
        <w:t xml:space="preserve">Table </w:t>
      </w:r>
      <w:r w:rsidR="005C2AA5">
        <w:fldChar w:fldCharType="begin"/>
      </w:r>
      <w:r w:rsidR="005C2AA5">
        <w:instrText xml:space="preserve"> SEQ Table \* ARABIC </w:instrText>
      </w:r>
      <w:r w:rsidR="005C2AA5">
        <w:fldChar w:fldCharType="separate"/>
      </w:r>
      <w:r w:rsidR="007A62D0">
        <w:rPr>
          <w:noProof/>
        </w:rPr>
        <w:t>9</w:t>
      </w:r>
      <w:r w:rsidR="005C2AA5">
        <w:rPr>
          <w:noProof/>
        </w:rPr>
        <w:fldChar w:fldCharType="end"/>
      </w:r>
      <w:bookmarkEnd w:id="37"/>
      <w:r>
        <w:t xml:space="preserve">: </w:t>
      </w:r>
      <w:r w:rsidR="006970C5">
        <w:rPr>
          <w:rStyle w:val="CommentReference"/>
          <w:b/>
          <w:szCs w:val="24"/>
        </w:rPr>
        <w:t>A</w:t>
      </w:r>
      <w:r w:rsidR="005D26B4" w:rsidRPr="006970C5">
        <w:rPr>
          <w:rStyle w:val="CommentReference"/>
          <w:b/>
          <w:szCs w:val="24"/>
        </w:rPr>
        <w:t>dverse events in the trials</w:t>
      </w:r>
    </w:p>
    <w:tbl>
      <w:tblPr>
        <w:tblStyle w:val="TableGrid"/>
        <w:tblW w:w="0" w:type="auto"/>
        <w:tblLook w:val="04A0" w:firstRow="1" w:lastRow="0" w:firstColumn="1" w:lastColumn="0" w:noHBand="0" w:noVBand="1"/>
        <w:tblCaption w:val="Table 9: Adverse events in the trials"/>
      </w:tblPr>
      <w:tblGrid>
        <w:gridCol w:w="2122"/>
        <w:gridCol w:w="1134"/>
        <w:gridCol w:w="1134"/>
        <w:gridCol w:w="1134"/>
        <w:gridCol w:w="1275"/>
        <w:gridCol w:w="1134"/>
        <w:gridCol w:w="1084"/>
      </w:tblGrid>
      <w:tr w:rsidR="006970C5" w14:paraId="2CA5BA6D" w14:textId="77777777" w:rsidTr="26403EC0">
        <w:tc>
          <w:tcPr>
            <w:tcW w:w="2122" w:type="dxa"/>
          </w:tcPr>
          <w:p w14:paraId="2EA4A519" w14:textId="77777777" w:rsidR="006970C5" w:rsidRDefault="006970C5" w:rsidP="006970C5">
            <w:pPr>
              <w:pStyle w:val="TableFigureHeading"/>
              <w:rPr>
                <w:rStyle w:val="CommentReference"/>
                <w:b/>
                <w:szCs w:val="24"/>
              </w:rPr>
            </w:pPr>
          </w:p>
        </w:tc>
        <w:tc>
          <w:tcPr>
            <w:tcW w:w="3402" w:type="dxa"/>
            <w:gridSpan w:val="3"/>
          </w:tcPr>
          <w:p w14:paraId="35825B54" w14:textId="4EEF9559" w:rsidR="006970C5" w:rsidRDefault="006970C5" w:rsidP="006970C5">
            <w:pPr>
              <w:pStyle w:val="TableFigureHeading"/>
              <w:rPr>
                <w:rStyle w:val="CommentReference"/>
                <w:b/>
                <w:szCs w:val="24"/>
              </w:rPr>
            </w:pPr>
            <w:r>
              <w:rPr>
                <w:rStyle w:val="CommentReference"/>
                <w:b/>
                <w:szCs w:val="24"/>
              </w:rPr>
              <w:t>PROPEL</w:t>
            </w:r>
          </w:p>
        </w:tc>
        <w:tc>
          <w:tcPr>
            <w:tcW w:w="3493" w:type="dxa"/>
            <w:gridSpan w:val="3"/>
          </w:tcPr>
          <w:p w14:paraId="4665060B" w14:textId="1D1BEEE0" w:rsidR="006970C5" w:rsidRDefault="006970C5" w:rsidP="006970C5">
            <w:pPr>
              <w:pStyle w:val="TableFigureHeading"/>
              <w:rPr>
                <w:rStyle w:val="CommentReference"/>
                <w:b/>
                <w:szCs w:val="24"/>
              </w:rPr>
            </w:pPr>
            <w:r>
              <w:rPr>
                <w:rStyle w:val="CommentReference"/>
                <w:b/>
                <w:szCs w:val="24"/>
              </w:rPr>
              <w:t>COMET</w:t>
            </w:r>
          </w:p>
        </w:tc>
      </w:tr>
      <w:tr w:rsidR="006970C5" w14:paraId="724D9051" w14:textId="77777777" w:rsidTr="26403EC0">
        <w:tc>
          <w:tcPr>
            <w:tcW w:w="2122" w:type="dxa"/>
          </w:tcPr>
          <w:p w14:paraId="6CEDA6AF" w14:textId="77777777" w:rsidR="006970C5" w:rsidRDefault="006970C5" w:rsidP="006970C5">
            <w:pPr>
              <w:pStyle w:val="TableFigureHeading"/>
              <w:rPr>
                <w:rStyle w:val="CommentReference"/>
                <w:b/>
                <w:szCs w:val="24"/>
              </w:rPr>
            </w:pPr>
          </w:p>
        </w:tc>
        <w:tc>
          <w:tcPr>
            <w:tcW w:w="1134" w:type="dxa"/>
          </w:tcPr>
          <w:p w14:paraId="66DBB846" w14:textId="3FC9D09C" w:rsidR="006970C5" w:rsidRDefault="006970C5" w:rsidP="006970C5">
            <w:pPr>
              <w:pStyle w:val="TableFigureHeading"/>
              <w:rPr>
                <w:rStyle w:val="CommentReference"/>
                <w:b/>
                <w:szCs w:val="24"/>
              </w:rPr>
            </w:pPr>
            <w:r>
              <w:rPr>
                <w:rStyle w:val="CommentReference"/>
                <w:b/>
                <w:szCs w:val="24"/>
              </w:rPr>
              <w:t>CIPAMIG</w:t>
            </w:r>
          </w:p>
          <w:p w14:paraId="74208587" w14:textId="314DACDD" w:rsidR="006970C5" w:rsidRDefault="00EB28DE" w:rsidP="006970C5">
            <w:pPr>
              <w:pStyle w:val="TableFigureHeading"/>
              <w:rPr>
                <w:rStyle w:val="CommentReference"/>
                <w:b/>
                <w:szCs w:val="24"/>
              </w:rPr>
            </w:pPr>
            <w:r>
              <w:rPr>
                <w:rStyle w:val="CommentReference"/>
                <w:b/>
                <w:szCs w:val="24"/>
              </w:rPr>
              <w:t>N = 85</w:t>
            </w:r>
          </w:p>
        </w:tc>
        <w:tc>
          <w:tcPr>
            <w:tcW w:w="1134" w:type="dxa"/>
          </w:tcPr>
          <w:p w14:paraId="2BE696D5" w14:textId="77777777" w:rsidR="006970C5" w:rsidRDefault="006970C5" w:rsidP="006970C5">
            <w:pPr>
              <w:pStyle w:val="TableFigureHeading"/>
              <w:rPr>
                <w:rStyle w:val="CommentReference"/>
                <w:b/>
                <w:szCs w:val="24"/>
              </w:rPr>
            </w:pPr>
            <w:r>
              <w:rPr>
                <w:rStyle w:val="CommentReference"/>
                <w:b/>
                <w:szCs w:val="24"/>
              </w:rPr>
              <w:t>ALGLU</w:t>
            </w:r>
          </w:p>
          <w:p w14:paraId="1EAF72EC" w14:textId="0EF16BD6" w:rsidR="00EB28DE" w:rsidRDefault="00EB28DE" w:rsidP="006970C5">
            <w:pPr>
              <w:pStyle w:val="TableFigureHeading"/>
              <w:rPr>
                <w:rStyle w:val="CommentReference"/>
                <w:b/>
                <w:szCs w:val="24"/>
              </w:rPr>
            </w:pPr>
            <w:r>
              <w:rPr>
                <w:rStyle w:val="CommentReference"/>
                <w:b/>
                <w:szCs w:val="24"/>
              </w:rPr>
              <w:t>N = 38</w:t>
            </w:r>
          </w:p>
        </w:tc>
        <w:tc>
          <w:tcPr>
            <w:tcW w:w="1134" w:type="dxa"/>
          </w:tcPr>
          <w:p w14:paraId="6D423D15" w14:textId="77777777" w:rsidR="006970C5" w:rsidRDefault="006970C5" w:rsidP="006970C5">
            <w:pPr>
              <w:pStyle w:val="TableFigureHeading"/>
              <w:rPr>
                <w:rStyle w:val="CommentReference"/>
                <w:b/>
                <w:szCs w:val="24"/>
              </w:rPr>
            </w:pPr>
            <w:r>
              <w:rPr>
                <w:rStyle w:val="CommentReference"/>
                <w:b/>
                <w:szCs w:val="24"/>
              </w:rPr>
              <w:t>Total</w:t>
            </w:r>
          </w:p>
          <w:p w14:paraId="4BD88A58" w14:textId="6D2B5254" w:rsidR="00EB28DE" w:rsidRDefault="00EB28DE" w:rsidP="006970C5">
            <w:pPr>
              <w:pStyle w:val="TableFigureHeading"/>
              <w:rPr>
                <w:rStyle w:val="CommentReference"/>
                <w:b/>
                <w:szCs w:val="24"/>
              </w:rPr>
            </w:pPr>
            <w:r>
              <w:rPr>
                <w:rStyle w:val="CommentReference"/>
                <w:b/>
                <w:szCs w:val="24"/>
              </w:rPr>
              <w:t>N = 123</w:t>
            </w:r>
          </w:p>
        </w:tc>
        <w:tc>
          <w:tcPr>
            <w:tcW w:w="1275" w:type="dxa"/>
          </w:tcPr>
          <w:p w14:paraId="5E07B467" w14:textId="77777777" w:rsidR="006970C5" w:rsidRDefault="006970C5" w:rsidP="006970C5">
            <w:pPr>
              <w:pStyle w:val="TableFigureHeading"/>
              <w:rPr>
                <w:rStyle w:val="CommentReference"/>
                <w:b/>
                <w:szCs w:val="24"/>
              </w:rPr>
            </w:pPr>
            <w:r>
              <w:rPr>
                <w:rStyle w:val="CommentReference"/>
                <w:b/>
                <w:szCs w:val="24"/>
              </w:rPr>
              <w:t>AVAL</w:t>
            </w:r>
          </w:p>
          <w:p w14:paraId="4D403E2A" w14:textId="49692BBC" w:rsidR="007A7A95" w:rsidRDefault="007A7A95" w:rsidP="006970C5">
            <w:pPr>
              <w:pStyle w:val="TableFigureHeading"/>
              <w:rPr>
                <w:rStyle w:val="CommentReference"/>
                <w:b/>
                <w:szCs w:val="24"/>
              </w:rPr>
            </w:pPr>
            <w:r>
              <w:rPr>
                <w:rStyle w:val="CommentReference"/>
                <w:b/>
                <w:szCs w:val="24"/>
              </w:rPr>
              <w:t>N = 51</w:t>
            </w:r>
          </w:p>
        </w:tc>
        <w:tc>
          <w:tcPr>
            <w:tcW w:w="1134" w:type="dxa"/>
          </w:tcPr>
          <w:p w14:paraId="6C6E6A0D" w14:textId="77777777" w:rsidR="006970C5" w:rsidRDefault="006970C5" w:rsidP="006970C5">
            <w:pPr>
              <w:pStyle w:val="TableFigureHeading"/>
              <w:rPr>
                <w:rStyle w:val="CommentReference"/>
                <w:b/>
                <w:szCs w:val="24"/>
              </w:rPr>
            </w:pPr>
            <w:r>
              <w:rPr>
                <w:rStyle w:val="CommentReference"/>
                <w:b/>
                <w:szCs w:val="24"/>
              </w:rPr>
              <w:t>ALGLU</w:t>
            </w:r>
          </w:p>
          <w:p w14:paraId="349DB630" w14:textId="1F04446E" w:rsidR="007A7A95" w:rsidRDefault="007A7A95" w:rsidP="006970C5">
            <w:pPr>
              <w:pStyle w:val="TableFigureHeading"/>
              <w:rPr>
                <w:rStyle w:val="CommentReference"/>
                <w:b/>
                <w:szCs w:val="24"/>
              </w:rPr>
            </w:pPr>
            <w:r>
              <w:rPr>
                <w:rStyle w:val="CommentReference"/>
                <w:b/>
                <w:szCs w:val="24"/>
              </w:rPr>
              <w:t>N = 49</w:t>
            </w:r>
          </w:p>
        </w:tc>
        <w:tc>
          <w:tcPr>
            <w:tcW w:w="1084" w:type="dxa"/>
          </w:tcPr>
          <w:p w14:paraId="0AFC1ACA" w14:textId="77777777" w:rsidR="006970C5" w:rsidRDefault="006970C5" w:rsidP="006970C5">
            <w:pPr>
              <w:pStyle w:val="TableFigureHeading"/>
              <w:rPr>
                <w:rStyle w:val="CommentReference"/>
                <w:b/>
                <w:szCs w:val="24"/>
              </w:rPr>
            </w:pPr>
            <w:r>
              <w:rPr>
                <w:rStyle w:val="CommentReference"/>
                <w:b/>
                <w:szCs w:val="24"/>
              </w:rPr>
              <w:t>Total</w:t>
            </w:r>
          </w:p>
          <w:p w14:paraId="21631C9E" w14:textId="62A6CA48" w:rsidR="007A7A95" w:rsidRDefault="007A7A95" w:rsidP="006970C5">
            <w:pPr>
              <w:pStyle w:val="TableFigureHeading"/>
              <w:rPr>
                <w:rStyle w:val="CommentReference"/>
                <w:b/>
                <w:szCs w:val="24"/>
              </w:rPr>
            </w:pPr>
            <w:r>
              <w:rPr>
                <w:rStyle w:val="CommentReference"/>
                <w:b/>
                <w:szCs w:val="24"/>
              </w:rPr>
              <w:t>N = 100</w:t>
            </w:r>
          </w:p>
        </w:tc>
      </w:tr>
      <w:tr w:rsidR="006970C5" w14:paraId="3A3EA800" w14:textId="77777777" w:rsidTr="26403EC0">
        <w:tc>
          <w:tcPr>
            <w:tcW w:w="2122" w:type="dxa"/>
          </w:tcPr>
          <w:p w14:paraId="24A6791A" w14:textId="2A9EA1D8" w:rsidR="006970C5" w:rsidRDefault="00EB28DE" w:rsidP="0034552B">
            <w:pPr>
              <w:pStyle w:val="TableText0"/>
              <w:rPr>
                <w:rStyle w:val="CommentReference"/>
                <w:b w:val="0"/>
                <w:szCs w:val="24"/>
              </w:rPr>
            </w:pPr>
            <w:r>
              <w:rPr>
                <w:rStyle w:val="CommentReference"/>
                <w:b w:val="0"/>
                <w:szCs w:val="24"/>
              </w:rPr>
              <w:t>Any TEAE, n (%)</w:t>
            </w:r>
          </w:p>
        </w:tc>
        <w:tc>
          <w:tcPr>
            <w:tcW w:w="1134" w:type="dxa"/>
          </w:tcPr>
          <w:p w14:paraId="21808FB9" w14:textId="39F589E9" w:rsidR="006970C5" w:rsidRDefault="00EB28DE" w:rsidP="0034552B">
            <w:pPr>
              <w:pStyle w:val="TableText0"/>
              <w:rPr>
                <w:rStyle w:val="CommentReference"/>
                <w:b w:val="0"/>
                <w:szCs w:val="24"/>
              </w:rPr>
            </w:pPr>
            <w:r>
              <w:rPr>
                <w:rStyle w:val="CommentReference"/>
                <w:b w:val="0"/>
                <w:szCs w:val="24"/>
              </w:rPr>
              <w:t>81 (95.3%)</w:t>
            </w:r>
          </w:p>
        </w:tc>
        <w:tc>
          <w:tcPr>
            <w:tcW w:w="1134" w:type="dxa"/>
          </w:tcPr>
          <w:p w14:paraId="5C16654D" w14:textId="65A8F175" w:rsidR="006970C5" w:rsidRDefault="00EB28DE" w:rsidP="0034552B">
            <w:pPr>
              <w:pStyle w:val="TableText0"/>
              <w:rPr>
                <w:rStyle w:val="CommentReference"/>
                <w:b w:val="0"/>
                <w:szCs w:val="24"/>
              </w:rPr>
            </w:pPr>
            <w:r>
              <w:rPr>
                <w:rStyle w:val="CommentReference"/>
                <w:b w:val="0"/>
                <w:szCs w:val="24"/>
              </w:rPr>
              <w:t>37 (97.4%)</w:t>
            </w:r>
          </w:p>
        </w:tc>
        <w:tc>
          <w:tcPr>
            <w:tcW w:w="1134" w:type="dxa"/>
          </w:tcPr>
          <w:p w14:paraId="6239248B" w14:textId="221653E8" w:rsidR="006970C5" w:rsidRDefault="00EB28DE" w:rsidP="0034552B">
            <w:pPr>
              <w:pStyle w:val="TableText0"/>
              <w:rPr>
                <w:rStyle w:val="CommentReference"/>
                <w:b w:val="0"/>
                <w:szCs w:val="24"/>
              </w:rPr>
            </w:pPr>
            <w:r>
              <w:rPr>
                <w:rStyle w:val="CommentReference"/>
                <w:b w:val="0"/>
                <w:szCs w:val="24"/>
              </w:rPr>
              <w:t>118 (95.9%)</w:t>
            </w:r>
          </w:p>
        </w:tc>
        <w:tc>
          <w:tcPr>
            <w:tcW w:w="1275" w:type="dxa"/>
          </w:tcPr>
          <w:p w14:paraId="453BE613" w14:textId="55675494" w:rsidR="006970C5" w:rsidRDefault="007A7A95" w:rsidP="0034552B">
            <w:pPr>
              <w:pStyle w:val="TableText0"/>
              <w:rPr>
                <w:rStyle w:val="CommentReference"/>
                <w:b w:val="0"/>
                <w:szCs w:val="24"/>
              </w:rPr>
            </w:pPr>
            <w:r>
              <w:rPr>
                <w:rStyle w:val="CommentReference"/>
                <w:b w:val="0"/>
                <w:szCs w:val="24"/>
              </w:rPr>
              <w:t>44 (86%)</w:t>
            </w:r>
          </w:p>
        </w:tc>
        <w:tc>
          <w:tcPr>
            <w:tcW w:w="1134" w:type="dxa"/>
          </w:tcPr>
          <w:p w14:paraId="25F6513A" w14:textId="760F8ECA" w:rsidR="006970C5" w:rsidRDefault="007A7A95" w:rsidP="0034552B">
            <w:pPr>
              <w:pStyle w:val="TableText0"/>
              <w:rPr>
                <w:rStyle w:val="CommentReference"/>
                <w:b w:val="0"/>
                <w:szCs w:val="24"/>
              </w:rPr>
            </w:pPr>
            <w:r>
              <w:rPr>
                <w:rStyle w:val="CommentReference"/>
                <w:b w:val="0"/>
                <w:szCs w:val="24"/>
              </w:rPr>
              <w:t>45 (92%)</w:t>
            </w:r>
          </w:p>
        </w:tc>
        <w:tc>
          <w:tcPr>
            <w:tcW w:w="1084" w:type="dxa"/>
          </w:tcPr>
          <w:p w14:paraId="7596EE3E" w14:textId="3050DFA3" w:rsidR="006970C5" w:rsidRDefault="007A7A95" w:rsidP="0034552B">
            <w:pPr>
              <w:pStyle w:val="TableText0"/>
              <w:rPr>
                <w:rStyle w:val="CommentReference"/>
                <w:b w:val="0"/>
                <w:szCs w:val="24"/>
              </w:rPr>
            </w:pPr>
            <w:r>
              <w:rPr>
                <w:rStyle w:val="CommentReference"/>
                <w:b w:val="0"/>
                <w:szCs w:val="24"/>
              </w:rPr>
              <w:t>89 (89%)</w:t>
            </w:r>
          </w:p>
        </w:tc>
      </w:tr>
      <w:tr w:rsidR="006970C5" w14:paraId="6C185D0A" w14:textId="77777777" w:rsidTr="26403EC0">
        <w:tc>
          <w:tcPr>
            <w:tcW w:w="2122" w:type="dxa"/>
          </w:tcPr>
          <w:p w14:paraId="10BFDBFF" w14:textId="495CB50B" w:rsidR="006970C5" w:rsidRDefault="00EB28DE" w:rsidP="0034552B">
            <w:pPr>
              <w:pStyle w:val="TableText0"/>
              <w:rPr>
                <w:rStyle w:val="CommentReference"/>
                <w:b w:val="0"/>
                <w:szCs w:val="24"/>
              </w:rPr>
            </w:pPr>
            <w:r>
              <w:rPr>
                <w:rStyle w:val="CommentReference"/>
                <w:b w:val="0"/>
                <w:szCs w:val="24"/>
              </w:rPr>
              <w:t>Any Study Drug-Related TEAE, n (%)</w:t>
            </w:r>
          </w:p>
        </w:tc>
        <w:tc>
          <w:tcPr>
            <w:tcW w:w="1134" w:type="dxa"/>
          </w:tcPr>
          <w:p w14:paraId="2B6790DE" w14:textId="2A04CD5B" w:rsidR="006970C5" w:rsidRDefault="00EB28DE" w:rsidP="0034552B">
            <w:pPr>
              <w:pStyle w:val="TableText0"/>
              <w:rPr>
                <w:rStyle w:val="CommentReference"/>
                <w:b w:val="0"/>
                <w:szCs w:val="24"/>
              </w:rPr>
            </w:pPr>
            <w:r>
              <w:rPr>
                <w:rStyle w:val="CommentReference"/>
                <w:b w:val="0"/>
                <w:szCs w:val="24"/>
              </w:rPr>
              <w:t>26 (30.6%)</w:t>
            </w:r>
          </w:p>
        </w:tc>
        <w:tc>
          <w:tcPr>
            <w:tcW w:w="1134" w:type="dxa"/>
          </w:tcPr>
          <w:p w14:paraId="3F2D5636" w14:textId="7EC0A2B0" w:rsidR="006970C5" w:rsidRDefault="00EB28DE" w:rsidP="0034552B">
            <w:pPr>
              <w:pStyle w:val="TableText0"/>
              <w:rPr>
                <w:rStyle w:val="CommentReference"/>
                <w:b w:val="0"/>
                <w:szCs w:val="24"/>
              </w:rPr>
            </w:pPr>
            <w:r>
              <w:rPr>
                <w:rStyle w:val="CommentReference"/>
                <w:b w:val="0"/>
                <w:szCs w:val="24"/>
              </w:rPr>
              <w:t>14 (36.8%)</w:t>
            </w:r>
          </w:p>
        </w:tc>
        <w:tc>
          <w:tcPr>
            <w:tcW w:w="1134" w:type="dxa"/>
          </w:tcPr>
          <w:p w14:paraId="49512CFC" w14:textId="2BAD7D5E" w:rsidR="006970C5" w:rsidRDefault="00EB28DE" w:rsidP="0034552B">
            <w:pPr>
              <w:pStyle w:val="TableText0"/>
              <w:rPr>
                <w:rStyle w:val="CommentReference"/>
                <w:b w:val="0"/>
                <w:szCs w:val="24"/>
              </w:rPr>
            </w:pPr>
            <w:r>
              <w:rPr>
                <w:rStyle w:val="CommentReference"/>
                <w:b w:val="0"/>
                <w:szCs w:val="24"/>
              </w:rPr>
              <w:t>40 (32.5%)</w:t>
            </w:r>
          </w:p>
        </w:tc>
        <w:tc>
          <w:tcPr>
            <w:tcW w:w="1275" w:type="dxa"/>
          </w:tcPr>
          <w:p w14:paraId="4A379171" w14:textId="702F13DB" w:rsidR="006970C5" w:rsidRDefault="007A7A95" w:rsidP="0034552B">
            <w:pPr>
              <w:pStyle w:val="TableText0"/>
              <w:rPr>
                <w:rStyle w:val="CommentReference"/>
                <w:b w:val="0"/>
                <w:szCs w:val="24"/>
              </w:rPr>
            </w:pPr>
            <w:r>
              <w:rPr>
                <w:rStyle w:val="CommentReference"/>
                <w:b w:val="0"/>
                <w:szCs w:val="24"/>
              </w:rPr>
              <w:t>23 (45%)</w:t>
            </w:r>
          </w:p>
        </w:tc>
        <w:tc>
          <w:tcPr>
            <w:tcW w:w="1134" w:type="dxa"/>
          </w:tcPr>
          <w:p w14:paraId="50D38A58" w14:textId="3351508D" w:rsidR="006970C5" w:rsidRDefault="007A7A95" w:rsidP="0034552B">
            <w:pPr>
              <w:pStyle w:val="TableText0"/>
              <w:rPr>
                <w:rStyle w:val="CommentReference"/>
                <w:b w:val="0"/>
                <w:szCs w:val="24"/>
              </w:rPr>
            </w:pPr>
            <w:r>
              <w:rPr>
                <w:rStyle w:val="CommentReference"/>
                <w:b w:val="0"/>
                <w:szCs w:val="24"/>
              </w:rPr>
              <w:t>24 (49%)</w:t>
            </w:r>
          </w:p>
        </w:tc>
        <w:tc>
          <w:tcPr>
            <w:tcW w:w="1084" w:type="dxa"/>
          </w:tcPr>
          <w:p w14:paraId="5E6F3A31" w14:textId="519EB3F6" w:rsidR="006970C5" w:rsidRDefault="007A7A95" w:rsidP="0034552B">
            <w:pPr>
              <w:pStyle w:val="TableText0"/>
              <w:rPr>
                <w:rStyle w:val="CommentReference"/>
                <w:b w:val="0"/>
                <w:szCs w:val="24"/>
              </w:rPr>
            </w:pPr>
            <w:r>
              <w:rPr>
                <w:rStyle w:val="CommentReference"/>
                <w:b w:val="0"/>
                <w:szCs w:val="24"/>
              </w:rPr>
              <w:t>47 (47%)</w:t>
            </w:r>
          </w:p>
        </w:tc>
      </w:tr>
      <w:tr w:rsidR="006970C5" w14:paraId="372968FB" w14:textId="77777777" w:rsidTr="26403EC0">
        <w:tc>
          <w:tcPr>
            <w:tcW w:w="2122" w:type="dxa"/>
          </w:tcPr>
          <w:p w14:paraId="7DB63068" w14:textId="11C7D393" w:rsidR="006970C5" w:rsidRDefault="00EB28DE" w:rsidP="0034552B">
            <w:pPr>
              <w:pStyle w:val="TableText0"/>
              <w:rPr>
                <w:rStyle w:val="CommentReference"/>
                <w:b w:val="0"/>
                <w:szCs w:val="24"/>
              </w:rPr>
            </w:pPr>
            <w:r>
              <w:rPr>
                <w:rStyle w:val="CommentReference"/>
                <w:b w:val="0"/>
                <w:szCs w:val="24"/>
              </w:rPr>
              <w:t>Any TESAE, n (%)</w:t>
            </w:r>
          </w:p>
        </w:tc>
        <w:tc>
          <w:tcPr>
            <w:tcW w:w="1134" w:type="dxa"/>
          </w:tcPr>
          <w:p w14:paraId="516BF5A6" w14:textId="27969C52" w:rsidR="006970C5" w:rsidRDefault="00EB28DE" w:rsidP="0034552B">
            <w:pPr>
              <w:pStyle w:val="TableText0"/>
              <w:rPr>
                <w:rStyle w:val="CommentReference"/>
                <w:b w:val="0"/>
                <w:szCs w:val="24"/>
              </w:rPr>
            </w:pPr>
            <w:r>
              <w:rPr>
                <w:rStyle w:val="CommentReference"/>
                <w:b w:val="0"/>
                <w:szCs w:val="24"/>
              </w:rPr>
              <w:t>8 (9.4%)</w:t>
            </w:r>
          </w:p>
        </w:tc>
        <w:tc>
          <w:tcPr>
            <w:tcW w:w="1134" w:type="dxa"/>
          </w:tcPr>
          <w:p w14:paraId="35BBC27D" w14:textId="110F9D39" w:rsidR="006970C5" w:rsidRDefault="00EB28DE" w:rsidP="0034552B">
            <w:pPr>
              <w:pStyle w:val="TableText0"/>
              <w:rPr>
                <w:rStyle w:val="CommentReference"/>
                <w:b w:val="0"/>
                <w:szCs w:val="24"/>
              </w:rPr>
            </w:pPr>
            <w:r>
              <w:rPr>
                <w:rStyle w:val="CommentReference"/>
                <w:b w:val="0"/>
                <w:szCs w:val="24"/>
              </w:rPr>
              <w:t>1 (2.6%)</w:t>
            </w:r>
          </w:p>
        </w:tc>
        <w:tc>
          <w:tcPr>
            <w:tcW w:w="1134" w:type="dxa"/>
          </w:tcPr>
          <w:p w14:paraId="7F20FF70" w14:textId="54F6CCA5" w:rsidR="006970C5" w:rsidRDefault="00EB28DE" w:rsidP="0034552B">
            <w:pPr>
              <w:pStyle w:val="TableText0"/>
              <w:rPr>
                <w:rStyle w:val="CommentReference"/>
                <w:b w:val="0"/>
                <w:szCs w:val="24"/>
              </w:rPr>
            </w:pPr>
            <w:r>
              <w:rPr>
                <w:rStyle w:val="CommentReference"/>
                <w:b w:val="0"/>
                <w:szCs w:val="24"/>
              </w:rPr>
              <w:t>9 (7.3%)</w:t>
            </w:r>
          </w:p>
        </w:tc>
        <w:tc>
          <w:tcPr>
            <w:tcW w:w="1275" w:type="dxa"/>
          </w:tcPr>
          <w:p w14:paraId="2FF45736" w14:textId="422A6D41" w:rsidR="006970C5" w:rsidRDefault="007A7A95" w:rsidP="0034552B">
            <w:pPr>
              <w:pStyle w:val="TableText0"/>
              <w:rPr>
                <w:rStyle w:val="CommentReference"/>
                <w:b w:val="0"/>
                <w:szCs w:val="24"/>
              </w:rPr>
            </w:pPr>
            <w:r>
              <w:rPr>
                <w:rStyle w:val="CommentReference"/>
                <w:b w:val="0"/>
                <w:szCs w:val="24"/>
              </w:rPr>
              <w:t>8 (16%)</w:t>
            </w:r>
          </w:p>
        </w:tc>
        <w:tc>
          <w:tcPr>
            <w:tcW w:w="1134" w:type="dxa"/>
          </w:tcPr>
          <w:p w14:paraId="4BC27F45" w14:textId="2E115185" w:rsidR="006970C5" w:rsidRDefault="007A7A95" w:rsidP="0034552B">
            <w:pPr>
              <w:pStyle w:val="TableText0"/>
              <w:rPr>
                <w:rStyle w:val="CommentReference"/>
                <w:b w:val="0"/>
                <w:szCs w:val="24"/>
              </w:rPr>
            </w:pPr>
            <w:r>
              <w:rPr>
                <w:rStyle w:val="CommentReference"/>
                <w:b w:val="0"/>
                <w:szCs w:val="24"/>
              </w:rPr>
              <w:t>12 (25%)</w:t>
            </w:r>
          </w:p>
        </w:tc>
        <w:tc>
          <w:tcPr>
            <w:tcW w:w="1084" w:type="dxa"/>
          </w:tcPr>
          <w:p w14:paraId="7F994CEF" w14:textId="02AF7DAF" w:rsidR="006970C5" w:rsidRDefault="007A7A95" w:rsidP="0034552B">
            <w:pPr>
              <w:pStyle w:val="TableText0"/>
              <w:rPr>
                <w:rStyle w:val="CommentReference"/>
                <w:b w:val="0"/>
                <w:szCs w:val="24"/>
              </w:rPr>
            </w:pPr>
            <w:r>
              <w:rPr>
                <w:rStyle w:val="CommentReference"/>
                <w:b w:val="0"/>
                <w:szCs w:val="24"/>
              </w:rPr>
              <w:t>20 (20%)</w:t>
            </w:r>
          </w:p>
        </w:tc>
      </w:tr>
      <w:tr w:rsidR="006970C5" w14:paraId="01A028E9" w14:textId="77777777" w:rsidTr="26403EC0">
        <w:tc>
          <w:tcPr>
            <w:tcW w:w="2122" w:type="dxa"/>
          </w:tcPr>
          <w:p w14:paraId="4AAD3E46" w14:textId="633504E4" w:rsidR="006970C5" w:rsidRDefault="00EB28DE" w:rsidP="0034552B">
            <w:pPr>
              <w:pStyle w:val="TableText0"/>
              <w:rPr>
                <w:rStyle w:val="CommentReference"/>
                <w:b w:val="0"/>
                <w:szCs w:val="24"/>
              </w:rPr>
            </w:pPr>
            <w:r>
              <w:rPr>
                <w:rStyle w:val="CommentReference"/>
                <w:b w:val="0"/>
                <w:szCs w:val="24"/>
              </w:rPr>
              <w:t>Any TEAE leading to study drug discontinuation, n (%)</w:t>
            </w:r>
          </w:p>
        </w:tc>
        <w:tc>
          <w:tcPr>
            <w:tcW w:w="1134" w:type="dxa"/>
          </w:tcPr>
          <w:p w14:paraId="733ADC24" w14:textId="4FAC2C4F" w:rsidR="006970C5" w:rsidRDefault="00EB28DE" w:rsidP="0034552B">
            <w:pPr>
              <w:pStyle w:val="TableText0"/>
              <w:rPr>
                <w:rStyle w:val="CommentReference"/>
                <w:b w:val="0"/>
                <w:szCs w:val="24"/>
              </w:rPr>
            </w:pPr>
            <w:r>
              <w:rPr>
                <w:rStyle w:val="CommentReference"/>
                <w:b w:val="0"/>
                <w:szCs w:val="24"/>
              </w:rPr>
              <w:t>2 (2.4%)</w:t>
            </w:r>
          </w:p>
        </w:tc>
        <w:tc>
          <w:tcPr>
            <w:tcW w:w="1134" w:type="dxa"/>
          </w:tcPr>
          <w:p w14:paraId="341C53AE" w14:textId="1A826BB7" w:rsidR="006970C5" w:rsidRDefault="00EB28DE" w:rsidP="0034552B">
            <w:pPr>
              <w:pStyle w:val="TableText0"/>
              <w:rPr>
                <w:rStyle w:val="CommentReference"/>
                <w:b w:val="0"/>
                <w:szCs w:val="24"/>
              </w:rPr>
            </w:pPr>
            <w:r>
              <w:rPr>
                <w:rStyle w:val="CommentReference"/>
                <w:b w:val="0"/>
                <w:szCs w:val="24"/>
              </w:rPr>
              <w:t xml:space="preserve">0 </w:t>
            </w:r>
          </w:p>
        </w:tc>
        <w:tc>
          <w:tcPr>
            <w:tcW w:w="1134" w:type="dxa"/>
          </w:tcPr>
          <w:p w14:paraId="3DC304C4" w14:textId="48748F46" w:rsidR="006970C5" w:rsidRDefault="00EB28DE" w:rsidP="0034552B">
            <w:pPr>
              <w:pStyle w:val="TableText0"/>
              <w:rPr>
                <w:rStyle w:val="CommentReference"/>
                <w:b w:val="0"/>
                <w:szCs w:val="24"/>
              </w:rPr>
            </w:pPr>
            <w:r>
              <w:rPr>
                <w:rStyle w:val="CommentReference"/>
                <w:b w:val="0"/>
                <w:szCs w:val="24"/>
              </w:rPr>
              <w:t>2 (1.6%)</w:t>
            </w:r>
          </w:p>
        </w:tc>
        <w:tc>
          <w:tcPr>
            <w:tcW w:w="1275" w:type="dxa"/>
          </w:tcPr>
          <w:p w14:paraId="7D9AA2C6" w14:textId="3180B0E1" w:rsidR="006970C5" w:rsidRDefault="007A7A95" w:rsidP="0034552B">
            <w:pPr>
              <w:pStyle w:val="TableText0"/>
              <w:rPr>
                <w:rStyle w:val="CommentReference"/>
                <w:b w:val="0"/>
                <w:szCs w:val="24"/>
              </w:rPr>
            </w:pPr>
            <w:r>
              <w:rPr>
                <w:rStyle w:val="CommentReference"/>
                <w:b w:val="0"/>
                <w:szCs w:val="24"/>
              </w:rPr>
              <w:t xml:space="preserve">0 </w:t>
            </w:r>
          </w:p>
        </w:tc>
        <w:tc>
          <w:tcPr>
            <w:tcW w:w="1134" w:type="dxa"/>
          </w:tcPr>
          <w:p w14:paraId="30638263" w14:textId="75C21071" w:rsidR="006970C5" w:rsidRDefault="007A7A95" w:rsidP="0034552B">
            <w:pPr>
              <w:pStyle w:val="TableText0"/>
              <w:rPr>
                <w:rStyle w:val="CommentReference"/>
                <w:b w:val="0"/>
                <w:szCs w:val="24"/>
              </w:rPr>
            </w:pPr>
            <w:r>
              <w:rPr>
                <w:rStyle w:val="CommentReference"/>
                <w:b w:val="0"/>
                <w:szCs w:val="24"/>
              </w:rPr>
              <w:t>4 (8%)</w:t>
            </w:r>
          </w:p>
        </w:tc>
        <w:tc>
          <w:tcPr>
            <w:tcW w:w="1084" w:type="dxa"/>
          </w:tcPr>
          <w:p w14:paraId="748DDE90" w14:textId="3F70F213" w:rsidR="006970C5" w:rsidRDefault="007A7A95" w:rsidP="0034552B">
            <w:pPr>
              <w:pStyle w:val="TableText0"/>
              <w:rPr>
                <w:rStyle w:val="CommentReference"/>
                <w:b w:val="0"/>
                <w:szCs w:val="24"/>
              </w:rPr>
            </w:pPr>
            <w:r>
              <w:rPr>
                <w:rStyle w:val="CommentReference"/>
                <w:b w:val="0"/>
                <w:szCs w:val="24"/>
              </w:rPr>
              <w:t>4 (4%)</w:t>
            </w:r>
          </w:p>
        </w:tc>
      </w:tr>
      <w:tr w:rsidR="00A732C9" w14:paraId="6F04BA93" w14:textId="77777777" w:rsidTr="26403EC0">
        <w:tc>
          <w:tcPr>
            <w:tcW w:w="2122" w:type="dxa"/>
          </w:tcPr>
          <w:p w14:paraId="01098E76" w14:textId="24E3D9E4" w:rsidR="00A732C9" w:rsidRDefault="00A732C9" w:rsidP="0034552B">
            <w:pPr>
              <w:pStyle w:val="TableText0"/>
              <w:rPr>
                <w:rStyle w:val="CommentReference"/>
                <w:b w:val="0"/>
                <w:szCs w:val="24"/>
              </w:rPr>
            </w:pPr>
            <w:r>
              <w:rPr>
                <w:rStyle w:val="CommentReference"/>
                <w:b w:val="0"/>
                <w:szCs w:val="24"/>
              </w:rPr>
              <w:t>TEAE Leading to Death, n (%)</w:t>
            </w:r>
          </w:p>
        </w:tc>
        <w:tc>
          <w:tcPr>
            <w:tcW w:w="1134" w:type="dxa"/>
          </w:tcPr>
          <w:p w14:paraId="66AB0527" w14:textId="542AC68F" w:rsidR="00A732C9" w:rsidRDefault="00A732C9" w:rsidP="0034552B">
            <w:pPr>
              <w:pStyle w:val="TableText0"/>
              <w:rPr>
                <w:rStyle w:val="CommentReference"/>
                <w:b w:val="0"/>
                <w:szCs w:val="24"/>
              </w:rPr>
            </w:pPr>
            <w:r>
              <w:rPr>
                <w:rStyle w:val="CommentReference"/>
                <w:b w:val="0"/>
                <w:szCs w:val="24"/>
              </w:rPr>
              <w:t>0</w:t>
            </w:r>
          </w:p>
        </w:tc>
        <w:tc>
          <w:tcPr>
            <w:tcW w:w="1134" w:type="dxa"/>
          </w:tcPr>
          <w:p w14:paraId="49F1A387" w14:textId="081047C6" w:rsidR="00A732C9" w:rsidRDefault="00A732C9" w:rsidP="0034552B">
            <w:pPr>
              <w:pStyle w:val="TableText0"/>
              <w:rPr>
                <w:rStyle w:val="CommentReference"/>
                <w:b w:val="0"/>
                <w:szCs w:val="24"/>
              </w:rPr>
            </w:pPr>
            <w:r>
              <w:rPr>
                <w:rStyle w:val="CommentReference"/>
                <w:b w:val="0"/>
                <w:szCs w:val="24"/>
              </w:rPr>
              <w:t>0</w:t>
            </w:r>
          </w:p>
        </w:tc>
        <w:tc>
          <w:tcPr>
            <w:tcW w:w="1134" w:type="dxa"/>
          </w:tcPr>
          <w:p w14:paraId="561B48BC" w14:textId="739E3903" w:rsidR="00A732C9" w:rsidRDefault="00A732C9" w:rsidP="0034552B">
            <w:pPr>
              <w:pStyle w:val="TableText0"/>
              <w:rPr>
                <w:rStyle w:val="CommentReference"/>
                <w:b w:val="0"/>
                <w:szCs w:val="24"/>
              </w:rPr>
            </w:pPr>
            <w:r>
              <w:rPr>
                <w:rStyle w:val="CommentReference"/>
                <w:b w:val="0"/>
                <w:szCs w:val="24"/>
              </w:rPr>
              <w:t>0</w:t>
            </w:r>
          </w:p>
        </w:tc>
        <w:tc>
          <w:tcPr>
            <w:tcW w:w="1275" w:type="dxa"/>
          </w:tcPr>
          <w:p w14:paraId="6FC23434" w14:textId="17FE303D" w:rsidR="00A732C9" w:rsidRDefault="00A732C9" w:rsidP="0034552B">
            <w:pPr>
              <w:pStyle w:val="TableText0"/>
              <w:rPr>
                <w:rStyle w:val="CommentReference"/>
                <w:b w:val="0"/>
                <w:szCs w:val="24"/>
              </w:rPr>
            </w:pPr>
            <w:r>
              <w:rPr>
                <w:rStyle w:val="CommentReference"/>
                <w:b w:val="0"/>
                <w:szCs w:val="24"/>
              </w:rPr>
              <w:t>0</w:t>
            </w:r>
          </w:p>
        </w:tc>
        <w:tc>
          <w:tcPr>
            <w:tcW w:w="1134" w:type="dxa"/>
          </w:tcPr>
          <w:p w14:paraId="08599BEA" w14:textId="56FDC7E8" w:rsidR="00A732C9" w:rsidRDefault="00A732C9" w:rsidP="0034552B">
            <w:pPr>
              <w:pStyle w:val="TableText0"/>
              <w:rPr>
                <w:rStyle w:val="CommentReference"/>
                <w:b w:val="0"/>
                <w:szCs w:val="24"/>
              </w:rPr>
            </w:pPr>
            <w:r>
              <w:rPr>
                <w:rStyle w:val="CommentReference"/>
                <w:b w:val="0"/>
                <w:szCs w:val="24"/>
              </w:rPr>
              <w:t>1 (2%)</w:t>
            </w:r>
          </w:p>
        </w:tc>
        <w:tc>
          <w:tcPr>
            <w:tcW w:w="1084" w:type="dxa"/>
          </w:tcPr>
          <w:p w14:paraId="70BF1E92" w14:textId="6BA66A70" w:rsidR="00A732C9" w:rsidRDefault="00A732C9" w:rsidP="0034552B">
            <w:pPr>
              <w:pStyle w:val="TableText0"/>
              <w:rPr>
                <w:rStyle w:val="CommentReference"/>
                <w:b w:val="0"/>
                <w:szCs w:val="24"/>
              </w:rPr>
            </w:pPr>
            <w:r>
              <w:rPr>
                <w:rStyle w:val="CommentReference"/>
                <w:b w:val="0"/>
                <w:szCs w:val="24"/>
              </w:rPr>
              <w:t>1 (1%)</w:t>
            </w:r>
          </w:p>
        </w:tc>
      </w:tr>
      <w:tr w:rsidR="006970C5" w14:paraId="29503E8B" w14:textId="77777777" w:rsidTr="26403EC0">
        <w:tc>
          <w:tcPr>
            <w:tcW w:w="2122" w:type="dxa"/>
          </w:tcPr>
          <w:p w14:paraId="784E2A03" w14:textId="05DFF927" w:rsidR="006970C5" w:rsidRDefault="00EB28DE" w:rsidP="0034552B">
            <w:pPr>
              <w:pStyle w:val="TableText0"/>
              <w:rPr>
                <w:rStyle w:val="CommentReference"/>
                <w:b w:val="0"/>
                <w:szCs w:val="24"/>
              </w:rPr>
            </w:pPr>
            <w:r>
              <w:rPr>
                <w:rStyle w:val="CommentReference"/>
                <w:b w:val="0"/>
                <w:szCs w:val="24"/>
              </w:rPr>
              <w:t>Any Severe TEAE, n (%)</w:t>
            </w:r>
          </w:p>
        </w:tc>
        <w:tc>
          <w:tcPr>
            <w:tcW w:w="1134" w:type="dxa"/>
          </w:tcPr>
          <w:p w14:paraId="69AEBE35" w14:textId="69E64FD6" w:rsidR="006970C5" w:rsidRDefault="0034552B" w:rsidP="0034552B">
            <w:pPr>
              <w:pStyle w:val="TableText0"/>
              <w:rPr>
                <w:rStyle w:val="CommentReference"/>
                <w:b w:val="0"/>
                <w:szCs w:val="24"/>
              </w:rPr>
            </w:pPr>
            <w:r>
              <w:rPr>
                <w:rStyle w:val="CommentReference"/>
                <w:b w:val="0"/>
                <w:szCs w:val="24"/>
              </w:rPr>
              <w:t>8 (9.4%)</w:t>
            </w:r>
          </w:p>
        </w:tc>
        <w:tc>
          <w:tcPr>
            <w:tcW w:w="1134" w:type="dxa"/>
          </w:tcPr>
          <w:p w14:paraId="6FC3EC11" w14:textId="350EDD19" w:rsidR="006970C5" w:rsidRDefault="0034552B" w:rsidP="0034552B">
            <w:pPr>
              <w:pStyle w:val="TableText0"/>
              <w:rPr>
                <w:rStyle w:val="CommentReference"/>
                <w:b w:val="0"/>
                <w:szCs w:val="24"/>
              </w:rPr>
            </w:pPr>
            <w:r>
              <w:rPr>
                <w:rStyle w:val="CommentReference"/>
                <w:b w:val="0"/>
                <w:szCs w:val="24"/>
              </w:rPr>
              <w:t>2 (5.3%)</w:t>
            </w:r>
          </w:p>
        </w:tc>
        <w:tc>
          <w:tcPr>
            <w:tcW w:w="1134" w:type="dxa"/>
          </w:tcPr>
          <w:p w14:paraId="4A4428D5" w14:textId="7A7A4D06" w:rsidR="006970C5" w:rsidRDefault="0034552B" w:rsidP="0034552B">
            <w:pPr>
              <w:pStyle w:val="TableText0"/>
              <w:rPr>
                <w:rStyle w:val="CommentReference"/>
                <w:b w:val="0"/>
                <w:szCs w:val="24"/>
              </w:rPr>
            </w:pPr>
            <w:r>
              <w:rPr>
                <w:rStyle w:val="CommentReference"/>
                <w:b w:val="0"/>
                <w:szCs w:val="24"/>
              </w:rPr>
              <w:t>10 (8.1%)</w:t>
            </w:r>
          </w:p>
        </w:tc>
        <w:tc>
          <w:tcPr>
            <w:tcW w:w="1275" w:type="dxa"/>
          </w:tcPr>
          <w:p w14:paraId="33DF595B" w14:textId="0A3693DB" w:rsidR="006970C5" w:rsidRDefault="007A7A95" w:rsidP="0034552B">
            <w:pPr>
              <w:pStyle w:val="TableText0"/>
              <w:rPr>
                <w:rStyle w:val="CommentReference"/>
                <w:b w:val="0"/>
                <w:szCs w:val="24"/>
              </w:rPr>
            </w:pPr>
            <w:r>
              <w:rPr>
                <w:rStyle w:val="CommentReference"/>
                <w:b w:val="0"/>
                <w:szCs w:val="24"/>
              </w:rPr>
              <w:t>6 (12%)</w:t>
            </w:r>
          </w:p>
        </w:tc>
        <w:tc>
          <w:tcPr>
            <w:tcW w:w="1134" w:type="dxa"/>
          </w:tcPr>
          <w:p w14:paraId="1A73DA11" w14:textId="4AC0BF7B" w:rsidR="006970C5" w:rsidRDefault="007A7A95" w:rsidP="0034552B">
            <w:pPr>
              <w:pStyle w:val="TableText0"/>
              <w:rPr>
                <w:rStyle w:val="CommentReference"/>
                <w:b w:val="0"/>
                <w:szCs w:val="24"/>
              </w:rPr>
            </w:pPr>
            <w:r>
              <w:rPr>
                <w:rStyle w:val="CommentReference"/>
                <w:b w:val="0"/>
                <w:szCs w:val="24"/>
              </w:rPr>
              <w:t>7 (14%)</w:t>
            </w:r>
          </w:p>
        </w:tc>
        <w:tc>
          <w:tcPr>
            <w:tcW w:w="1084" w:type="dxa"/>
          </w:tcPr>
          <w:p w14:paraId="69818821" w14:textId="1D618E52" w:rsidR="006970C5" w:rsidRDefault="007A7A95" w:rsidP="0034552B">
            <w:pPr>
              <w:pStyle w:val="TableText0"/>
              <w:rPr>
                <w:rStyle w:val="CommentReference"/>
                <w:b w:val="0"/>
                <w:szCs w:val="24"/>
              </w:rPr>
            </w:pPr>
            <w:r>
              <w:rPr>
                <w:rStyle w:val="CommentReference"/>
                <w:b w:val="0"/>
                <w:szCs w:val="24"/>
              </w:rPr>
              <w:t>13 (13%)</w:t>
            </w:r>
          </w:p>
        </w:tc>
      </w:tr>
      <w:tr w:rsidR="006970C5" w14:paraId="61CEB0D8" w14:textId="77777777" w:rsidTr="26403EC0">
        <w:tc>
          <w:tcPr>
            <w:tcW w:w="2122" w:type="dxa"/>
          </w:tcPr>
          <w:p w14:paraId="067C2B33" w14:textId="5CB987D9" w:rsidR="006970C5" w:rsidRDefault="0034552B" w:rsidP="0034552B">
            <w:pPr>
              <w:pStyle w:val="TableText0"/>
              <w:rPr>
                <w:rStyle w:val="CommentReference"/>
                <w:b w:val="0"/>
                <w:szCs w:val="24"/>
              </w:rPr>
            </w:pPr>
            <w:r>
              <w:rPr>
                <w:rStyle w:val="CommentReference"/>
                <w:b w:val="0"/>
                <w:szCs w:val="24"/>
              </w:rPr>
              <w:t>Infusion Associated Reactions, n (%)</w:t>
            </w:r>
          </w:p>
        </w:tc>
        <w:tc>
          <w:tcPr>
            <w:tcW w:w="1134" w:type="dxa"/>
          </w:tcPr>
          <w:p w14:paraId="6491E8B1" w14:textId="057513C0" w:rsidR="006970C5" w:rsidRDefault="0034552B" w:rsidP="0034552B">
            <w:pPr>
              <w:pStyle w:val="TableText0"/>
              <w:rPr>
                <w:rStyle w:val="CommentReference"/>
                <w:b w:val="0"/>
                <w:szCs w:val="24"/>
              </w:rPr>
            </w:pPr>
            <w:r>
              <w:rPr>
                <w:rStyle w:val="CommentReference"/>
                <w:b w:val="0"/>
                <w:szCs w:val="24"/>
              </w:rPr>
              <w:t>21 (24.7%)</w:t>
            </w:r>
          </w:p>
        </w:tc>
        <w:tc>
          <w:tcPr>
            <w:tcW w:w="1134" w:type="dxa"/>
          </w:tcPr>
          <w:p w14:paraId="4C98ABBC" w14:textId="3EAD01FD" w:rsidR="006970C5" w:rsidRDefault="0034552B" w:rsidP="0034552B">
            <w:pPr>
              <w:pStyle w:val="TableText0"/>
              <w:rPr>
                <w:rStyle w:val="CommentReference"/>
                <w:b w:val="0"/>
                <w:szCs w:val="24"/>
              </w:rPr>
            </w:pPr>
            <w:r>
              <w:rPr>
                <w:rStyle w:val="CommentReference"/>
                <w:b w:val="0"/>
                <w:szCs w:val="24"/>
              </w:rPr>
              <w:t>10 (26.3%)</w:t>
            </w:r>
          </w:p>
        </w:tc>
        <w:tc>
          <w:tcPr>
            <w:tcW w:w="1134" w:type="dxa"/>
          </w:tcPr>
          <w:p w14:paraId="1801388C" w14:textId="02356ACA" w:rsidR="006970C5" w:rsidRDefault="0034552B" w:rsidP="0034552B">
            <w:pPr>
              <w:pStyle w:val="TableText0"/>
              <w:rPr>
                <w:rStyle w:val="CommentReference"/>
                <w:b w:val="0"/>
                <w:szCs w:val="24"/>
              </w:rPr>
            </w:pPr>
            <w:r>
              <w:rPr>
                <w:rStyle w:val="CommentReference"/>
                <w:b w:val="0"/>
                <w:szCs w:val="24"/>
              </w:rPr>
              <w:t>31 (25.2%)</w:t>
            </w:r>
          </w:p>
        </w:tc>
        <w:tc>
          <w:tcPr>
            <w:tcW w:w="1275" w:type="dxa"/>
          </w:tcPr>
          <w:p w14:paraId="01E2FFE5" w14:textId="3FA4605E" w:rsidR="006970C5" w:rsidRDefault="007A7A95" w:rsidP="0034552B">
            <w:pPr>
              <w:pStyle w:val="TableText0"/>
              <w:rPr>
                <w:rStyle w:val="CommentReference"/>
                <w:b w:val="0"/>
                <w:szCs w:val="24"/>
              </w:rPr>
            </w:pPr>
            <w:r>
              <w:rPr>
                <w:rStyle w:val="CommentReference"/>
                <w:b w:val="0"/>
                <w:szCs w:val="24"/>
              </w:rPr>
              <w:t>13 (26%)</w:t>
            </w:r>
          </w:p>
        </w:tc>
        <w:tc>
          <w:tcPr>
            <w:tcW w:w="1134" w:type="dxa"/>
          </w:tcPr>
          <w:p w14:paraId="7C7FAE08" w14:textId="68C50049" w:rsidR="006970C5" w:rsidRDefault="007A7A95" w:rsidP="0034552B">
            <w:pPr>
              <w:pStyle w:val="TableText0"/>
              <w:rPr>
                <w:rStyle w:val="CommentReference"/>
                <w:b w:val="0"/>
                <w:szCs w:val="24"/>
              </w:rPr>
            </w:pPr>
            <w:r>
              <w:rPr>
                <w:rStyle w:val="CommentReference"/>
                <w:b w:val="0"/>
                <w:szCs w:val="24"/>
              </w:rPr>
              <w:t>16 (33%)</w:t>
            </w:r>
          </w:p>
        </w:tc>
        <w:tc>
          <w:tcPr>
            <w:tcW w:w="1084" w:type="dxa"/>
          </w:tcPr>
          <w:p w14:paraId="494471CD" w14:textId="0D8EA2EB" w:rsidR="006970C5" w:rsidRDefault="007A7A95" w:rsidP="0034552B">
            <w:pPr>
              <w:pStyle w:val="TableText0"/>
              <w:rPr>
                <w:rStyle w:val="CommentReference"/>
                <w:b w:val="0"/>
                <w:szCs w:val="24"/>
              </w:rPr>
            </w:pPr>
            <w:r>
              <w:rPr>
                <w:rStyle w:val="CommentReference"/>
                <w:b w:val="0"/>
                <w:szCs w:val="24"/>
              </w:rPr>
              <w:t>29 (29%)</w:t>
            </w:r>
          </w:p>
        </w:tc>
      </w:tr>
      <w:tr w:rsidR="0034552B" w14:paraId="1A22073E" w14:textId="77777777" w:rsidTr="26403EC0">
        <w:tc>
          <w:tcPr>
            <w:tcW w:w="2122" w:type="dxa"/>
          </w:tcPr>
          <w:p w14:paraId="2D56F81F" w14:textId="23C071AA" w:rsidR="0034552B" w:rsidRDefault="0034552B" w:rsidP="0034552B">
            <w:pPr>
              <w:pStyle w:val="TableText0"/>
              <w:rPr>
                <w:rStyle w:val="CommentReference"/>
                <w:b w:val="0"/>
                <w:szCs w:val="24"/>
              </w:rPr>
            </w:pPr>
            <w:r>
              <w:rPr>
                <w:rStyle w:val="CommentReference"/>
                <w:b w:val="0"/>
                <w:szCs w:val="24"/>
              </w:rPr>
              <w:t>IAR Reported as TESAE, n (%)</w:t>
            </w:r>
          </w:p>
        </w:tc>
        <w:tc>
          <w:tcPr>
            <w:tcW w:w="1134" w:type="dxa"/>
          </w:tcPr>
          <w:p w14:paraId="7C7976E1" w14:textId="51FE6D42" w:rsidR="0034552B" w:rsidRDefault="0034552B" w:rsidP="0034552B">
            <w:pPr>
              <w:pStyle w:val="TableText0"/>
              <w:rPr>
                <w:rStyle w:val="CommentReference"/>
                <w:b w:val="0"/>
                <w:szCs w:val="24"/>
              </w:rPr>
            </w:pPr>
            <w:r>
              <w:rPr>
                <w:rStyle w:val="CommentReference"/>
                <w:b w:val="0"/>
                <w:szCs w:val="24"/>
              </w:rPr>
              <w:t>1 (1.2%)</w:t>
            </w:r>
          </w:p>
        </w:tc>
        <w:tc>
          <w:tcPr>
            <w:tcW w:w="1134" w:type="dxa"/>
          </w:tcPr>
          <w:p w14:paraId="5AD289BA" w14:textId="5AFEB583" w:rsidR="0034552B" w:rsidRDefault="0034552B" w:rsidP="0034552B">
            <w:pPr>
              <w:pStyle w:val="TableText0"/>
              <w:rPr>
                <w:rStyle w:val="CommentReference"/>
                <w:b w:val="0"/>
                <w:szCs w:val="24"/>
              </w:rPr>
            </w:pPr>
            <w:r>
              <w:rPr>
                <w:rStyle w:val="CommentReference"/>
                <w:b w:val="0"/>
                <w:szCs w:val="24"/>
              </w:rPr>
              <w:t xml:space="preserve">0 </w:t>
            </w:r>
          </w:p>
        </w:tc>
        <w:tc>
          <w:tcPr>
            <w:tcW w:w="1134" w:type="dxa"/>
          </w:tcPr>
          <w:p w14:paraId="59FA854D" w14:textId="3F40CF97" w:rsidR="0034552B" w:rsidRDefault="0034552B" w:rsidP="0034552B">
            <w:pPr>
              <w:pStyle w:val="TableText0"/>
              <w:rPr>
                <w:rStyle w:val="CommentReference"/>
                <w:b w:val="0"/>
                <w:szCs w:val="24"/>
              </w:rPr>
            </w:pPr>
            <w:r>
              <w:rPr>
                <w:rStyle w:val="CommentReference"/>
                <w:b w:val="0"/>
                <w:szCs w:val="24"/>
              </w:rPr>
              <w:t>1 (0.8%)</w:t>
            </w:r>
          </w:p>
        </w:tc>
        <w:tc>
          <w:tcPr>
            <w:tcW w:w="1275" w:type="dxa"/>
          </w:tcPr>
          <w:p w14:paraId="7AD8C7EA" w14:textId="531AC201" w:rsidR="0034552B" w:rsidRDefault="00A732C9" w:rsidP="0034552B">
            <w:pPr>
              <w:pStyle w:val="TableText0"/>
              <w:rPr>
                <w:rStyle w:val="CommentReference"/>
                <w:b w:val="0"/>
                <w:szCs w:val="24"/>
              </w:rPr>
            </w:pPr>
            <w:r>
              <w:rPr>
                <w:rStyle w:val="CommentReference"/>
                <w:b w:val="0"/>
                <w:szCs w:val="24"/>
              </w:rPr>
              <w:t>NR</w:t>
            </w:r>
          </w:p>
        </w:tc>
        <w:tc>
          <w:tcPr>
            <w:tcW w:w="1134" w:type="dxa"/>
          </w:tcPr>
          <w:p w14:paraId="697A6041" w14:textId="1E265640" w:rsidR="0034552B" w:rsidRDefault="00A732C9" w:rsidP="0034552B">
            <w:pPr>
              <w:pStyle w:val="TableText0"/>
              <w:rPr>
                <w:rStyle w:val="CommentReference"/>
                <w:b w:val="0"/>
                <w:szCs w:val="24"/>
              </w:rPr>
            </w:pPr>
            <w:r>
              <w:rPr>
                <w:rStyle w:val="CommentReference"/>
                <w:b w:val="0"/>
                <w:szCs w:val="24"/>
              </w:rPr>
              <w:t>NR</w:t>
            </w:r>
          </w:p>
        </w:tc>
        <w:tc>
          <w:tcPr>
            <w:tcW w:w="1084" w:type="dxa"/>
          </w:tcPr>
          <w:p w14:paraId="16CB8E62" w14:textId="696424BC" w:rsidR="0034552B" w:rsidRDefault="00A732C9" w:rsidP="0034552B">
            <w:pPr>
              <w:pStyle w:val="TableText0"/>
              <w:rPr>
                <w:rStyle w:val="CommentReference"/>
                <w:b w:val="0"/>
                <w:szCs w:val="24"/>
              </w:rPr>
            </w:pPr>
            <w:r>
              <w:rPr>
                <w:rStyle w:val="CommentReference"/>
                <w:b w:val="0"/>
                <w:szCs w:val="24"/>
              </w:rPr>
              <w:t>NR</w:t>
            </w:r>
          </w:p>
        </w:tc>
      </w:tr>
      <w:tr w:rsidR="006970C5" w14:paraId="1F25624D" w14:textId="77777777" w:rsidTr="26403EC0">
        <w:tc>
          <w:tcPr>
            <w:tcW w:w="2122" w:type="dxa"/>
          </w:tcPr>
          <w:p w14:paraId="51633379" w14:textId="35CA31E0" w:rsidR="006970C5" w:rsidRDefault="0034552B" w:rsidP="0034552B">
            <w:pPr>
              <w:pStyle w:val="TableText0"/>
              <w:rPr>
                <w:rStyle w:val="CommentReference"/>
                <w:b w:val="0"/>
                <w:szCs w:val="24"/>
              </w:rPr>
            </w:pPr>
            <w:r>
              <w:rPr>
                <w:rStyle w:val="CommentReference"/>
                <w:b w:val="0"/>
                <w:szCs w:val="24"/>
              </w:rPr>
              <w:t>IAR leading to Study Drug Discontinuation, n (%)</w:t>
            </w:r>
          </w:p>
        </w:tc>
        <w:tc>
          <w:tcPr>
            <w:tcW w:w="1134" w:type="dxa"/>
          </w:tcPr>
          <w:p w14:paraId="65BA7D19" w14:textId="64A3D378" w:rsidR="006970C5" w:rsidRDefault="0034552B" w:rsidP="0034552B">
            <w:pPr>
              <w:pStyle w:val="TableText0"/>
              <w:rPr>
                <w:rStyle w:val="CommentReference"/>
                <w:b w:val="0"/>
                <w:szCs w:val="24"/>
              </w:rPr>
            </w:pPr>
            <w:r>
              <w:rPr>
                <w:rStyle w:val="CommentReference"/>
                <w:b w:val="0"/>
                <w:szCs w:val="24"/>
              </w:rPr>
              <w:t>2 (2.4%)</w:t>
            </w:r>
          </w:p>
        </w:tc>
        <w:tc>
          <w:tcPr>
            <w:tcW w:w="1134" w:type="dxa"/>
          </w:tcPr>
          <w:p w14:paraId="3E5E279C" w14:textId="70CEB808" w:rsidR="006970C5" w:rsidRDefault="0034552B" w:rsidP="0034552B">
            <w:pPr>
              <w:pStyle w:val="TableText0"/>
              <w:rPr>
                <w:rStyle w:val="CommentReference"/>
                <w:b w:val="0"/>
                <w:szCs w:val="24"/>
              </w:rPr>
            </w:pPr>
            <w:r>
              <w:rPr>
                <w:rStyle w:val="CommentReference"/>
                <w:b w:val="0"/>
                <w:szCs w:val="24"/>
              </w:rPr>
              <w:t xml:space="preserve">0 </w:t>
            </w:r>
          </w:p>
        </w:tc>
        <w:tc>
          <w:tcPr>
            <w:tcW w:w="1134" w:type="dxa"/>
          </w:tcPr>
          <w:p w14:paraId="3D226B5B" w14:textId="2CBF71FB" w:rsidR="006970C5" w:rsidRDefault="0034552B" w:rsidP="0034552B">
            <w:pPr>
              <w:pStyle w:val="TableText0"/>
              <w:rPr>
                <w:rStyle w:val="CommentReference"/>
                <w:b w:val="0"/>
                <w:szCs w:val="24"/>
              </w:rPr>
            </w:pPr>
            <w:r>
              <w:rPr>
                <w:rStyle w:val="CommentReference"/>
                <w:b w:val="0"/>
                <w:szCs w:val="24"/>
              </w:rPr>
              <w:t>2 (1.6%)</w:t>
            </w:r>
          </w:p>
        </w:tc>
        <w:tc>
          <w:tcPr>
            <w:tcW w:w="1275" w:type="dxa"/>
          </w:tcPr>
          <w:p w14:paraId="6C7D5A2C" w14:textId="45B9D29B" w:rsidR="006970C5" w:rsidRDefault="00A732C9" w:rsidP="0034552B">
            <w:pPr>
              <w:pStyle w:val="TableText0"/>
              <w:rPr>
                <w:rStyle w:val="CommentReference"/>
                <w:b w:val="0"/>
                <w:szCs w:val="24"/>
              </w:rPr>
            </w:pPr>
            <w:r>
              <w:rPr>
                <w:rStyle w:val="CommentReference"/>
                <w:b w:val="0"/>
                <w:szCs w:val="24"/>
              </w:rPr>
              <w:t>NR</w:t>
            </w:r>
          </w:p>
        </w:tc>
        <w:tc>
          <w:tcPr>
            <w:tcW w:w="1134" w:type="dxa"/>
          </w:tcPr>
          <w:p w14:paraId="1FF93B34" w14:textId="1C6A4735" w:rsidR="006970C5" w:rsidRDefault="00A732C9" w:rsidP="0034552B">
            <w:pPr>
              <w:pStyle w:val="TableText0"/>
              <w:rPr>
                <w:rStyle w:val="CommentReference"/>
                <w:b w:val="0"/>
                <w:szCs w:val="24"/>
              </w:rPr>
            </w:pPr>
            <w:r>
              <w:rPr>
                <w:rStyle w:val="CommentReference"/>
                <w:b w:val="0"/>
                <w:szCs w:val="24"/>
              </w:rPr>
              <w:t>NR</w:t>
            </w:r>
          </w:p>
        </w:tc>
        <w:tc>
          <w:tcPr>
            <w:tcW w:w="1084" w:type="dxa"/>
          </w:tcPr>
          <w:p w14:paraId="3760FF0D" w14:textId="21BB6D47" w:rsidR="006970C5" w:rsidRDefault="00A732C9" w:rsidP="0034552B">
            <w:pPr>
              <w:pStyle w:val="TableText0"/>
              <w:rPr>
                <w:rStyle w:val="CommentReference"/>
                <w:b w:val="0"/>
                <w:szCs w:val="24"/>
              </w:rPr>
            </w:pPr>
            <w:r>
              <w:rPr>
                <w:rStyle w:val="CommentReference"/>
                <w:b w:val="0"/>
                <w:szCs w:val="24"/>
              </w:rPr>
              <w:t>NR</w:t>
            </w:r>
          </w:p>
        </w:tc>
      </w:tr>
      <w:tr w:rsidR="006970C5" w14:paraId="7B8C8BC5" w14:textId="77777777" w:rsidTr="26403EC0">
        <w:tc>
          <w:tcPr>
            <w:tcW w:w="2122" w:type="dxa"/>
          </w:tcPr>
          <w:p w14:paraId="7838EFDF" w14:textId="2BD018B2" w:rsidR="006970C5" w:rsidRDefault="0034552B" w:rsidP="0034552B">
            <w:pPr>
              <w:pStyle w:val="TableText0"/>
              <w:rPr>
                <w:rStyle w:val="CommentReference"/>
                <w:b w:val="0"/>
                <w:szCs w:val="24"/>
              </w:rPr>
            </w:pPr>
            <w:r>
              <w:rPr>
                <w:rStyle w:val="CommentReference"/>
                <w:b w:val="0"/>
                <w:szCs w:val="24"/>
              </w:rPr>
              <w:t>Anaphylactoid Reaction, n (%)</w:t>
            </w:r>
          </w:p>
        </w:tc>
        <w:tc>
          <w:tcPr>
            <w:tcW w:w="1134" w:type="dxa"/>
          </w:tcPr>
          <w:p w14:paraId="3B573E4A" w14:textId="3FA7E010" w:rsidR="006970C5" w:rsidRDefault="0034552B" w:rsidP="0034552B">
            <w:pPr>
              <w:pStyle w:val="TableText0"/>
              <w:rPr>
                <w:rStyle w:val="CommentReference"/>
                <w:b w:val="0"/>
                <w:szCs w:val="24"/>
              </w:rPr>
            </w:pPr>
            <w:r>
              <w:rPr>
                <w:rStyle w:val="CommentReference"/>
                <w:b w:val="0"/>
                <w:szCs w:val="24"/>
              </w:rPr>
              <w:t>1 (1.2%)</w:t>
            </w:r>
          </w:p>
        </w:tc>
        <w:tc>
          <w:tcPr>
            <w:tcW w:w="1134" w:type="dxa"/>
          </w:tcPr>
          <w:p w14:paraId="1CFD7587" w14:textId="264BAF17" w:rsidR="006970C5" w:rsidRDefault="0034552B" w:rsidP="0034552B">
            <w:pPr>
              <w:pStyle w:val="TableText0"/>
              <w:rPr>
                <w:rStyle w:val="CommentReference"/>
                <w:b w:val="0"/>
                <w:szCs w:val="24"/>
              </w:rPr>
            </w:pPr>
            <w:r>
              <w:rPr>
                <w:rStyle w:val="CommentReference"/>
                <w:b w:val="0"/>
                <w:szCs w:val="24"/>
              </w:rPr>
              <w:t>0</w:t>
            </w:r>
          </w:p>
        </w:tc>
        <w:tc>
          <w:tcPr>
            <w:tcW w:w="1134" w:type="dxa"/>
          </w:tcPr>
          <w:p w14:paraId="42926AF3" w14:textId="271EFECE" w:rsidR="006970C5" w:rsidRDefault="0034552B" w:rsidP="0034552B">
            <w:pPr>
              <w:pStyle w:val="TableText0"/>
              <w:rPr>
                <w:rStyle w:val="CommentReference"/>
                <w:b w:val="0"/>
                <w:szCs w:val="24"/>
              </w:rPr>
            </w:pPr>
            <w:r>
              <w:rPr>
                <w:rStyle w:val="CommentReference"/>
                <w:b w:val="0"/>
                <w:szCs w:val="24"/>
              </w:rPr>
              <w:t>1 (0.8%)</w:t>
            </w:r>
          </w:p>
        </w:tc>
        <w:tc>
          <w:tcPr>
            <w:tcW w:w="1275" w:type="dxa"/>
          </w:tcPr>
          <w:p w14:paraId="061DBAE2" w14:textId="58B89D48" w:rsidR="006970C5" w:rsidRDefault="00A732C9" w:rsidP="0034552B">
            <w:pPr>
              <w:pStyle w:val="TableText0"/>
              <w:rPr>
                <w:rStyle w:val="CommentReference"/>
                <w:b w:val="0"/>
                <w:szCs w:val="24"/>
              </w:rPr>
            </w:pPr>
            <w:r>
              <w:rPr>
                <w:rStyle w:val="CommentReference"/>
                <w:b w:val="0"/>
                <w:szCs w:val="24"/>
              </w:rPr>
              <w:t>NR</w:t>
            </w:r>
          </w:p>
        </w:tc>
        <w:tc>
          <w:tcPr>
            <w:tcW w:w="1134" w:type="dxa"/>
          </w:tcPr>
          <w:p w14:paraId="3D9711F8" w14:textId="477E3D35" w:rsidR="006970C5" w:rsidRDefault="00A732C9" w:rsidP="0034552B">
            <w:pPr>
              <w:pStyle w:val="TableText0"/>
              <w:rPr>
                <w:rStyle w:val="CommentReference"/>
                <w:b w:val="0"/>
                <w:szCs w:val="24"/>
              </w:rPr>
            </w:pPr>
            <w:r>
              <w:rPr>
                <w:rStyle w:val="CommentReference"/>
                <w:b w:val="0"/>
                <w:szCs w:val="24"/>
              </w:rPr>
              <w:t>NR</w:t>
            </w:r>
          </w:p>
        </w:tc>
        <w:tc>
          <w:tcPr>
            <w:tcW w:w="1084" w:type="dxa"/>
          </w:tcPr>
          <w:p w14:paraId="679934D4" w14:textId="71398873" w:rsidR="006970C5" w:rsidRDefault="00A732C9" w:rsidP="0034552B">
            <w:pPr>
              <w:pStyle w:val="TableText0"/>
              <w:rPr>
                <w:rStyle w:val="CommentReference"/>
                <w:b w:val="0"/>
                <w:szCs w:val="24"/>
              </w:rPr>
            </w:pPr>
            <w:r>
              <w:rPr>
                <w:rStyle w:val="CommentReference"/>
                <w:b w:val="0"/>
                <w:szCs w:val="24"/>
              </w:rPr>
              <w:t>NR</w:t>
            </w:r>
          </w:p>
        </w:tc>
      </w:tr>
      <w:tr w:rsidR="00B6319B" w14:paraId="7E669083" w14:textId="77777777" w:rsidTr="26403EC0">
        <w:tc>
          <w:tcPr>
            <w:tcW w:w="2122" w:type="dxa"/>
          </w:tcPr>
          <w:p w14:paraId="4565961A" w14:textId="13BFD718" w:rsidR="00B6319B" w:rsidRPr="00B6319B" w:rsidRDefault="00B6319B" w:rsidP="0034552B">
            <w:pPr>
              <w:pStyle w:val="TableText0"/>
              <w:rPr>
                <w:rStyle w:val="CommentReference"/>
                <w:b w:val="0"/>
                <w:szCs w:val="24"/>
              </w:rPr>
            </w:pPr>
            <w:r w:rsidRPr="00B6319B">
              <w:rPr>
                <w:rStyle w:val="CommentReference"/>
                <w:b w:val="0"/>
                <w:szCs w:val="24"/>
              </w:rPr>
              <w:t>Headache, n (%)</w:t>
            </w:r>
          </w:p>
        </w:tc>
        <w:tc>
          <w:tcPr>
            <w:tcW w:w="1134" w:type="dxa"/>
          </w:tcPr>
          <w:p w14:paraId="653C3B69" w14:textId="41851145" w:rsidR="00B6319B" w:rsidRPr="00B6319B" w:rsidRDefault="00B6319B" w:rsidP="0034552B">
            <w:pPr>
              <w:pStyle w:val="TableText0"/>
              <w:rPr>
                <w:rStyle w:val="CommentReference"/>
                <w:b w:val="0"/>
                <w:szCs w:val="24"/>
              </w:rPr>
            </w:pPr>
            <w:r w:rsidRPr="00B6319B">
              <w:rPr>
                <w:rStyle w:val="CommentReference"/>
                <w:b w:val="0"/>
                <w:szCs w:val="24"/>
              </w:rPr>
              <w:t>20 (23.5%)</w:t>
            </w:r>
          </w:p>
        </w:tc>
        <w:tc>
          <w:tcPr>
            <w:tcW w:w="1134" w:type="dxa"/>
          </w:tcPr>
          <w:p w14:paraId="52C00E6C" w14:textId="7A8A8847" w:rsidR="00B6319B" w:rsidRPr="00B6319B" w:rsidRDefault="00B6319B" w:rsidP="0034552B">
            <w:pPr>
              <w:pStyle w:val="TableText0"/>
              <w:rPr>
                <w:rStyle w:val="CommentReference"/>
                <w:b w:val="0"/>
                <w:szCs w:val="24"/>
              </w:rPr>
            </w:pPr>
            <w:r w:rsidRPr="00B6319B">
              <w:rPr>
                <w:rStyle w:val="CommentReference"/>
                <w:b w:val="0"/>
                <w:szCs w:val="24"/>
              </w:rPr>
              <w:t>9 (23.7%)</w:t>
            </w:r>
          </w:p>
        </w:tc>
        <w:tc>
          <w:tcPr>
            <w:tcW w:w="1134" w:type="dxa"/>
          </w:tcPr>
          <w:p w14:paraId="2CF638ED" w14:textId="06FFC04A" w:rsidR="00B6319B" w:rsidRPr="00B6319B" w:rsidRDefault="00B6319B" w:rsidP="0034552B">
            <w:pPr>
              <w:pStyle w:val="TableText0"/>
              <w:rPr>
                <w:rStyle w:val="CommentReference"/>
                <w:b w:val="0"/>
                <w:szCs w:val="24"/>
              </w:rPr>
            </w:pPr>
            <w:r w:rsidRPr="00B6319B">
              <w:rPr>
                <w:rStyle w:val="CommentReference"/>
                <w:b w:val="0"/>
                <w:szCs w:val="24"/>
              </w:rPr>
              <w:t>29 (23.6%)</w:t>
            </w:r>
          </w:p>
        </w:tc>
        <w:tc>
          <w:tcPr>
            <w:tcW w:w="1275" w:type="dxa"/>
          </w:tcPr>
          <w:p w14:paraId="7CF2A0F4" w14:textId="093A8941" w:rsidR="00B6319B" w:rsidRPr="00B6319B" w:rsidRDefault="00B6319B" w:rsidP="0034552B">
            <w:pPr>
              <w:pStyle w:val="TableText0"/>
              <w:rPr>
                <w:rStyle w:val="CommentReference"/>
                <w:b w:val="0"/>
                <w:szCs w:val="24"/>
              </w:rPr>
            </w:pPr>
            <w:r w:rsidRPr="00B6319B">
              <w:rPr>
                <w:rStyle w:val="CommentReference"/>
                <w:b w:val="0"/>
                <w:szCs w:val="24"/>
              </w:rPr>
              <w:t>NR</w:t>
            </w:r>
          </w:p>
        </w:tc>
        <w:tc>
          <w:tcPr>
            <w:tcW w:w="1134" w:type="dxa"/>
          </w:tcPr>
          <w:p w14:paraId="0315AE13" w14:textId="74965C56" w:rsidR="00B6319B" w:rsidRPr="00B6319B" w:rsidRDefault="00B6319B" w:rsidP="0034552B">
            <w:pPr>
              <w:pStyle w:val="TableText0"/>
              <w:rPr>
                <w:rStyle w:val="CommentReference"/>
                <w:b w:val="0"/>
                <w:szCs w:val="24"/>
              </w:rPr>
            </w:pPr>
            <w:r w:rsidRPr="00B6319B">
              <w:rPr>
                <w:rStyle w:val="CommentReference"/>
                <w:b w:val="0"/>
                <w:szCs w:val="24"/>
              </w:rPr>
              <w:t>NR</w:t>
            </w:r>
          </w:p>
        </w:tc>
        <w:tc>
          <w:tcPr>
            <w:tcW w:w="1084" w:type="dxa"/>
          </w:tcPr>
          <w:p w14:paraId="71C3C4EC" w14:textId="76F30B0B" w:rsidR="00B6319B" w:rsidRPr="00B6319B" w:rsidRDefault="00B6319B" w:rsidP="0034552B">
            <w:pPr>
              <w:pStyle w:val="TableText0"/>
              <w:rPr>
                <w:rStyle w:val="CommentReference"/>
                <w:b w:val="0"/>
                <w:szCs w:val="24"/>
              </w:rPr>
            </w:pPr>
            <w:r w:rsidRPr="00B6319B">
              <w:rPr>
                <w:rStyle w:val="CommentReference"/>
                <w:b w:val="0"/>
                <w:szCs w:val="24"/>
              </w:rPr>
              <w:t>NR</w:t>
            </w:r>
          </w:p>
        </w:tc>
      </w:tr>
      <w:tr w:rsidR="00201E77" w14:paraId="3713E556" w14:textId="77777777" w:rsidTr="26403EC0">
        <w:tc>
          <w:tcPr>
            <w:tcW w:w="2122" w:type="dxa"/>
          </w:tcPr>
          <w:p w14:paraId="1406485B" w14:textId="2A183D56" w:rsidR="00201E77" w:rsidRPr="00B6319B" w:rsidRDefault="00201E77" w:rsidP="0034552B">
            <w:pPr>
              <w:pStyle w:val="TableText0"/>
              <w:rPr>
                <w:rStyle w:val="CommentReference"/>
                <w:b w:val="0"/>
                <w:szCs w:val="24"/>
              </w:rPr>
            </w:pPr>
            <w:r>
              <w:rPr>
                <w:rStyle w:val="CommentReference"/>
                <w:b w:val="0"/>
                <w:szCs w:val="24"/>
              </w:rPr>
              <w:t>Diarrhoea, n (%)</w:t>
            </w:r>
          </w:p>
        </w:tc>
        <w:tc>
          <w:tcPr>
            <w:tcW w:w="1134" w:type="dxa"/>
          </w:tcPr>
          <w:p w14:paraId="50127791" w14:textId="62F41ADF" w:rsidR="00201E77" w:rsidRPr="00B6319B" w:rsidRDefault="00201E77" w:rsidP="0034552B">
            <w:pPr>
              <w:pStyle w:val="TableText0"/>
              <w:rPr>
                <w:rStyle w:val="CommentReference"/>
                <w:b w:val="0"/>
                <w:szCs w:val="24"/>
              </w:rPr>
            </w:pPr>
            <w:r>
              <w:rPr>
                <w:rStyle w:val="CommentReference"/>
                <w:b w:val="0"/>
                <w:szCs w:val="24"/>
              </w:rPr>
              <w:t>11 (12.9%)</w:t>
            </w:r>
          </w:p>
        </w:tc>
        <w:tc>
          <w:tcPr>
            <w:tcW w:w="1134" w:type="dxa"/>
          </w:tcPr>
          <w:p w14:paraId="6F81CB77" w14:textId="4D8D86F4" w:rsidR="00201E77" w:rsidRPr="00B6319B" w:rsidRDefault="00201E77" w:rsidP="0034552B">
            <w:pPr>
              <w:pStyle w:val="TableText0"/>
              <w:rPr>
                <w:rStyle w:val="CommentReference"/>
                <w:b w:val="0"/>
                <w:szCs w:val="24"/>
              </w:rPr>
            </w:pPr>
            <w:r>
              <w:rPr>
                <w:rStyle w:val="CommentReference"/>
                <w:b w:val="0"/>
                <w:szCs w:val="24"/>
              </w:rPr>
              <w:t>4 (10.5%)</w:t>
            </w:r>
          </w:p>
        </w:tc>
        <w:tc>
          <w:tcPr>
            <w:tcW w:w="1134" w:type="dxa"/>
          </w:tcPr>
          <w:p w14:paraId="6167939B" w14:textId="044987EB" w:rsidR="00201E77" w:rsidRPr="00B6319B" w:rsidRDefault="00201E77" w:rsidP="0034552B">
            <w:pPr>
              <w:pStyle w:val="TableText0"/>
              <w:rPr>
                <w:rStyle w:val="CommentReference"/>
                <w:b w:val="0"/>
                <w:szCs w:val="24"/>
              </w:rPr>
            </w:pPr>
            <w:r>
              <w:rPr>
                <w:rStyle w:val="CommentReference"/>
                <w:b w:val="0"/>
                <w:szCs w:val="24"/>
              </w:rPr>
              <w:t>15 (12.2%)</w:t>
            </w:r>
          </w:p>
        </w:tc>
        <w:tc>
          <w:tcPr>
            <w:tcW w:w="1275" w:type="dxa"/>
          </w:tcPr>
          <w:p w14:paraId="5D96996B" w14:textId="40DAF254" w:rsidR="00201E77" w:rsidRPr="00B6319B" w:rsidRDefault="00955CE0" w:rsidP="0034552B">
            <w:pPr>
              <w:pStyle w:val="TableText0"/>
              <w:rPr>
                <w:rStyle w:val="CommentReference"/>
                <w:b w:val="0"/>
                <w:szCs w:val="24"/>
              </w:rPr>
            </w:pPr>
            <w:r>
              <w:rPr>
                <w:rStyle w:val="CommentReference"/>
                <w:b w:val="0"/>
                <w:szCs w:val="24"/>
              </w:rPr>
              <w:t>NR</w:t>
            </w:r>
          </w:p>
        </w:tc>
        <w:tc>
          <w:tcPr>
            <w:tcW w:w="1134" w:type="dxa"/>
          </w:tcPr>
          <w:p w14:paraId="75887E3A" w14:textId="55906900" w:rsidR="00201E77" w:rsidRPr="00B6319B" w:rsidRDefault="00955CE0" w:rsidP="0034552B">
            <w:pPr>
              <w:pStyle w:val="TableText0"/>
              <w:rPr>
                <w:rStyle w:val="CommentReference"/>
                <w:b w:val="0"/>
                <w:szCs w:val="24"/>
              </w:rPr>
            </w:pPr>
            <w:r>
              <w:rPr>
                <w:rStyle w:val="CommentReference"/>
                <w:b w:val="0"/>
                <w:szCs w:val="24"/>
              </w:rPr>
              <w:t>NR</w:t>
            </w:r>
          </w:p>
        </w:tc>
        <w:tc>
          <w:tcPr>
            <w:tcW w:w="1084" w:type="dxa"/>
          </w:tcPr>
          <w:p w14:paraId="105F678A" w14:textId="7C9311A4" w:rsidR="00201E77" w:rsidRPr="00B6319B" w:rsidRDefault="00955CE0" w:rsidP="0034552B">
            <w:pPr>
              <w:pStyle w:val="TableText0"/>
              <w:rPr>
                <w:rStyle w:val="CommentReference"/>
                <w:b w:val="0"/>
                <w:szCs w:val="24"/>
              </w:rPr>
            </w:pPr>
            <w:r>
              <w:rPr>
                <w:rStyle w:val="CommentReference"/>
                <w:b w:val="0"/>
                <w:szCs w:val="24"/>
              </w:rPr>
              <w:t>NR</w:t>
            </w:r>
          </w:p>
        </w:tc>
      </w:tr>
      <w:tr w:rsidR="006970C5" w14:paraId="01386A41" w14:textId="77777777" w:rsidTr="26403EC0">
        <w:tc>
          <w:tcPr>
            <w:tcW w:w="2122" w:type="dxa"/>
          </w:tcPr>
          <w:p w14:paraId="3A19EF07" w14:textId="28E61204" w:rsidR="006970C5" w:rsidRDefault="1A728E43" w:rsidP="26403EC0">
            <w:pPr>
              <w:pStyle w:val="TableText0"/>
              <w:rPr>
                <w:rStyle w:val="CommentReference"/>
                <w:b w:val="0"/>
              </w:rPr>
            </w:pPr>
            <w:r w:rsidRPr="26403EC0">
              <w:rPr>
                <w:rStyle w:val="CommentReference"/>
                <w:b w:val="0"/>
              </w:rPr>
              <w:t>Positive anti-</w:t>
            </w:r>
            <w:proofErr w:type="spellStart"/>
            <w:r w:rsidRPr="26403EC0">
              <w:rPr>
                <w:rStyle w:val="CommentReference"/>
                <w:b w:val="0"/>
              </w:rPr>
              <w:t>rhGAA</w:t>
            </w:r>
            <w:proofErr w:type="spellEnd"/>
            <w:r w:rsidRPr="26403EC0">
              <w:rPr>
                <w:rStyle w:val="CommentReference"/>
                <w:b w:val="0"/>
              </w:rPr>
              <w:t xml:space="preserve"> Antibodies, ERT Experienced, n/N (%)</w:t>
            </w:r>
          </w:p>
          <w:p w14:paraId="3A198725" w14:textId="77777777" w:rsidR="004F3DE4" w:rsidRDefault="004F3DE4" w:rsidP="004F3DE4">
            <w:pPr>
              <w:pStyle w:val="TableText0"/>
              <w:jc w:val="right"/>
              <w:rPr>
                <w:rStyle w:val="CommentReference"/>
                <w:b w:val="0"/>
                <w:szCs w:val="24"/>
              </w:rPr>
            </w:pPr>
            <w:r>
              <w:rPr>
                <w:rStyle w:val="CommentReference"/>
                <w:b w:val="0"/>
                <w:szCs w:val="24"/>
              </w:rPr>
              <w:t>Baseline</w:t>
            </w:r>
          </w:p>
          <w:p w14:paraId="587599D9" w14:textId="77777777" w:rsidR="00955CE0" w:rsidRDefault="00955CE0" w:rsidP="004F3DE4">
            <w:pPr>
              <w:pStyle w:val="TableText0"/>
              <w:jc w:val="right"/>
              <w:rPr>
                <w:rStyle w:val="CommentReference"/>
                <w:b w:val="0"/>
                <w:szCs w:val="24"/>
              </w:rPr>
            </w:pPr>
          </w:p>
          <w:p w14:paraId="59DAEDD7" w14:textId="55B33E9B" w:rsidR="004F3DE4" w:rsidRDefault="1A728E43" w:rsidP="26403EC0">
            <w:pPr>
              <w:pStyle w:val="TableText0"/>
              <w:jc w:val="right"/>
              <w:rPr>
                <w:rStyle w:val="CommentReference"/>
                <w:b w:val="0"/>
              </w:rPr>
            </w:pPr>
            <w:r w:rsidRPr="26403EC0">
              <w:rPr>
                <w:rStyle w:val="CommentReference"/>
                <w:b w:val="0"/>
              </w:rPr>
              <w:t>52 wk</w:t>
            </w:r>
          </w:p>
        </w:tc>
        <w:tc>
          <w:tcPr>
            <w:tcW w:w="1134" w:type="dxa"/>
          </w:tcPr>
          <w:p w14:paraId="5C40214C" w14:textId="77777777" w:rsidR="006970C5" w:rsidRDefault="006970C5" w:rsidP="0034552B">
            <w:pPr>
              <w:pStyle w:val="TableText0"/>
              <w:rPr>
                <w:rStyle w:val="CommentReference"/>
                <w:b w:val="0"/>
                <w:szCs w:val="24"/>
              </w:rPr>
            </w:pPr>
          </w:p>
          <w:p w14:paraId="319DABB4" w14:textId="77777777" w:rsidR="00955CE0" w:rsidRDefault="00955CE0" w:rsidP="0034552B">
            <w:pPr>
              <w:pStyle w:val="TableText0"/>
              <w:rPr>
                <w:rStyle w:val="CommentReference"/>
                <w:b w:val="0"/>
                <w:szCs w:val="24"/>
              </w:rPr>
            </w:pPr>
          </w:p>
          <w:p w14:paraId="4EB37599" w14:textId="77777777" w:rsidR="00955CE0" w:rsidRDefault="00955CE0" w:rsidP="0034552B">
            <w:pPr>
              <w:pStyle w:val="TableText0"/>
              <w:rPr>
                <w:rStyle w:val="CommentReference"/>
                <w:b w:val="0"/>
                <w:szCs w:val="24"/>
              </w:rPr>
            </w:pPr>
          </w:p>
          <w:p w14:paraId="1D4B8EF6" w14:textId="08D0D621" w:rsidR="004F3DE4" w:rsidRDefault="004F3DE4" w:rsidP="0034552B">
            <w:pPr>
              <w:pStyle w:val="TableText0"/>
              <w:rPr>
                <w:rStyle w:val="CommentReference"/>
                <w:b w:val="0"/>
                <w:szCs w:val="24"/>
              </w:rPr>
            </w:pPr>
            <w:r>
              <w:rPr>
                <w:rStyle w:val="CommentReference"/>
                <w:b w:val="0"/>
                <w:szCs w:val="24"/>
              </w:rPr>
              <w:t>55/65 (84.6%)</w:t>
            </w:r>
          </w:p>
          <w:p w14:paraId="3EE332E3" w14:textId="11FCAE72" w:rsidR="004F3DE4" w:rsidRDefault="004F3DE4" w:rsidP="0034552B">
            <w:pPr>
              <w:pStyle w:val="TableText0"/>
              <w:rPr>
                <w:rStyle w:val="CommentReference"/>
                <w:b w:val="0"/>
                <w:szCs w:val="24"/>
              </w:rPr>
            </w:pPr>
            <w:r>
              <w:rPr>
                <w:rStyle w:val="CommentReference"/>
                <w:b w:val="0"/>
                <w:szCs w:val="24"/>
              </w:rPr>
              <w:t>45/58 (77.8%)</w:t>
            </w:r>
          </w:p>
        </w:tc>
        <w:tc>
          <w:tcPr>
            <w:tcW w:w="1134" w:type="dxa"/>
          </w:tcPr>
          <w:p w14:paraId="5D2F7226" w14:textId="77777777" w:rsidR="006970C5" w:rsidRDefault="006970C5" w:rsidP="0034552B">
            <w:pPr>
              <w:pStyle w:val="TableText0"/>
              <w:rPr>
                <w:rStyle w:val="CommentReference"/>
                <w:b w:val="0"/>
                <w:szCs w:val="24"/>
              </w:rPr>
            </w:pPr>
          </w:p>
          <w:p w14:paraId="70DA6D84" w14:textId="77777777" w:rsidR="004F3DE4" w:rsidRDefault="004F3DE4" w:rsidP="0034552B">
            <w:pPr>
              <w:pStyle w:val="TableText0"/>
              <w:rPr>
                <w:rStyle w:val="CommentReference"/>
                <w:b w:val="0"/>
                <w:szCs w:val="24"/>
              </w:rPr>
            </w:pPr>
          </w:p>
          <w:p w14:paraId="0325CCCB" w14:textId="77777777" w:rsidR="004F3DE4" w:rsidRDefault="004F3DE4" w:rsidP="0034552B">
            <w:pPr>
              <w:pStyle w:val="TableText0"/>
              <w:rPr>
                <w:rStyle w:val="CommentReference"/>
                <w:b w:val="0"/>
                <w:szCs w:val="24"/>
              </w:rPr>
            </w:pPr>
          </w:p>
          <w:p w14:paraId="5D01A79E" w14:textId="77777777" w:rsidR="004F3DE4" w:rsidRDefault="004F3DE4" w:rsidP="0034552B">
            <w:pPr>
              <w:pStyle w:val="TableText0"/>
              <w:rPr>
                <w:rStyle w:val="CommentReference"/>
                <w:b w:val="0"/>
                <w:szCs w:val="24"/>
              </w:rPr>
            </w:pPr>
            <w:r>
              <w:rPr>
                <w:rStyle w:val="CommentReference"/>
                <w:b w:val="0"/>
                <w:szCs w:val="24"/>
              </w:rPr>
              <w:t>22/30 (73.3%)</w:t>
            </w:r>
          </w:p>
          <w:p w14:paraId="2D2409E1" w14:textId="4E6A4ADE" w:rsidR="004F3DE4" w:rsidRDefault="004F3DE4" w:rsidP="0034552B">
            <w:pPr>
              <w:pStyle w:val="TableText0"/>
              <w:rPr>
                <w:rStyle w:val="CommentReference"/>
                <w:b w:val="0"/>
                <w:szCs w:val="24"/>
              </w:rPr>
            </w:pPr>
            <w:r>
              <w:rPr>
                <w:rStyle w:val="CommentReference"/>
                <w:b w:val="0"/>
                <w:szCs w:val="24"/>
              </w:rPr>
              <w:t>22/27 (81.5%)</w:t>
            </w:r>
          </w:p>
        </w:tc>
        <w:tc>
          <w:tcPr>
            <w:tcW w:w="1134" w:type="dxa"/>
          </w:tcPr>
          <w:p w14:paraId="16E884DD" w14:textId="77777777" w:rsidR="006970C5" w:rsidRDefault="006970C5" w:rsidP="0034552B">
            <w:pPr>
              <w:pStyle w:val="TableText0"/>
              <w:rPr>
                <w:rStyle w:val="CommentReference"/>
                <w:b w:val="0"/>
                <w:szCs w:val="24"/>
              </w:rPr>
            </w:pPr>
          </w:p>
          <w:p w14:paraId="6D2E5519" w14:textId="77777777" w:rsidR="004F3DE4" w:rsidRDefault="004F3DE4" w:rsidP="0034552B">
            <w:pPr>
              <w:pStyle w:val="TableText0"/>
              <w:rPr>
                <w:rStyle w:val="CommentReference"/>
                <w:b w:val="0"/>
                <w:szCs w:val="24"/>
              </w:rPr>
            </w:pPr>
          </w:p>
          <w:p w14:paraId="46275C93" w14:textId="77777777" w:rsidR="004F3DE4" w:rsidRDefault="004F3DE4" w:rsidP="0034552B">
            <w:pPr>
              <w:pStyle w:val="TableText0"/>
              <w:rPr>
                <w:rStyle w:val="CommentReference"/>
                <w:b w:val="0"/>
                <w:szCs w:val="24"/>
              </w:rPr>
            </w:pPr>
          </w:p>
          <w:p w14:paraId="6EF867DB" w14:textId="77777777" w:rsidR="004F3DE4" w:rsidRDefault="007A7A95" w:rsidP="0034552B">
            <w:pPr>
              <w:pStyle w:val="TableText0"/>
              <w:rPr>
                <w:rStyle w:val="CommentReference"/>
                <w:b w:val="0"/>
                <w:szCs w:val="24"/>
              </w:rPr>
            </w:pPr>
            <w:r>
              <w:rPr>
                <w:rStyle w:val="CommentReference"/>
                <w:b w:val="0"/>
                <w:szCs w:val="24"/>
              </w:rPr>
              <w:t>77/95 (81.0%)</w:t>
            </w:r>
          </w:p>
          <w:p w14:paraId="5A9BC74A" w14:textId="0FC11FBB" w:rsidR="007A7A95" w:rsidRDefault="007A7A95" w:rsidP="0034552B">
            <w:pPr>
              <w:pStyle w:val="TableText0"/>
              <w:rPr>
                <w:rStyle w:val="CommentReference"/>
                <w:b w:val="0"/>
                <w:szCs w:val="24"/>
              </w:rPr>
            </w:pPr>
            <w:r>
              <w:rPr>
                <w:rStyle w:val="CommentReference"/>
                <w:b w:val="0"/>
                <w:szCs w:val="24"/>
              </w:rPr>
              <w:t>67/85 (78.8%</w:t>
            </w:r>
          </w:p>
        </w:tc>
        <w:tc>
          <w:tcPr>
            <w:tcW w:w="1275" w:type="dxa"/>
          </w:tcPr>
          <w:p w14:paraId="253957D2" w14:textId="6AA61675" w:rsidR="006970C5" w:rsidRDefault="007A7A95" w:rsidP="0034552B">
            <w:pPr>
              <w:pStyle w:val="TableText0"/>
              <w:rPr>
                <w:rStyle w:val="CommentReference"/>
                <w:b w:val="0"/>
                <w:szCs w:val="24"/>
              </w:rPr>
            </w:pPr>
            <w:r>
              <w:rPr>
                <w:rStyle w:val="CommentReference"/>
                <w:b w:val="0"/>
                <w:szCs w:val="24"/>
              </w:rPr>
              <w:t>NA</w:t>
            </w:r>
          </w:p>
        </w:tc>
        <w:tc>
          <w:tcPr>
            <w:tcW w:w="1134" w:type="dxa"/>
          </w:tcPr>
          <w:p w14:paraId="23EAE962" w14:textId="3E462B45" w:rsidR="006970C5" w:rsidRDefault="007A7A95" w:rsidP="0034552B">
            <w:pPr>
              <w:pStyle w:val="TableText0"/>
              <w:rPr>
                <w:rStyle w:val="CommentReference"/>
                <w:b w:val="0"/>
                <w:szCs w:val="24"/>
              </w:rPr>
            </w:pPr>
            <w:r>
              <w:rPr>
                <w:rStyle w:val="CommentReference"/>
                <w:b w:val="0"/>
                <w:szCs w:val="24"/>
              </w:rPr>
              <w:t>NA</w:t>
            </w:r>
          </w:p>
        </w:tc>
        <w:tc>
          <w:tcPr>
            <w:tcW w:w="1084" w:type="dxa"/>
          </w:tcPr>
          <w:p w14:paraId="06082321" w14:textId="28261BDD" w:rsidR="006970C5" w:rsidRDefault="007A7A95" w:rsidP="0034552B">
            <w:pPr>
              <w:pStyle w:val="TableText0"/>
              <w:rPr>
                <w:rStyle w:val="CommentReference"/>
                <w:b w:val="0"/>
                <w:szCs w:val="24"/>
              </w:rPr>
            </w:pPr>
            <w:r>
              <w:rPr>
                <w:rStyle w:val="CommentReference"/>
                <w:b w:val="0"/>
                <w:szCs w:val="24"/>
              </w:rPr>
              <w:t>NA</w:t>
            </w:r>
          </w:p>
        </w:tc>
      </w:tr>
      <w:tr w:rsidR="006970C5" w14:paraId="1D64521F" w14:textId="77777777" w:rsidTr="26403EC0">
        <w:tc>
          <w:tcPr>
            <w:tcW w:w="2122" w:type="dxa"/>
          </w:tcPr>
          <w:p w14:paraId="76B598F3" w14:textId="7950AC7F" w:rsidR="004F3DE4" w:rsidRDefault="1A728E43" w:rsidP="26403EC0">
            <w:pPr>
              <w:pStyle w:val="TableText0"/>
              <w:rPr>
                <w:rStyle w:val="CommentReference"/>
                <w:b w:val="0"/>
              </w:rPr>
            </w:pPr>
            <w:r w:rsidRPr="26403EC0">
              <w:rPr>
                <w:rStyle w:val="CommentReference"/>
                <w:b w:val="0"/>
              </w:rPr>
              <w:t>Positive anti-</w:t>
            </w:r>
            <w:proofErr w:type="spellStart"/>
            <w:r w:rsidRPr="26403EC0">
              <w:rPr>
                <w:rStyle w:val="CommentReference"/>
                <w:b w:val="0"/>
              </w:rPr>
              <w:t>rhGAA</w:t>
            </w:r>
            <w:proofErr w:type="spellEnd"/>
            <w:r w:rsidRPr="26403EC0">
              <w:rPr>
                <w:rStyle w:val="CommentReference"/>
                <w:b w:val="0"/>
              </w:rPr>
              <w:t xml:space="preserve"> Antibodies, ERT Naive, n/N (%)</w:t>
            </w:r>
          </w:p>
          <w:p w14:paraId="2FB988A1" w14:textId="77777777" w:rsidR="004F3DE4" w:rsidRDefault="004F3DE4" w:rsidP="004F3DE4">
            <w:pPr>
              <w:pStyle w:val="TableText0"/>
              <w:jc w:val="right"/>
              <w:rPr>
                <w:rStyle w:val="CommentReference"/>
                <w:b w:val="0"/>
                <w:szCs w:val="24"/>
              </w:rPr>
            </w:pPr>
            <w:r>
              <w:rPr>
                <w:rStyle w:val="CommentReference"/>
                <w:b w:val="0"/>
                <w:szCs w:val="24"/>
              </w:rPr>
              <w:t>Baseline</w:t>
            </w:r>
          </w:p>
          <w:p w14:paraId="2438FB26" w14:textId="77777777" w:rsidR="00955CE0" w:rsidRDefault="004F3DE4" w:rsidP="004F3DE4">
            <w:pPr>
              <w:pStyle w:val="TableText0"/>
              <w:jc w:val="right"/>
              <w:rPr>
                <w:rStyle w:val="CommentReference"/>
                <w:b w:val="0"/>
                <w:szCs w:val="24"/>
              </w:rPr>
            </w:pPr>
            <w:r>
              <w:rPr>
                <w:rStyle w:val="CommentReference"/>
                <w:b w:val="0"/>
                <w:szCs w:val="24"/>
              </w:rPr>
              <w:t xml:space="preserve"> </w:t>
            </w:r>
          </w:p>
          <w:p w14:paraId="15615257" w14:textId="1D6C2D0C" w:rsidR="00955CE0" w:rsidRDefault="102E2334" w:rsidP="26403EC0">
            <w:pPr>
              <w:pStyle w:val="TableText0"/>
              <w:jc w:val="right"/>
              <w:rPr>
                <w:rStyle w:val="CommentReference"/>
                <w:b w:val="0"/>
              </w:rPr>
            </w:pPr>
            <w:r w:rsidRPr="26403EC0">
              <w:rPr>
                <w:rStyle w:val="CommentReference"/>
                <w:b w:val="0"/>
              </w:rPr>
              <w:t>Positive at 52 wk</w:t>
            </w:r>
            <w:r w:rsidR="00955CE0" w:rsidRPr="26403EC0">
              <w:rPr>
                <w:rStyle w:val="CommentReference"/>
                <w:b w:val="0"/>
              </w:rPr>
              <w:t xml:space="preserve"> </w:t>
            </w:r>
            <w:r w:rsidRPr="26403EC0">
              <w:rPr>
                <w:rStyle w:val="CommentReference"/>
                <w:b w:val="0"/>
              </w:rPr>
              <w:t>(PROPEL)</w:t>
            </w:r>
          </w:p>
          <w:p w14:paraId="6C50FB1B" w14:textId="51A09145" w:rsidR="006970C5" w:rsidRDefault="00A732C9" w:rsidP="004F3DE4">
            <w:pPr>
              <w:pStyle w:val="TableText0"/>
              <w:jc w:val="right"/>
              <w:rPr>
                <w:rStyle w:val="CommentReference"/>
                <w:b w:val="0"/>
                <w:szCs w:val="24"/>
              </w:rPr>
            </w:pPr>
            <w:r>
              <w:rPr>
                <w:rStyle w:val="CommentReference"/>
                <w:b w:val="0"/>
                <w:szCs w:val="24"/>
              </w:rPr>
              <w:t xml:space="preserve"> </w:t>
            </w:r>
            <w:r w:rsidRPr="00955CE0">
              <w:rPr>
                <w:rStyle w:val="CommentReference"/>
                <w:b w:val="0"/>
                <w:i/>
                <w:iCs/>
                <w:szCs w:val="24"/>
              </w:rPr>
              <w:t>or</w:t>
            </w:r>
            <w:r>
              <w:rPr>
                <w:rStyle w:val="CommentReference"/>
                <w:b w:val="0"/>
                <w:szCs w:val="24"/>
              </w:rPr>
              <w:t xml:space="preserve"> Positive Any Time (COMET), n/N (%)</w:t>
            </w:r>
          </w:p>
        </w:tc>
        <w:tc>
          <w:tcPr>
            <w:tcW w:w="1134" w:type="dxa"/>
          </w:tcPr>
          <w:p w14:paraId="57FFAFD3" w14:textId="77777777" w:rsidR="006970C5" w:rsidRDefault="006970C5" w:rsidP="0034552B">
            <w:pPr>
              <w:pStyle w:val="TableText0"/>
              <w:rPr>
                <w:rStyle w:val="CommentReference"/>
                <w:b w:val="0"/>
                <w:szCs w:val="24"/>
              </w:rPr>
            </w:pPr>
          </w:p>
          <w:p w14:paraId="05604088" w14:textId="77777777" w:rsidR="004F3DE4" w:rsidRDefault="004F3DE4" w:rsidP="0034552B">
            <w:pPr>
              <w:pStyle w:val="TableText0"/>
              <w:rPr>
                <w:rStyle w:val="CommentReference"/>
                <w:b w:val="0"/>
                <w:szCs w:val="24"/>
              </w:rPr>
            </w:pPr>
          </w:p>
          <w:p w14:paraId="643FD354" w14:textId="77777777" w:rsidR="004F3DE4" w:rsidRDefault="004F3DE4" w:rsidP="0034552B">
            <w:pPr>
              <w:pStyle w:val="TableText0"/>
              <w:rPr>
                <w:rStyle w:val="CommentReference"/>
                <w:b w:val="0"/>
                <w:szCs w:val="24"/>
              </w:rPr>
            </w:pPr>
          </w:p>
          <w:p w14:paraId="68B98E6F" w14:textId="77777777" w:rsidR="004F3DE4" w:rsidRDefault="004F3DE4" w:rsidP="0034552B">
            <w:pPr>
              <w:pStyle w:val="TableText0"/>
              <w:rPr>
                <w:rStyle w:val="CommentReference"/>
                <w:b w:val="0"/>
                <w:szCs w:val="24"/>
              </w:rPr>
            </w:pPr>
            <w:r>
              <w:rPr>
                <w:rStyle w:val="CommentReference"/>
                <w:b w:val="0"/>
                <w:szCs w:val="24"/>
              </w:rPr>
              <w:t>3/20 (15.0%)</w:t>
            </w:r>
          </w:p>
          <w:p w14:paraId="79BE1D30" w14:textId="4D1C783C" w:rsidR="007A7A95" w:rsidRDefault="007A7A95" w:rsidP="0034552B">
            <w:pPr>
              <w:pStyle w:val="TableText0"/>
              <w:rPr>
                <w:rStyle w:val="CommentReference"/>
                <w:b w:val="0"/>
                <w:szCs w:val="24"/>
              </w:rPr>
            </w:pPr>
            <w:r>
              <w:rPr>
                <w:rStyle w:val="CommentReference"/>
                <w:b w:val="0"/>
                <w:szCs w:val="24"/>
              </w:rPr>
              <w:t>1</w:t>
            </w:r>
            <w:r w:rsidR="00A732C9">
              <w:rPr>
                <w:rStyle w:val="CommentReference"/>
                <w:b w:val="0"/>
                <w:szCs w:val="24"/>
              </w:rPr>
              <w:t>5/16 (93.8</w:t>
            </w:r>
            <w:r>
              <w:rPr>
                <w:rStyle w:val="CommentReference"/>
                <w:b w:val="0"/>
                <w:szCs w:val="24"/>
              </w:rPr>
              <w:t>%)</w:t>
            </w:r>
          </w:p>
        </w:tc>
        <w:tc>
          <w:tcPr>
            <w:tcW w:w="1134" w:type="dxa"/>
          </w:tcPr>
          <w:p w14:paraId="05E03E87" w14:textId="77777777" w:rsidR="006970C5" w:rsidRDefault="006970C5" w:rsidP="0034552B">
            <w:pPr>
              <w:pStyle w:val="TableText0"/>
              <w:rPr>
                <w:rStyle w:val="CommentReference"/>
                <w:b w:val="0"/>
                <w:szCs w:val="24"/>
              </w:rPr>
            </w:pPr>
          </w:p>
          <w:p w14:paraId="490DA3C9" w14:textId="77777777" w:rsidR="007A7A95" w:rsidRDefault="007A7A95" w:rsidP="0034552B">
            <w:pPr>
              <w:pStyle w:val="TableText0"/>
              <w:rPr>
                <w:rStyle w:val="CommentReference"/>
                <w:b w:val="0"/>
                <w:szCs w:val="24"/>
              </w:rPr>
            </w:pPr>
          </w:p>
          <w:p w14:paraId="66076CAF" w14:textId="77777777" w:rsidR="007A7A95" w:rsidRDefault="007A7A95" w:rsidP="0034552B">
            <w:pPr>
              <w:pStyle w:val="TableText0"/>
              <w:rPr>
                <w:rStyle w:val="CommentReference"/>
                <w:b w:val="0"/>
                <w:szCs w:val="24"/>
              </w:rPr>
            </w:pPr>
          </w:p>
          <w:p w14:paraId="2C67D869" w14:textId="77777777" w:rsidR="007A7A95" w:rsidRDefault="007A7A95" w:rsidP="0034552B">
            <w:pPr>
              <w:pStyle w:val="TableText0"/>
              <w:rPr>
                <w:rStyle w:val="CommentReference"/>
                <w:b w:val="0"/>
                <w:szCs w:val="24"/>
              </w:rPr>
            </w:pPr>
            <w:r>
              <w:rPr>
                <w:rStyle w:val="CommentReference"/>
                <w:b w:val="0"/>
                <w:szCs w:val="24"/>
              </w:rPr>
              <w:t>0/8 (0%)</w:t>
            </w:r>
          </w:p>
          <w:p w14:paraId="21DAAB40" w14:textId="77777777" w:rsidR="00955CE0" w:rsidRDefault="00955CE0" w:rsidP="0034552B">
            <w:pPr>
              <w:pStyle w:val="TableText0"/>
              <w:rPr>
                <w:rStyle w:val="CommentReference"/>
                <w:b w:val="0"/>
                <w:szCs w:val="24"/>
              </w:rPr>
            </w:pPr>
          </w:p>
          <w:p w14:paraId="0D72B2B3" w14:textId="5A08E233" w:rsidR="007A7A95" w:rsidRDefault="007A7A95" w:rsidP="0034552B">
            <w:pPr>
              <w:pStyle w:val="TableText0"/>
              <w:rPr>
                <w:rStyle w:val="CommentReference"/>
                <w:b w:val="0"/>
                <w:szCs w:val="24"/>
              </w:rPr>
            </w:pPr>
            <w:r>
              <w:rPr>
                <w:rStyle w:val="CommentReference"/>
                <w:b w:val="0"/>
                <w:szCs w:val="24"/>
              </w:rPr>
              <w:t>6/6 (100%)</w:t>
            </w:r>
          </w:p>
        </w:tc>
        <w:tc>
          <w:tcPr>
            <w:tcW w:w="1134" w:type="dxa"/>
          </w:tcPr>
          <w:p w14:paraId="2C5FC9E7" w14:textId="77777777" w:rsidR="006970C5" w:rsidRDefault="006970C5" w:rsidP="0034552B">
            <w:pPr>
              <w:pStyle w:val="TableText0"/>
              <w:rPr>
                <w:rStyle w:val="CommentReference"/>
                <w:b w:val="0"/>
                <w:szCs w:val="24"/>
              </w:rPr>
            </w:pPr>
          </w:p>
          <w:p w14:paraId="08566212" w14:textId="77777777" w:rsidR="007A7A95" w:rsidRDefault="007A7A95" w:rsidP="0034552B">
            <w:pPr>
              <w:pStyle w:val="TableText0"/>
              <w:rPr>
                <w:rStyle w:val="CommentReference"/>
                <w:b w:val="0"/>
                <w:szCs w:val="24"/>
              </w:rPr>
            </w:pPr>
          </w:p>
          <w:p w14:paraId="2B914D1F" w14:textId="77777777" w:rsidR="007A7A95" w:rsidRDefault="007A7A95" w:rsidP="0034552B">
            <w:pPr>
              <w:pStyle w:val="TableText0"/>
              <w:rPr>
                <w:rStyle w:val="CommentReference"/>
                <w:b w:val="0"/>
                <w:szCs w:val="24"/>
              </w:rPr>
            </w:pPr>
          </w:p>
          <w:p w14:paraId="5D237B64" w14:textId="77777777" w:rsidR="007A7A95" w:rsidRDefault="007A7A95" w:rsidP="0034552B">
            <w:pPr>
              <w:pStyle w:val="TableText0"/>
              <w:rPr>
                <w:rStyle w:val="CommentReference"/>
                <w:b w:val="0"/>
                <w:szCs w:val="24"/>
              </w:rPr>
            </w:pPr>
            <w:r>
              <w:rPr>
                <w:rStyle w:val="CommentReference"/>
                <w:b w:val="0"/>
                <w:szCs w:val="24"/>
              </w:rPr>
              <w:t>3/28 (10.7%)</w:t>
            </w:r>
          </w:p>
          <w:p w14:paraId="043E450A" w14:textId="14A799CC" w:rsidR="007A7A95" w:rsidRDefault="007A7A95" w:rsidP="0034552B">
            <w:pPr>
              <w:pStyle w:val="TableText0"/>
              <w:rPr>
                <w:rStyle w:val="CommentReference"/>
                <w:b w:val="0"/>
                <w:szCs w:val="24"/>
              </w:rPr>
            </w:pPr>
            <w:r>
              <w:rPr>
                <w:rStyle w:val="CommentReference"/>
                <w:b w:val="0"/>
                <w:szCs w:val="24"/>
              </w:rPr>
              <w:t>21/22 (95.4%)</w:t>
            </w:r>
          </w:p>
        </w:tc>
        <w:tc>
          <w:tcPr>
            <w:tcW w:w="1275" w:type="dxa"/>
          </w:tcPr>
          <w:p w14:paraId="023DABCE" w14:textId="77777777" w:rsidR="006970C5" w:rsidRDefault="006970C5" w:rsidP="0034552B">
            <w:pPr>
              <w:pStyle w:val="TableText0"/>
              <w:rPr>
                <w:rStyle w:val="CommentReference"/>
                <w:b w:val="0"/>
                <w:szCs w:val="24"/>
              </w:rPr>
            </w:pPr>
          </w:p>
          <w:p w14:paraId="4EBC2D53" w14:textId="77777777" w:rsidR="007A7A95" w:rsidRDefault="007A7A95" w:rsidP="0034552B">
            <w:pPr>
              <w:pStyle w:val="TableText0"/>
              <w:rPr>
                <w:rStyle w:val="CommentReference"/>
                <w:b w:val="0"/>
                <w:szCs w:val="24"/>
              </w:rPr>
            </w:pPr>
          </w:p>
          <w:p w14:paraId="07530EE3" w14:textId="77777777" w:rsidR="007A7A95" w:rsidRDefault="007A7A95" w:rsidP="0034552B">
            <w:pPr>
              <w:pStyle w:val="TableText0"/>
              <w:rPr>
                <w:rStyle w:val="CommentReference"/>
                <w:b w:val="0"/>
                <w:szCs w:val="24"/>
              </w:rPr>
            </w:pPr>
          </w:p>
          <w:p w14:paraId="6F1601EC" w14:textId="083E4794" w:rsidR="007A7A95" w:rsidRDefault="007A7A95" w:rsidP="0034552B">
            <w:pPr>
              <w:pStyle w:val="TableText0"/>
              <w:rPr>
                <w:rStyle w:val="CommentReference"/>
                <w:b w:val="0"/>
                <w:szCs w:val="24"/>
              </w:rPr>
            </w:pPr>
            <w:r>
              <w:rPr>
                <w:rStyle w:val="CommentReference"/>
                <w:b w:val="0"/>
                <w:szCs w:val="24"/>
              </w:rPr>
              <w:t>2 (3.9%)</w:t>
            </w:r>
          </w:p>
          <w:p w14:paraId="37AC5E7E" w14:textId="77777777" w:rsidR="00955CE0" w:rsidRDefault="00955CE0" w:rsidP="0034552B">
            <w:pPr>
              <w:pStyle w:val="TableText0"/>
              <w:rPr>
                <w:rStyle w:val="CommentReference"/>
                <w:b w:val="0"/>
                <w:szCs w:val="24"/>
              </w:rPr>
            </w:pPr>
          </w:p>
          <w:p w14:paraId="454E7407" w14:textId="77777777" w:rsidR="00955CE0" w:rsidRDefault="00955CE0" w:rsidP="0034552B">
            <w:pPr>
              <w:pStyle w:val="TableText0"/>
              <w:rPr>
                <w:rStyle w:val="CommentReference"/>
                <w:b w:val="0"/>
                <w:szCs w:val="24"/>
              </w:rPr>
            </w:pPr>
          </w:p>
          <w:p w14:paraId="5F305E4D" w14:textId="77777777" w:rsidR="00955CE0" w:rsidRDefault="00955CE0" w:rsidP="0034552B">
            <w:pPr>
              <w:pStyle w:val="TableText0"/>
              <w:rPr>
                <w:rStyle w:val="CommentReference"/>
                <w:b w:val="0"/>
                <w:szCs w:val="24"/>
              </w:rPr>
            </w:pPr>
          </w:p>
          <w:p w14:paraId="28A36502" w14:textId="77777777" w:rsidR="00955CE0" w:rsidRDefault="00955CE0" w:rsidP="0034552B">
            <w:pPr>
              <w:pStyle w:val="TableText0"/>
              <w:rPr>
                <w:rStyle w:val="CommentReference"/>
                <w:b w:val="0"/>
                <w:szCs w:val="24"/>
              </w:rPr>
            </w:pPr>
          </w:p>
          <w:p w14:paraId="63EB3319" w14:textId="5D9E9ABE" w:rsidR="007A7A95" w:rsidRDefault="007A7A95" w:rsidP="0034552B">
            <w:pPr>
              <w:pStyle w:val="TableText0"/>
              <w:rPr>
                <w:rStyle w:val="CommentReference"/>
                <w:b w:val="0"/>
                <w:szCs w:val="24"/>
              </w:rPr>
            </w:pPr>
            <w:r>
              <w:rPr>
                <w:rStyle w:val="CommentReference"/>
                <w:b w:val="0"/>
                <w:szCs w:val="24"/>
              </w:rPr>
              <w:t>47</w:t>
            </w:r>
            <w:r w:rsidR="00A732C9">
              <w:rPr>
                <w:rStyle w:val="CommentReference"/>
                <w:b w:val="0"/>
                <w:szCs w:val="24"/>
              </w:rPr>
              <w:t xml:space="preserve"> (92%)</w:t>
            </w:r>
          </w:p>
        </w:tc>
        <w:tc>
          <w:tcPr>
            <w:tcW w:w="1134" w:type="dxa"/>
          </w:tcPr>
          <w:p w14:paraId="5117AA05" w14:textId="77777777" w:rsidR="006970C5" w:rsidRDefault="006970C5" w:rsidP="0034552B">
            <w:pPr>
              <w:pStyle w:val="TableText0"/>
              <w:rPr>
                <w:rStyle w:val="CommentReference"/>
                <w:b w:val="0"/>
                <w:szCs w:val="24"/>
              </w:rPr>
            </w:pPr>
          </w:p>
          <w:p w14:paraId="6F084082" w14:textId="77777777" w:rsidR="00A732C9" w:rsidRDefault="00A732C9" w:rsidP="0034552B">
            <w:pPr>
              <w:pStyle w:val="TableText0"/>
              <w:rPr>
                <w:rStyle w:val="CommentReference"/>
                <w:b w:val="0"/>
                <w:szCs w:val="24"/>
              </w:rPr>
            </w:pPr>
          </w:p>
          <w:p w14:paraId="4D143AA3" w14:textId="77777777" w:rsidR="00A732C9" w:rsidRDefault="00A732C9" w:rsidP="0034552B">
            <w:pPr>
              <w:pStyle w:val="TableText0"/>
              <w:rPr>
                <w:rStyle w:val="CommentReference"/>
                <w:b w:val="0"/>
                <w:szCs w:val="24"/>
              </w:rPr>
            </w:pPr>
          </w:p>
          <w:p w14:paraId="54F642E7" w14:textId="649A4FA4" w:rsidR="00A732C9" w:rsidRDefault="00A732C9" w:rsidP="0034552B">
            <w:pPr>
              <w:pStyle w:val="TableText0"/>
              <w:rPr>
                <w:rStyle w:val="CommentReference"/>
                <w:b w:val="0"/>
                <w:szCs w:val="24"/>
              </w:rPr>
            </w:pPr>
            <w:r>
              <w:rPr>
                <w:rStyle w:val="CommentReference"/>
                <w:b w:val="0"/>
                <w:szCs w:val="24"/>
              </w:rPr>
              <w:t>2 (4%)</w:t>
            </w:r>
          </w:p>
          <w:p w14:paraId="45BF3A7D" w14:textId="77777777" w:rsidR="00955CE0" w:rsidRDefault="00955CE0" w:rsidP="0034552B">
            <w:pPr>
              <w:pStyle w:val="TableText0"/>
              <w:rPr>
                <w:rStyle w:val="CommentReference"/>
                <w:b w:val="0"/>
                <w:szCs w:val="24"/>
              </w:rPr>
            </w:pPr>
          </w:p>
          <w:p w14:paraId="5BFD5B6C" w14:textId="77777777" w:rsidR="00955CE0" w:rsidRDefault="00955CE0" w:rsidP="0034552B">
            <w:pPr>
              <w:pStyle w:val="TableText0"/>
              <w:rPr>
                <w:rStyle w:val="CommentReference"/>
                <w:b w:val="0"/>
                <w:szCs w:val="24"/>
              </w:rPr>
            </w:pPr>
          </w:p>
          <w:p w14:paraId="704F5416" w14:textId="77777777" w:rsidR="00955CE0" w:rsidRDefault="00955CE0" w:rsidP="0034552B">
            <w:pPr>
              <w:pStyle w:val="TableText0"/>
              <w:rPr>
                <w:rStyle w:val="CommentReference"/>
                <w:b w:val="0"/>
                <w:szCs w:val="24"/>
              </w:rPr>
            </w:pPr>
          </w:p>
          <w:p w14:paraId="4655A2C2" w14:textId="77777777" w:rsidR="00955CE0" w:rsidRDefault="00955CE0" w:rsidP="0034552B">
            <w:pPr>
              <w:pStyle w:val="TableText0"/>
              <w:rPr>
                <w:rStyle w:val="CommentReference"/>
                <w:b w:val="0"/>
                <w:szCs w:val="24"/>
              </w:rPr>
            </w:pPr>
          </w:p>
          <w:p w14:paraId="51143533" w14:textId="2E59CE8C" w:rsidR="00A732C9" w:rsidRDefault="00A732C9" w:rsidP="0034552B">
            <w:pPr>
              <w:pStyle w:val="TableText0"/>
              <w:rPr>
                <w:rStyle w:val="CommentReference"/>
                <w:b w:val="0"/>
                <w:szCs w:val="24"/>
              </w:rPr>
            </w:pPr>
            <w:r>
              <w:rPr>
                <w:rStyle w:val="CommentReference"/>
                <w:b w:val="0"/>
                <w:szCs w:val="24"/>
              </w:rPr>
              <w:t>44 (92%)</w:t>
            </w:r>
          </w:p>
        </w:tc>
        <w:tc>
          <w:tcPr>
            <w:tcW w:w="1084" w:type="dxa"/>
          </w:tcPr>
          <w:p w14:paraId="1F3D63F2" w14:textId="77777777" w:rsidR="006970C5" w:rsidRDefault="006970C5" w:rsidP="0034552B">
            <w:pPr>
              <w:pStyle w:val="TableText0"/>
              <w:rPr>
                <w:rStyle w:val="CommentReference"/>
                <w:b w:val="0"/>
                <w:szCs w:val="24"/>
              </w:rPr>
            </w:pPr>
          </w:p>
          <w:p w14:paraId="78EFEBF1" w14:textId="77777777" w:rsidR="00A732C9" w:rsidRDefault="00A732C9" w:rsidP="0034552B">
            <w:pPr>
              <w:pStyle w:val="TableText0"/>
              <w:rPr>
                <w:rStyle w:val="CommentReference"/>
                <w:b w:val="0"/>
                <w:szCs w:val="24"/>
              </w:rPr>
            </w:pPr>
          </w:p>
          <w:p w14:paraId="30394958" w14:textId="77777777" w:rsidR="00A732C9" w:rsidRDefault="00A732C9" w:rsidP="0034552B">
            <w:pPr>
              <w:pStyle w:val="TableText0"/>
              <w:rPr>
                <w:rStyle w:val="CommentReference"/>
                <w:b w:val="0"/>
                <w:szCs w:val="24"/>
              </w:rPr>
            </w:pPr>
          </w:p>
          <w:p w14:paraId="0A1133E3" w14:textId="1ADCE029" w:rsidR="00A732C9" w:rsidRDefault="00A732C9" w:rsidP="0034552B">
            <w:pPr>
              <w:pStyle w:val="TableText0"/>
              <w:rPr>
                <w:rStyle w:val="CommentReference"/>
                <w:b w:val="0"/>
                <w:szCs w:val="24"/>
              </w:rPr>
            </w:pPr>
            <w:r>
              <w:rPr>
                <w:rStyle w:val="CommentReference"/>
                <w:b w:val="0"/>
                <w:szCs w:val="24"/>
              </w:rPr>
              <w:t>4 (4%)</w:t>
            </w:r>
          </w:p>
          <w:p w14:paraId="76C55F8E" w14:textId="77777777" w:rsidR="00955CE0" w:rsidRDefault="00955CE0" w:rsidP="0034552B">
            <w:pPr>
              <w:pStyle w:val="TableText0"/>
              <w:rPr>
                <w:rStyle w:val="CommentReference"/>
                <w:b w:val="0"/>
                <w:szCs w:val="24"/>
              </w:rPr>
            </w:pPr>
          </w:p>
          <w:p w14:paraId="62722519" w14:textId="77777777" w:rsidR="00955CE0" w:rsidRDefault="00955CE0" w:rsidP="0034552B">
            <w:pPr>
              <w:pStyle w:val="TableText0"/>
              <w:rPr>
                <w:rStyle w:val="CommentReference"/>
                <w:b w:val="0"/>
                <w:szCs w:val="24"/>
              </w:rPr>
            </w:pPr>
          </w:p>
          <w:p w14:paraId="16B3E680" w14:textId="77777777" w:rsidR="00955CE0" w:rsidRDefault="00955CE0" w:rsidP="0034552B">
            <w:pPr>
              <w:pStyle w:val="TableText0"/>
              <w:rPr>
                <w:rStyle w:val="CommentReference"/>
                <w:b w:val="0"/>
                <w:szCs w:val="24"/>
              </w:rPr>
            </w:pPr>
          </w:p>
          <w:p w14:paraId="6E630530" w14:textId="77777777" w:rsidR="00955CE0" w:rsidRDefault="00955CE0" w:rsidP="0034552B">
            <w:pPr>
              <w:pStyle w:val="TableText0"/>
              <w:rPr>
                <w:rStyle w:val="CommentReference"/>
                <w:b w:val="0"/>
                <w:szCs w:val="24"/>
              </w:rPr>
            </w:pPr>
          </w:p>
          <w:p w14:paraId="0F49CDAE" w14:textId="0E9E6A5C" w:rsidR="00A732C9" w:rsidRDefault="00A732C9" w:rsidP="0034552B">
            <w:pPr>
              <w:pStyle w:val="TableText0"/>
              <w:rPr>
                <w:rStyle w:val="CommentReference"/>
                <w:b w:val="0"/>
                <w:szCs w:val="24"/>
              </w:rPr>
            </w:pPr>
            <w:r>
              <w:rPr>
                <w:rStyle w:val="CommentReference"/>
                <w:b w:val="0"/>
                <w:szCs w:val="24"/>
              </w:rPr>
              <w:t>9</w:t>
            </w:r>
            <w:r w:rsidR="00955CE0">
              <w:rPr>
                <w:rStyle w:val="CommentReference"/>
                <w:b w:val="0"/>
                <w:szCs w:val="24"/>
              </w:rPr>
              <w:t>1</w:t>
            </w:r>
            <w:r>
              <w:rPr>
                <w:rStyle w:val="CommentReference"/>
                <w:b w:val="0"/>
                <w:szCs w:val="24"/>
              </w:rPr>
              <w:t xml:space="preserve"> (91%)</w:t>
            </w:r>
          </w:p>
        </w:tc>
      </w:tr>
    </w:tbl>
    <w:p w14:paraId="61FC9575" w14:textId="7A8E1B05" w:rsidR="006970C5" w:rsidRDefault="00E10540" w:rsidP="26403EC0">
      <w:pPr>
        <w:pStyle w:val="TableFigureFooter"/>
        <w:rPr>
          <w:rStyle w:val="CommentReference"/>
          <w:b w:val="0"/>
        </w:rPr>
      </w:pPr>
      <w:r w:rsidRPr="26403EC0">
        <w:rPr>
          <w:rStyle w:val="CommentReference"/>
          <w:b w:val="0"/>
        </w:rPr>
        <w:t xml:space="preserve">Source: PROPEL CSR, Table 58, pp229-230; Table 60, pp233-234; </w:t>
      </w:r>
      <w:r w:rsidR="00FC780B" w:rsidRPr="26403EC0">
        <w:rPr>
          <w:rStyle w:val="CommentReference"/>
          <w:b w:val="0"/>
        </w:rPr>
        <w:t xml:space="preserve">Table 62, p239, Table 63, pp240-242; Diaz-Manera, 2021. </w:t>
      </w:r>
      <w:r w:rsidR="00955CE0" w:rsidRPr="26403EC0">
        <w:rPr>
          <w:rStyle w:val="CommentReference"/>
          <w:b w:val="0"/>
        </w:rPr>
        <w:t xml:space="preserve">Antibody data was available for all patients in COMET. </w:t>
      </w:r>
      <w:r w:rsidR="00FC780B" w:rsidRPr="26403EC0">
        <w:rPr>
          <w:rStyle w:val="CommentReference"/>
          <w:b w:val="0"/>
        </w:rPr>
        <w:t xml:space="preserve">ALGLU = alglucosidase; AVAL = </w:t>
      </w:r>
      <w:proofErr w:type="spellStart"/>
      <w:r w:rsidR="00FC780B" w:rsidRPr="26403EC0">
        <w:rPr>
          <w:rStyle w:val="CommentReference"/>
          <w:b w:val="0"/>
        </w:rPr>
        <w:t>avalglucosidase</w:t>
      </w:r>
      <w:proofErr w:type="spellEnd"/>
      <w:r w:rsidR="00FC780B" w:rsidRPr="26403EC0">
        <w:rPr>
          <w:rStyle w:val="CommentReference"/>
          <w:b w:val="0"/>
        </w:rPr>
        <w:t xml:space="preserve">; CIPA = cipaglucosidase; </w:t>
      </w:r>
      <w:r w:rsidR="00201E77" w:rsidRPr="26403EC0">
        <w:rPr>
          <w:rStyle w:val="CommentReference"/>
          <w:b w:val="0"/>
        </w:rPr>
        <w:t xml:space="preserve">CIPAMIG = cipaglucosidase + </w:t>
      </w:r>
      <w:proofErr w:type="spellStart"/>
      <w:r w:rsidR="00201E77" w:rsidRPr="26403EC0">
        <w:rPr>
          <w:rStyle w:val="CommentReference"/>
          <w:b w:val="0"/>
        </w:rPr>
        <w:t>miglustat</w:t>
      </w:r>
      <w:proofErr w:type="spellEnd"/>
      <w:r w:rsidR="00201E77" w:rsidRPr="26403EC0">
        <w:rPr>
          <w:rStyle w:val="CommentReference"/>
          <w:b w:val="0"/>
        </w:rPr>
        <w:t xml:space="preserve">; </w:t>
      </w:r>
      <w:r w:rsidR="00FC780B" w:rsidRPr="26403EC0">
        <w:rPr>
          <w:rStyle w:val="CommentReference"/>
          <w:b w:val="0"/>
        </w:rPr>
        <w:t xml:space="preserve">ERT = enzyme replacement therapy; IAR = infusion-associated reaction; MIG = </w:t>
      </w:r>
      <w:proofErr w:type="spellStart"/>
      <w:r w:rsidR="00FC780B" w:rsidRPr="26403EC0">
        <w:rPr>
          <w:rStyle w:val="CommentReference"/>
          <w:b w:val="0"/>
        </w:rPr>
        <w:t>miglustat</w:t>
      </w:r>
      <w:proofErr w:type="spellEnd"/>
      <w:r w:rsidR="00FC780B" w:rsidRPr="26403EC0">
        <w:rPr>
          <w:rStyle w:val="CommentReference"/>
          <w:b w:val="0"/>
        </w:rPr>
        <w:t xml:space="preserve">; rh-GAA = recombinant human acid alpha-glucosidase; TEAE = treatment-emergent adverse event; TESAE = treatment-emergent serious adverse event.  </w:t>
      </w:r>
    </w:p>
    <w:p w14:paraId="33696279" w14:textId="465B82C1" w:rsidR="00100D16" w:rsidRPr="00100D16" w:rsidRDefault="007F1017" w:rsidP="00100D16">
      <w:pPr>
        <w:pStyle w:val="4-SubsectionHeading"/>
      </w:pPr>
      <w:bookmarkStart w:id="38" w:name="_Toc22897643"/>
      <w:bookmarkStart w:id="39" w:name="_Toc187576335"/>
      <w:r w:rsidRPr="0098262F">
        <w:t>Benefits/harms</w:t>
      </w:r>
      <w:bookmarkEnd w:id="38"/>
      <w:bookmarkEnd w:id="39"/>
    </w:p>
    <w:p w14:paraId="3B653B96" w14:textId="1900E3F1" w:rsidR="00FC1884" w:rsidRPr="0098262F" w:rsidRDefault="00311D9B" w:rsidP="00100D16">
      <w:pPr>
        <w:pStyle w:val="3-BodyText"/>
      </w:pPr>
      <w:r w:rsidRPr="26403EC0">
        <w:t xml:space="preserve">A benefits and harms table </w:t>
      </w:r>
      <w:r w:rsidR="00CB1BF2">
        <w:t xml:space="preserve">was </w:t>
      </w:r>
      <w:r w:rsidRPr="26403EC0">
        <w:t>not presented as the submission made a claim of non-inferiority.</w:t>
      </w:r>
    </w:p>
    <w:p w14:paraId="7A1772B6" w14:textId="23BB3145" w:rsidR="00B60939" w:rsidRPr="0098262F" w:rsidRDefault="00B60939" w:rsidP="00E9094A">
      <w:pPr>
        <w:pStyle w:val="4-SubsectionHeading"/>
      </w:pPr>
      <w:bookmarkStart w:id="40" w:name="_Toc22897644"/>
      <w:bookmarkStart w:id="41" w:name="_Toc187576336"/>
      <w:r w:rsidRPr="0098262F">
        <w:t>Clinical claim</w:t>
      </w:r>
      <w:bookmarkEnd w:id="40"/>
      <w:bookmarkEnd w:id="41"/>
    </w:p>
    <w:p w14:paraId="289EAA5E" w14:textId="532251A9" w:rsidR="007C70FF" w:rsidRDefault="00B93466" w:rsidP="00E9094A">
      <w:pPr>
        <w:pStyle w:val="3-BodyText"/>
        <w:rPr>
          <w:color w:val="000000" w:themeColor="text1"/>
        </w:rPr>
      </w:pPr>
      <w:r w:rsidRPr="00B93466">
        <w:rPr>
          <w:color w:val="000000" w:themeColor="text1"/>
        </w:rPr>
        <w:t xml:space="preserve">The clinical claims were that </w:t>
      </w:r>
      <w:r>
        <w:rPr>
          <w:color w:val="000000" w:themeColor="text1"/>
        </w:rPr>
        <w:t xml:space="preserve">in adults with LOPD, </w:t>
      </w:r>
      <w:r w:rsidR="00955CE0">
        <w:rPr>
          <w:color w:val="000000" w:themeColor="text1"/>
        </w:rPr>
        <w:t>CIPAMIG</w:t>
      </w:r>
      <w:r>
        <w:rPr>
          <w:color w:val="000000" w:themeColor="text1"/>
        </w:rPr>
        <w:t xml:space="preserve"> was "at least non-inferior" in efficacy and non-inferior in safety to </w:t>
      </w:r>
      <w:r w:rsidR="00955CE0">
        <w:rPr>
          <w:color w:val="000000" w:themeColor="text1"/>
        </w:rPr>
        <w:t>ALGLU</w:t>
      </w:r>
      <w:r>
        <w:rPr>
          <w:color w:val="000000" w:themeColor="text1"/>
        </w:rPr>
        <w:t xml:space="preserve"> and </w:t>
      </w:r>
      <w:r w:rsidR="00955CE0">
        <w:rPr>
          <w:color w:val="000000" w:themeColor="text1"/>
        </w:rPr>
        <w:t>AVAL</w:t>
      </w:r>
      <w:r>
        <w:rPr>
          <w:color w:val="000000" w:themeColor="text1"/>
        </w:rPr>
        <w:t xml:space="preserve">. </w:t>
      </w:r>
    </w:p>
    <w:p w14:paraId="64A5E740" w14:textId="2CE56D18" w:rsidR="00B93466" w:rsidRPr="00702D1A" w:rsidRDefault="00B93466" w:rsidP="26403EC0">
      <w:pPr>
        <w:pStyle w:val="3-BodyText"/>
        <w:rPr>
          <w:color w:val="000000" w:themeColor="text1"/>
        </w:rPr>
      </w:pPr>
      <w:r w:rsidRPr="26403EC0">
        <w:rPr>
          <w:color w:val="000000" w:themeColor="text1"/>
        </w:rPr>
        <w:t xml:space="preserve">With regard to efficacy, </w:t>
      </w:r>
      <w:r w:rsidR="00163F0C">
        <w:rPr>
          <w:color w:val="000000" w:themeColor="text1"/>
        </w:rPr>
        <w:t xml:space="preserve">the evaluation noted </w:t>
      </w:r>
      <w:r w:rsidRPr="26403EC0">
        <w:rPr>
          <w:color w:val="000000" w:themeColor="text1"/>
        </w:rPr>
        <w:t>this claim was</w:t>
      </w:r>
      <w:r w:rsidR="00E10540" w:rsidRPr="26403EC0">
        <w:rPr>
          <w:color w:val="000000" w:themeColor="text1"/>
        </w:rPr>
        <w:t xml:space="preserve"> </w:t>
      </w:r>
      <w:r w:rsidRPr="26403EC0">
        <w:rPr>
          <w:color w:val="000000" w:themeColor="text1"/>
        </w:rPr>
        <w:t xml:space="preserve">not adequately supported </w:t>
      </w:r>
      <w:r w:rsidR="00AA5189" w:rsidRPr="26403EC0">
        <w:rPr>
          <w:color w:val="000000" w:themeColor="text1"/>
        </w:rPr>
        <w:t>for the comparison with</w:t>
      </w:r>
      <w:r w:rsidRPr="26403EC0">
        <w:rPr>
          <w:color w:val="000000" w:themeColor="text1"/>
        </w:rPr>
        <w:t xml:space="preserve"> either </w:t>
      </w:r>
      <w:r w:rsidR="002654F5" w:rsidRPr="26403EC0">
        <w:rPr>
          <w:color w:val="000000" w:themeColor="text1"/>
        </w:rPr>
        <w:t>ALGLU</w:t>
      </w:r>
      <w:r w:rsidRPr="26403EC0">
        <w:rPr>
          <w:color w:val="000000" w:themeColor="text1"/>
        </w:rPr>
        <w:t xml:space="preserve"> or </w:t>
      </w:r>
      <w:r w:rsidR="002654F5" w:rsidRPr="26403EC0">
        <w:rPr>
          <w:color w:val="000000" w:themeColor="text1"/>
        </w:rPr>
        <w:t>AVAL</w:t>
      </w:r>
      <w:r w:rsidRPr="26403EC0">
        <w:rPr>
          <w:color w:val="000000" w:themeColor="text1"/>
        </w:rPr>
        <w:t xml:space="preserve">. </w:t>
      </w:r>
      <w:r w:rsidR="00E10540" w:rsidRPr="26403EC0">
        <w:rPr>
          <w:color w:val="000000" w:themeColor="text1"/>
        </w:rPr>
        <w:t xml:space="preserve">In relation to </w:t>
      </w:r>
      <w:r w:rsidR="002654F5" w:rsidRPr="26403EC0">
        <w:rPr>
          <w:color w:val="000000" w:themeColor="text1"/>
        </w:rPr>
        <w:t>ALGLU</w:t>
      </w:r>
      <w:r w:rsidR="00E10540" w:rsidRPr="26403EC0">
        <w:rPr>
          <w:color w:val="000000" w:themeColor="text1"/>
        </w:rPr>
        <w:t>, t</w:t>
      </w:r>
      <w:r w:rsidRPr="26403EC0">
        <w:rPr>
          <w:color w:val="000000" w:themeColor="text1"/>
        </w:rPr>
        <w:t>he</w:t>
      </w:r>
      <w:r w:rsidR="00722527" w:rsidRPr="26403EC0">
        <w:rPr>
          <w:color w:val="000000" w:themeColor="text1"/>
        </w:rPr>
        <w:t xml:space="preserve"> </w:t>
      </w:r>
      <w:r w:rsidR="009841E7" w:rsidRPr="26403EC0">
        <w:rPr>
          <w:color w:val="000000" w:themeColor="text1"/>
        </w:rPr>
        <w:t>observed changes i</w:t>
      </w:r>
      <w:r w:rsidR="00722527" w:rsidRPr="26403EC0">
        <w:rPr>
          <w:color w:val="000000" w:themeColor="text1"/>
        </w:rPr>
        <w:t>n % predicted FVC and 6MWD</w:t>
      </w:r>
      <w:r w:rsidRPr="26403EC0">
        <w:rPr>
          <w:color w:val="000000" w:themeColor="text1"/>
        </w:rPr>
        <w:t xml:space="preserve"> in </w:t>
      </w:r>
      <w:r w:rsidR="00B2025D" w:rsidRPr="26403EC0">
        <w:rPr>
          <w:color w:val="000000" w:themeColor="text1"/>
        </w:rPr>
        <w:t xml:space="preserve">PROPEL </w:t>
      </w:r>
      <w:r w:rsidR="00E10540" w:rsidRPr="26403EC0">
        <w:rPr>
          <w:color w:val="000000" w:themeColor="text1"/>
        </w:rPr>
        <w:t>we</w:t>
      </w:r>
      <w:r w:rsidRPr="26403EC0">
        <w:rPr>
          <w:color w:val="000000" w:themeColor="text1"/>
        </w:rPr>
        <w:t xml:space="preserve">re </w:t>
      </w:r>
      <w:r w:rsidR="009841E7" w:rsidRPr="26403EC0">
        <w:rPr>
          <w:color w:val="000000" w:themeColor="text1"/>
        </w:rPr>
        <w:t>highly variable, with some patients improving significantly and others deteriorating significantly, so that small differences in mean change were difficult to interpret,</w:t>
      </w:r>
      <w:r w:rsidR="00C50F9A" w:rsidRPr="26403EC0">
        <w:rPr>
          <w:color w:val="000000" w:themeColor="text1"/>
        </w:rPr>
        <w:t xml:space="preserve"> and, if there is a short-term treatment-switching effect, may not reflect long-term efficacy</w:t>
      </w:r>
      <w:r w:rsidRPr="26403EC0">
        <w:rPr>
          <w:color w:val="000000" w:themeColor="text1"/>
        </w:rPr>
        <w:t xml:space="preserve">. </w:t>
      </w:r>
      <w:r w:rsidR="00E10540" w:rsidRPr="26403EC0">
        <w:rPr>
          <w:color w:val="000000" w:themeColor="text1"/>
        </w:rPr>
        <w:t xml:space="preserve">In relation to </w:t>
      </w:r>
      <w:r w:rsidR="002654F5" w:rsidRPr="26403EC0">
        <w:rPr>
          <w:color w:val="000000" w:themeColor="text1"/>
        </w:rPr>
        <w:t>AVAL</w:t>
      </w:r>
      <w:r w:rsidR="00E10540" w:rsidRPr="26403EC0">
        <w:rPr>
          <w:color w:val="000000" w:themeColor="text1"/>
        </w:rPr>
        <w:t xml:space="preserve">, the submitted non-inferiority intervals were too wide, and the indirect treatment comparison was consistent with clinically meaningful superiority of </w:t>
      </w:r>
      <w:r w:rsidR="002654F5" w:rsidRPr="26403EC0">
        <w:rPr>
          <w:color w:val="000000" w:themeColor="text1"/>
        </w:rPr>
        <w:t>AVAL</w:t>
      </w:r>
      <w:r w:rsidR="008C2D7D" w:rsidRPr="26403EC0">
        <w:rPr>
          <w:color w:val="000000" w:themeColor="text1"/>
        </w:rPr>
        <w:t xml:space="preserve"> over CIPAMIG</w:t>
      </w:r>
      <w:r w:rsidR="00E10540" w:rsidRPr="26403EC0">
        <w:rPr>
          <w:color w:val="000000" w:themeColor="text1"/>
        </w:rPr>
        <w:t>.</w:t>
      </w:r>
    </w:p>
    <w:p w14:paraId="7F613CD1" w14:textId="586B08EE" w:rsidR="005F7588" w:rsidRPr="00E240E4" w:rsidRDefault="00E10540" w:rsidP="26403EC0">
      <w:pPr>
        <w:pStyle w:val="3-BodyText"/>
        <w:rPr>
          <w:color w:val="000000" w:themeColor="text1"/>
        </w:rPr>
      </w:pPr>
      <w:r w:rsidRPr="00E240E4">
        <w:rPr>
          <w:color w:val="000000" w:themeColor="text1"/>
        </w:rPr>
        <w:t xml:space="preserve">With regard to safety, </w:t>
      </w:r>
      <w:r w:rsidR="00043162">
        <w:rPr>
          <w:color w:val="000000" w:themeColor="text1"/>
        </w:rPr>
        <w:t xml:space="preserve">the evaluation noted </w:t>
      </w:r>
      <w:r w:rsidRPr="00E240E4">
        <w:rPr>
          <w:color w:val="000000" w:themeColor="text1"/>
        </w:rPr>
        <w:t xml:space="preserve">the claim was adequately supported. </w:t>
      </w:r>
    </w:p>
    <w:p w14:paraId="58479548" w14:textId="28E2FE93" w:rsidR="004457D7" w:rsidRPr="00E240E4" w:rsidRDefault="00B742A8" w:rsidP="00B742A8">
      <w:pPr>
        <w:pStyle w:val="3-BodyText"/>
        <w:rPr>
          <w:snapToGrid w:val="0"/>
        </w:rPr>
      </w:pPr>
      <w:bookmarkStart w:id="42" w:name="_Hlk76376200"/>
      <w:r w:rsidRPr="00E240E4">
        <w:rPr>
          <w:iCs/>
          <w:snapToGrid w:val="0"/>
        </w:rPr>
        <w:t>The</w:t>
      </w:r>
      <w:r w:rsidRPr="00E240E4">
        <w:rPr>
          <w:snapToGrid w:val="0"/>
        </w:rPr>
        <w:t xml:space="preserve"> PBAC</w:t>
      </w:r>
      <w:r w:rsidR="00DA56D7" w:rsidRPr="00E240E4">
        <w:rPr>
          <w:snapToGrid w:val="0"/>
        </w:rPr>
        <w:t xml:space="preserve"> noted the uncertainties</w:t>
      </w:r>
      <w:r w:rsidR="00F432CE" w:rsidRPr="00E240E4">
        <w:rPr>
          <w:snapToGrid w:val="0"/>
        </w:rPr>
        <w:t xml:space="preserve"> with respect to the clinical data raised by the evaluation. However, the PBAC considered</w:t>
      </w:r>
      <w:r w:rsidR="00E240E4">
        <w:rPr>
          <w:snapToGrid w:val="0"/>
        </w:rPr>
        <w:t xml:space="preserve"> that on balance,</w:t>
      </w:r>
      <w:r w:rsidR="00F432CE" w:rsidRPr="00E240E4">
        <w:rPr>
          <w:snapToGrid w:val="0"/>
        </w:rPr>
        <w:t xml:space="preserve"> </w:t>
      </w:r>
      <w:r w:rsidRPr="00E240E4">
        <w:rPr>
          <w:snapToGrid w:val="0"/>
        </w:rPr>
        <w:t>the claim of non-inferior effectiveness</w:t>
      </w:r>
      <w:r w:rsidR="00DA3EDD">
        <w:rPr>
          <w:snapToGrid w:val="0"/>
        </w:rPr>
        <w:t xml:space="preserve"> </w:t>
      </w:r>
      <w:r w:rsidR="003C480F">
        <w:rPr>
          <w:snapToGrid w:val="0"/>
        </w:rPr>
        <w:t xml:space="preserve">of CIPAMIG </w:t>
      </w:r>
      <w:r w:rsidR="00DA3EDD">
        <w:rPr>
          <w:snapToGrid w:val="0"/>
        </w:rPr>
        <w:t xml:space="preserve">compared </w:t>
      </w:r>
      <w:r w:rsidR="0003788F">
        <w:rPr>
          <w:snapToGrid w:val="0"/>
        </w:rPr>
        <w:t>to ALGLU and AVAL</w:t>
      </w:r>
      <w:r w:rsidR="004A2768" w:rsidRPr="00E240E4">
        <w:rPr>
          <w:snapToGrid w:val="0"/>
        </w:rPr>
        <w:t xml:space="preserve"> </w:t>
      </w:r>
      <w:r w:rsidR="009662C6" w:rsidRPr="00E240E4">
        <w:rPr>
          <w:snapToGrid w:val="0"/>
        </w:rPr>
        <w:t>was</w:t>
      </w:r>
      <w:r w:rsidR="00AC623C">
        <w:rPr>
          <w:snapToGrid w:val="0"/>
        </w:rPr>
        <w:t xml:space="preserve"> reasonable</w:t>
      </w:r>
      <w:r w:rsidR="00A93E4A">
        <w:rPr>
          <w:snapToGrid w:val="0"/>
        </w:rPr>
        <w:t>.</w:t>
      </w:r>
    </w:p>
    <w:p w14:paraId="18B5912F" w14:textId="21A23FCB" w:rsidR="00B742A8" w:rsidRPr="00E240E4" w:rsidRDefault="004457D7" w:rsidP="00B742A8">
      <w:pPr>
        <w:pStyle w:val="3-BodyText"/>
        <w:rPr>
          <w:snapToGrid w:val="0"/>
        </w:rPr>
      </w:pPr>
      <w:r w:rsidRPr="00E240E4">
        <w:rPr>
          <w:snapToGrid w:val="0"/>
        </w:rPr>
        <w:t xml:space="preserve">The PBAC considered that the claim of </w:t>
      </w:r>
      <w:r w:rsidR="001F3285" w:rsidRPr="00E240E4">
        <w:rPr>
          <w:snapToGrid w:val="0"/>
        </w:rPr>
        <w:t xml:space="preserve">non-inferior </w:t>
      </w:r>
      <w:r w:rsidR="004A2768" w:rsidRPr="00E240E4">
        <w:rPr>
          <w:snapToGrid w:val="0"/>
        </w:rPr>
        <w:t xml:space="preserve">comparative safety </w:t>
      </w:r>
      <w:r w:rsidR="00B742A8" w:rsidRPr="00E240E4">
        <w:rPr>
          <w:snapToGrid w:val="0"/>
        </w:rPr>
        <w:t>was reasonable.</w:t>
      </w:r>
    </w:p>
    <w:p w14:paraId="74A1172E" w14:textId="128C170E" w:rsidR="00B60939" w:rsidRPr="0098262F" w:rsidRDefault="00B60939" w:rsidP="00E9094A">
      <w:pPr>
        <w:pStyle w:val="4-SubsectionHeading"/>
      </w:pPr>
      <w:bookmarkStart w:id="43" w:name="_Toc22897645"/>
      <w:bookmarkStart w:id="44" w:name="_Toc187576337"/>
      <w:bookmarkEnd w:id="42"/>
      <w:r w:rsidRPr="0098262F">
        <w:t>Economic analysis</w:t>
      </w:r>
      <w:bookmarkEnd w:id="43"/>
      <w:bookmarkEnd w:id="44"/>
      <w:r w:rsidR="00491B3A" w:rsidRPr="0098262F">
        <w:t xml:space="preserve"> </w:t>
      </w:r>
    </w:p>
    <w:p w14:paraId="2791F4CE" w14:textId="2165A272" w:rsidR="00480E3E" w:rsidRPr="00DD4632" w:rsidRDefault="00F44F9A" w:rsidP="009D7813">
      <w:pPr>
        <w:pStyle w:val="3-BodyText"/>
      </w:pPr>
      <w:r w:rsidRPr="26403EC0">
        <w:t>The submission presented a cost-minimisation approach</w:t>
      </w:r>
      <w:r w:rsidR="004A01B4" w:rsidRPr="26403EC0">
        <w:t xml:space="preserve"> (CMA)</w:t>
      </w:r>
      <w:r w:rsidRPr="26403EC0">
        <w:t>, on the basis that CIPAMIG is non-inferior to ALGLU and AVAL. The submission stated that ‘in November</w:t>
      </w:r>
      <w:r w:rsidR="00B24C8F">
        <w:t> </w:t>
      </w:r>
      <w:r w:rsidRPr="26403EC0">
        <w:t xml:space="preserve">2021 AVAL was recommended on a cost-minimisation </w:t>
      </w:r>
      <w:r w:rsidR="00570652" w:rsidRPr="26403EC0">
        <w:t>basis</w:t>
      </w:r>
      <w:r w:rsidRPr="26403EC0">
        <w:t xml:space="preserve"> vs ALGLU and the resulting AVAL price was a cost</w:t>
      </w:r>
      <w:r w:rsidR="00346827" w:rsidRPr="26403EC0">
        <w:t>-</w:t>
      </w:r>
      <w:r w:rsidRPr="26403EC0">
        <w:t xml:space="preserve">minimised price in adults with LOPD’, based on Table 20 in the </w:t>
      </w:r>
      <w:r w:rsidR="000454F8" w:rsidRPr="26403EC0">
        <w:t xml:space="preserve">November 2021 </w:t>
      </w:r>
      <w:r w:rsidR="000B614F" w:rsidRPr="26403EC0">
        <w:t xml:space="preserve">AVAL </w:t>
      </w:r>
      <w:r w:rsidR="000454F8" w:rsidRPr="26403EC0">
        <w:t>PSD</w:t>
      </w:r>
      <w:r w:rsidRPr="26403EC0">
        <w:t>. This is not correct; AVAL was not recommended f</w:t>
      </w:r>
      <w:r w:rsidR="005459E7" w:rsidRPr="26403EC0">
        <w:t>or</w:t>
      </w:r>
      <w:r w:rsidRPr="26403EC0">
        <w:t xml:space="preserve"> PBS listing as it was not found to be cost-effective</w:t>
      </w:r>
      <w:r w:rsidR="00287B9E" w:rsidRPr="26403EC0">
        <w:t xml:space="preserve"> by the PBAC</w:t>
      </w:r>
      <w:r w:rsidRPr="26403EC0">
        <w:t xml:space="preserve">. </w:t>
      </w:r>
      <w:r w:rsidR="00480E3E" w:rsidRPr="26403EC0">
        <w:t>Table 20</w:t>
      </w:r>
      <w:r w:rsidR="00AE40EB" w:rsidRPr="26403EC0">
        <w:t xml:space="preserve"> in the AVAL PSD</w:t>
      </w:r>
      <w:r w:rsidR="00480E3E" w:rsidRPr="26403EC0">
        <w:t xml:space="preserve"> was the estimated cost per patient per year for AVAL, not a cost-minimisation analysis.</w:t>
      </w:r>
      <w:r w:rsidR="00480E3E" w:rsidRPr="00660928">
        <w:rPr>
          <w:iCs/>
        </w:rPr>
        <w:t xml:space="preserve"> </w:t>
      </w:r>
      <w:r w:rsidRPr="26403EC0">
        <w:t>The submission presented an analysis of CIP</w:t>
      </w:r>
      <w:r w:rsidR="002654F5" w:rsidRPr="26403EC0">
        <w:t>A</w:t>
      </w:r>
      <w:r w:rsidRPr="26403EC0">
        <w:t>MIG vs AVAL in adults with the assumption that the cos</w:t>
      </w:r>
      <w:r w:rsidR="00480E3E" w:rsidRPr="26403EC0">
        <w:t>t</w:t>
      </w:r>
      <w:r w:rsidRPr="26403EC0">
        <w:t xml:space="preserve"> of ALGLU is the same or higher.</w:t>
      </w:r>
      <w:r w:rsidR="005459E7" w:rsidRPr="26403EC0">
        <w:t xml:space="preserve"> The key components of the analysis are shown in </w:t>
      </w:r>
      <w:r>
        <w:fldChar w:fldCharType="begin"/>
      </w:r>
      <w:r>
        <w:instrText xml:space="preserve"> REF _Ref184200594 \h </w:instrText>
      </w:r>
      <w:r>
        <w:fldChar w:fldCharType="separate"/>
      </w:r>
      <w:r w:rsidR="007A62D0">
        <w:t xml:space="preserve">Table </w:t>
      </w:r>
      <w:r w:rsidR="007A62D0">
        <w:rPr>
          <w:noProof/>
        </w:rPr>
        <w:t>10</w:t>
      </w:r>
      <w:r>
        <w:fldChar w:fldCharType="end"/>
      </w:r>
      <w:r w:rsidR="005459E7" w:rsidRPr="26403EC0">
        <w:t>.</w:t>
      </w:r>
      <w:r w:rsidR="00981886" w:rsidRPr="26403EC0">
        <w:t xml:space="preserve"> </w:t>
      </w:r>
      <w:r w:rsidR="004850A6" w:rsidRPr="26403EC0">
        <w:t>The submission’s</w:t>
      </w:r>
      <w:r w:rsidR="00BD798B" w:rsidRPr="26403EC0">
        <w:t xml:space="preserve"> approach may not be sufficient given there is no basis to establish cost-effectiveness for the PBS since the comparators were not recommended by the PBAC and are currently listed on LSDP.</w:t>
      </w:r>
      <w:r w:rsidR="00AE728D" w:rsidRPr="26403EC0">
        <w:t xml:space="preserve"> </w:t>
      </w:r>
      <w:r w:rsidR="002A05F3" w:rsidRPr="26403EC0">
        <w:t xml:space="preserve">The submission </w:t>
      </w:r>
      <w:r w:rsidR="00A926FF" w:rsidRPr="26403EC0">
        <w:t>may have</w:t>
      </w:r>
      <w:r w:rsidR="002A05F3" w:rsidRPr="26403EC0">
        <w:t xml:space="preserve"> presented a CMA to an LSDP listed drug as a proxy to establish that CIPAMIG would not be cost-effective for PBS listing.</w:t>
      </w:r>
      <w:r w:rsidR="00A00787" w:rsidRPr="00660928">
        <w:rPr>
          <w:iCs/>
        </w:rPr>
        <w:t xml:space="preserve"> </w:t>
      </w:r>
      <w:r w:rsidR="00D87811" w:rsidRPr="00660928">
        <w:rPr>
          <w:iCs/>
        </w:rPr>
        <w:t>The PSCR confirmed that the submission’s intent was to present a cost-minimisation analysis to AVAL as a proxy to establish that CIPAMIG would</w:t>
      </w:r>
      <w:r w:rsidR="00D87811" w:rsidRPr="26403EC0">
        <w:t xml:space="preserve"> </w:t>
      </w:r>
      <w:r w:rsidR="00D87811" w:rsidRPr="00660928">
        <w:rPr>
          <w:iCs/>
        </w:rPr>
        <w:t xml:space="preserve">not meet cost-effectiveness criteria for PBS listing. </w:t>
      </w:r>
    </w:p>
    <w:p w14:paraId="25693D95" w14:textId="7FF0BC9D" w:rsidR="00480E3E" w:rsidRPr="0098262F" w:rsidRDefault="005459E7" w:rsidP="00523A5C">
      <w:pPr>
        <w:pStyle w:val="Caption"/>
        <w:rPr>
          <w:rStyle w:val="CommentReference"/>
          <w:b/>
          <w:szCs w:val="24"/>
        </w:rPr>
      </w:pPr>
      <w:bookmarkStart w:id="45" w:name="_Ref184200594"/>
      <w:r>
        <w:t xml:space="preserve">Table </w:t>
      </w:r>
      <w:r w:rsidR="005C2AA5">
        <w:fldChar w:fldCharType="begin"/>
      </w:r>
      <w:r w:rsidR="005C2AA5">
        <w:instrText xml:space="preserve"> SEQ Table \* ARABIC </w:instrText>
      </w:r>
      <w:r w:rsidR="005C2AA5">
        <w:fldChar w:fldCharType="separate"/>
      </w:r>
      <w:r w:rsidR="007A62D0">
        <w:rPr>
          <w:noProof/>
        </w:rPr>
        <w:t>10</w:t>
      </w:r>
      <w:r w:rsidR="005C2AA5">
        <w:rPr>
          <w:noProof/>
        </w:rPr>
        <w:fldChar w:fldCharType="end"/>
      </w:r>
      <w:bookmarkEnd w:id="45"/>
      <w:r>
        <w:t xml:space="preserve">: </w:t>
      </w:r>
      <w:r w:rsidR="00480E3E" w:rsidRPr="0098262F">
        <w:rPr>
          <w:rStyle w:val="CommentReference"/>
          <w:b/>
          <w:szCs w:val="24"/>
        </w:rPr>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Key components and assumptions of the cost-minimisation approach"/>
      </w:tblPr>
      <w:tblGrid>
        <w:gridCol w:w="2660"/>
        <w:gridCol w:w="6520"/>
      </w:tblGrid>
      <w:tr w:rsidR="00480E3E" w:rsidRPr="0098262F" w14:paraId="07842ED6" w14:textId="77777777" w:rsidTr="26403EC0">
        <w:tc>
          <w:tcPr>
            <w:tcW w:w="2660" w:type="dxa"/>
            <w:vAlign w:val="center"/>
          </w:tcPr>
          <w:p w14:paraId="516C4030" w14:textId="77777777" w:rsidR="00480E3E" w:rsidRPr="0098262F" w:rsidRDefault="00480E3E" w:rsidP="00523A5C">
            <w:pPr>
              <w:pStyle w:val="In-tableHeading"/>
              <w:keepNext/>
            </w:pPr>
            <w:r w:rsidRPr="0098262F">
              <w:t>Component</w:t>
            </w:r>
          </w:p>
        </w:tc>
        <w:tc>
          <w:tcPr>
            <w:tcW w:w="6520" w:type="dxa"/>
            <w:vAlign w:val="center"/>
          </w:tcPr>
          <w:p w14:paraId="40E76115" w14:textId="77777777" w:rsidR="00480E3E" w:rsidRPr="0098262F" w:rsidRDefault="00480E3E" w:rsidP="00523A5C">
            <w:pPr>
              <w:pStyle w:val="In-tableHeading"/>
              <w:keepNext/>
            </w:pPr>
            <w:r w:rsidRPr="0098262F">
              <w:t>Claim or assumption</w:t>
            </w:r>
          </w:p>
        </w:tc>
      </w:tr>
      <w:tr w:rsidR="00480E3E" w:rsidRPr="0098262F" w14:paraId="69A7251D" w14:textId="77777777" w:rsidTr="26403EC0">
        <w:tc>
          <w:tcPr>
            <w:tcW w:w="2660" w:type="dxa"/>
            <w:vAlign w:val="center"/>
          </w:tcPr>
          <w:p w14:paraId="750570CD" w14:textId="77777777" w:rsidR="00480E3E" w:rsidRPr="0098262F" w:rsidRDefault="00480E3E">
            <w:pPr>
              <w:pStyle w:val="TableText0"/>
            </w:pPr>
            <w:r w:rsidRPr="0098262F">
              <w:t>Therapeutic claim: effectiveness</w:t>
            </w:r>
          </w:p>
        </w:tc>
        <w:tc>
          <w:tcPr>
            <w:tcW w:w="6520" w:type="dxa"/>
            <w:vAlign w:val="center"/>
          </w:tcPr>
          <w:p w14:paraId="6CC556FD" w14:textId="30F7D79D" w:rsidR="00480E3E" w:rsidRPr="0098262F" w:rsidRDefault="00480E3E">
            <w:pPr>
              <w:pStyle w:val="TableText0"/>
            </w:pPr>
            <w:r w:rsidRPr="26403EC0">
              <w:t xml:space="preserve">Based on evidence presented in Section 2, </w:t>
            </w:r>
            <w:r w:rsidR="005459E7" w:rsidRPr="26403EC0">
              <w:t>CIPA MIG is assumed to be non-inferior in terms of effectiveness relative to AVAL (and ALGLU)</w:t>
            </w:r>
          </w:p>
        </w:tc>
      </w:tr>
      <w:tr w:rsidR="00480E3E" w:rsidRPr="0098262F" w14:paraId="54088DF2" w14:textId="77777777" w:rsidTr="26403EC0">
        <w:tc>
          <w:tcPr>
            <w:tcW w:w="2660" w:type="dxa"/>
            <w:vAlign w:val="center"/>
          </w:tcPr>
          <w:p w14:paraId="4C47B774" w14:textId="77777777" w:rsidR="00480E3E" w:rsidRPr="0098262F" w:rsidRDefault="00480E3E">
            <w:pPr>
              <w:pStyle w:val="TableText0"/>
            </w:pPr>
            <w:r w:rsidRPr="0098262F">
              <w:t>Therapeutic claim: safety</w:t>
            </w:r>
          </w:p>
        </w:tc>
        <w:tc>
          <w:tcPr>
            <w:tcW w:w="6520" w:type="dxa"/>
            <w:vAlign w:val="center"/>
          </w:tcPr>
          <w:p w14:paraId="7655C8E2" w14:textId="3EA133BF" w:rsidR="00480E3E" w:rsidRPr="0098262F" w:rsidRDefault="00480E3E">
            <w:pPr>
              <w:pStyle w:val="TableText0"/>
            </w:pPr>
            <w:r w:rsidRPr="26403EC0">
              <w:t xml:space="preserve">Based on evidence presented in Section 2, </w:t>
            </w:r>
            <w:r w:rsidR="005459E7" w:rsidRPr="26403EC0">
              <w:t>CIPA MIG is assumed to be non-inferior in terms of safety relative to AVAL (and ALGLU)</w:t>
            </w:r>
          </w:p>
        </w:tc>
      </w:tr>
      <w:tr w:rsidR="00480E3E" w:rsidRPr="0098262F" w14:paraId="3C3D29B2" w14:textId="77777777" w:rsidTr="26403EC0">
        <w:tc>
          <w:tcPr>
            <w:tcW w:w="2660" w:type="dxa"/>
            <w:vAlign w:val="center"/>
          </w:tcPr>
          <w:p w14:paraId="673A62E4" w14:textId="77777777" w:rsidR="00480E3E" w:rsidRPr="0098262F" w:rsidRDefault="00480E3E">
            <w:pPr>
              <w:pStyle w:val="TableText0"/>
            </w:pPr>
            <w:r w:rsidRPr="0098262F">
              <w:t>Evidence base</w:t>
            </w:r>
          </w:p>
        </w:tc>
        <w:tc>
          <w:tcPr>
            <w:tcW w:w="6520" w:type="dxa"/>
            <w:vAlign w:val="center"/>
          </w:tcPr>
          <w:p w14:paraId="7516E9B4" w14:textId="3888ED07" w:rsidR="005459E7" w:rsidRDefault="005459E7" w:rsidP="005459E7">
            <w:pPr>
              <w:pStyle w:val="TableText0"/>
            </w:pPr>
            <w:r>
              <w:t>CIPA 2</w:t>
            </w:r>
            <w:r w:rsidR="00E507FF">
              <w:t>0 mg</w:t>
            </w:r>
            <w:r>
              <w:t>/kg MIG 260 mg vs ALGLU: PROPEL</w:t>
            </w:r>
          </w:p>
          <w:p w14:paraId="45F0A6D6" w14:textId="0B10A1BE" w:rsidR="00480E3E" w:rsidRPr="0098262F" w:rsidRDefault="005459E7" w:rsidP="005459E7">
            <w:pPr>
              <w:pStyle w:val="TableText0"/>
            </w:pPr>
            <w:r>
              <w:t>AVAL 20 mg/kg vs ALGLU: COMET</w:t>
            </w:r>
          </w:p>
        </w:tc>
      </w:tr>
      <w:tr w:rsidR="00480E3E" w:rsidRPr="0098262F" w14:paraId="0EF85887" w14:textId="77777777" w:rsidTr="26403EC0">
        <w:tc>
          <w:tcPr>
            <w:tcW w:w="2660" w:type="dxa"/>
            <w:vAlign w:val="center"/>
          </w:tcPr>
          <w:p w14:paraId="11757639" w14:textId="77777777" w:rsidR="00480E3E" w:rsidRPr="0098262F" w:rsidRDefault="00480E3E">
            <w:pPr>
              <w:pStyle w:val="TableText0"/>
            </w:pPr>
            <w:r w:rsidRPr="0098262F">
              <w:t>Equi-effective doses</w:t>
            </w:r>
          </w:p>
        </w:tc>
        <w:tc>
          <w:tcPr>
            <w:tcW w:w="6520" w:type="dxa"/>
            <w:vAlign w:val="center"/>
          </w:tcPr>
          <w:p w14:paraId="16FC2C69" w14:textId="77777777" w:rsidR="005459E7" w:rsidRDefault="005459E7" w:rsidP="005459E7">
            <w:pPr>
              <w:pStyle w:val="TableText0"/>
            </w:pPr>
            <w:r>
              <w:t>CIPA 20 mg/kg by IV infusion every 2 weeks plus MIG 260 mg oral capsule every 2 weeks is equi-effective to</w:t>
            </w:r>
          </w:p>
          <w:p w14:paraId="63408851" w14:textId="77777777" w:rsidR="005459E7" w:rsidRDefault="005459E7" w:rsidP="005459E7">
            <w:pPr>
              <w:pStyle w:val="TableText0"/>
            </w:pPr>
            <w:r>
              <w:t>AVAL 20 mg/kg by IV infusion every 2 weeks</w:t>
            </w:r>
          </w:p>
          <w:p w14:paraId="3DBA72E7" w14:textId="77777777" w:rsidR="005459E7" w:rsidRDefault="005459E7" w:rsidP="005459E7">
            <w:pPr>
              <w:pStyle w:val="TableText0"/>
            </w:pPr>
            <w:r>
              <w:t>OR</w:t>
            </w:r>
          </w:p>
          <w:p w14:paraId="6245130A" w14:textId="34D6DBD7" w:rsidR="00480E3E" w:rsidRPr="0098262F" w:rsidRDefault="005459E7" w:rsidP="005459E7">
            <w:pPr>
              <w:pStyle w:val="TableText0"/>
            </w:pPr>
            <w:r>
              <w:t>ALGLU 20 mg/kg by IV infusion every 2 weeks</w:t>
            </w:r>
          </w:p>
        </w:tc>
      </w:tr>
      <w:tr w:rsidR="00480E3E" w:rsidRPr="0098262F" w14:paraId="05D0970E" w14:textId="77777777" w:rsidTr="26403EC0">
        <w:tc>
          <w:tcPr>
            <w:tcW w:w="2660" w:type="dxa"/>
            <w:vAlign w:val="center"/>
          </w:tcPr>
          <w:p w14:paraId="6868EA1D" w14:textId="77777777" w:rsidR="00480E3E" w:rsidRPr="0098262F" w:rsidRDefault="00480E3E">
            <w:pPr>
              <w:pStyle w:val="TableText0"/>
            </w:pPr>
            <w:r w:rsidRPr="0098262F">
              <w:t>Direct medicine costs</w:t>
            </w:r>
          </w:p>
        </w:tc>
        <w:tc>
          <w:tcPr>
            <w:tcW w:w="6520" w:type="dxa"/>
            <w:vAlign w:val="center"/>
          </w:tcPr>
          <w:p w14:paraId="1BEA47C8" w14:textId="573778CC" w:rsidR="00480E3E" w:rsidRPr="0098262F" w:rsidRDefault="005459E7">
            <w:pPr>
              <w:pStyle w:val="TableText0"/>
            </w:pPr>
            <w:r w:rsidRPr="005459E7">
              <w:t>The annual cost of CIPA MIG at the prices proposed is identical to that of the comparator AVAL, at the published price</w:t>
            </w:r>
          </w:p>
        </w:tc>
      </w:tr>
      <w:tr w:rsidR="00480E3E" w:rsidRPr="0098262F" w14:paraId="165595A5" w14:textId="77777777" w:rsidTr="26403EC0">
        <w:tc>
          <w:tcPr>
            <w:tcW w:w="2660" w:type="dxa"/>
            <w:vAlign w:val="center"/>
          </w:tcPr>
          <w:p w14:paraId="2E3FADEF" w14:textId="77777777" w:rsidR="00480E3E" w:rsidRPr="0098262F" w:rsidRDefault="00480E3E">
            <w:pPr>
              <w:pStyle w:val="TableText0"/>
            </w:pPr>
            <w:r w:rsidRPr="0098262F">
              <w:t>Other costs or cost offsets</w:t>
            </w:r>
          </w:p>
        </w:tc>
        <w:tc>
          <w:tcPr>
            <w:tcW w:w="6520" w:type="dxa"/>
            <w:vAlign w:val="center"/>
          </w:tcPr>
          <w:p w14:paraId="0EC67E9B" w14:textId="77777777" w:rsidR="005459E7" w:rsidRDefault="005459E7" w:rsidP="005459E7">
            <w:pPr>
              <w:pStyle w:val="TableText0"/>
            </w:pPr>
            <w:r>
              <w:t>None considered</w:t>
            </w:r>
          </w:p>
          <w:p w14:paraId="5C0065FE" w14:textId="6FF3BC19" w:rsidR="00480E3E" w:rsidRPr="0098262F" w:rsidRDefault="005459E7" w:rsidP="005459E7">
            <w:pPr>
              <w:pStyle w:val="TableText0"/>
            </w:pPr>
            <w:r>
              <w:t>(consistent with the AVAL versus ALGLU cost-minimisation analysis, November 2021)</w:t>
            </w:r>
          </w:p>
        </w:tc>
      </w:tr>
    </w:tbl>
    <w:p w14:paraId="4732B1F1" w14:textId="0E643D97" w:rsidR="00480E3E" w:rsidRPr="00F44F9A" w:rsidRDefault="00480E3E" w:rsidP="00523A5C">
      <w:pPr>
        <w:pStyle w:val="PBACTblFignote"/>
        <w:keepNext w:val="0"/>
        <w:spacing w:after="120"/>
      </w:pPr>
      <w:r w:rsidRPr="26403EC0">
        <w:t>Source: Table</w:t>
      </w:r>
      <w:r w:rsidR="005459E7" w:rsidRPr="26403EC0">
        <w:t xml:space="preserve"> 59</w:t>
      </w:r>
      <w:r w:rsidRPr="26403EC0">
        <w:t>, p</w:t>
      </w:r>
      <w:r w:rsidR="005459E7" w:rsidRPr="26403EC0">
        <w:t>138</w:t>
      </w:r>
      <w:r w:rsidRPr="26403EC0">
        <w:t xml:space="preserve"> of the submission.</w:t>
      </w:r>
      <w:r w:rsidR="005459E7" w:rsidRPr="26403EC0">
        <w:t xml:space="preserve"> ALGLU= alglucosidase alfa; AVAL =</w:t>
      </w:r>
      <w:r w:rsidR="00955CE0" w:rsidRPr="26403EC0">
        <w:t xml:space="preserve"> </w:t>
      </w:r>
      <w:proofErr w:type="spellStart"/>
      <w:r w:rsidR="005459E7" w:rsidRPr="26403EC0">
        <w:t>avalglucosidase</w:t>
      </w:r>
      <w:proofErr w:type="spellEnd"/>
      <w:r w:rsidR="005459E7" w:rsidRPr="26403EC0">
        <w:t xml:space="preserve"> alfa, CIPA MIG, =</w:t>
      </w:r>
      <w:r w:rsidR="008D12F4" w:rsidRPr="26403EC0">
        <w:t xml:space="preserve"> </w:t>
      </w:r>
      <w:r w:rsidR="005459E7" w:rsidRPr="26403EC0">
        <w:t xml:space="preserve">cipaglucosidase alfa plus </w:t>
      </w:r>
      <w:proofErr w:type="spellStart"/>
      <w:r w:rsidR="005459E7" w:rsidRPr="26403EC0">
        <w:t>miglustat</w:t>
      </w:r>
      <w:proofErr w:type="spellEnd"/>
      <w:r w:rsidR="005459E7" w:rsidRPr="26403EC0">
        <w:t>; IV = Intravenous; kg= kilogram; mg =</w:t>
      </w:r>
      <w:r w:rsidR="008D12F4" w:rsidRPr="26403EC0">
        <w:t xml:space="preserve"> </w:t>
      </w:r>
      <w:r w:rsidR="005459E7" w:rsidRPr="26403EC0">
        <w:t>milligram</w:t>
      </w:r>
    </w:p>
    <w:p w14:paraId="1456CDF2" w14:textId="325687C0" w:rsidR="00480E3E" w:rsidRDefault="00A86E8B" w:rsidP="00BB732D">
      <w:pPr>
        <w:pStyle w:val="3-BodyText"/>
      </w:pPr>
      <w:r w:rsidRPr="0098262F">
        <w:t xml:space="preserve">The equi-effective doses </w:t>
      </w:r>
      <w:r w:rsidR="00F61C18" w:rsidRPr="0098262F">
        <w:t>we</w:t>
      </w:r>
      <w:r w:rsidRPr="0098262F">
        <w:t>re estimated as</w:t>
      </w:r>
      <w:r w:rsidR="00480E3E">
        <w:t xml:space="preserve">: </w:t>
      </w:r>
    </w:p>
    <w:p w14:paraId="4664E595" w14:textId="77777777" w:rsidR="00480E3E" w:rsidRDefault="00480E3E" w:rsidP="00480E3E">
      <w:pPr>
        <w:pStyle w:val="ListParagraph"/>
      </w:pPr>
      <w:r>
        <w:t>CIPA 20 mg/kg every 2 weeks plus 260 mg MIG every 2 weeks</w:t>
      </w:r>
    </w:p>
    <w:p w14:paraId="27C86005" w14:textId="77777777" w:rsidR="00480E3E" w:rsidRDefault="00480E3E" w:rsidP="00480E3E">
      <w:pPr>
        <w:pStyle w:val="ListParagraph"/>
      </w:pPr>
      <w:r>
        <w:t>AVAL 20 mg/kg by IV infusion every 2 weeks</w:t>
      </w:r>
    </w:p>
    <w:p w14:paraId="4D185FF4" w14:textId="441BD24F" w:rsidR="00480E3E" w:rsidRDefault="00480E3E" w:rsidP="00480E3E">
      <w:pPr>
        <w:pStyle w:val="ListParagraph"/>
      </w:pPr>
      <w:r>
        <w:t>ALGLU 20 mg/kg by IV infusion every 2 weeks.</w:t>
      </w:r>
    </w:p>
    <w:p w14:paraId="6107A2AA" w14:textId="58FBD82A" w:rsidR="00402812" w:rsidRPr="0098262F" w:rsidRDefault="00480E3E" w:rsidP="00BB732D">
      <w:pPr>
        <w:pStyle w:val="3-BodyText"/>
      </w:pPr>
      <w:r w:rsidRPr="26403EC0">
        <w:t xml:space="preserve">These doses were based on the trials of CIPAMIG vs ALGLU and AVAL vs ALGLU. As noted in </w:t>
      </w:r>
      <w:r>
        <w:fldChar w:fldCharType="begin"/>
      </w:r>
      <w:r>
        <w:instrText xml:space="preserve"> REF _Ref184128793 \h </w:instrText>
      </w:r>
      <w:r>
        <w:fldChar w:fldCharType="separate"/>
      </w:r>
      <w:r w:rsidR="007A62D0">
        <w:t xml:space="preserve">Table </w:t>
      </w:r>
      <w:r w:rsidR="007A62D0">
        <w:rPr>
          <w:noProof/>
        </w:rPr>
        <w:t>4</w:t>
      </w:r>
      <w:r>
        <w:fldChar w:fldCharType="end"/>
      </w:r>
      <w:r w:rsidRPr="26403EC0">
        <w:t>, the PROPEL trial reported treatment duration and mean</w:t>
      </w:r>
      <w:r w:rsidR="005459E7" w:rsidRPr="26403EC0">
        <w:t xml:space="preserve"> and</w:t>
      </w:r>
      <w:r w:rsidRPr="26403EC0">
        <w:t xml:space="preserve"> median dose for both treatment groups, but the COMET trial did not.</w:t>
      </w:r>
    </w:p>
    <w:p w14:paraId="4A11C8F6" w14:textId="43546134" w:rsidR="00A86E8B" w:rsidRDefault="003D39A9" w:rsidP="00F93E26">
      <w:pPr>
        <w:pStyle w:val="3-BodyText"/>
      </w:pPr>
      <w:r>
        <w:t>As all drugs have weight</w:t>
      </w:r>
      <w:r w:rsidR="00982937">
        <w:t>-</w:t>
      </w:r>
      <w:r>
        <w:t xml:space="preserve">based doses, the submission used a standard patient weight of 76.8 kg, as was used in the AVAL November 2021 submission (Table 11, </w:t>
      </w:r>
      <w:proofErr w:type="spellStart"/>
      <w:r w:rsidR="002654F5">
        <w:t>A</w:t>
      </w:r>
      <w:r>
        <w:t>valglucosidase</w:t>
      </w:r>
      <w:proofErr w:type="spellEnd"/>
      <w:r>
        <w:t xml:space="preserve"> PSD, PBAC meeting November 2021). The submission used the </w:t>
      </w:r>
      <w:r w:rsidR="00177102">
        <w:t xml:space="preserve">proposed </w:t>
      </w:r>
      <w:r>
        <w:t>published AEMP of AVAL of $</w:t>
      </w:r>
      <w:r w:rsidR="00085C36" w:rsidRPr="007A62D0">
        <w:rPr>
          <w:color w:val="000000"/>
          <w:w w:val="15"/>
          <w:shd w:val="solid" w:color="000000" w:fill="000000"/>
          <w:fitText w:val="-20" w:id="-694519040"/>
          <w14:textFill>
            <w14:solidFill>
              <w14:srgbClr w14:val="000000">
                <w14:alpha w14:val="100000"/>
              </w14:srgbClr>
            </w14:solidFill>
          </w14:textFill>
        </w:rPr>
        <w:t xml:space="preserve">|  </w:t>
      </w:r>
      <w:r w:rsidR="00085C36" w:rsidRPr="007A62D0">
        <w:rPr>
          <w:color w:val="000000"/>
          <w:spacing w:val="-69"/>
          <w:w w:val="15"/>
          <w:shd w:val="solid" w:color="000000" w:fill="000000"/>
          <w:fitText w:val="-20" w:id="-694519040"/>
          <w14:textFill>
            <w14:solidFill>
              <w14:srgbClr w14:val="000000">
                <w14:alpha w14:val="100000"/>
              </w14:srgbClr>
            </w14:solidFill>
          </w14:textFill>
        </w:rPr>
        <w:t>|</w:t>
      </w:r>
      <w:r>
        <w:t xml:space="preserve"> per mg (</w:t>
      </w:r>
      <w:r w:rsidR="00982937">
        <w:t>Table 20,</w:t>
      </w:r>
      <w:r w:rsidR="00982937" w:rsidRPr="00982937">
        <w:t xml:space="preserve"> </w:t>
      </w:r>
      <w:proofErr w:type="spellStart"/>
      <w:r w:rsidR="002654F5">
        <w:t>A</w:t>
      </w:r>
      <w:r w:rsidR="00982937">
        <w:t>valglucosidase</w:t>
      </w:r>
      <w:proofErr w:type="spellEnd"/>
      <w:r w:rsidR="00982937">
        <w:t xml:space="preserve"> PSD, PBAC meeting November 2021</w:t>
      </w:r>
      <w:r>
        <w:t>)</w:t>
      </w:r>
      <w:r w:rsidR="00551D35">
        <w:t xml:space="preserve"> and calculated a total annual drug cost for AVAL of $</w:t>
      </w:r>
      <w:r w:rsidR="00085C36" w:rsidRPr="007A62D0">
        <w:rPr>
          <w:color w:val="000000"/>
          <w:w w:val="15"/>
          <w:shd w:val="solid" w:color="000000" w:fill="000000"/>
          <w:fitText w:val="-20" w:id="-694519039"/>
          <w14:textFill>
            <w14:solidFill>
              <w14:srgbClr w14:val="000000">
                <w14:alpha w14:val="100000"/>
              </w14:srgbClr>
            </w14:solidFill>
          </w14:textFill>
        </w:rPr>
        <w:t xml:space="preserve">|  </w:t>
      </w:r>
      <w:r w:rsidR="00085C36" w:rsidRPr="007A62D0">
        <w:rPr>
          <w:color w:val="000000"/>
          <w:spacing w:val="-69"/>
          <w:w w:val="15"/>
          <w:shd w:val="solid" w:color="000000" w:fill="000000"/>
          <w:fitText w:val="-20" w:id="-694519039"/>
          <w14:textFill>
            <w14:solidFill>
              <w14:srgbClr w14:val="000000">
                <w14:alpha w14:val="100000"/>
              </w14:srgbClr>
            </w14:solidFill>
          </w14:textFill>
        </w:rPr>
        <w:t>|</w:t>
      </w:r>
      <w:r w:rsidR="00551D35">
        <w:t xml:space="preserve"> as the basis of the cost</w:t>
      </w:r>
      <w:r w:rsidR="00FF517C">
        <w:t>-</w:t>
      </w:r>
      <w:r w:rsidR="00551D35">
        <w:t xml:space="preserve">minimisation. </w:t>
      </w:r>
    </w:p>
    <w:p w14:paraId="05ED9D2D" w14:textId="364E3709" w:rsidR="00551D35" w:rsidRDefault="00551D35" w:rsidP="00F93E26">
      <w:pPr>
        <w:pStyle w:val="3-BodyText"/>
      </w:pPr>
      <w:r w:rsidRPr="26403EC0">
        <w:t xml:space="preserve">As </w:t>
      </w:r>
      <w:proofErr w:type="spellStart"/>
      <w:r w:rsidRPr="26403EC0">
        <w:t>miglustat</w:t>
      </w:r>
      <w:proofErr w:type="spellEnd"/>
      <w:r w:rsidRPr="26403EC0">
        <w:t xml:space="preserve"> is not currently listed on the PBS, the submission proposed that </w:t>
      </w:r>
      <w:r w:rsidR="00662AE9" w:rsidRPr="26403EC0">
        <w:t xml:space="preserve">its </w:t>
      </w:r>
      <w:r w:rsidRPr="26403EC0">
        <w:t xml:space="preserve">price should be approximately the same </w:t>
      </w:r>
      <w:r w:rsidR="00CD0C70" w:rsidRPr="26403EC0">
        <w:t>as that</w:t>
      </w:r>
      <w:r w:rsidRPr="26403EC0">
        <w:t xml:space="preserve"> currently in the UK</w:t>
      </w:r>
      <w:r w:rsidR="00CD0C70" w:rsidRPr="26403EC0">
        <w:t xml:space="preserve"> of </w:t>
      </w:r>
      <w:r w:rsidRPr="26403EC0">
        <w:t>$</w:t>
      </w:r>
      <w:r w:rsidR="00085C36" w:rsidRPr="007A62D0">
        <w:rPr>
          <w:color w:val="000000"/>
          <w:w w:val="15"/>
          <w:shd w:val="solid" w:color="000000" w:fill="000000"/>
          <w:fitText w:val="-20" w:id="-694519038"/>
          <w14:textFill>
            <w14:solidFill>
              <w14:srgbClr w14:val="000000">
                <w14:alpha w14:val="100000"/>
              </w14:srgbClr>
            </w14:solidFill>
          </w14:textFill>
        </w:rPr>
        <w:t xml:space="preserve">|  </w:t>
      </w:r>
      <w:r w:rsidR="00085C36" w:rsidRPr="007A62D0">
        <w:rPr>
          <w:color w:val="000000"/>
          <w:spacing w:val="-69"/>
          <w:w w:val="15"/>
          <w:shd w:val="solid" w:color="000000" w:fill="000000"/>
          <w:fitText w:val="-20" w:id="-694519038"/>
          <w14:textFill>
            <w14:solidFill>
              <w14:srgbClr w14:val="000000">
                <w14:alpha w14:val="100000"/>
              </w14:srgbClr>
            </w14:solidFill>
          </w14:textFill>
        </w:rPr>
        <w:t>|</w:t>
      </w:r>
      <w:r w:rsidRPr="26403EC0">
        <w:t xml:space="preserve"> per 65</w:t>
      </w:r>
      <w:r w:rsidR="00B24C8F">
        <w:t> </w:t>
      </w:r>
      <w:r w:rsidRPr="26403EC0">
        <w:t xml:space="preserve">mg capsule. </w:t>
      </w:r>
      <w:r w:rsidRPr="00660928">
        <w:rPr>
          <w:iCs/>
        </w:rPr>
        <w:t xml:space="preserve">No justification for this approach was presented. </w:t>
      </w:r>
      <w:r w:rsidRPr="26403EC0">
        <w:t xml:space="preserve">The price of CIPA was calculated by subtracting the cost of MIG from the total annual cost of AVAL. </w:t>
      </w:r>
    </w:p>
    <w:p w14:paraId="4D6BA2E7" w14:textId="1CBC59F8" w:rsidR="00982937" w:rsidRDefault="00982937" w:rsidP="00F93E26">
      <w:pPr>
        <w:pStyle w:val="3-BodyText"/>
      </w:pPr>
      <w:r>
        <w:t xml:space="preserve">No other costs were included in the analysis. The results </w:t>
      </w:r>
      <w:r w:rsidR="00551D35">
        <w:t>as p</w:t>
      </w:r>
      <w:r w:rsidR="00336968">
        <w:t>r</w:t>
      </w:r>
      <w:r w:rsidR="00551D35">
        <w:t>esen</w:t>
      </w:r>
      <w:r w:rsidR="00336968">
        <w:t>t</w:t>
      </w:r>
      <w:r w:rsidR="00551D35">
        <w:t xml:space="preserve">ed in the submission are shown in </w:t>
      </w:r>
      <w:r w:rsidR="00551D35">
        <w:fldChar w:fldCharType="begin"/>
      </w:r>
      <w:r w:rsidR="00551D35">
        <w:instrText xml:space="preserve"> REF _Ref184203225 \h </w:instrText>
      </w:r>
      <w:r w:rsidR="00551D35">
        <w:fldChar w:fldCharType="separate"/>
      </w:r>
      <w:r w:rsidR="007A62D0">
        <w:t xml:space="preserve">Table </w:t>
      </w:r>
      <w:r w:rsidR="007A62D0">
        <w:rPr>
          <w:noProof/>
        </w:rPr>
        <w:t>11</w:t>
      </w:r>
      <w:r w:rsidR="00551D35">
        <w:fldChar w:fldCharType="end"/>
      </w:r>
      <w:r w:rsidR="00551D35">
        <w:t>.</w:t>
      </w:r>
    </w:p>
    <w:p w14:paraId="4D020828" w14:textId="68749A02" w:rsidR="00551D35" w:rsidRPr="004E4B2F" w:rsidRDefault="00551D35" w:rsidP="00523A5C">
      <w:pPr>
        <w:pStyle w:val="Caption"/>
      </w:pPr>
      <w:bookmarkStart w:id="46" w:name="_Ref184203225"/>
      <w:r>
        <w:t xml:space="preserve">Table </w:t>
      </w:r>
      <w:r w:rsidR="005C2AA5">
        <w:fldChar w:fldCharType="begin"/>
      </w:r>
      <w:r w:rsidR="005C2AA5">
        <w:instrText xml:space="preserve"> SEQ Table \* ARABIC </w:instrText>
      </w:r>
      <w:r w:rsidR="005C2AA5">
        <w:fldChar w:fldCharType="separate"/>
      </w:r>
      <w:r w:rsidR="007A62D0">
        <w:rPr>
          <w:noProof/>
        </w:rPr>
        <w:t>11</w:t>
      </w:r>
      <w:r w:rsidR="005C2AA5">
        <w:rPr>
          <w:noProof/>
        </w:rPr>
        <w:fldChar w:fldCharType="end"/>
      </w:r>
      <w:bookmarkEnd w:id="46"/>
      <w:r>
        <w:t xml:space="preserve">: </w:t>
      </w:r>
      <w:r w:rsidRPr="004E4B2F">
        <w:t xml:space="preserve">Results of the CMA - One year cost of </w:t>
      </w:r>
      <w:r>
        <w:t>CIPAMIG</w:t>
      </w:r>
    </w:p>
    <w:tbl>
      <w:tblPr>
        <w:tblStyle w:val="TableGrid"/>
        <w:tblW w:w="5186" w:type="pct"/>
        <w:tblLook w:val="04A0" w:firstRow="1" w:lastRow="0" w:firstColumn="1" w:lastColumn="0" w:noHBand="0" w:noVBand="1"/>
        <w:tblCaption w:val="Table 11: Results of the CMA - One year cost of CIPAMIG"/>
      </w:tblPr>
      <w:tblGrid>
        <w:gridCol w:w="845"/>
        <w:gridCol w:w="4538"/>
        <w:gridCol w:w="1494"/>
        <w:gridCol w:w="2475"/>
      </w:tblGrid>
      <w:tr w:rsidR="00551D35" w:rsidRPr="004E4B2F" w14:paraId="642BC162" w14:textId="77777777" w:rsidTr="00551D35">
        <w:trPr>
          <w:trHeight w:val="20"/>
        </w:trPr>
        <w:tc>
          <w:tcPr>
            <w:tcW w:w="452" w:type="pct"/>
            <w:shd w:val="clear" w:color="auto" w:fill="auto"/>
          </w:tcPr>
          <w:p w14:paraId="61FFB56E" w14:textId="77777777" w:rsidR="00551D35" w:rsidRPr="00ED4F80" w:rsidRDefault="00551D35" w:rsidP="00523A5C">
            <w:pPr>
              <w:pStyle w:val="In-tableHeading"/>
              <w:keepNext/>
            </w:pPr>
            <w:r>
              <w:t>Row</w:t>
            </w:r>
          </w:p>
        </w:tc>
        <w:tc>
          <w:tcPr>
            <w:tcW w:w="2426" w:type="pct"/>
            <w:shd w:val="clear" w:color="auto" w:fill="auto"/>
          </w:tcPr>
          <w:p w14:paraId="29E02111" w14:textId="77777777" w:rsidR="00551D35" w:rsidRPr="00ED4F80" w:rsidRDefault="00551D35" w:rsidP="00523A5C">
            <w:pPr>
              <w:pStyle w:val="In-tableHeading"/>
              <w:keepNext/>
            </w:pPr>
            <w:r w:rsidRPr="00ED4F80">
              <w:t>Parameter</w:t>
            </w:r>
          </w:p>
        </w:tc>
        <w:tc>
          <w:tcPr>
            <w:tcW w:w="799" w:type="pct"/>
            <w:shd w:val="clear" w:color="auto" w:fill="auto"/>
          </w:tcPr>
          <w:p w14:paraId="1661566E" w14:textId="77777777" w:rsidR="00551D35" w:rsidRPr="00ED4F80" w:rsidRDefault="00551D35" w:rsidP="00523A5C">
            <w:pPr>
              <w:pStyle w:val="In-tableHeading"/>
              <w:keepNext/>
            </w:pPr>
            <w:r w:rsidRPr="006A39EE">
              <w:t>CIPA 20 mg/kg and MIG 240 mg</w:t>
            </w:r>
          </w:p>
        </w:tc>
        <w:tc>
          <w:tcPr>
            <w:tcW w:w="1323" w:type="pct"/>
            <w:shd w:val="clear" w:color="auto" w:fill="auto"/>
          </w:tcPr>
          <w:p w14:paraId="2F3D77DA" w14:textId="77777777" w:rsidR="00551D35" w:rsidRPr="00ED4F80" w:rsidRDefault="00551D35" w:rsidP="00523A5C">
            <w:pPr>
              <w:pStyle w:val="In-tableHeading"/>
              <w:keepNext/>
            </w:pPr>
            <w:r w:rsidRPr="00ED4F80">
              <w:t>Reference</w:t>
            </w:r>
          </w:p>
        </w:tc>
      </w:tr>
      <w:tr w:rsidR="00551D35" w:rsidRPr="004E4B2F" w14:paraId="0F7B576B" w14:textId="77777777" w:rsidTr="00551D35">
        <w:trPr>
          <w:trHeight w:val="20"/>
        </w:trPr>
        <w:tc>
          <w:tcPr>
            <w:tcW w:w="452" w:type="pct"/>
            <w:shd w:val="clear" w:color="auto" w:fill="auto"/>
          </w:tcPr>
          <w:p w14:paraId="7DA6A89C" w14:textId="77777777" w:rsidR="00551D35" w:rsidRPr="004E4B2F" w:rsidRDefault="00551D35" w:rsidP="00551D35">
            <w:pPr>
              <w:pStyle w:val="TableText0"/>
            </w:pPr>
            <w:r>
              <w:t>A</w:t>
            </w:r>
          </w:p>
        </w:tc>
        <w:tc>
          <w:tcPr>
            <w:tcW w:w="2426" w:type="pct"/>
            <w:shd w:val="clear" w:color="auto" w:fill="auto"/>
          </w:tcPr>
          <w:p w14:paraId="7D9F6AF8" w14:textId="4B2FE348" w:rsidR="00551D35" w:rsidRDefault="00551D35" w:rsidP="00551D35">
            <w:pPr>
              <w:pStyle w:val="TableText0"/>
            </w:pPr>
            <w:r w:rsidRPr="004E4B2F">
              <w:t>Total cost-minimis</w:t>
            </w:r>
            <w:r>
              <w:t>ing</w:t>
            </w:r>
            <w:r w:rsidRPr="004E4B2F">
              <w:t xml:space="preserve"> treatment cost</w:t>
            </w:r>
            <w:r>
              <w:t xml:space="preserve"> (based on </w:t>
            </w:r>
            <w:r w:rsidR="00507561">
              <w:t xml:space="preserve">proposed published </w:t>
            </w:r>
            <w:r>
              <w:t xml:space="preserve">AVAL </w:t>
            </w:r>
            <w:r w:rsidR="001F3A6C">
              <w:t>price</w:t>
            </w:r>
            <w:r>
              <w:t>)</w:t>
            </w:r>
          </w:p>
        </w:tc>
        <w:tc>
          <w:tcPr>
            <w:tcW w:w="799" w:type="pct"/>
            <w:shd w:val="clear" w:color="auto" w:fill="auto"/>
          </w:tcPr>
          <w:p w14:paraId="67D7A780" w14:textId="062FB0D8" w:rsidR="00551D35" w:rsidRDefault="00551D35" w:rsidP="00551D35">
            <w:pPr>
              <w:pStyle w:val="TableText0"/>
            </w:pPr>
            <w:r>
              <w:t>$</w:t>
            </w:r>
            <w:r w:rsidR="00085C36" w:rsidRPr="00085C36">
              <w:rPr>
                <w:color w:val="000000"/>
                <w:spacing w:val="50"/>
                <w:w w:val="95"/>
                <w:shd w:val="solid" w:color="000000" w:fill="000000"/>
                <w:fitText w:val="330" w:id="-694519037"/>
                <w14:textFill>
                  <w14:solidFill>
                    <w14:srgbClr w14:val="000000">
                      <w14:alpha w14:val="100000"/>
                    </w14:srgbClr>
                  </w14:solidFill>
                </w14:textFill>
              </w:rPr>
              <w:t>|||</w:t>
            </w:r>
            <w:r w:rsidR="00085C36" w:rsidRPr="00085C36">
              <w:rPr>
                <w:color w:val="000000"/>
                <w:spacing w:val="25"/>
                <w:w w:val="95"/>
                <w:shd w:val="solid" w:color="000000" w:fill="000000"/>
                <w:fitText w:val="330" w:id="-694519037"/>
                <w14:textFill>
                  <w14:solidFill>
                    <w14:srgbClr w14:val="000000">
                      <w14:alpha w14:val="100000"/>
                    </w14:srgbClr>
                  </w14:solidFill>
                </w14:textFill>
              </w:rPr>
              <w:t>|</w:t>
            </w:r>
          </w:p>
        </w:tc>
        <w:tc>
          <w:tcPr>
            <w:tcW w:w="1323" w:type="pct"/>
            <w:shd w:val="clear" w:color="auto" w:fill="auto"/>
          </w:tcPr>
          <w:p w14:paraId="5741B9A2" w14:textId="0880C9A6" w:rsidR="00551D35" w:rsidRPr="004E4B2F" w:rsidRDefault="00C5368A" w:rsidP="00551D35">
            <w:pPr>
              <w:pStyle w:val="TableText0"/>
            </w:pPr>
            <w:r>
              <w:t xml:space="preserve">Table 61 </w:t>
            </w:r>
            <w:r w:rsidR="00551D35">
              <w:t>of the submission</w:t>
            </w:r>
          </w:p>
        </w:tc>
      </w:tr>
      <w:tr w:rsidR="00551D35" w:rsidRPr="004E4B2F" w14:paraId="75F648B7" w14:textId="77777777" w:rsidTr="00551D35">
        <w:trPr>
          <w:trHeight w:val="20"/>
        </w:trPr>
        <w:tc>
          <w:tcPr>
            <w:tcW w:w="452" w:type="pct"/>
            <w:shd w:val="clear" w:color="auto" w:fill="auto"/>
          </w:tcPr>
          <w:p w14:paraId="09D55600" w14:textId="77777777" w:rsidR="00551D35" w:rsidRPr="0016382C" w:rsidRDefault="00551D35" w:rsidP="00551D35">
            <w:pPr>
              <w:pStyle w:val="TableText0"/>
            </w:pPr>
            <w:r w:rsidRPr="0016382C">
              <w:t>B</w:t>
            </w:r>
          </w:p>
        </w:tc>
        <w:tc>
          <w:tcPr>
            <w:tcW w:w="2426" w:type="pct"/>
            <w:shd w:val="clear" w:color="auto" w:fill="auto"/>
          </w:tcPr>
          <w:p w14:paraId="58510555" w14:textId="77777777" w:rsidR="00551D35" w:rsidRPr="0016382C" w:rsidRDefault="00551D35" w:rsidP="00551D35">
            <w:pPr>
              <w:pStyle w:val="TableText0"/>
            </w:pPr>
            <w:r w:rsidRPr="0016382C">
              <w:t>Total CIPA MIG treatment cost per patient per year</w:t>
            </w:r>
          </w:p>
        </w:tc>
        <w:tc>
          <w:tcPr>
            <w:tcW w:w="799" w:type="pct"/>
            <w:shd w:val="clear" w:color="auto" w:fill="auto"/>
          </w:tcPr>
          <w:p w14:paraId="374664B9" w14:textId="045F8D82" w:rsidR="00551D35" w:rsidRPr="0016382C" w:rsidRDefault="00551D35" w:rsidP="00551D35">
            <w:pPr>
              <w:pStyle w:val="TableText0"/>
            </w:pPr>
            <w:r w:rsidRPr="0016382C">
              <w:t>$</w:t>
            </w:r>
            <w:r w:rsidR="00085C36" w:rsidRPr="00085C36">
              <w:rPr>
                <w:color w:val="000000"/>
                <w:spacing w:val="50"/>
                <w:w w:val="95"/>
                <w:shd w:val="solid" w:color="000000" w:fill="000000"/>
                <w:fitText w:val="330" w:id="-694519036"/>
                <w14:textFill>
                  <w14:solidFill>
                    <w14:srgbClr w14:val="000000">
                      <w14:alpha w14:val="100000"/>
                    </w14:srgbClr>
                  </w14:solidFill>
                </w14:textFill>
              </w:rPr>
              <w:t>|||</w:t>
            </w:r>
            <w:r w:rsidR="00085C36" w:rsidRPr="00085C36">
              <w:rPr>
                <w:color w:val="000000"/>
                <w:spacing w:val="25"/>
                <w:w w:val="95"/>
                <w:shd w:val="solid" w:color="000000" w:fill="000000"/>
                <w:fitText w:val="330" w:id="-694519036"/>
                <w14:textFill>
                  <w14:solidFill>
                    <w14:srgbClr w14:val="000000">
                      <w14:alpha w14:val="100000"/>
                    </w14:srgbClr>
                  </w14:solidFill>
                </w14:textFill>
              </w:rPr>
              <w:t>|</w:t>
            </w:r>
          </w:p>
        </w:tc>
        <w:tc>
          <w:tcPr>
            <w:tcW w:w="1323" w:type="pct"/>
            <w:shd w:val="clear" w:color="auto" w:fill="auto"/>
          </w:tcPr>
          <w:p w14:paraId="2292D4B1" w14:textId="77777777" w:rsidR="00551D35" w:rsidRPr="0016382C" w:rsidRDefault="00551D35" w:rsidP="00551D35">
            <w:pPr>
              <w:pStyle w:val="TableText0"/>
            </w:pPr>
            <w:r>
              <w:t>Equating cost per patient per year</w:t>
            </w:r>
          </w:p>
        </w:tc>
      </w:tr>
      <w:tr w:rsidR="00551D35" w:rsidRPr="004E4B2F" w14:paraId="36457294" w14:textId="77777777" w:rsidTr="00551D35">
        <w:trPr>
          <w:trHeight w:val="20"/>
        </w:trPr>
        <w:tc>
          <w:tcPr>
            <w:tcW w:w="452" w:type="pct"/>
            <w:shd w:val="clear" w:color="auto" w:fill="auto"/>
          </w:tcPr>
          <w:p w14:paraId="04507A16" w14:textId="77777777" w:rsidR="00551D35" w:rsidRDefault="00551D35" w:rsidP="00551D35">
            <w:pPr>
              <w:pStyle w:val="TableText0"/>
            </w:pPr>
            <w:r>
              <w:t>C</w:t>
            </w:r>
          </w:p>
        </w:tc>
        <w:tc>
          <w:tcPr>
            <w:tcW w:w="2426" w:type="pct"/>
            <w:shd w:val="clear" w:color="auto" w:fill="auto"/>
          </w:tcPr>
          <w:p w14:paraId="1E685D29" w14:textId="77777777" w:rsidR="00551D35" w:rsidRPr="004E4B2F" w:rsidRDefault="00551D35" w:rsidP="00551D35">
            <w:pPr>
              <w:pStyle w:val="TableText0"/>
            </w:pPr>
            <w:r>
              <w:t>Number of MIG capsules per year</w:t>
            </w:r>
          </w:p>
        </w:tc>
        <w:tc>
          <w:tcPr>
            <w:tcW w:w="799" w:type="pct"/>
            <w:shd w:val="clear" w:color="auto" w:fill="auto"/>
          </w:tcPr>
          <w:p w14:paraId="24CAA618" w14:textId="77777777" w:rsidR="00551D35" w:rsidRPr="004E4B2F" w:rsidRDefault="00551D35" w:rsidP="00551D35">
            <w:pPr>
              <w:pStyle w:val="TableText0"/>
            </w:pPr>
            <w:r>
              <w:t>104</w:t>
            </w:r>
          </w:p>
        </w:tc>
        <w:tc>
          <w:tcPr>
            <w:tcW w:w="1323" w:type="pct"/>
            <w:shd w:val="clear" w:color="auto" w:fill="auto"/>
          </w:tcPr>
          <w:p w14:paraId="0D52A30A" w14:textId="77777777" w:rsidR="00551D35" w:rsidRDefault="00551D35" w:rsidP="00551D35">
            <w:pPr>
              <w:pStyle w:val="TableText0"/>
            </w:pPr>
            <w:r>
              <w:t xml:space="preserve">4 capsules per 2-weekly infusion </w:t>
            </w:r>
          </w:p>
        </w:tc>
      </w:tr>
      <w:tr w:rsidR="00551D35" w:rsidRPr="004E4B2F" w14:paraId="45B7495B" w14:textId="77777777" w:rsidTr="00551D35">
        <w:trPr>
          <w:trHeight w:val="20"/>
        </w:trPr>
        <w:tc>
          <w:tcPr>
            <w:tcW w:w="452" w:type="pct"/>
            <w:shd w:val="clear" w:color="auto" w:fill="auto"/>
          </w:tcPr>
          <w:p w14:paraId="2149573B" w14:textId="77777777" w:rsidR="00551D35" w:rsidRDefault="00551D35" w:rsidP="00551D35">
            <w:pPr>
              <w:pStyle w:val="TableText0"/>
            </w:pPr>
            <w:r>
              <w:t>D</w:t>
            </w:r>
          </w:p>
        </w:tc>
        <w:tc>
          <w:tcPr>
            <w:tcW w:w="2426" w:type="pct"/>
            <w:shd w:val="clear" w:color="auto" w:fill="auto"/>
          </w:tcPr>
          <w:p w14:paraId="15A44682" w14:textId="77777777" w:rsidR="00551D35" w:rsidRPr="00D0519A" w:rsidRDefault="00551D35" w:rsidP="00551D35">
            <w:pPr>
              <w:pStyle w:val="TableText0"/>
            </w:pPr>
            <w:r>
              <w:t>MIG costs per year</w:t>
            </w:r>
          </w:p>
        </w:tc>
        <w:tc>
          <w:tcPr>
            <w:tcW w:w="799" w:type="pct"/>
            <w:shd w:val="clear" w:color="auto" w:fill="auto"/>
          </w:tcPr>
          <w:p w14:paraId="5A31950F" w14:textId="415F6CBE" w:rsidR="00551D35" w:rsidRPr="00D0519A" w:rsidRDefault="00551D35" w:rsidP="00551D35">
            <w:pPr>
              <w:pStyle w:val="TableText0"/>
            </w:pPr>
            <w:r>
              <w:t>$</w:t>
            </w:r>
            <w:r w:rsidR="00085C36" w:rsidRPr="00097712">
              <w:rPr>
                <w:color w:val="000000"/>
                <w:spacing w:val="53"/>
                <w:shd w:val="solid" w:color="000000" w:fill="000000"/>
                <w:fitText w:val="330" w:id="-694519035"/>
                <w14:textFill>
                  <w14:solidFill>
                    <w14:srgbClr w14:val="000000">
                      <w14:alpha w14:val="100000"/>
                    </w14:srgbClr>
                  </w14:solidFill>
                </w14:textFill>
              </w:rPr>
              <w:t>|||</w:t>
            </w:r>
            <w:r w:rsidR="00085C36" w:rsidRPr="00097712">
              <w:rPr>
                <w:color w:val="000000"/>
                <w:spacing w:val="1"/>
                <w:shd w:val="solid" w:color="000000" w:fill="000000"/>
                <w:fitText w:val="330" w:id="-694519035"/>
                <w14:textFill>
                  <w14:solidFill>
                    <w14:srgbClr w14:val="000000">
                      <w14:alpha w14:val="100000"/>
                    </w14:srgbClr>
                  </w14:solidFill>
                </w14:textFill>
              </w:rPr>
              <w:t>|</w:t>
            </w:r>
          </w:p>
        </w:tc>
        <w:tc>
          <w:tcPr>
            <w:tcW w:w="1323" w:type="pct"/>
            <w:shd w:val="clear" w:color="auto" w:fill="auto"/>
          </w:tcPr>
          <w:p w14:paraId="3B304441" w14:textId="4273F120" w:rsidR="00551D35" w:rsidRPr="00D0519A" w:rsidRDefault="00551D35" w:rsidP="00551D35">
            <w:pPr>
              <w:pStyle w:val="TableText0"/>
            </w:pPr>
            <w:r>
              <w:t>C x $</w:t>
            </w:r>
            <w:r w:rsidR="00097712" w:rsidRPr="00097712">
              <w:rPr>
                <w:color w:val="000000"/>
                <w:spacing w:val="55"/>
                <w:w w:val="96"/>
                <w:shd w:val="solid" w:color="000000" w:fill="000000"/>
                <w:fitText w:val="330" w:id="-679239424"/>
                <w14:textFill>
                  <w14:solidFill>
                    <w14:srgbClr w14:val="000000">
                      <w14:alpha w14:val="100000"/>
                    </w14:srgbClr>
                  </w14:solidFill>
                </w14:textFill>
              </w:rPr>
              <w:t>|||</w:t>
            </w:r>
            <w:r w:rsidR="00097712" w:rsidRPr="00097712">
              <w:rPr>
                <w:color w:val="000000"/>
                <w:spacing w:val="2"/>
                <w:w w:val="96"/>
                <w:shd w:val="solid" w:color="000000" w:fill="000000"/>
                <w:fitText w:val="330" w:id="-679239424"/>
                <w14:textFill>
                  <w14:solidFill>
                    <w14:srgbClr w14:val="000000">
                      <w14:alpha w14:val="100000"/>
                    </w14:srgbClr>
                  </w14:solidFill>
                </w14:textFill>
              </w:rPr>
              <w:t>|</w:t>
            </w:r>
            <w:r>
              <w:t xml:space="preserve"> per capsule</w:t>
            </w:r>
          </w:p>
        </w:tc>
      </w:tr>
      <w:tr w:rsidR="00551D35" w:rsidRPr="004E4B2F" w14:paraId="551EAE04" w14:textId="77777777" w:rsidTr="00551D35">
        <w:trPr>
          <w:trHeight w:val="20"/>
        </w:trPr>
        <w:tc>
          <w:tcPr>
            <w:tcW w:w="452" w:type="pct"/>
            <w:shd w:val="clear" w:color="auto" w:fill="auto"/>
          </w:tcPr>
          <w:p w14:paraId="2385F670" w14:textId="77777777" w:rsidR="00551D35" w:rsidRDefault="00551D35" w:rsidP="00551D35">
            <w:pPr>
              <w:pStyle w:val="TableText0"/>
            </w:pPr>
            <w:r>
              <w:t>E</w:t>
            </w:r>
          </w:p>
        </w:tc>
        <w:tc>
          <w:tcPr>
            <w:tcW w:w="2426" w:type="pct"/>
            <w:shd w:val="clear" w:color="auto" w:fill="auto"/>
          </w:tcPr>
          <w:p w14:paraId="654BDA03" w14:textId="77777777" w:rsidR="00551D35" w:rsidRDefault="00551D35" w:rsidP="00551D35">
            <w:pPr>
              <w:pStyle w:val="TableText0"/>
            </w:pPr>
            <w:r>
              <w:t>CIPA</w:t>
            </w:r>
            <w:r w:rsidRPr="004E4B2F">
              <w:t xml:space="preserve"> </w:t>
            </w:r>
            <w:r>
              <w:t>costs per year</w:t>
            </w:r>
            <w:r w:rsidRPr="004E4B2F" w:rsidDel="008B6D50">
              <w:t xml:space="preserve"> </w:t>
            </w:r>
          </w:p>
        </w:tc>
        <w:tc>
          <w:tcPr>
            <w:tcW w:w="799" w:type="pct"/>
            <w:shd w:val="clear" w:color="auto" w:fill="auto"/>
          </w:tcPr>
          <w:p w14:paraId="29F78F31" w14:textId="0A8348EA" w:rsidR="00551D35" w:rsidRDefault="00551D35" w:rsidP="00551D35">
            <w:pPr>
              <w:pStyle w:val="TableText0"/>
            </w:pPr>
            <w:r>
              <w:t>$</w:t>
            </w:r>
            <w:r w:rsidR="00085C36" w:rsidRPr="00097712">
              <w:rPr>
                <w:color w:val="000000"/>
                <w:spacing w:val="53"/>
                <w:shd w:val="solid" w:color="000000" w:fill="000000"/>
                <w:fitText w:val="330" w:id="-694519034"/>
                <w14:textFill>
                  <w14:solidFill>
                    <w14:srgbClr w14:val="000000">
                      <w14:alpha w14:val="100000"/>
                    </w14:srgbClr>
                  </w14:solidFill>
                </w14:textFill>
              </w:rPr>
              <w:t>|||</w:t>
            </w:r>
            <w:r w:rsidR="00085C36" w:rsidRPr="00097712">
              <w:rPr>
                <w:color w:val="000000"/>
                <w:spacing w:val="1"/>
                <w:shd w:val="solid" w:color="000000" w:fill="000000"/>
                <w:fitText w:val="330" w:id="-694519034"/>
                <w14:textFill>
                  <w14:solidFill>
                    <w14:srgbClr w14:val="000000">
                      <w14:alpha w14:val="100000"/>
                    </w14:srgbClr>
                  </w14:solidFill>
                </w14:textFill>
              </w:rPr>
              <w:t>|</w:t>
            </w:r>
          </w:p>
        </w:tc>
        <w:tc>
          <w:tcPr>
            <w:tcW w:w="1323" w:type="pct"/>
            <w:shd w:val="clear" w:color="auto" w:fill="auto"/>
          </w:tcPr>
          <w:p w14:paraId="193D0612" w14:textId="77777777" w:rsidR="00551D35" w:rsidRPr="004E4B2F" w:rsidRDefault="00551D35" w:rsidP="00551D35">
            <w:pPr>
              <w:pStyle w:val="TableText0"/>
            </w:pPr>
            <w:r>
              <w:t>B – D</w:t>
            </w:r>
          </w:p>
        </w:tc>
      </w:tr>
      <w:tr w:rsidR="00551D35" w:rsidRPr="004E4B2F" w14:paraId="60B29D3E" w14:textId="77777777" w:rsidTr="00551D35">
        <w:trPr>
          <w:trHeight w:val="20"/>
        </w:trPr>
        <w:tc>
          <w:tcPr>
            <w:tcW w:w="452" w:type="pct"/>
            <w:shd w:val="clear" w:color="auto" w:fill="auto"/>
          </w:tcPr>
          <w:p w14:paraId="1506A240" w14:textId="77777777" w:rsidR="00551D35" w:rsidRPr="004E4B2F" w:rsidRDefault="00551D35" w:rsidP="00551D35">
            <w:pPr>
              <w:pStyle w:val="TableText0"/>
            </w:pPr>
            <w:r>
              <w:t>F</w:t>
            </w:r>
          </w:p>
        </w:tc>
        <w:tc>
          <w:tcPr>
            <w:tcW w:w="2426" w:type="pct"/>
            <w:shd w:val="clear" w:color="auto" w:fill="auto"/>
          </w:tcPr>
          <w:p w14:paraId="3A8B4013" w14:textId="77777777" w:rsidR="00551D35" w:rsidRDefault="00551D35" w:rsidP="00551D35">
            <w:pPr>
              <w:pStyle w:val="TableText0"/>
            </w:pPr>
            <w:r w:rsidRPr="004E4B2F">
              <w:t xml:space="preserve">Number of </w:t>
            </w:r>
            <w:r>
              <w:t xml:space="preserve">CIPA </w:t>
            </w:r>
            <w:r w:rsidRPr="004E4B2F">
              <w:t xml:space="preserve">doses </w:t>
            </w:r>
            <w:r>
              <w:t>per year</w:t>
            </w:r>
          </w:p>
        </w:tc>
        <w:tc>
          <w:tcPr>
            <w:tcW w:w="799" w:type="pct"/>
            <w:shd w:val="clear" w:color="auto" w:fill="auto"/>
          </w:tcPr>
          <w:p w14:paraId="0B25F60B" w14:textId="77777777" w:rsidR="00551D35" w:rsidRDefault="00551D35" w:rsidP="00551D35">
            <w:pPr>
              <w:pStyle w:val="TableText0"/>
            </w:pPr>
            <w:r w:rsidRPr="004E4B2F">
              <w:t>2</w:t>
            </w:r>
            <w:r>
              <w:t>6</w:t>
            </w:r>
            <w:r w:rsidRPr="004E4B2F">
              <w:t>.0</w:t>
            </w:r>
          </w:p>
        </w:tc>
        <w:tc>
          <w:tcPr>
            <w:tcW w:w="1323" w:type="pct"/>
            <w:shd w:val="clear" w:color="auto" w:fill="auto"/>
          </w:tcPr>
          <w:p w14:paraId="4A5CAF01" w14:textId="77777777" w:rsidR="00551D35" w:rsidRPr="004E4B2F" w:rsidRDefault="00551D35" w:rsidP="00551D35">
            <w:pPr>
              <w:pStyle w:val="TableText0"/>
            </w:pPr>
            <w:r>
              <w:t>2-weekly infusions</w:t>
            </w:r>
          </w:p>
        </w:tc>
      </w:tr>
      <w:tr w:rsidR="00551D35" w:rsidRPr="004E4B2F" w14:paraId="2DA7719C" w14:textId="77777777" w:rsidTr="00551D35">
        <w:trPr>
          <w:trHeight w:val="20"/>
        </w:trPr>
        <w:tc>
          <w:tcPr>
            <w:tcW w:w="452" w:type="pct"/>
            <w:shd w:val="clear" w:color="auto" w:fill="auto"/>
          </w:tcPr>
          <w:p w14:paraId="3F47323C" w14:textId="77777777" w:rsidR="00551D35" w:rsidRDefault="00551D35" w:rsidP="00551D35">
            <w:pPr>
              <w:pStyle w:val="TableText0"/>
            </w:pPr>
            <w:r>
              <w:t>G</w:t>
            </w:r>
          </w:p>
        </w:tc>
        <w:tc>
          <w:tcPr>
            <w:tcW w:w="2426" w:type="pct"/>
            <w:shd w:val="clear" w:color="auto" w:fill="auto"/>
          </w:tcPr>
          <w:p w14:paraId="295EF20D" w14:textId="77777777" w:rsidR="00551D35" w:rsidRDefault="00551D35" w:rsidP="00551D35">
            <w:pPr>
              <w:pStyle w:val="TableText0"/>
            </w:pPr>
            <w:r>
              <w:t>CIPA mg per patient per year*</w:t>
            </w:r>
          </w:p>
        </w:tc>
        <w:tc>
          <w:tcPr>
            <w:tcW w:w="799" w:type="pct"/>
            <w:shd w:val="clear" w:color="auto" w:fill="auto"/>
          </w:tcPr>
          <w:p w14:paraId="3A78B6CA" w14:textId="77777777" w:rsidR="00551D35" w:rsidRDefault="00551D35" w:rsidP="00551D35">
            <w:pPr>
              <w:pStyle w:val="TableText0"/>
            </w:pPr>
            <w:r>
              <w:t>39,936</w:t>
            </w:r>
          </w:p>
        </w:tc>
        <w:tc>
          <w:tcPr>
            <w:tcW w:w="1323" w:type="pct"/>
            <w:shd w:val="clear" w:color="auto" w:fill="auto"/>
          </w:tcPr>
          <w:p w14:paraId="44092399" w14:textId="77777777" w:rsidR="00551D35" w:rsidRPr="004E4B2F" w:rsidRDefault="00551D35" w:rsidP="00551D35">
            <w:pPr>
              <w:pStyle w:val="TableText0"/>
            </w:pPr>
            <w:r>
              <w:t>20 mg/kg x 76.8 kg x 26 doses/yr</w:t>
            </w:r>
          </w:p>
        </w:tc>
      </w:tr>
      <w:tr w:rsidR="00551D35" w:rsidRPr="004E4B2F" w14:paraId="1F5C9DFD" w14:textId="77777777" w:rsidTr="00551D35">
        <w:trPr>
          <w:trHeight w:val="20"/>
        </w:trPr>
        <w:tc>
          <w:tcPr>
            <w:tcW w:w="452" w:type="pct"/>
            <w:shd w:val="clear" w:color="auto" w:fill="auto"/>
          </w:tcPr>
          <w:p w14:paraId="0BBE3D06" w14:textId="77777777" w:rsidR="00551D35" w:rsidRDefault="00551D35" w:rsidP="00551D35">
            <w:pPr>
              <w:pStyle w:val="TableText0"/>
            </w:pPr>
            <w:r>
              <w:t>H</w:t>
            </w:r>
          </w:p>
        </w:tc>
        <w:tc>
          <w:tcPr>
            <w:tcW w:w="2426" w:type="pct"/>
            <w:shd w:val="clear" w:color="auto" w:fill="auto"/>
          </w:tcPr>
          <w:p w14:paraId="1C37D05F" w14:textId="77777777" w:rsidR="00551D35" w:rsidRDefault="00551D35" w:rsidP="00551D35">
            <w:pPr>
              <w:pStyle w:val="TableText0"/>
            </w:pPr>
            <w:r>
              <w:t>CIPA cost per mg</w:t>
            </w:r>
          </w:p>
        </w:tc>
        <w:tc>
          <w:tcPr>
            <w:tcW w:w="799" w:type="pct"/>
            <w:shd w:val="clear" w:color="auto" w:fill="auto"/>
          </w:tcPr>
          <w:p w14:paraId="2441810A" w14:textId="6B755C1A" w:rsidR="00551D35" w:rsidRDefault="00551D35" w:rsidP="00551D35">
            <w:pPr>
              <w:pStyle w:val="TableText0"/>
            </w:pPr>
            <w:r>
              <w:t>$</w:t>
            </w:r>
            <w:r w:rsidR="00085C36" w:rsidRPr="00097712">
              <w:rPr>
                <w:color w:val="000000"/>
                <w:spacing w:val="53"/>
                <w:shd w:val="solid" w:color="000000" w:fill="000000"/>
                <w:fitText w:val="330" w:id="-694519033"/>
                <w14:textFill>
                  <w14:solidFill>
                    <w14:srgbClr w14:val="000000">
                      <w14:alpha w14:val="100000"/>
                    </w14:srgbClr>
                  </w14:solidFill>
                </w14:textFill>
              </w:rPr>
              <w:t>|||</w:t>
            </w:r>
            <w:r w:rsidR="00085C36" w:rsidRPr="00097712">
              <w:rPr>
                <w:color w:val="000000"/>
                <w:spacing w:val="1"/>
                <w:shd w:val="solid" w:color="000000" w:fill="000000"/>
                <w:fitText w:val="330" w:id="-694519033"/>
                <w14:textFill>
                  <w14:solidFill>
                    <w14:srgbClr w14:val="000000">
                      <w14:alpha w14:val="100000"/>
                    </w14:srgbClr>
                  </w14:solidFill>
                </w14:textFill>
              </w:rPr>
              <w:t>|</w:t>
            </w:r>
          </w:p>
        </w:tc>
        <w:tc>
          <w:tcPr>
            <w:tcW w:w="1323" w:type="pct"/>
            <w:shd w:val="clear" w:color="auto" w:fill="auto"/>
          </w:tcPr>
          <w:p w14:paraId="00001CC7" w14:textId="77777777" w:rsidR="00551D35" w:rsidRPr="004E4B2F" w:rsidRDefault="00551D35" w:rsidP="00551D35">
            <w:pPr>
              <w:pStyle w:val="TableText0"/>
            </w:pPr>
            <w:r>
              <w:t>E / G</w:t>
            </w:r>
          </w:p>
        </w:tc>
      </w:tr>
      <w:tr w:rsidR="00551D35" w:rsidRPr="004E4B2F" w14:paraId="0703DA65" w14:textId="77777777" w:rsidTr="00551D35">
        <w:trPr>
          <w:trHeight w:val="20"/>
        </w:trPr>
        <w:tc>
          <w:tcPr>
            <w:tcW w:w="452" w:type="pct"/>
            <w:shd w:val="clear" w:color="auto" w:fill="auto"/>
          </w:tcPr>
          <w:p w14:paraId="3F25C662" w14:textId="77777777" w:rsidR="00551D35" w:rsidRDefault="00551D35" w:rsidP="00551D35">
            <w:pPr>
              <w:pStyle w:val="TableText0"/>
            </w:pPr>
            <w:r>
              <w:t>I</w:t>
            </w:r>
          </w:p>
        </w:tc>
        <w:tc>
          <w:tcPr>
            <w:tcW w:w="2426" w:type="pct"/>
            <w:shd w:val="clear" w:color="auto" w:fill="auto"/>
          </w:tcPr>
          <w:p w14:paraId="27386C34" w14:textId="77777777" w:rsidR="00551D35" w:rsidRDefault="00551D35" w:rsidP="00551D35">
            <w:pPr>
              <w:pStyle w:val="TableText0"/>
            </w:pPr>
            <w:r>
              <w:t>CIPA cost per 105 mg vial</w:t>
            </w:r>
          </w:p>
        </w:tc>
        <w:tc>
          <w:tcPr>
            <w:tcW w:w="799" w:type="pct"/>
            <w:shd w:val="clear" w:color="auto" w:fill="auto"/>
          </w:tcPr>
          <w:p w14:paraId="3A9BCF1F" w14:textId="1413C327" w:rsidR="00551D35" w:rsidRDefault="00551D35" w:rsidP="00551D35">
            <w:pPr>
              <w:pStyle w:val="TableText0"/>
            </w:pPr>
            <w:r>
              <w:t>$</w:t>
            </w:r>
            <w:r w:rsidR="00085C36" w:rsidRPr="00097712">
              <w:rPr>
                <w:color w:val="000000"/>
                <w:spacing w:val="53"/>
                <w:shd w:val="solid" w:color="000000" w:fill="000000"/>
                <w:fitText w:val="330" w:id="-694519032"/>
                <w14:textFill>
                  <w14:solidFill>
                    <w14:srgbClr w14:val="000000">
                      <w14:alpha w14:val="100000"/>
                    </w14:srgbClr>
                  </w14:solidFill>
                </w14:textFill>
              </w:rPr>
              <w:t>|||</w:t>
            </w:r>
            <w:r w:rsidR="00085C36" w:rsidRPr="00097712">
              <w:rPr>
                <w:color w:val="000000"/>
                <w:spacing w:val="1"/>
                <w:shd w:val="solid" w:color="000000" w:fill="000000"/>
                <w:fitText w:val="330" w:id="-694519032"/>
                <w14:textFill>
                  <w14:solidFill>
                    <w14:srgbClr w14:val="000000">
                      <w14:alpha w14:val="100000"/>
                    </w14:srgbClr>
                  </w14:solidFill>
                </w14:textFill>
              </w:rPr>
              <w:t>|</w:t>
            </w:r>
          </w:p>
        </w:tc>
        <w:tc>
          <w:tcPr>
            <w:tcW w:w="1323" w:type="pct"/>
            <w:shd w:val="clear" w:color="auto" w:fill="auto"/>
          </w:tcPr>
          <w:p w14:paraId="0665B600" w14:textId="77777777" w:rsidR="00551D35" w:rsidRPr="004E4B2F" w:rsidRDefault="00551D35" w:rsidP="00551D35">
            <w:pPr>
              <w:pStyle w:val="TableText0"/>
            </w:pPr>
            <w:r>
              <w:t>H x 105 mg</w:t>
            </w:r>
          </w:p>
        </w:tc>
      </w:tr>
    </w:tbl>
    <w:p w14:paraId="39DE179A" w14:textId="123CCEB2" w:rsidR="00551D35" w:rsidRDefault="00551D35" w:rsidP="00551D35">
      <w:pPr>
        <w:pStyle w:val="TableFigureFooter"/>
      </w:pPr>
      <w:r>
        <w:t xml:space="preserve">Source: Table 62, p141 of the submission. </w:t>
      </w:r>
      <w:r w:rsidRPr="004E4B2F">
        <w:t>AEMP</w:t>
      </w:r>
      <w:r w:rsidR="008D12F4">
        <w:t xml:space="preserve"> </w:t>
      </w:r>
      <w:r>
        <w:t>=</w:t>
      </w:r>
      <w:r w:rsidRPr="004E4B2F">
        <w:t xml:space="preserve"> approved ex-manufacturer price; </w:t>
      </w:r>
      <w:r w:rsidRPr="00DB2619">
        <w:t>AVAL</w:t>
      </w:r>
      <w:r>
        <w:t xml:space="preserve"> = </w:t>
      </w:r>
      <w:proofErr w:type="spellStart"/>
      <w:r w:rsidRPr="00DB2619">
        <w:t>avalglucosidase</w:t>
      </w:r>
      <w:proofErr w:type="spellEnd"/>
      <w:r w:rsidRPr="00DB2619">
        <w:t xml:space="preserve"> alfa</w:t>
      </w:r>
      <w:r>
        <w:t>;</w:t>
      </w:r>
      <w:r w:rsidRPr="00DB2619">
        <w:t xml:space="preserve"> CIPA MIG, cipaglucosidase alfa plus </w:t>
      </w:r>
      <w:proofErr w:type="spellStart"/>
      <w:r w:rsidRPr="00DB2619">
        <w:t>miglustat</w:t>
      </w:r>
      <w:proofErr w:type="spellEnd"/>
      <w:r w:rsidRPr="00DB2619">
        <w:t xml:space="preserve">; </w:t>
      </w:r>
      <w:r w:rsidRPr="004E4B2F">
        <w:t>mg</w:t>
      </w:r>
      <w:r>
        <w:t xml:space="preserve"> =</w:t>
      </w:r>
      <w:r w:rsidR="008D12F4">
        <w:t xml:space="preserve"> </w:t>
      </w:r>
      <w:r w:rsidRPr="004E4B2F">
        <w:t>milligram.</w:t>
      </w:r>
    </w:p>
    <w:p w14:paraId="183C50A8" w14:textId="77777777" w:rsidR="00551D35" w:rsidRDefault="00551D35" w:rsidP="00551D35">
      <w:pPr>
        <w:pStyle w:val="TableFigureFooter"/>
      </w:pPr>
      <w:r>
        <w:t xml:space="preserve">* </w:t>
      </w:r>
      <w:r w:rsidRPr="00E900B1">
        <w:t>Th</w:t>
      </w:r>
      <w:r>
        <w:t>e analysis assumes patients weigh 76.8kg,</w:t>
      </w:r>
      <w:r w:rsidRPr="00E900B1">
        <w:t xml:space="preserve"> consistent with the AVAL November 2021 PSD</w:t>
      </w:r>
      <w:r>
        <w:t xml:space="preserve"> (which refers to the LSDP review [October 2020]</w:t>
      </w:r>
      <w:r w:rsidRPr="00E900B1">
        <w:t xml:space="preserve"> </w:t>
      </w:r>
      <w:r>
        <w:t>as the original source of data)</w:t>
      </w:r>
      <w:r w:rsidRPr="00E900B1">
        <w:t>.</w:t>
      </w:r>
    </w:p>
    <w:p w14:paraId="7C1D0A0D" w14:textId="5E640D56" w:rsidR="00C25D9C" w:rsidRPr="00D87811" w:rsidRDefault="00551D35" w:rsidP="00551D35">
      <w:pPr>
        <w:pStyle w:val="3-BodyText"/>
      </w:pPr>
      <w:r w:rsidRPr="00D87811">
        <w:t>Results using the effective price of AVAL are presented in the Committee-in- Confidence section of the commentary.</w:t>
      </w:r>
    </w:p>
    <w:p w14:paraId="472842D7" w14:textId="0A39D4F3" w:rsidR="00C25D9C" w:rsidRPr="0098262F" w:rsidRDefault="00C25D9C" w:rsidP="00BB732D">
      <w:pPr>
        <w:pStyle w:val="4-SubsectionHeading"/>
      </w:pPr>
      <w:bookmarkStart w:id="47" w:name="_Toc22897646"/>
      <w:bookmarkStart w:id="48" w:name="_Toc187576338"/>
      <w:r w:rsidRPr="0098262F">
        <w:t>Drug</w:t>
      </w:r>
      <w:r w:rsidR="009A5ABC" w:rsidRPr="0098262F">
        <w:t>/</w:t>
      </w:r>
      <w:r w:rsidRPr="0098262F">
        <w:t xml:space="preserve"> cost/patient/</w:t>
      </w:r>
      <w:r w:rsidR="00EF4C12" w:rsidRPr="0098262F">
        <w:t xml:space="preserve"> </w:t>
      </w:r>
      <w:r w:rsidRPr="0098262F">
        <w:t>year</w:t>
      </w:r>
      <w:bookmarkEnd w:id="47"/>
      <w:bookmarkEnd w:id="48"/>
    </w:p>
    <w:p w14:paraId="2A4C2585" w14:textId="77BA9966" w:rsidR="00EF4C12" w:rsidRDefault="00EF4C12" w:rsidP="00EF4C12">
      <w:pPr>
        <w:pStyle w:val="3-BodyText"/>
      </w:pPr>
      <w:bookmarkStart w:id="49" w:name="_Ref104805102"/>
      <w:r>
        <w:t xml:space="preserve">As noted above, the submission calculated an annual treatment cost per patient of </w:t>
      </w:r>
      <w:r w:rsidR="00FF60A6">
        <w:t>$</w:t>
      </w:r>
      <w:r w:rsidR="00085C36" w:rsidRPr="007A62D0">
        <w:rPr>
          <w:color w:val="000000"/>
          <w:w w:val="15"/>
          <w:shd w:val="solid" w:color="000000" w:fill="000000"/>
          <w:fitText w:val="-20" w:id="-694519031"/>
          <w14:textFill>
            <w14:solidFill>
              <w14:srgbClr w14:val="000000">
                <w14:alpha w14:val="100000"/>
              </w14:srgbClr>
            </w14:solidFill>
          </w14:textFill>
        </w:rPr>
        <w:t xml:space="preserve">|  </w:t>
      </w:r>
      <w:r w:rsidR="00085C36" w:rsidRPr="007A62D0">
        <w:rPr>
          <w:color w:val="000000"/>
          <w:spacing w:val="-69"/>
          <w:w w:val="15"/>
          <w:shd w:val="solid" w:color="000000" w:fill="000000"/>
          <w:fitText w:val="-20" w:id="-694519031"/>
          <w14:textFill>
            <w14:solidFill>
              <w14:srgbClr w14:val="000000">
                <w14:alpha w14:val="100000"/>
              </w14:srgbClr>
            </w14:solidFill>
          </w14:textFill>
        </w:rPr>
        <w:t>|</w:t>
      </w:r>
      <w:r>
        <w:t xml:space="preserve"> based on the </w:t>
      </w:r>
      <w:r w:rsidR="00DB1120">
        <w:t xml:space="preserve">proposed </w:t>
      </w:r>
      <w:r>
        <w:t xml:space="preserve">published price of AVAL </w:t>
      </w:r>
      <w:r w:rsidR="00DB1120">
        <w:t>from the November 2021</w:t>
      </w:r>
      <w:r>
        <w:t xml:space="preserve"> </w:t>
      </w:r>
      <w:r w:rsidR="00BA3180">
        <w:t>AVAL PSD</w:t>
      </w:r>
      <w:r>
        <w:t>. The annual treatment cost based on the effective price of AVAL is shown in the Committee-in-Confidence section of the commentary.</w:t>
      </w:r>
    </w:p>
    <w:p w14:paraId="268768EF" w14:textId="3626F292" w:rsidR="00B60939" w:rsidRPr="0098262F" w:rsidRDefault="00B60939" w:rsidP="002B05A1">
      <w:pPr>
        <w:pStyle w:val="4-SubsectionHeading"/>
      </w:pPr>
      <w:bookmarkStart w:id="50" w:name="_Toc22897647"/>
      <w:bookmarkStart w:id="51" w:name="_Toc187576339"/>
      <w:bookmarkEnd w:id="49"/>
      <w:r w:rsidRPr="0098262F">
        <w:t>Estimated PBS usage &amp; financial implications</w:t>
      </w:r>
      <w:bookmarkEnd w:id="50"/>
      <w:bookmarkEnd w:id="51"/>
    </w:p>
    <w:p w14:paraId="480B507D" w14:textId="77777777" w:rsidR="004A7B18" w:rsidRPr="004A7B18" w:rsidRDefault="004A7B18" w:rsidP="002B05A1">
      <w:pPr>
        <w:pStyle w:val="3-BodyText"/>
        <w:rPr>
          <w:color w:val="0066FF"/>
        </w:rPr>
      </w:pPr>
      <w:r w:rsidRPr="004A7B18">
        <w:t>This submission was not considered by DUSC.</w:t>
      </w:r>
    </w:p>
    <w:p w14:paraId="46EC53BA" w14:textId="366B6512" w:rsidR="00EF4C12" w:rsidRPr="00072707" w:rsidRDefault="00EF4C12" w:rsidP="26403EC0">
      <w:pPr>
        <w:pStyle w:val="3-BodyText"/>
      </w:pPr>
      <w:r w:rsidRPr="26403EC0">
        <w:t xml:space="preserve">The submission stated that a market share approach to estimating utilisation and costs of CIPAMIG would be optimal but that data from the current utilisation of </w:t>
      </w:r>
      <w:r w:rsidR="00F035F7" w:rsidRPr="26403EC0">
        <w:t>AVAL</w:t>
      </w:r>
      <w:r w:rsidRPr="26403EC0">
        <w:t xml:space="preserve"> and </w:t>
      </w:r>
      <w:r w:rsidR="00F035F7" w:rsidRPr="26403EC0">
        <w:t>ALGLU</w:t>
      </w:r>
      <w:r w:rsidRPr="26403EC0">
        <w:t xml:space="preserve"> on th</w:t>
      </w:r>
      <w:r w:rsidR="000D51E7" w:rsidRPr="26403EC0">
        <w:t>e</w:t>
      </w:r>
      <w:r w:rsidRPr="26403EC0">
        <w:t xml:space="preserve"> LSDP were not available </w:t>
      </w:r>
      <w:r w:rsidR="00F035F7" w:rsidRPr="26403EC0">
        <w:t>for</w:t>
      </w:r>
      <w:r w:rsidRPr="26403EC0">
        <w:t xml:space="preserve"> confidentiality reasons. The submission therefore presented an epidemiological approach to </w:t>
      </w:r>
      <w:r w:rsidR="00943937" w:rsidRPr="26403EC0">
        <w:t>estimate</w:t>
      </w:r>
      <w:r w:rsidR="006D394C" w:rsidRPr="26403EC0">
        <w:t xml:space="preserve"> the</w:t>
      </w:r>
      <w:r w:rsidR="00943937" w:rsidRPr="26403EC0">
        <w:t xml:space="preserve"> </w:t>
      </w:r>
      <w:r w:rsidR="00ED28A1" w:rsidRPr="26403EC0">
        <w:t>utilisation</w:t>
      </w:r>
      <w:r w:rsidRPr="26403EC0">
        <w:t xml:space="preserve"> and </w:t>
      </w:r>
      <w:r w:rsidR="006D394C" w:rsidRPr="26403EC0">
        <w:t>financial impacts associated with listing CIPAMIG</w:t>
      </w:r>
      <w:r w:rsidRPr="26403EC0">
        <w:t xml:space="preserve">. The key inputs used for the estimates are shown in </w:t>
      </w:r>
      <w:r w:rsidRPr="00072707">
        <w:rPr>
          <w:bCs/>
        </w:rPr>
        <w:fldChar w:fldCharType="begin"/>
      </w:r>
      <w:r w:rsidRPr="00072707">
        <w:rPr>
          <w:bCs/>
        </w:rPr>
        <w:instrText xml:space="preserve"> REF _Ref184289929 \h </w:instrText>
      </w:r>
      <w:r w:rsidR="00072707" w:rsidRPr="00072707">
        <w:rPr>
          <w:bCs/>
        </w:rPr>
        <w:instrText xml:space="preserve"> \* MERGEFORMAT </w:instrText>
      </w:r>
      <w:r w:rsidRPr="00072707">
        <w:rPr>
          <w:bCs/>
        </w:rPr>
      </w:r>
      <w:r w:rsidRPr="00072707">
        <w:rPr>
          <w:bCs/>
        </w:rPr>
        <w:fldChar w:fldCharType="separate"/>
      </w:r>
      <w:r w:rsidR="007A62D0" w:rsidRPr="007A62D0">
        <w:rPr>
          <w:bCs/>
        </w:rPr>
        <w:t>Table</w:t>
      </w:r>
      <w:r w:rsidR="007A62D0" w:rsidRPr="007A62D0">
        <w:t xml:space="preserve"> 12</w:t>
      </w:r>
      <w:r w:rsidRPr="00072707">
        <w:rPr>
          <w:bCs/>
        </w:rPr>
        <w:fldChar w:fldCharType="end"/>
      </w:r>
      <w:r w:rsidR="00F035F7" w:rsidRPr="26403EC0">
        <w:t>.</w:t>
      </w:r>
    </w:p>
    <w:p w14:paraId="16EF4367" w14:textId="5651A5B6" w:rsidR="002B05A1" w:rsidRPr="00033C86" w:rsidRDefault="00A768FD" w:rsidP="26403EC0">
      <w:pPr>
        <w:pStyle w:val="3-BodyText"/>
        <w:rPr>
          <w:color w:val="0066FF"/>
        </w:rPr>
      </w:pPr>
      <w:r w:rsidRPr="26403EC0">
        <w:t>After undertaking a literature review, t</w:t>
      </w:r>
      <w:r w:rsidR="000D51E7" w:rsidRPr="26403EC0">
        <w:t>he submission</w:t>
      </w:r>
      <w:r w:rsidRPr="26403EC0">
        <w:t xml:space="preserve"> selected</w:t>
      </w:r>
      <w:r w:rsidR="000D51E7" w:rsidRPr="26403EC0">
        <w:t xml:space="preserve"> a Belgian study </w:t>
      </w:r>
      <w:r w:rsidRPr="26403EC0">
        <w:t>(</w:t>
      </w:r>
      <w:proofErr w:type="spellStart"/>
      <w:r w:rsidRPr="26403EC0">
        <w:t>Vanherpe</w:t>
      </w:r>
      <w:proofErr w:type="spellEnd"/>
      <w:r w:rsidRPr="26403EC0">
        <w:t xml:space="preserve">, 2020) </w:t>
      </w:r>
      <w:r w:rsidR="000D51E7" w:rsidRPr="26403EC0">
        <w:t>as the basis for esti</w:t>
      </w:r>
      <w:r w:rsidRPr="26403EC0">
        <w:t>m</w:t>
      </w:r>
      <w:r w:rsidR="000D51E7" w:rsidRPr="26403EC0">
        <w:t xml:space="preserve">ating the prevalence of Pompe </w:t>
      </w:r>
      <w:r w:rsidR="00275E79" w:rsidRPr="26403EC0">
        <w:t>D</w:t>
      </w:r>
      <w:r w:rsidRPr="26403EC0">
        <w:t>isease. This study stated that</w:t>
      </w:r>
      <w:r w:rsidR="000D68B5" w:rsidRPr="26403EC0">
        <w:t xml:space="preserve"> ‘we identified 52 patients with LOPD, belonging to 48 families. The calculated prevalence of LOPD in Belgium is 3.9</w:t>
      </w:r>
      <w:r w:rsidR="00753F64" w:rsidRPr="26403EC0">
        <w:t xml:space="preserve"> cases</w:t>
      </w:r>
      <w:r w:rsidR="000D68B5" w:rsidRPr="26403EC0">
        <w:t xml:space="preserve"> per million, on a current population of 11,431,406.’ It is not clear from the paper how this estimate was </w:t>
      </w:r>
      <w:r w:rsidR="00151698" w:rsidRPr="26403EC0">
        <w:t>derived</w:t>
      </w:r>
      <w:r w:rsidR="00F035F7" w:rsidRPr="26403EC0">
        <w:t>,</w:t>
      </w:r>
      <w:r w:rsidR="000D68B5" w:rsidRPr="26403EC0">
        <w:t xml:space="preserve"> </w:t>
      </w:r>
      <w:r w:rsidR="00F035F7" w:rsidRPr="26403EC0">
        <w:t xml:space="preserve">since, </w:t>
      </w:r>
      <w:r w:rsidR="000D68B5" w:rsidRPr="26403EC0">
        <w:t xml:space="preserve">based on the figure </w:t>
      </w:r>
      <w:r w:rsidR="00151698" w:rsidRPr="26403EC0">
        <w:t xml:space="preserve">of 52 patients </w:t>
      </w:r>
      <w:r w:rsidR="00CF7BE6" w:rsidRPr="26403EC0">
        <w:t>in a population of</w:t>
      </w:r>
      <w:r w:rsidR="0066168A" w:rsidRPr="26403EC0">
        <w:t xml:space="preserve"> 11,431,406</w:t>
      </w:r>
      <w:r w:rsidR="000D68B5" w:rsidRPr="26403EC0">
        <w:t xml:space="preserve">, the prevalence </w:t>
      </w:r>
      <w:r w:rsidR="00A473C9" w:rsidRPr="26403EC0">
        <w:t xml:space="preserve">would be </w:t>
      </w:r>
      <w:r w:rsidR="000D68B5" w:rsidRPr="26403EC0">
        <w:t>4.5</w:t>
      </w:r>
      <w:r w:rsidR="007C1C4C" w:rsidRPr="26403EC0">
        <w:t xml:space="preserve"> cases per </w:t>
      </w:r>
      <w:r w:rsidR="000D68B5" w:rsidRPr="26403EC0">
        <w:t xml:space="preserve">million. In addition, the study was done in referral </w:t>
      </w:r>
      <w:r w:rsidR="00F035F7" w:rsidRPr="26403EC0">
        <w:t>centre</w:t>
      </w:r>
      <w:r w:rsidR="000D68B5" w:rsidRPr="26403EC0">
        <w:t>s</w:t>
      </w:r>
      <w:r w:rsidR="008D392C" w:rsidRPr="26403EC0">
        <w:t xml:space="preserve"> and there was a diagnostic delay of almost 13 years. This would suggest that the prevalence estimate maybe an underestimate. </w:t>
      </w:r>
    </w:p>
    <w:p w14:paraId="48C80CAC" w14:textId="7D53F3E6" w:rsidR="009C0C7E" w:rsidRPr="00660928" w:rsidRDefault="000D68B5" w:rsidP="002B05A1">
      <w:pPr>
        <w:pStyle w:val="3-BodyText"/>
        <w:rPr>
          <w:iCs/>
          <w:color w:val="0066FF"/>
        </w:rPr>
      </w:pPr>
      <w:r w:rsidRPr="009C0C7E">
        <w:t>The current threshold for prevalence in the LSDP guidelines specifies a prev</w:t>
      </w:r>
      <w:r w:rsidR="008D392C" w:rsidRPr="009C0C7E">
        <w:t>a</w:t>
      </w:r>
      <w:r w:rsidRPr="009C0C7E">
        <w:t xml:space="preserve">lence of </w:t>
      </w:r>
      <w:r w:rsidR="00627741">
        <w:t xml:space="preserve">less than </w:t>
      </w:r>
      <w:r w:rsidRPr="009C0C7E">
        <w:t>1</w:t>
      </w:r>
      <w:r w:rsidR="006D2BB8">
        <w:t xml:space="preserve"> in </w:t>
      </w:r>
      <w:r w:rsidRPr="009C0C7E">
        <w:t xml:space="preserve">50,000. </w:t>
      </w:r>
      <w:r w:rsidR="008D392C" w:rsidRPr="009C0C7E">
        <w:rPr>
          <w:rStyle w:val="FootnoteReference"/>
        </w:rPr>
        <w:footnoteReference w:id="8"/>
      </w:r>
      <w:r w:rsidR="008D392C" w:rsidRPr="009C0C7E">
        <w:t xml:space="preserve"> The 2020 review of LSDP Medicines for Pompe </w:t>
      </w:r>
      <w:r w:rsidR="00275E79" w:rsidRPr="009C0C7E">
        <w:t>D</w:t>
      </w:r>
      <w:r w:rsidR="008D392C" w:rsidRPr="009C0C7E">
        <w:t>isease found that the prevalence in Australia was best estimated to be 0.1</w:t>
      </w:r>
      <w:r w:rsidR="000C59C2">
        <w:t>8</w:t>
      </w:r>
      <w:r w:rsidR="00627741">
        <w:t xml:space="preserve"> cases per </w:t>
      </w:r>
      <w:r w:rsidR="008D392C" w:rsidRPr="009C0C7E">
        <w:t>50,000.</w:t>
      </w:r>
      <w:r w:rsidR="009C0C7E" w:rsidRPr="009C0C7E">
        <w:t xml:space="preserve"> </w:t>
      </w:r>
      <w:r w:rsidR="00D87811" w:rsidRPr="00660928">
        <w:rPr>
          <w:iCs/>
        </w:rPr>
        <w:t>The PSCR highlighted that the estimate of 105 LOPD patients in Australia in Year 1 aligns closely with the 2020 review of LSDP Medicines for Pompe Disease which found the prevalence in Australia was best estimated to be 0.18 cases per 50,000. Based on current population estimates this equates to 96 patients.</w:t>
      </w:r>
    </w:p>
    <w:p w14:paraId="04405135" w14:textId="2C4FB7D6" w:rsidR="00D87811" w:rsidRPr="00660928" w:rsidRDefault="63FC50AE" w:rsidP="0211DC3E">
      <w:pPr>
        <w:pStyle w:val="3-BodyText"/>
        <w:rPr>
          <w:color w:val="0066FF"/>
        </w:rPr>
      </w:pPr>
      <w:r>
        <w:t>UpToDate</w:t>
      </w:r>
      <w:r w:rsidR="00805146">
        <w:rPr>
          <w:rStyle w:val="FootnoteReference"/>
        </w:rPr>
        <w:footnoteReference w:id="9"/>
      </w:r>
      <w:r w:rsidR="475DDCDA" w:rsidRPr="26403EC0">
        <w:t xml:space="preserve"> currently states that Pompe </w:t>
      </w:r>
      <w:r w:rsidR="65B162B3" w:rsidRPr="26403EC0">
        <w:t>D</w:t>
      </w:r>
      <w:r w:rsidR="475DDCDA" w:rsidRPr="26403EC0">
        <w:t>isease</w:t>
      </w:r>
      <w:r w:rsidR="65B162B3" w:rsidRPr="26403EC0">
        <w:t xml:space="preserve"> </w:t>
      </w:r>
      <w:r w:rsidR="475DDCDA" w:rsidRPr="26403EC0">
        <w:t xml:space="preserve">may be as </w:t>
      </w:r>
      <w:r w:rsidR="2E9B5A30" w:rsidRPr="26403EC0">
        <w:t xml:space="preserve">prevalent </w:t>
      </w:r>
      <w:r w:rsidR="475DDCDA" w:rsidRPr="26403EC0">
        <w:t>as 1</w:t>
      </w:r>
      <w:r w:rsidR="2B6B6BA9" w:rsidRPr="26403EC0">
        <w:t xml:space="preserve"> in </w:t>
      </w:r>
      <w:r w:rsidR="475DDCDA" w:rsidRPr="26403EC0">
        <w:t>40</w:t>
      </w:r>
      <w:r w:rsidR="65B162B3" w:rsidRPr="26403EC0">
        <w:t>,</w:t>
      </w:r>
      <w:r w:rsidR="475DDCDA" w:rsidRPr="26403EC0">
        <w:t xml:space="preserve">000 based on the Netherlands Newborn Study (1999) and that the </w:t>
      </w:r>
      <w:r w:rsidR="2E9B5A30" w:rsidRPr="26403EC0">
        <w:t xml:space="preserve">prevalence </w:t>
      </w:r>
      <w:r w:rsidR="65B162B3" w:rsidRPr="26403EC0">
        <w:t>is almost certainly</w:t>
      </w:r>
      <w:r w:rsidR="475DDCDA" w:rsidRPr="26403EC0">
        <w:t xml:space="preserve"> higher as the screening study only included </w:t>
      </w:r>
      <w:r w:rsidR="65B162B3" w:rsidRPr="26403EC0">
        <w:t>three</w:t>
      </w:r>
      <w:r w:rsidR="475DDCDA" w:rsidRPr="26403EC0">
        <w:t xml:space="preserve"> alleles. Other newborn screening programs suggest prevalences </w:t>
      </w:r>
      <w:r w:rsidR="65B162B3" w:rsidRPr="26403EC0">
        <w:t xml:space="preserve">that are </w:t>
      </w:r>
      <w:r w:rsidR="475DDCDA" w:rsidRPr="26403EC0">
        <w:t>higher</w:t>
      </w:r>
      <w:r w:rsidR="65B162B3" w:rsidRPr="26403EC0">
        <w:t xml:space="preserve"> still</w:t>
      </w:r>
      <w:r w:rsidR="21ADF3C0" w:rsidRPr="26403EC0">
        <w:t>: Austria 1</w:t>
      </w:r>
      <w:r w:rsidR="16ABF112" w:rsidRPr="26403EC0">
        <w:t xml:space="preserve"> in </w:t>
      </w:r>
      <w:r w:rsidR="21ADF3C0" w:rsidRPr="26403EC0">
        <w:t>8</w:t>
      </w:r>
      <w:r w:rsidR="35CEBD8E" w:rsidRPr="26403EC0">
        <w:t>,</w:t>
      </w:r>
      <w:r w:rsidR="21ADF3C0" w:rsidRPr="26403EC0">
        <w:t>686; Illinois 1</w:t>
      </w:r>
      <w:r w:rsidR="16ABF112" w:rsidRPr="26403EC0">
        <w:t xml:space="preserve"> in </w:t>
      </w:r>
      <w:r w:rsidR="21ADF3C0" w:rsidRPr="26403EC0">
        <w:t>21</w:t>
      </w:r>
      <w:r w:rsidR="20062EAD" w:rsidRPr="26403EC0">
        <w:t>,</w:t>
      </w:r>
      <w:r w:rsidR="21ADF3C0" w:rsidRPr="26403EC0">
        <w:t xml:space="preserve">979, although these combine </w:t>
      </w:r>
      <w:r w:rsidR="005A5D27">
        <w:t>infantile</w:t>
      </w:r>
      <w:r w:rsidR="005A5D27" w:rsidRPr="26403EC0">
        <w:t xml:space="preserve"> </w:t>
      </w:r>
      <w:r w:rsidR="21ADF3C0" w:rsidRPr="26403EC0">
        <w:t>and lat</w:t>
      </w:r>
      <w:r w:rsidR="65B162B3" w:rsidRPr="26403EC0">
        <w:t>e-onset</w:t>
      </w:r>
      <w:r w:rsidR="21ADF3C0" w:rsidRPr="26403EC0">
        <w:t xml:space="preserve"> forms of Pompe </w:t>
      </w:r>
      <w:r w:rsidR="65B162B3" w:rsidRPr="26403EC0">
        <w:t>D</w:t>
      </w:r>
      <w:r w:rsidR="21ADF3C0" w:rsidRPr="26403EC0">
        <w:t>isease.</w:t>
      </w:r>
      <w:r w:rsidR="5D31C07D" w:rsidRPr="26403EC0">
        <w:t xml:space="preserve"> </w:t>
      </w:r>
      <w:r w:rsidR="6CD3DCE3" w:rsidRPr="26403EC0">
        <w:t>Chin and Fuller</w:t>
      </w:r>
      <w:bookmarkStart w:id="52" w:name="_Ref195107530"/>
      <w:r w:rsidR="003B0F35" w:rsidRPr="26403EC0">
        <w:rPr>
          <w:rStyle w:val="FootnoteReference"/>
        </w:rPr>
        <w:footnoteReference w:id="10"/>
      </w:r>
      <w:bookmarkEnd w:id="52"/>
      <w:r w:rsidR="6CD3DCE3" w:rsidRPr="26403EC0">
        <w:t xml:space="preserve"> reported a prevalence of 2.19</w:t>
      </w:r>
      <w:r w:rsidR="7F366286" w:rsidRPr="26403EC0">
        <w:t xml:space="preserve"> cases per </w:t>
      </w:r>
      <w:r w:rsidR="6CD3DCE3" w:rsidRPr="26403EC0">
        <w:t>100,000 for the period 2009-2020, based on a retrospective study of data from the national referral laboratory for lysosomal storage disorders.</w:t>
      </w:r>
      <w:r w:rsidR="7F95AC49" w:rsidRPr="26403EC0">
        <w:t xml:space="preserve"> </w:t>
      </w:r>
      <w:r w:rsidR="4C1FAA6C" w:rsidRPr="0211DC3E">
        <w:t xml:space="preserve">The PSCR noted that the Chin (2022) study purported to report the incidence and prevalence of lysosomal storage disorders, including Pompe disease, in Australia; however, as noted in the March 2024 </w:t>
      </w:r>
      <w:r w:rsidR="315B7591">
        <w:t>PSD</w:t>
      </w:r>
      <w:r w:rsidR="4C1FAA6C" w:rsidRPr="0211DC3E">
        <w:t xml:space="preserve"> for migalastat, the definition of prevalence used in this study was actually an alternative method of estimating incidence. Specifically, “prevalence” was calculated by dividing the total number of postnatal and prenatal diagnoses during the study period by the number of live births during the same period. The PSCR therefore considered the study’s estimated prevalence of 2.19/100,000 to be a significant overestimate.</w:t>
      </w:r>
    </w:p>
    <w:p w14:paraId="3393BCE7" w14:textId="6E6B987C" w:rsidR="00E42F73" w:rsidRPr="00D87811" w:rsidRDefault="005C2AA5" w:rsidP="00D02B7F">
      <w:pPr>
        <w:pStyle w:val="3-BodyText"/>
        <w:keepNext/>
        <w:keepLines/>
        <w:numPr>
          <w:ilvl w:val="0"/>
          <w:numId w:val="0"/>
        </w:numPr>
        <w:spacing w:before="0" w:after="0"/>
        <w:rPr>
          <w:rStyle w:val="CommentReference"/>
          <w:szCs w:val="24"/>
        </w:rPr>
      </w:pPr>
      <w:bookmarkStart w:id="53" w:name="_Ref184289929"/>
      <w:r w:rsidRPr="00D87811">
        <w:rPr>
          <w:rStyle w:val="CommentReference"/>
          <w:szCs w:val="24"/>
        </w:rPr>
        <w:t xml:space="preserve">Table </w:t>
      </w:r>
      <w:r w:rsidR="007854A1" w:rsidRPr="00D87811">
        <w:rPr>
          <w:rStyle w:val="CommentReference"/>
          <w:bCs/>
          <w:szCs w:val="24"/>
        </w:rPr>
        <w:fldChar w:fldCharType="begin"/>
      </w:r>
      <w:r w:rsidR="007854A1" w:rsidRPr="00D87811">
        <w:rPr>
          <w:rStyle w:val="CommentReference"/>
          <w:bCs/>
          <w:szCs w:val="24"/>
        </w:rPr>
        <w:instrText xml:space="preserve"> SEQ Table \* ARABIC </w:instrText>
      </w:r>
      <w:r w:rsidR="007854A1" w:rsidRPr="00D87811">
        <w:rPr>
          <w:rStyle w:val="CommentReference"/>
          <w:bCs/>
          <w:szCs w:val="24"/>
        </w:rPr>
        <w:fldChar w:fldCharType="separate"/>
      </w:r>
      <w:r w:rsidR="007A62D0">
        <w:rPr>
          <w:rStyle w:val="CommentReference"/>
          <w:bCs/>
          <w:noProof/>
          <w:szCs w:val="24"/>
        </w:rPr>
        <w:t>12</w:t>
      </w:r>
      <w:r w:rsidR="007854A1" w:rsidRPr="00D87811">
        <w:rPr>
          <w:rStyle w:val="CommentReference"/>
          <w:bCs/>
          <w:szCs w:val="24"/>
        </w:rPr>
        <w:fldChar w:fldCharType="end"/>
      </w:r>
      <w:bookmarkEnd w:id="53"/>
      <w:r w:rsidRPr="00D87811">
        <w:rPr>
          <w:rStyle w:val="CommentReference"/>
          <w:szCs w:val="24"/>
        </w:rPr>
        <w:t xml:space="preserve">: </w:t>
      </w:r>
      <w:r w:rsidR="00E42F73" w:rsidRPr="00D87811">
        <w:rPr>
          <w:rStyle w:val="CommentReference"/>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E42F73" w:rsidRPr="0098262F" w14:paraId="7AFD013A" w14:textId="77777777" w:rsidTr="26403EC0">
        <w:trPr>
          <w:tblHeader/>
        </w:trPr>
        <w:tc>
          <w:tcPr>
            <w:tcW w:w="950" w:type="pct"/>
            <w:shd w:val="clear" w:color="auto" w:fill="auto"/>
            <w:vAlign w:val="center"/>
          </w:tcPr>
          <w:p w14:paraId="45C2C4CE" w14:textId="370E9AAB" w:rsidR="00E42F73" w:rsidRPr="0098262F" w:rsidRDefault="004658B5" w:rsidP="000D2D05">
            <w:pPr>
              <w:pStyle w:val="In-tableHeading"/>
            </w:pPr>
            <w:r w:rsidRPr="0098262F">
              <w:t>Parameter</w:t>
            </w:r>
          </w:p>
        </w:tc>
        <w:tc>
          <w:tcPr>
            <w:tcW w:w="2270" w:type="pct"/>
            <w:shd w:val="clear" w:color="auto" w:fill="auto"/>
            <w:vAlign w:val="center"/>
          </w:tcPr>
          <w:p w14:paraId="5C04F956" w14:textId="559E8DB1" w:rsidR="00E42F73" w:rsidRPr="0098262F" w:rsidRDefault="004658B5" w:rsidP="000D2D05">
            <w:pPr>
              <w:pStyle w:val="In-tableHeading"/>
            </w:pPr>
            <w:r w:rsidRPr="0098262F">
              <w:t>Value applied and source</w:t>
            </w:r>
          </w:p>
        </w:tc>
        <w:tc>
          <w:tcPr>
            <w:tcW w:w="1780" w:type="pct"/>
            <w:shd w:val="clear" w:color="auto" w:fill="auto"/>
            <w:vAlign w:val="center"/>
          </w:tcPr>
          <w:p w14:paraId="45DE44AA" w14:textId="4713F72E" w:rsidR="00E42F73" w:rsidRPr="0098262F" w:rsidRDefault="004658B5" w:rsidP="000D2D05">
            <w:pPr>
              <w:pStyle w:val="In-tableHeading"/>
            </w:pPr>
            <w:r w:rsidRPr="0098262F">
              <w:t>Comment</w:t>
            </w:r>
          </w:p>
        </w:tc>
      </w:tr>
      <w:tr w:rsidR="00E42F73" w:rsidRPr="0098262F" w14:paraId="4BEF206D" w14:textId="77777777" w:rsidTr="26403EC0">
        <w:tc>
          <w:tcPr>
            <w:tcW w:w="950" w:type="pct"/>
            <w:shd w:val="clear" w:color="auto" w:fill="auto"/>
            <w:vAlign w:val="center"/>
          </w:tcPr>
          <w:p w14:paraId="5724F53F" w14:textId="40BC8269" w:rsidR="00E42F73" w:rsidRPr="0098262F" w:rsidRDefault="002C7473" w:rsidP="0050473F">
            <w:pPr>
              <w:pStyle w:val="TableText0"/>
            </w:pPr>
            <w:r>
              <w:t>Pr</w:t>
            </w:r>
            <w:r w:rsidR="004658B5" w:rsidRPr="0098262F">
              <w:t>evalent population</w:t>
            </w:r>
            <w:r>
              <w:t xml:space="preserve"> of symptomatic LOPD patients, adult </w:t>
            </w:r>
          </w:p>
        </w:tc>
        <w:tc>
          <w:tcPr>
            <w:tcW w:w="2270" w:type="pct"/>
            <w:shd w:val="clear" w:color="auto" w:fill="auto"/>
            <w:vAlign w:val="center"/>
          </w:tcPr>
          <w:p w14:paraId="65BB4800" w14:textId="0D5C98B0" w:rsidR="003452AB" w:rsidRDefault="5521F920" w:rsidP="0050473F">
            <w:pPr>
              <w:pStyle w:val="TableText0"/>
            </w:pPr>
            <w:r w:rsidRPr="26403EC0">
              <w:t xml:space="preserve">Prevalence of </w:t>
            </w:r>
            <w:r w:rsidR="696BA987" w:rsidRPr="26403EC0">
              <w:t>3.9</w:t>
            </w:r>
            <w:r w:rsidR="62C4CCCF" w:rsidRPr="26403EC0">
              <w:t xml:space="preserve"> </w:t>
            </w:r>
            <w:r w:rsidR="5D0FC659" w:rsidRPr="26403EC0">
              <w:t xml:space="preserve">cases </w:t>
            </w:r>
            <w:r w:rsidR="62C4CCCF" w:rsidRPr="26403EC0">
              <w:t xml:space="preserve">per </w:t>
            </w:r>
            <w:r w:rsidR="696BA987" w:rsidRPr="26403EC0">
              <w:t xml:space="preserve">million population </w:t>
            </w:r>
            <w:r w:rsidR="11EE9AA4" w:rsidRPr="26403EC0">
              <w:t xml:space="preserve">based on </w:t>
            </w:r>
            <w:proofErr w:type="spellStart"/>
            <w:r w:rsidR="696BA987" w:rsidRPr="26403EC0">
              <w:t>Vanherpe</w:t>
            </w:r>
            <w:proofErr w:type="spellEnd"/>
            <w:r w:rsidR="696BA987" w:rsidRPr="26403EC0">
              <w:t xml:space="preserve"> 2020</w:t>
            </w:r>
            <w:r w:rsidR="00727616" w:rsidRPr="26403EC0">
              <w:t>;</w:t>
            </w:r>
            <w:r w:rsidR="003452AB" w:rsidRPr="26403EC0">
              <w:t xml:space="preserve"> applied to ABS Australian population estimates 2025-2030 </w:t>
            </w:r>
          </w:p>
          <w:tbl>
            <w:tblPr>
              <w:tblStyle w:val="TableGrid"/>
              <w:tblW w:w="0" w:type="auto"/>
              <w:tblInd w:w="720" w:type="dxa"/>
              <w:tblLayout w:type="fixed"/>
              <w:tblLook w:val="04A0" w:firstRow="1" w:lastRow="0" w:firstColumn="1" w:lastColumn="0" w:noHBand="0" w:noVBand="1"/>
            </w:tblPr>
            <w:tblGrid>
              <w:gridCol w:w="1118"/>
              <w:gridCol w:w="992"/>
            </w:tblGrid>
            <w:tr w:rsidR="000D75D0" w14:paraId="44BB033A" w14:textId="77777777">
              <w:tc>
                <w:tcPr>
                  <w:tcW w:w="1118" w:type="dxa"/>
                </w:tcPr>
                <w:p w14:paraId="6EADB484" w14:textId="77777777" w:rsidR="000D75D0" w:rsidRDefault="000D75D0" w:rsidP="000D75D0">
                  <w:pPr>
                    <w:pStyle w:val="TableText0"/>
                  </w:pPr>
                  <w:r>
                    <w:t>Year 1</w:t>
                  </w:r>
                </w:p>
              </w:tc>
              <w:tc>
                <w:tcPr>
                  <w:tcW w:w="992" w:type="dxa"/>
                </w:tcPr>
                <w:p w14:paraId="18F33167" w14:textId="703905F2" w:rsidR="000D75D0" w:rsidRPr="00D02B7F" w:rsidRDefault="00085C36" w:rsidP="000D75D0">
                  <w:pPr>
                    <w:pStyle w:val="TableText0"/>
                    <w:rPr>
                      <w:highlight w:val="darkGray"/>
                      <w:vertAlign w:val="superscript"/>
                    </w:rPr>
                  </w:pPr>
                  <w:r w:rsidRPr="00085C36">
                    <w:rPr>
                      <w:color w:val="000000"/>
                      <w:spacing w:val="53"/>
                      <w:shd w:val="solid" w:color="000000" w:fill="000000"/>
                      <w:fitText w:val="330" w:id="-694519030"/>
                      <w14:textFill>
                        <w14:solidFill>
                          <w14:srgbClr w14:val="000000">
                            <w14:alpha w14:val="100000"/>
                          </w14:srgbClr>
                        </w14:solidFill>
                      </w14:textFill>
                    </w:rPr>
                    <w:t>|||</w:t>
                  </w:r>
                  <w:r w:rsidRPr="00085C36">
                    <w:rPr>
                      <w:color w:val="000000"/>
                      <w:spacing w:val="1"/>
                      <w:shd w:val="solid" w:color="000000" w:fill="000000"/>
                      <w:fitText w:val="330" w:id="-694519030"/>
                      <w14:textFill>
                        <w14:solidFill>
                          <w14:srgbClr w14:val="000000">
                            <w14:alpha w14:val="100000"/>
                          </w14:srgbClr>
                        </w14:solidFill>
                      </w14:textFill>
                    </w:rPr>
                    <w:t>|</w:t>
                  </w:r>
                  <w:r w:rsidR="00D02B7F" w:rsidRPr="00D02B7F">
                    <w:rPr>
                      <w:vertAlign w:val="superscript"/>
                    </w:rPr>
                    <w:t>1</w:t>
                  </w:r>
                </w:p>
              </w:tc>
            </w:tr>
            <w:tr w:rsidR="000D75D0" w14:paraId="01E6A764" w14:textId="77777777">
              <w:tc>
                <w:tcPr>
                  <w:tcW w:w="1118" w:type="dxa"/>
                </w:tcPr>
                <w:p w14:paraId="5577947F" w14:textId="77777777" w:rsidR="000D75D0" w:rsidRDefault="000D75D0" w:rsidP="000D75D0">
                  <w:pPr>
                    <w:pStyle w:val="TableText0"/>
                  </w:pPr>
                  <w:r>
                    <w:t>Year 2</w:t>
                  </w:r>
                </w:p>
              </w:tc>
              <w:tc>
                <w:tcPr>
                  <w:tcW w:w="992" w:type="dxa"/>
                </w:tcPr>
                <w:p w14:paraId="6788B077" w14:textId="7CA85C61" w:rsidR="000D75D0" w:rsidRPr="00AB5A40" w:rsidRDefault="00085C36" w:rsidP="000D75D0">
                  <w:pPr>
                    <w:pStyle w:val="TableText0"/>
                    <w:rPr>
                      <w:highlight w:val="darkGray"/>
                    </w:rPr>
                  </w:pPr>
                  <w:r w:rsidRPr="00085C36">
                    <w:rPr>
                      <w:color w:val="000000"/>
                      <w:spacing w:val="53"/>
                      <w:shd w:val="solid" w:color="000000" w:fill="000000"/>
                      <w:fitText w:val="330" w:id="-694519029"/>
                      <w14:textFill>
                        <w14:solidFill>
                          <w14:srgbClr w14:val="000000">
                            <w14:alpha w14:val="100000"/>
                          </w14:srgbClr>
                        </w14:solidFill>
                      </w14:textFill>
                    </w:rPr>
                    <w:t>|||</w:t>
                  </w:r>
                  <w:r w:rsidRPr="00085C36">
                    <w:rPr>
                      <w:color w:val="000000"/>
                      <w:spacing w:val="1"/>
                      <w:shd w:val="solid" w:color="000000" w:fill="000000"/>
                      <w:fitText w:val="330" w:id="-694519029"/>
                      <w14:textFill>
                        <w14:solidFill>
                          <w14:srgbClr w14:val="000000">
                            <w14:alpha w14:val="100000"/>
                          </w14:srgbClr>
                        </w14:solidFill>
                      </w14:textFill>
                    </w:rPr>
                    <w:t>|</w:t>
                  </w:r>
                  <w:r w:rsidR="00D02B7F" w:rsidRPr="00D02B7F">
                    <w:rPr>
                      <w:vertAlign w:val="superscript"/>
                    </w:rPr>
                    <w:t>1</w:t>
                  </w:r>
                </w:p>
              </w:tc>
            </w:tr>
            <w:tr w:rsidR="000D75D0" w14:paraId="6DE14473" w14:textId="77777777">
              <w:tc>
                <w:tcPr>
                  <w:tcW w:w="1118" w:type="dxa"/>
                </w:tcPr>
                <w:p w14:paraId="08B058DC" w14:textId="77777777" w:rsidR="000D75D0" w:rsidRDefault="000D75D0" w:rsidP="000D75D0">
                  <w:pPr>
                    <w:pStyle w:val="TableText0"/>
                  </w:pPr>
                  <w:r>
                    <w:t>Year 3</w:t>
                  </w:r>
                </w:p>
              </w:tc>
              <w:tc>
                <w:tcPr>
                  <w:tcW w:w="992" w:type="dxa"/>
                </w:tcPr>
                <w:p w14:paraId="704DA5DF" w14:textId="6155874A" w:rsidR="000D75D0" w:rsidRPr="00AB5A40" w:rsidRDefault="00085C36" w:rsidP="000D75D0">
                  <w:pPr>
                    <w:pStyle w:val="TableText0"/>
                    <w:rPr>
                      <w:highlight w:val="darkGray"/>
                    </w:rPr>
                  </w:pPr>
                  <w:r w:rsidRPr="00085C36">
                    <w:rPr>
                      <w:color w:val="000000"/>
                      <w:spacing w:val="53"/>
                      <w:shd w:val="solid" w:color="000000" w:fill="000000"/>
                      <w:fitText w:val="330" w:id="-694519028"/>
                      <w14:textFill>
                        <w14:solidFill>
                          <w14:srgbClr w14:val="000000">
                            <w14:alpha w14:val="100000"/>
                          </w14:srgbClr>
                        </w14:solidFill>
                      </w14:textFill>
                    </w:rPr>
                    <w:t>|||</w:t>
                  </w:r>
                  <w:r w:rsidRPr="00085C36">
                    <w:rPr>
                      <w:color w:val="000000"/>
                      <w:spacing w:val="1"/>
                      <w:shd w:val="solid" w:color="000000" w:fill="000000"/>
                      <w:fitText w:val="330" w:id="-694519028"/>
                      <w14:textFill>
                        <w14:solidFill>
                          <w14:srgbClr w14:val="000000">
                            <w14:alpha w14:val="100000"/>
                          </w14:srgbClr>
                        </w14:solidFill>
                      </w14:textFill>
                    </w:rPr>
                    <w:t>|</w:t>
                  </w:r>
                  <w:r w:rsidR="00D02B7F" w:rsidRPr="00D02B7F">
                    <w:rPr>
                      <w:vertAlign w:val="superscript"/>
                    </w:rPr>
                    <w:t>1</w:t>
                  </w:r>
                </w:p>
              </w:tc>
            </w:tr>
            <w:tr w:rsidR="000D75D0" w14:paraId="11B39E9D" w14:textId="77777777">
              <w:tc>
                <w:tcPr>
                  <w:tcW w:w="1118" w:type="dxa"/>
                </w:tcPr>
                <w:p w14:paraId="760BE8A2" w14:textId="77777777" w:rsidR="000D75D0" w:rsidRDefault="000D75D0" w:rsidP="000D75D0">
                  <w:pPr>
                    <w:pStyle w:val="TableText0"/>
                  </w:pPr>
                  <w:r>
                    <w:t>Year 4</w:t>
                  </w:r>
                </w:p>
              </w:tc>
              <w:tc>
                <w:tcPr>
                  <w:tcW w:w="992" w:type="dxa"/>
                </w:tcPr>
                <w:p w14:paraId="41E88E9B" w14:textId="71932C2F" w:rsidR="000D75D0" w:rsidRPr="00AB5A40" w:rsidRDefault="00085C36" w:rsidP="000D75D0">
                  <w:pPr>
                    <w:pStyle w:val="TableText0"/>
                    <w:rPr>
                      <w:highlight w:val="darkGray"/>
                    </w:rPr>
                  </w:pPr>
                  <w:r w:rsidRPr="00085C36">
                    <w:rPr>
                      <w:color w:val="000000"/>
                      <w:spacing w:val="53"/>
                      <w:shd w:val="solid" w:color="000000" w:fill="000000"/>
                      <w:fitText w:val="330" w:id="-694519027"/>
                      <w14:textFill>
                        <w14:solidFill>
                          <w14:srgbClr w14:val="000000">
                            <w14:alpha w14:val="100000"/>
                          </w14:srgbClr>
                        </w14:solidFill>
                      </w14:textFill>
                    </w:rPr>
                    <w:t>|||</w:t>
                  </w:r>
                  <w:r w:rsidRPr="00085C36">
                    <w:rPr>
                      <w:color w:val="000000"/>
                      <w:spacing w:val="1"/>
                      <w:shd w:val="solid" w:color="000000" w:fill="000000"/>
                      <w:fitText w:val="330" w:id="-694519027"/>
                      <w14:textFill>
                        <w14:solidFill>
                          <w14:srgbClr w14:val="000000">
                            <w14:alpha w14:val="100000"/>
                          </w14:srgbClr>
                        </w14:solidFill>
                      </w14:textFill>
                    </w:rPr>
                    <w:t>|</w:t>
                  </w:r>
                  <w:r w:rsidR="00D02B7F" w:rsidRPr="00D02B7F">
                    <w:rPr>
                      <w:vertAlign w:val="superscript"/>
                    </w:rPr>
                    <w:t>1</w:t>
                  </w:r>
                </w:p>
              </w:tc>
            </w:tr>
            <w:tr w:rsidR="000D75D0" w14:paraId="1506FF1F" w14:textId="77777777">
              <w:tc>
                <w:tcPr>
                  <w:tcW w:w="1118" w:type="dxa"/>
                </w:tcPr>
                <w:p w14:paraId="32D89965" w14:textId="77777777" w:rsidR="000D75D0" w:rsidRDefault="000D75D0" w:rsidP="000D75D0">
                  <w:pPr>
                    <w:pStyle w:val="TableText0"/>
                  </w:pPr>
                  <w:r>
                    <w:t>Year 5</w:t>
                  </w:r>
                </w:p>
              </w:tc>
              <w:tc>
                <w:tcPr>
                  <w:tcW w:w="992" w:type="dxa"/>
                </w:tcPr>
                <w:p w14:paraId="3A817F8C" w14:textId="53C40454" w:rsidR="000D75D0" w:rsidRPr="00AB5A40" w:rsidRDefault="00085C36" w:rsidP="000D75D0">
                  <w:pPr>
                    <w:pStyle w:val="TableText0"/>
                    <w:rPr>
                      <w:highlight w:val="darkGray"/>
                    </w:rPr>
                  </w:pPr>
                  <w:r w:rsidRPr="00085C36">
                    <w:rPr>
                      <w:color w:val="000000"/>
                      <w:spacing w:val="53"/>
                      <w:shd w:val="solid" w:color="000000" w:fill="000000"/>
                      <w:fitText w:val="330" w:id="-694519026"/>
                      <w14:textFill>
                        <w14:solidFill>
                          <w14:srgbClr w14:val="000000">
                            <w14:alpha w14:val="100000"/>
                          </w14:srgbClr>
                        </w14:solidFill>
                      </w14:textFill>
                    </w:rPr>
                    <w:t>|||</w:t>
                  </w:r>
                  <w:r w:rsidRPr="00085C36">
                    <w:rPr>
                      <w:color w:val="000000"/>
                      <w:spacing w:val="1"/>
                      <w:shd w:val="solid" w:color="000000" w:fill="000000"/>
                      <w:fitText w:val="330" w:id="-694519026"/>
                      <w14:textFill>
                        <w14:solidFill>
                          <w14:srgbClr w14:val="000000">
                            <w14:alpha w14:val="100000"/>
                          </w14:srgbClr>
                        </w14:solidFill>
                      </w14:textFill>
                    </w:rPr>
                    <w:t>|</w:t>
                  </w:r>
                  <w:r w:rsidR="00D02B7F" w:rsidRPr="00D02B7F">
                    <w:rPr>
                      <w:vertAlign w:val="superscript"/>
                    </w:rPr>
                    <w:t>1</w:t>
                  </w:r>
                </w:p>
              </w:tc>
            </w:tr>
            <w:tr w:rsidR="000D75D0" w14:paraId="03DFEE2D" w14:textId="77777777">
              <w:tc>
                <w:tcPr>
                  <w:tcW w:w="1118" w:type="dxa"/>
                </w:tcPr>
                <w:p w14:paraId="4875F2E5" w14:textId="77777777" w:rsidR="000D75D0" w:rsidRDefault="000D75D0" w:rsidP="000D75D0">
                  <w:pPr>
                    <w:pStyle w:val="TableText0"/>
                  </w:pPr>
                  <w:r>
                    <w:t>Year 6</w:t>
                  </w:r>
                </w:p>
              </w:tc>
              <w:tc>
                <w:tcPr>
                  <w:tcW w:w="992" w:type="dxa"/>
                </w:tcPr>
                <w:p w14:paraId="6FF42297" w14:textId="581A705A" w:rsidR="000D75D0" w:rsidRPr="00AB5A40" w:rsidRDefault="00085C36" w:rsidP="000D75D0">
                  <w:pPr>
                    <w:pStyle w:val="TableText0"/>
                    <w:rPr>
                      <w:highlight w:val="darkGray"/>
                    </w:rPr>
                  </w:pPr>
                  <w:r w:rsidRPr="00085C36">
                    <w:rPr>
                      <w:color w:val="000000"/>
                      <w:spacing w:val="53"/>
                      <w:shd w:val="solid" w:color="000000" w:fill="000000"/>
                      <w:fitText w:val="330" w:id="-694519025"/>
                      <w14:textFill>
                        <w14:solidFill>
                          <w14:srgbClr w14:val="000000">
                            <w14:alpha w14:val="100000"/>
                          </w14:srgbClr>
                        </w14:solidFill>
                      </w14:textFill>
                    </w:rPr>
                    <w:t>|||</w:t>
                  </w:r>
                  <w:r w:rsidRPr="00085C36">
                    <w:rPr>
                      <w:color w:val="000000"/>
                      <w:spacing w:val="1"/>
                      <w:shd w:val="solid" w:color="000000" w:fill="000000"/>
                      <w:fitText w:val="330" w:id="-694519025"/>
                      <w14:textFill>
                        <w14:solidFill>
                          <w14:srgbClr w14:val="000000">
                            <w14:alpha w14:val="100000"/>
                          </w14:srgbClr>
                        </w14:solidFill>
                      </w14:textFill>
                    </w:rPr>
                    <w:t>|</w:t>
                  </w:r>
                  <w:r w:rsidR="00D02B7F" w:rsidRPr="00D02B7F">
                    <w:rPr>
                      <w:vertAlign w:val="superscript"/>
                    </w:rPr>
                    <w:t>1</w:t>
                  </w:r>
                </w:p>
              </w:tc>
            </w:tr>
          </w:tbl>
          <w:p w14:paraId="2974F923" w14:textId="782C7CDA" w:rsidR="003452AB" w:rsidRPr="0098262F" w:rsidRDefault="003452AB" w:rsidP="003452AB">
            <w:pPr>
              <w:pStyle w:val="TableText0"/>
            </w:pPr>
          </w:p>
        </w:tc>
        <w:tc>
          <w:tcPr>
            <w:tcW w:w="1780" w:type="pct"/>
            <w:shd w:val="clear" w:color="auto" w:fill="auto"/>
            <w:vAlign w:val="center"/>
          </w:tcPr>
          <w:p w14:paraId="078672CF" w14:textId="2E6FB3DA" w:rsidR="00E42F73" w:rsidRPr="00CF2284" w:rsidRDefault="696BA987" w:rsidP="26403EC0">
            <w:pPr>
              <w:pStyle w:val="TableText0"/>
            </w:pPr>
            <w:r w:rsidRPr="00CF2284">
              <w:t>Based on study from Belgium; submission acknowledged possible difference in genetic and environmental factors but stated that this was the most rigorous recent study.</w:t>
            </w:r>
            <w:r w:rsidR="2C2EB233" w:rsidRPr="00CF2284">
              <w:t xml:space="preserve"> See para</w:t>
            </w:r>
            <w:r w:rsidR="004F414F">
              <w:t>gr</w:t>
            </w:r>
            <w:r w:rsidR="00EB5C50">
              <w:t>aph</w:t>
            </w:r>
            <w:r w:rsidR="00D73E00" w:rsidRPr="00CF2284">
              <w:t xml:space="preserve"> 6.6</w:t>
            </w:r>
            <w:r w:rsidR="1BA22EEE" w:rsidRPr="00CF2284">
              <w:t>5</w:t>
            </w:r>
            <w:r w:rsidR="2C2EB233" w:rsidRPr="00CF2284">
              <w:t>.</w:t>
            </w:r>
          </w:p>
        </w:tc>
      </w:tr>
      <w:tr w:rsidR="00A05C32" w:rsidRPr="0098262F" w14:paraId="273D05F4" w14:textId="77777777" w:rsidTr="26403EC0">
        <w:tc>
          <w:tcPr>
            <w:tcW w:w="950" w:type="pct"/>
            <w:shd w:val="clear" w:color="auto" w:fill="auto"/>
            <w:vAlign w:val="center"/>
          </w:tcPr>
          <w:p w14:paraId="0152C8AA" w14:textId="31CACB47" w:rsidR="00A05C32" w:rsidRPr="0098262F" w:rsidRDefault="00727616" w:rsidP="0050473F">
            <w:pPr>
              <w:pStyle w:val="TableText0"/>
            </w:pPr>
            <w:r>
              <w:t>Proportion who are symptomatic</w:t>
            </w:r>
          </w:p>
        </w:tc>
        <w:tc>
          <w:tcPr>
            <w:tcW w:w="2270" w:type="pct"/>
            <w:shd w:val="clear" w:color="auto" w:fill="auto"/>
            <w:vAlign w:val="center"/>
          </w:tcPr>
          <w:p w14:paraId="5914FE84" w14:textId="4F9895F9" w:rsidR="00A05C32" w:rsidRDefault="00727616" w:rsidP="0050473F">
            <w:pPr>
              <w:pStyle w:val="TableText0"/>
            </w:pPr>
            <w:r w:rsidRPr="26403EC0">
              <w:t xml:space="preserve">97.7%, </w:t>
            </w:r>
            <w:proofErr w:type="spellStart"/>
            <w:r w:rsidRPr="26403EC0">
              <w:t>Vanherpe</w:t>
            </w:r>
            <w:proofErr w:type="spellEnd"/>
            <w:r w:rsidRPr="26403EC0">
              <w:t>, 2020, calculated to be 105 patients in Australia</w:t>
            </w:r>
            <w:r w:rsidR="7187D9E2" w:rsidRPr="26403EC0">
              <w:t xml:space="preserve"> in year 1</w:t>
            </w:r>
          </w:p>
          <w:tbl>
            <w:tblPr>
              <w:tblStyle w:val="TableGrid"/>
              <w:tblW w:w="0" w:type="auto"/>
              <w:tblInd w:w="720" w:type="dxa"/>
              <w:tblLayout w:type="fixed"/>
              <w:tblLook w:val="04A0" w:firstRow="1" w:lastRow="0" w:firstColumn="1" w:lastColumn="0" w:noHBand="0" w:noVBand="1"/>
              <w:tblCaption w:val="Table 12: Key inputs for financial estimates"/>
            </w:tblPr>
            <w:tblGrid>
              <w:gridCol w:w="1118"/>
              <w:gridCol w:w="992"/>
            </w:tblGrid>
            <w:tr w:rsidR="000D75D0" w14:paraId="5CDE2B5D" w14:textId="77777777">
              <w:tc>
                <w:tcPr>
                  <w:tcW w:w="1118" w:type="dxa"/>
                </w:tcPr>
                <w:p w14:paraId="1574FA3A" w14:textId="77777777" w:rsidR="000D75D0" w:rsidRDefault="000D75D0" w:rsidP="000D75D0">
                  <w:pPr>
                    <w:pStyle w:val="TableText0"/>
                  </w:pPr>
                  <w:r>
                    <w:t>Year 1</w:t>
                  </w:r>
                </w:p>
              </w:tc>
              <w:tc>
                <w:tcPr>
                  <w:tcW w:w="992" w:type="dxa"/>
                </w:tcPr>
                <w:p w14:paraId="43B0489B" w14:textId="220966CB" w:rsidR="000D75D0" w:rsidRPr="00906051" w:rsidRDefault="00085C36" w:rsidP="000D75D0">
                  <w:pPr>
                    <w:pStyle w:val="TableText0"/>
                    <w:rPr>
                      <w:highlight w:val="darkGray"/>
                    </w:rPr>
                  </w:pPr>
                  <w:r w:rsidRPr="00085C36">
                    <w:rPr>
                      <w:color w:val="000000"/>
                      <w:spacing w:val="53"/>
                      <w:shd w:val="solid" w:color="000000" w:fill="000000"/>
                      <w:fitText w:val="330" w:id="-694519024"/>
                      <w14:textFill>
                        <w14:solidFill>
                          <w14:srgbClr w14:val="000000">
                            <w14:alpha w14:val="100000"/>
                          </w14:srgbClr>
                        </w14:solidFill>
                      </w14:textFill>
                    </w:rPr>
                    <w:t>|||</w:t>
                  </w:r>
                  <w:r w:rsidRPr="00085C36">
                    <w:rPr>
                      <w:color w:val="000000"/>
                      <w:spacing w:val="1"/>
                      <w:shd w:val="solid" w:color="000000" w:fill="000000"/>
                      <w:fitText w:val="330" w:id="-694519024"/>
                      <w14:textFill>
                        <w14:solidFill>
                          <w14:srgbClr w14:val="000000">
                            <w14:alpha w14:val="100000"/>
                          </w14:srgbClr>
                        </w14:solidFill>
                      </w14:textFill>
                    </w:rPr>
                    <w:t>|</w:t>
                  </w:r>
                  <w:r w:rsidR="00D02B7F" w:rsidRPr="00D02B7F">
                    <w:rPr>
                      <w:vertAlign w:val="superscript"/>
                    </w:rPr>
                    <w:t>1</w:t>
                  </w:r>
                </w:p>
              </w:tc>
            </w:tr>
            <w:tr w:rsidR="000D75D0" w14:paraId="3E0DEAEC" w14:textId="77777777">
              <w:tc>
                <w:tcPr>
                  <w:tcW w:w="1118" w:type="dxa"/>
                </w:tcPr>
                <w:p w14:paraId="52326C72" w14:textId="77777777" w:rsidR="000D75D0" w:rsidRDefault="000D75D0" w:rsidP="000D75D0">
                  <w:pPr>
                    <w:pStyle w:val="TableText0"/>
                  </w:pPr>
                  <w:r>
                    <w:t>Year 2</w:t>
                  </w:r>
                </w:p>
              </w:tc>
              <w:tc>
                <w:tcPr>
                  <w:tcW w:w="992" w:type="dxa"/>
                </w:tcPr>
                <w:p w14:paraId="73772D33" w14:textId="23892030" w:rsidR="000D75D0" w:rsidRPr="00906051" w:rsidRDefault="00085C36" w:rsidP="000D75D0">
                  <w:pPr>
                    <w:pStyle w:val="TableText0"/>
                    <w:rPr>
                      <w:highlight w:val="darkGray"/>
                    </w:rPr>
                  </w:pPr>
                  <w:r w:rsidRPr="00085C36">
                    <w:rPr>
                      <w:color w:val="000000"/>
                      <w:spacing w:val="53"/>
                      <w:shd w:val="solid" w:color="000000" w:fill="000000"/>
                      <w:fitText w:val="330" w:id="-694519040"/>
                      <w14:textFill>
                        <w14:solidFill>
                          <w14:srgbClr w14:val="000000">
                            <w14:alpha w14:val="100000"/>
                          </w14:srgbClr>
                        </w14:solidFill>
                      </w14:textFill>
                    </w:rPr>
                    <w:t>|||</w:t>
                  </w:r>
                  <w:r w:rsidRPr="00085C36">
                    <w:rPr>
                      <w:color w:val="000000"/>
                      <w:spacing w:val="1"/>
                      <w:shd w:val="solid" w:color="000000" w:fill="000000"/>
                      <w:fitText w:val="330" w:id="-694519040"/>
                      <w14:textFill>
                        <w14:solidFill>
                          <w14:srgbClr w14:val="000000">
                            <w14:alpha w14:val="100000"/>
                          </w14:srgbClr>
                        </w14:solidFill>
                      </w14:textFill>
                    </w:rPr>
                    <w:t>|</w:t>
                  </w:r>
                  <w:r w:rsidR="00D02B7F" w:rsidRPr="00D02B7F">
                    <w:rPr>
                      <w:vertAlign w:val="superscript"/>
                    </w:rPr>
                    <w:t>1</w:t>
                  </w:r>
                </w:p>
              </w:tc>
            </w:tr>
            <w:tr w:rsidR="000D75D0" w14:paraId="23FBA55C" w14:textId="77777777">
              <w:tc>
                <w:tcPr>
                  <w:tcW w:w="1118" w:type="dxa"/>
                </w:tcPr>
                <w:p w14:paraId="36FA4111" w14:textId="77777777" w:rsidR="000D75D0" w:rsidRDefault="000D75D0" w:rsidP="000D75D0">
                  <w:pPr>
                    <w:pStyle w:val="TableText0"/>
                  </w:pPr>
                  <w:r>
                    <w:t>Year 3</w:t>
                  </w:r>
                </w:p>
              </w:tc>
              <w:tc>
                <w:tcPr>
                  <w:tcW w:w="992" w:type="dxa"/>
                </w:tcPr>
                <w:p w14:paraId="399F0124" w14:textId="55D0DC05" w:rsidR="000D75D0" w:rsidRPr="00906051" w:rsidRDefault="00085C36" w:rsidP="000D75D0">
                  <w:pPr>
                    <w:pStyle w:val="TableText0"/>
                    <w:rPr>
                      <w:highlight w:val="darkGray"/>
                    </w:rPr>
                  </w:pPr>
                  <w:r w:rsidRPr="00085C36">
                    <w:rPr>
                      <w:color w:val="000000"/>
                      <w:spacing w:val="53"/>
                      <w:shd w:val="solid" w:color="000000" w:fill="000000"/>
                      <w:fitText w:val="330" w:id="-694519039"/>
                      <w14:textFill>
                        <w14:solidFill>
                          <w14:srgbClr w14:val="000000">
                            <w14:alpha w14:val="100000"/>
                          </w14:srgbClr>
                        </w14:solidFill>
                      </w14:textFill>
                    </w:rPr>
                    <w:t>|||</w:t>
                  </w:r>
                  <w:r w:rsidRPr="00085C36">
                    <w:rPr>
                      <w:color w:val="000000"/>
                      <w:spacing w:val="1"/>
                      <w:shd w:val="solid" w:color="000000" w:fill="000000"/>
                      <w:fitText w:val="330" w:id="-694519039"/>
                      <w14:textFill>
                        <w14:solidFill>
                          <w14:srgbClr w14:val="000000">
                            <w14:alpha w14:val="100000"/>
                          </w14:srgbClr>
                        </w14:solidFill>
                      </w14:textFill>
                    </w:rPr>
                    <w:t>|</w:t>
                  </w:r>
                  <w:r w:rsidR="00D02B7F" w:rsidRPr="00D02B7F">
                    <w:rPr>
                      <w:vertAlign w:val="superscript"/>
                    </w:rPr>
                    <w:t>1</w:t>
                  </w:r>
                </w:p>
              </w:tc>
            </w:tr>
            <w:tr w:rsidR="000D75D0" w14:paraId="422758BD" w14:textId="77777777">
              <w:tc>
                <w:tcPr>
                  <w:tcW w:w="1118" w:type="dxa"/>
                </w:tcPr>
                <w:p w14:paraId="080387C0" w14:textId="77777777" w:rsidR="000D75D0" w:rsidRDefault="000D75D0" w:rsidP="000D75D0">
                  <w:pPr>
                    <w:pStyle w:val="TableText0"/>
                  </w:pPr>
                  <w:r>
                    <w:t>Year 4</w:t>
                  </w:r>
                </w:p>
              </w:tc>
              <w:tc>
                <w:tcPr>
                  <w:tcW w:w="992" w:type="dxa"/>
                </w:tcPr>
                <w:p w14:paraId="0A7B959D" w14:textId="71C0BD4E" w:rsidR="000D75D0" w:rsidRPr="00906051" w:rsidRDefault="00085C36" w:rsidP="000D75D0">
                  <w:pPr>
                    <w:pStyle w:val="TableText0"/>
                    <w:rPr>
                      <w:highlight w:val="darkGray"/>
                    </w:rPr>
                  </w:pPr>
                  <w:r w:rsidRPr="00085C36">
                    <w:rPr>
                      <w:color w:val="000000"/>
                      <w:spacing w:val="53"/>
                      <w:shd w:val="solid" w:color="000000" w:fill="000000"/>
                      <w:fitText w:val="330" w:id="-694519038"/>
                      <w14:textFill>
                        <w14:solidFill>
                          <w14:srgbClr w14:val="000000">
                            <w14:alpha w14:val="100000"/>
                          </w14:srgbClr>
                        </w14:solidFill>
                      </w14:textFill>
                    </w:rPr>
                    <w:t>|||</w:t>
                  </w:r>
                  <w:r w:rsidRPr="00085C36">
                    <w:rPr>
                      <w:color w:val="000000"/>
                      <w:spacing w:val="1"/>
                      <w:shd w:val="solid" w:color="000000" w:fill="000000"/>
                      <w:fitText w:val="330" w:id="-694519038"/>
                      <w14:textFill>
                        <w14:solidFill>
                          <w14:srgbClr w14:val="000000">
                            <w14:alpha w14:val="100000"/>
                          </w14:srgbClr>
                        </w14:solidFill>
                      </w14:textFill>
                    </w:rPr>
                    <w:t>|</w:t>
                  </w:r>
                  <w:r w:rsidR="00D02B7F" w:rsidRPr="00D02B7F">
                    <w:rPr>
                      <w:vertAlign w:val="superscript"/>
                    </w:rPr>
                    <w:t>1</w:t>
                  </w:r>
                </w:p>
              </w:tc>
            </w:tr>
            <w:tr w:rsidR="000D75D0" w14:paraId="7761C5A7" w14:textId="77777777">
              <w:tc>
                <w:tcPr>
                  <w:tcW w:w="1118" w:type="dxa"/>
                </w:tcPr>
                <w:p w14:paraId="7A84270B" w14:textId="77777777" w:rsidR="000D75D0" w:rsidRDefault="000D75D0" w:rsidP="000D75D0">
                  <w:pPr>
                    <w:pStyle w:val="TableText0"/>
                  </w:pPr>
                  <w:r>
                    <w:t>Year 5</w:t>
                  </w:r>
                </w:p>
              </w:tc>
              <w:tc>
                <w:tcPr>
                  <w:tcW w:w="992" w:type="dxa"/>
                </w:tcPr>
                <w:p w14:paraId="3ADACFC7" w14:textId="15D7471B" w:rsidR="000D75D0" w:rsidRPr="00906051" w:rsidRDefault="00085C36" w:rsidP="000D75D0">
                  <w:pPr>
                    <w:pStyle w:val="TableText0"/>
                    <w:rPr>
                      <w:highlight w:val="darkGray"/>
                    </w:rPr>
                  </w:pPr>
                  <w:r w:rsidRPr="00085C36">
                    <w:rPr>
                      <w:color w:val="000000"/>
                      <w:spacing w:val="53"/>
                      <w:shd w:val="solid" w:color="000000" w:fill="000000"/>
                      <w:fitText w:val="330" w:id="-694519037"/>
                      <w14:textFill>
                        <w14:solidFill>
                          <w14:srgbClr w14:val="000000">
                            <w14:alpha w14:val="100000"/>
                          </w14:srgbClr>
                        </w14:solidFill>
                      </w14:textFill>
                    </w:rPr>
                    <w:t>|||</w:t>
                  </w:r>
                  <w:r w:rsidRPr="00085C36">
                    <w:rPr>
                      <w:color w:val="000000"/>
                      <w:spacing w:val="1"/>
                      <w:shd w:val="solid" w:color="000000" w:fill="000000"/>
                      <w:fitText w:val="330" w:id="-694519037"/>
                      <w14:textFill>
                        <w14:solidFill>
                          <w14:srgbClr w14:val="000000">
                            <w14:alpha w14:val="100000"/>
                          </w14:srgbClr>
                        </w14:solidFill>
                      </w14:textFill>
                    </w:rPr>
                    <w:t>|</w:t>
                  </w:r>
                  <w:r w:rsidR="00D02B7F" w:rsidRPr="00D02B7F">
                    <w:rPr>
                      <w:vertAlign w:val="superscript"/>
                    </w:rPr>
                    <w:t>1</w:t>
                  </w:r>
                </w:p>
              </w:tc>
            </w:tr>
            <w:tr w:rsidR="000D75D0" w14:paraId="4114A266" w14:textId="77777777">
              <w:tc>
                <w:tcPr>
                  <w:tcW w:w="1118" w:type="dxa"/>
                </w:tcPr>
                <w:p w14:paraId="7CE898FE" w14:textId="77777777" w:rsidR="000D75D0" w:rsidRDefault="000D75D0" w:rsidP="000D75D0">
                  <w:pPr>
                    <w:pStyle w:val="TableText0"/>
                  </w:pPr>
                  <w:r>
                    <w:t>Year 6</w:t>
                  </w:r>
                </w:p>
              </w:tc>
              <w:tc>
                <w:tcPr>
                  <w:tcW w:w="992" w:type="dxa"/>
                </w:tcPr>
                <w:p w14:paraId="024235BF" w14:textId="5F37139E" w:rsidR="000D75D0" w:rsidRPr="00906051" w:rsidRDefault="00085C36" w:rsidP="000D75D0">
                  <w:pPr>
                    <w:pStyle w:val="TableText0"/>
                    <w:rPr>
                      <w:highlight w:val="darkGray"/>
                    </w:rPr>
                  </w:pPr>
                  <w:r w:rsidRPr="00085C36">
                    <w:rPr>
                      <w:color w:val="000000"/>
                      <w:spacing w:val="53"/>
                      <w:shd w:val="solid" w:color="000000" w:fill="000000"/>
                      <w:fitText w:val="330" w:id="-694519036"/>
                      <w14:textFill>
                        <w14:solidFill>
                          <w14:srgbClr w14:val="000000">
                            <w14:alpha w14:val="100000"/>
                          </w14:srgbClr>
                        </w14:solidFill>
                      </w14:textFill>
                    </w:rPr>
                    <w:t>|||</w:t>
                  </w:r>
                  <w:r w:rsidRPr="00085C36">
                    <w:rPr>
                      <w:color w:val="000000"/>
                      <w:spacing w:val="1"/>
                      <w:shd w:val="solid" w:color="000000" w:fill="000000"/>
                      <w:fitText w:val="330" w:id="-694519036"/>
                      <w14:textFill>
                        <w14:solidFill>
                          <w14:srgbClr w14:val="000000">
                            <w14:alpha w14:val="100000"/>
                          </w14:srgbClr>
                        </w14:solidFill>
                      </w14:textFill>
                    </w:rPr>
                    <w:t>|</w:t>
                  </w:r>
                  <w:r w:rsidR="00D02B7F" w:rsidRPr="00D02B7F">
                    <w:rPr>
                      <w:vertAlign w:val="superscript"/>
                    </w:rPr>
                    <w:t>1</w:t>
                  </w:r>
                </w:p>
              </w:tc>
            </w:tr>
          </w:tbl>
          <w:p w14:paraId="5FE8DC6D" w14:textId="2D477058" w:rsidR="000D75D0" w:rsidRPr="0098262F" w:rsidRDefault="000D75D0" w:rsidP="0050473F">
            <w:pPr>
              <w:pStyle w:val="TableText0"/>
            </w:pPr>
          </w:p>
        </w:tc>
        <w:tc>
          <w:tcPr>
            <w:tcW w:w="1780" w:type="pct"/>
            <w:shd w:val="clear" w:color="auto" w:fill="auto"/>
            <w:vAlign w:val="center"/>
          </w:tcPr>
          <w:p w14:paraId="035D240F" w14:textId="2C83E71C" w:rsidR="00A05C32" w:rsidRPr="00CF2284" w:rsidRDefault="00727616" w:rsidP="26403EC0">
            <w:pPr>
              <w:pStyle w:val="TableText0"/>
            </w:pPr>
            <w:r w:rsidRPr="00CF2284">
              <w:t xml:space="preserve">Assumes that adult prevalence estimates in </w:t>
            </w:r>
            <w:proofErr w:type="spellStart"/>
            <w:r w:rsidRPr="00CF2284">
              <w:t>Vanherpe</w:t>
            </w:r>
            <w:proofErr w:type="spellEnd"/>
            <w:r w:rsidRPr="00CF2284">
              <w:t xml:space="preserve"> (42/43) can be applied to the Australian population – see comments in para</w:t>
            </w:r>
            <w:r w:rsidR="00EB5C50">
              <w:t>graph</w:t>
            </w:r>
            <w:r w:rsidR="00D73E00" w:rsidRPr="00CF2284">
              <w:t xml:space="preserve"> 6.6</w:t>
            </w:r>
            <w:r w:rsidR="1BA22EEE" w:rsidRPr="00CF2284">
              <w:t>5</w:t>
            </w:r>
            <w:r w:rsidRPr="00CF2284">
              <w:t xml:space="preserve"> </w:t>
            </w:r>
          </w:p>
        </w:tc>
      </w:tr>
      <w:tr w:rsidR="00E42F73" w:rsidRPr="0098262F" w14:paraId="72C9FBDD" w14:textId="77777777" w:rsidTr="26403EC0">
        <w:tc>
          <w:tcPr>
            <w:tcW w:w="950" w:type="pct"/>
            <w:shd w:val="clear" w:color="auto" w:fill="auto"/>
            <w:vAlign w:val="center"/>
          </w:tcPr>
          <w:p w14:paraId="2FBBDC67" w14:textId="4FD538A1" w:rsidR="00E42F73" w:rsidRPr="0098262F" w:rsidRDefault="004658B5" w:rsidP="0050473F">
            <w:pPr>
              <w:pStyle w:val="TableText0"/>
            </w:pPr>
            <w:r w:rsidRPr="0098262F">
              <w:t>Uptake rate</w:t>
            </w:r>
          </w:p>
        </w:tc>
        <w:tc>
          <w:tcPr>
            <w:tcW w:w="2270" w:type="pct"/>
            <w:shd w:val="clear" w:color="auto" w:fill="auto"/>
            <w:vAlign w:val="center"/>
          </w:tcPr>
          <w:p w14:paraId="2B8C95BD" w14:textId="72F80D0A" w:rsidR="00E42F73" w:rsidRDefault="00085C36" w:rsidP="0050473F">
            <w:pPr>
              <w:pStyle w:val="TableText0"/>
            </w:pPr>
            <w:r w:rsidRPr="00097712">
              <w:rPr>
                <w:color w:val="000000"/>
                <w:spacing w:val="53"/>
                <w:shd w:val="solid" w:color="000000" w:fill="000000"/>
                <w:fitText w:val="330" w:id="-694519035"/>
                <w14:textFill>
                  <w14:solidFill>
                    <w14:srgbClr w14:val="000000">
                      <w14:alpha w14:val="100000"/>
                    </w14:srgbClr>
                  </w14:solidFill>
                </w14:textFill>
              </w:rPr>
              <w:t>|||</w:t>
            </w:r>
            <w:r w:rsidRPr="00097712">
              <w:rPr>
                <w:color w:val="000000"/>
                <w:spacing w:val="1"/>
                <w:shd w:val="solid" w:color="000000" w:fill="000000"/>
                <w:fitText w:val="330" w:id="-694519035"/>
                <w14:textFill>
                  <w14:solidFill>
                    <w14:srgbClr w14:val="000000">
                      <w14:alpha w14:val="100000"/>
                    </w14:srgbClr>
                  </w14:solidFill>
                </w14:textFill>
              </w:rPr>
              <w:t>|</w:t>
            </w:r>
            <w:r w:rsidR="00727616">
              <w:t>%</w:t>
            </w:r>
            <w:r w:rsidR="004658B5" w:rsidRPr="0098262F">
              <w:t xml:space="preserve"> in Year 1 increasing to </w:t>
            </w:r>
            <w:r w:rsidRPr="00097712">
              <w:rPr>
                <w:color w:val="000000"/>
                <w:spacing w:val="53"/>
                <w:shd w:val="solid" w:color="000000" w:fill="000000"/>
                <w:fitText w:val="330" w:id="-694519034"/>
                <w14:textFill>
                  <w14:solidFill>
                    <w14:srgbClr w14:val="000000">
                      <w14:alpha w14:val="100000"/>
                    </w14:srgbClr>
                  </w14:solidFill>
                </w14:textFill>
              </w:rPr>
              <w:t>|||</w:t>
            </w:r>
            <w:r w:rsidRPr="00097712">
              <w:rPr>
                <w:color w:val="000000"/>
                <w:spacing w:val="1"/>
                <w:shd w:val="solid" w:color="000000" w:fill="000000"/>
                <w:fitText w:val="330" w:id="-694519034"/>
                <w14:textFill>
                  <w14:solidFill>
                    <w14:srgbClr w14:val="000000">
                      <w14:alpha w14:val="100000"/>
                    </w14:srgbClr>
                  </w14:solidFill>
                </w14:textFill>
              </w:rPr>
              <w:t>|</w:t>
            </w:r>
            <w:r w:rsidR="004658B5" w:rsidRPr="0098262F">
              <w:t>% in Year 6. Based on clinical opinion</w:t>
            </w:r>
            <w:r w:rsidR="00727616">
              <w:t>.</w:t>
            </w:r>
          </w:p>
          <w:tbl>
            <w:tblPr>
              <w:tblStyle w:val="TableGrid"/>
              <w:tblW w:w="0" w:type="auto"/>
              <w:tblInd w:w="720" w:type="dxa"/>
              <w:tblLayout w:type="fixed"/>
              <w:tblLook w:val="04A0" w:firstRow="1" w:lastRow="0" w:firstColumn="1" w:lastColumn="0" w:noHBand="0" w:noVBand="1"/>
            </w:tblPr>
            <w:tblGrid>
              <w:gridCol w:w="1118"/>
              <w:gridCol w:w="992"/>
            </w:tblGrid>
            <w:tr w:rsidR="000D75D0" w14:paraId="5B110A91" w14:textId="77777777">
              <w:tc>
                <w:tcPr>
                  <w:tcW w:w="1118" w:type="dxa"/>
                </w:tcPr>
                <w:p w14:paraId="766F9E4D" w14:textId="77777777" w:rsidR="000D75D0" w:rsidRDefault="000D75D0" w:rsidP="000D75D0">
                  <w:pPr>
                    <w:pStyle w:val="TableText0"/>
                  </w:pPr>
                  <w:r>
                    <w:t>Year 1</w:t>
                  </w:r>
                </w:p>
              </w:tc>
              <w:tc>
                <w:tcPr>
                  <w:tcW w:w="992" w:type="dxa"/>
                </w:tcPr>
                <w:p w14:paraId="3318D786" w14:textId="309B2730" w:rsidR="000D75D0" w:rsidRDefault="00085C36" w:rsidP="000D75D0">
                  <w:pPr>
                    <w:pStyle w:val="TableText0"/>
                  </w:pPr>
                  <w:r w:rsidRPr="00097712">
                    <w:rPr>
                      <w:color w:val="000000"/>
                      <w:spacing w:val="53"/>
                      <w:shd w:val="solid" w:color="000000" w:fill="000000"/>
                      <w:fitText w:val="330" w:id="-694519033"/>
                      <w14:textFill>
                        <w14:solidFill>
                          <w14:srgbClr w14:val="000000">
                            <w14:alpha w14:val="100000"/>
                          </w14:srgbClr>
                        </w14:solidFill>
                      </w14:textFill>
                    </w:rPr>
                    <w:t>|||</w:t>
                  </w:r>
                  <w:r w:rsidRPr="00097712">
                    <w:rPr>
                      <w:color w:val="000000"/>
                      <w:spacing w:val="1"/>
                      <w:shd w:val="solid" w:color="000000" w:fill="000000"/>
                      <w:fitText w:val="330" w:id="-694519033"/>
                      <w14:textFill>
                        <w14:solidFill>
                          <w14:srgbClr w14:val="000000">
                            <w14:alpha w14:val="100000"/>
                          </w14:srgbClr>
                        </w14:solidFill>
                      </w14:textFill>
                    </w:rPr>
                    <w:t>|</w:t>
                  </w:r>
                  <w:r w:rsidR="000D75D0">
                    <w:t>%</w:t>
                  </w:r>
                </w:p>
              </w:tc>
            </w:tr>
            <w:tr w:rsidR="000D75D0" w14:paraId="2FBDB60A" w14:textId="77777777">
              <w:tc>
                <w:tcPr>
                  <w:tcW w:w="1118" w:type="dxa"/>
                </w:tcPr>
                <w:p w14:paraId="37CF432E" w14:textId="77777777" w:rsidR="000D75D0" w:rsidRDefault="000D75D0" w:rsidP="000D75D0">
                  <w:pPr>
                    <w:pStyle w:val="TableText0"/>
                  </w:pPr>
                  <w:r>
                    <w:t>Year 2</w:t>
                  </w:r>
                </w:p>
              </w:tc>
              <w:tc>
                <w:tcPr>
                  <w:tcW w:w="992" w:type="dxa"/>
                </w:tcPr>
                <w:p w14:paraId="255101C5" w14:textId="31F5B90F" w:rsidR="000D75D0" w:rsidRDefault="00085C36" w:rsidP="000D75D0">
                  <w:pPr>
                    <w:pStyle w:val="TableText0"/>
                  </w:pPr>
                  <w:r w:rsidRPr="00097712">
                    <w:rPr>
                      <w:color w:val="000000"/>
                      <w:spacing w:val="53"/>
                      <w:shd w:val="solid" w:color="000000" w:fill="000000"/>
                      <w:fitText w:val="330" w:id="-694519032"/>
                      <w14:textFill>
                        <w14:solidFill>
                          <w14:srgbClr w14:val="000000">
                            <w14:alpha w14:val="100000"/>
                          </w14:srgbClr>
                        </w14:solidFill>
                      </w14:textFill>
                    </w:rPr>
                    <w:t>|||</w:t>
                  </w:r>
                  <w:r w:rsidRPr="00097712">
                    <w:rPr>
                      <w:color w:val="000000"/>
                      <w:spacing w:val="1"/>
                      <w:shd w:val="solid" w:color="000000" w:fill="000000"/>
                      <w:fitText w:val="330" w:id="-694519032"/>
                      <w14:textFill>
                        <w14:solidFill>
                          <w14:srgbClr w14:val="000000">
                            <w14:alpha w14:val="100000"/>
                          </w14:srgbClr>
                        </w14:solidFill>
                      </w14:textFill>
                    </w:rPr>
                    <w:t>|</w:t>
                  </w:r>
                  <w:r w:rsidR="000D75D0">
                    <w:t>%</w:t>
                  </w:r>
                </w:p>
              </w:tc>
            </w:tr>
            <w:tr w:rsidR="000D75D0" w14:paraId="11748866" w14:textId="77777777">
              <w:tc>
                <w:tcPr>
                  <w:tcW w:w="1118" w:type="dxa"/>
                </w:tcPr>
                <w:p w14:paraId="1BFD5E73" w14:textId="77777777" w:rsidR="000D75D0" w:rsidRDefault="000D75D0" w:rsidP="000D75D0">
                  <w:pPr>
                    <w:pStyle w:val="TableText0"/>
                  </w:pPr>
                  <w:r>
                    <w:t>Year 3</w:t>
                  </w:r>
                </w:p>
              </w:tc>
              <w:tc>
                <w:tcPr>
                  <w:tcW w:w="992" w:type="dxa"/>
                </w:tcPr>
                <w:p w14:paraId="621D19D2" w14:textId="3350D139" w:rsidR="000D75D0" w:rsidRDefault="00085C36" w:rsidP="000D75D0">
                  <w:pPr>
                    <w:pStyle w:val="TableText0"/>
                  </w:pPr>
                  <w:r w:rsidRPr="00097712">
                    <w:rPr>
                      <w:color w:val="000000"/>
                      <w:spacing w:val="53"/>
                      <w:shd w:val="solid" w:color="000000" w:fill="000000"/>
                      <w:fitText w:val="330" w:id="-694519031"/>
                      <w14:textFill>
                        <w14:solidFill>
                          <w14:srgbClr w14:val="000000">
                            <w14:alpha w14:val="100000"/>
                          </w14:srgbClr>
                        </w14:solidFill>
                      </w14:textFill>
                    </w:rPr>
                    <w:t>|||</w:t>
                  </w:r>
                  <w:r w:rsidRPr="00097712">
                    <w:rPr>
                      <w:color w:val="000000"/>
                      <w:spacing w:val="1"/>
                      <w:shd w:val="solid" w:color="000000" w:fill="000000"/>
                      <w:fitText w:val="330" w:id="-694519031"/>
                      <w14:textFill>
                        <w14:solidFill>
                          <w14:srgbClr w14:val="000000">
                            <w14:alpha w14:val="100000"/>
                          </w14:srgbClr>
                        </w14:solidFill>
                      </w14:textFill>
                    </w:rPr>
                    <w:t>|</w:t>
                  </w:r>
                  <w:r w:rsidR="000D75D0">
                    <w:t>%</w:t>
                  </w:r>
                </w:p>
              </w:tc>
            </w:tr>
            <w:tr w:rsidR="000D75D0" w14:paraId="62932145" w14:textId="77777777">
              <w:tc>
                <w:tcPr>
                  <w:tcW w:w="1118" w:type="dxa"/>
                </w:tcPr>
                <w:p w14:paraId="3EA1753D" w14:textId="77777777" w:rsidR="000D75D0" w:rsidRDefault="000D75D0" w:rsidP="000D75D0">
                  <w:pPr>
                    <w:pStyle w:val="TableText0"/>
                  </w:pPr>
                  <w:r>
                    <w:t>Year 4</w:t>
                  </w:r>
                </w:p>
              </w:tc>
              <w:tc>
                <w:tcPr>
                  <w:tcW w:w="992" w:type="dxa"/>
                </w:tcPr>
                <w:p w14:paraId="531B8A3D" w14:textId="344AE1A4" w:rsidR="000D75D0" w:rsidRDefault="00085C36" w:rsidP="000D75D0">
                  <w:pPr>
                    <w:pStyle w:val="TableText0"/>
                  </w:pPr>
                  <w:r w:rsidRPr="00097712">
                    <w:rPr>
                      <w:color w:val="000000"/>
                      <w:spacing w:val="53"/>
                      <w:shd w:val="solid" w:color="000000" w:fill="000000"/>
                      <w:fitText w:val="330" w:id="-694519030"/>
                      <w14:textFill>
                        <w14:solidFill>
                          <w14:srgbClr w14:val="000000">
                            <w14:alpha w14:val="100000"/>
                          </w14:srgbClr>
                        </w14:solidFill>
                      </w14:textFill>
                    </w:rPr>
                    <w:t>|||</w:t>
                  </w:r>
                  <w:r w:rsidRPr="00097712">
                    <w:rPr>
                      <w:color w:val="000000"/>
                      <w:spacing w:val="1"/>
                      <w:shd w:val="solid" w:color="000000" w:fill="000000"/>
                      <w:fitText w:val="330" w:id="-694519030"/>
                      <w14:textFill>
                        <w14:solidFill>
                          <w14:srgbClr w14:val="000000">
                            <w14:alpha w14:val="100000"/>
                          </w14:srgbClr>
                        </w14:solidFill>
                      </w14:textFill>
                    </w:rPr>
                    <w:t>|</w:t>
                  </w:r>
                  <w:r w:rsidR="000D75D0">
                    <w:t>%</w:t>
                  </w:r>
                </w:p>
              </w:tc>
            </w:tr>
            <w:tr w:rsidR="000D75D0" w14:paraId="4C1E2F0C" w14:textId="77777777">
              <w:tc>
                <w:tcPr>
                  <w:tcW w:w="1118" w:type="dxa"/>
                </w:tcPr>
                <w:p w14:paraId="41704F79" w14:textId="77777777" w:rsidR="000D75D0" w:rsidRDefault="000D75D0" w:rsidP="000D75D0">
                  <w:pPr>
                    <w:pStyle w:val="TableText0"/>
                  </w:pPr>
                  <w:r>
                    <w:t>Year 5</w:t>
                  </w:r>
                </w:p>
              </w:tc>
              <w:tc>
                <w:tcPr>
                  <w:tcW w:w="992" w:type="dxa"/>
                </w:tcPr>
                <w:p w14:paraId="0CA5B505" w14:textId="16D10F22" w:rsidR="000D75D0" w:rsidRDefault="00085C36" w:rsidP="000D75D0">
                  <w:pPr>
                    <w:pStyle w:val="TableText0"/>
                  </w:pPr>
                  <w:r w:rsidRPr="00097712">
                    <w:rPr>
                      <w:color w:val="000000"/>
                      <w:spacing w:val="53"/>
                      <w:shd w:val="solid" w:color="000000" w:fill="000000"/>
                      <w:fitText w:val="330" w:id="-694519029"/>
                      <w14:textFill>
                        <w14:solidFill>
                          <w14:srgbClr w14:val="000000">
                            <w14:alpha w14:val="100000"/>
                          </w14:srgbClr>
                        </w14:solidFill>
                      </w14:textFill>
                    </w:rPr>
                    <w:t>|||</w:t>
                  </w:r>
                  <w:r w:rsidRPr="00097712">
                    <w:rPr>
                      <w:color w:val="000000"/>
                      <w:spacing w:val="1"/>
                      <w:shd w:val="solid" w:color="000000" w:fill="000000"/>
                      <w:fitText w:val="330" w:id="-694519029"/>
                      <w14:textFill>
                        <w14:solidFill>
                          <w14:srgbClr w14:val="000000">
                            <w14:alpha w14:val="100000"/>
                          </w14:srgbClr>
                        </w14:solidFill>
                      </w14:textFill>
                    </w:rPr>
                    <w:t>|</w:t>
                  </w:r>
                  <w:r w:rsidR="000D75D0">
                    <w:t>%</w:t>
                  </w:r>
                </w:p>
              </w:tc>
            </w:tr>
            <w:tr w:rsidR="000D75D0" w14:paraId="2291EAE0" w14:textId="77777777">
              <w:tc>
                <w:tcPr>
                  <w:tcW w:w="1118" w:type="dxa"/>
                </w:tcPr>
                <w:p w14:paraId="3CFFBBF9" w14:textId="77777777" w:rsidR="000D75D0" w:rsidRDefault="000D75D0" w:rsidP="000D75D0">
                  <w:pPr>
                    <w:pStyle w:val="TableText0"/>
                  </w:pPr>
                  <w:r>
                    <w:t>Year 6</w:t>
                  </w:r>
                </w:p>
              </w:tc>
              <w:tc>
                <w:tcPr>
                  <w:tcW w:w="992" w:type="dxa"/>
                </w:tcPr>
                <w:p w14:paraId="39DB066A" w14:textId="3EAFF984" w:rsidR="000D75D0" w:rsidRDefault="00085C36" w:rsidP="000D75D0">
                  <w:pPr>
                    <w:pStyle w:val="TableText0"/>
                  </w:pPr>
                  <w:r w:rsidRPr="00097712">
                    <w:rPr>
                      <w:color w:val="000000"/>
                      <w:spacing w:val="53"/>
                      <w:shd w:val="solid" w:color="000000" w:fill="000000"/>
                      <w:fitText w:val="330" w:id="-694519028"/>
                      <w14:textFill>
                        <w14:solidFill>
                          <w14:srgbClr w14:val="000000">
                            <w14:alpha w14:val="100000"/>
                          </w14:srgbClr>
                        </w14:solidFill>
                      </w14:textFill>
                    </w:rPr>
                    <w:t>|||</w:t>
                  </w:r>
                  <w:r w:rsidRPr="00097712">
                    <w:rPr>
                      <w:color w:val="000000"/>
                      <w:spacing w:val="1"/>
                      <w:shd w:val="solid" w:color="000000" w:fill="000000"/>
                      <w:fitText w:val="330" w:id="-694519028"/>
                      <w14:textFill>
                        <w14:solidFill>
                          <w14:srgbClr w14:val="000000">
                            <w14:alpha w14:val="100000"/>
                          </w14:srgbClr>
                        </w14:solidFill>
                      </w14:textFill>
                    </w:rPr>
                    <w:t>|</w:t>
                  </w:r>
                  <w:r w:rsidR="000D75D0">
                    <w:t>%</w:t>
                  </w:r>
                </w:p>
              </w:tc>
            </w:tr>
          </w:tbl>
          <w:p w14:paraId="550316FC" w14:textId="57DABD8B" w:rsidR="000D75D0" w:rsidRPr="0098262F" w:rsidRDefault="000D75D0" w:rsidP="0050473F">
            <w:pPr>
              <w:pStyle w:val="TableText0"/>
            </w:pPr>
          </w:p>
        </w:tc>
        <w:tc>
          <w:tcPr>
            <w:tcW w:w="1780" w:type="pct"/>
            <w:shd w:val="clear" w:color="auto" w:fill="auto"/>
            <w:vAlign w:val="center"/>
          </w:tcPr>
          <w:p w14:paraId="7295AAE5" w14:textId="4A610790" w:rsidR="00E42F73" w:rsidRPr="00CF2284" w:rsidRDefault="00727616" w:rsidP="0050473F">
            <w:pPr>
              <w:pStyle w:val="TableText0"/>
            </w:pPr>
            <w:r w:rsidRPr="00CF2284">
              <w:t>Sponsor assumption –could not be verified.</w:t>
            </w:r>
          </w:p>
        </w:tc>
      </w:tr>
      <w:tr w:rsidR="00D244B6" w:rsidRPr="0098262F" w14:paraId="18F4FF1F" w14:textId="77777777" w:rsidTr="26403EC0">
        <w:tc>
          <w:tcPr>
            <w:tcW w:w="950" w:type="pct"/>
            <w:shd w:val="clear" w:color="auto" w:fill="auto"/>
            <w:vAlign w:val="center"/>
          </w:tcPr>
          <w:p w14:paraId="09A388E2" w14:textId="09AC01F4" w:rsidR="00D244B6" w:rsidRPr="0098262F" w:rsidRDefault="00D244B6" w:rsidP="0050473F">
            <w:pPr>
              <w:pStyle w:val="TableText0"/>
            </w:pPr>
            <w:r w:rsidRPr="0098262F">
              <w:t>Grandfathered patients</w:t>
            </w:r>
          </w:p>
        </w:tc>
        <w:tc>
          <w:tcPr>
            <w:tcW w:w="2270" w:type="pct"/>
            <w:shd w:val="clear" w:color="auto" w:fill="auto"/>
            <w:vAlign w:val="center"/>
          </w:tcPr>
          <w:p w14:paraId="61C6F202" w14:textId="40CD1382" w:rsidR="00D244B6" w:rsidRPr="0098262F" w:rsidRDefault="00727616" w:rsidP="0050473F">
            <w:pPr>
              <w:pStyle w:val="TableText0"/>
            </w:pPr>
            <w:r>
              <w:t>16 from PROPEL trial</w:t>
            </w:r>
          </w:p>
        </w:tc>
        <w:tc>
          <w:tcPr>
            <w:tcW w:w="1780" w:type="pct"/>
            <w:shd w:val="clear" w:color="auto" w:fill="auto"/>
            <w:vAlign w:val="center"/>
          </w:tcPr>
          <w:p w14:paraId="283F2180" w14:textId="6C2A1BE5" w:rsidR="00D244B6" w:rsidRPr="00CF2284" w:rsidRDefault="009C0C7E" w:rsidP="0050473F">
            <w:pPr>
              <w:pStyle w:val="TableText0"/>
            </w:pPr>
            <w:r w:rsidRPr="00CF2284">
              <w:t>No breakdown of how these patients were included was provided.</w:t>
            </w:r>
          </w:p>
        </w:tc>
      </w:tr>
      <w:tr w:rsidR="00E42F73" w:rsidRPr="0098262F" w14:paraId="0C865763" w14:textId="77777777" w:rsidTr="26403EC0">
        <w:tc>
          <w:tcPr>
            <w:tcW w:w="950" w:type="pct"/>
            <w:shd w:val="clear" w:color="auto" w:fill="auto"/>
            <w:vAlign w:val="center"/>
          </w:tcPr>
          <w:p w14:paraId="49D0440C" w14:textId="7C42484A" w:rsidR="00E42F73" w:rsidRPr="0098262F" w:rsidRDefault="004658B5" w:rsidP="0050473F">
            <w:pPr>
              <w:pStyle w:val="TableText0"/>
            </w:pPr>
            <w:r w:rsidRPr="0098262F">
              <w:t>Dose/duration</w:t>
            </w:r>
          </w:p>
        </w:tc>
        <w:tc>
          <w:tcPr>
            <w:tcW w:w="2270" w:type="pct"/>
            <w:shd w:val="clear" w:color="auto" w:fill="auto"/>
            <w:vAlign w:val="center"/>
          </w:tcPr>
          <w:p w14:paraId="6DF23401" w14:textId="7F59C8BD" w:rsidR="00E42F73" w:rsidRDefault="003452AB" w:rsidP="0050473F">
            <w:pPr>
              <w:pStyle w:val="TableText0"/>
            </w:pPr>
            <w:r>
              <w:t>CIPA 2</w:t>
            </w:r>
            <w:r w:rsidR="00E507FF">
              <w:t>0 mg</w:t>
            </w:r>
            <w:r>
              <w:t>/kg every second week: $</w:t>
            </w:r>
            <w:r w:rsidR="00085C36" w:rsidRPr="00097712">
              <w:rPr>
                <w:color w:val="000000"/>
                <w:spacing w:val="60"/>
                <w:w w:val="88"/>
                <w:shd w:val="solid" w:color="000000" w:fill="000000"/>
                <w:fitText w:val="330" w:id="-694519027"/>
                <w14:textFill>
                  <w14:solidFill>
                    <w14:srgbClr w14:val="000000">
                      <w14:alpha w14:val="100000"/>
                    </w14:srgbClr>
                  </w14:solidFill>
                </w14:textFill>
              </w:rPr>
              <w:t>|||</w:t>
            </w:r>
            <w:r w:rsidR="00085C36" w:rsidRPr="00097712">
              <w:rPr>
                <w:color w:val="000000"/>
                <w:w w:val="88"/>
                <w:shd w:val="solid" w:color="000000" w:fill="000000"/>
                <w:fitText w:val="330" w:id="-694519027"/>
                <w14:textFill>
                  <w14:solidFill>
                    <w14:srgbClr w14:val="000000">
                      <w14:alpha w14:val="100000"/>
                    </w14:srgbClr>
                  </w14:solidFill>
                </w14:textFill>
              </w:rPr>
              <w:t>|</w:t>
            </w:r>
            <w:r>
              <w:t>/10</w:t>
            </w:r>
            <w:r w:rsidR="00EC1EE8">
              <w:t>5 mg</w:t>
            </w:r>
            <w:r>
              <w:t xml:space="preserve"> vial</w:t>
            </w:r>
          </w:p>
          <w:p w14:paraId="7EF2BF23" w14:textId="6A8F722A" w:rsidR="003452AB" w:rsidRDefault="003452AB" w:rsidP="0050473F">
            <w:pPr>
              <w:pStyle w:val="TableText0"/>
            </w:pPr>
            <w:r w:rsidRPr="26403EC0">
              <w:t>MIG 4</w:t>
            </w:r>
            <w:r w:rsidR="00F035F7" w:rsidRPr="26403EC0">
              <w:t xml:space="preserve"> x </w:t>
            </w:r>
            <w:r w:rsidRPr="26403EC0">
              <w:t>6</w:t>
            </w:r>
            <w:r w:rsidR="79C5C4A0" w:rsidRPr="26403EC0">
              <w:t>5 mg</w:t>
            </w:r>
            <w:r w:rsidRPr="26403EC0">
              <w:t xml:space="preserve"> capsules immediately prior to infusion:</w:t>
            </w:r>
            <w:r w:rsidR="00F035F7" w:rsidRPr="26403EC0">
              <w:t xml:space="preserve"> </w:t>
            </w:r>
            <w:r w:rsidRPr="26403EC0">
              <w:t>$</w:t>
            </w:r>
            <w:r w:rsidR="00085C36" w:rsidRPr="00097712">
              <w:rPr>
                <w:color w:val="000000"/>
                <w:spacing w:val="60"/>
                <w:w w:val="88"/>
                <w:shd w:val="solid" w:color="000000" w:fill="000000"/>
                <w:fitText w:val="330" w:id="-694519026"/>
                <w14:textFill>
                  <w14:solidFill>
                    <w14:srgbClr w14:val="000000">
                      <w14:alpha w14:val="100000"/>
                    </w14:srgbClr>
                  </w14:solidFill>
                </w14:textFill>
              </w:rPr>
              <w:t>|||</w:t>
            </w:r>
            <w:r w:rsidR="00085C36" w:rsidRPr="00097712">
              <w:rPr>
                <w:color w:val="000000"/>
                <w:w w:val="88"/>
                <w:shd w:val="solid" w:color="000000" w:fill="000000"/>
                <w:fitText w:val="330" w:id="-694519026"/>
                <w14:textFill>
                  <w14:solidFill>
                    <w14:srgbClr w14:val="000000">
                      <w14:alpha w14:val="100000"/>
                    </w14:srgbClr>
                  </w14:solidFill>
                </w14:textFill>
              </w:rPr>
              <w:t>|</w:t>
            </w:r>
          </w:p>
          <w:p w14:paraId="55CF5673" w14:textId="7509EDAF" w:rsidR="003452AB" w:rsidRPr="0098262F" w:rsidRDefault="003452AB" w:rsidP="0050473F">
            <w:pPr>
              <w:pStyle w:val="TableText0"/>
            </w:pPr>
            <w:r>
              <w:t>Uses standardised weight as per economic evaluation</w:t>
            </w:r>
          </w:p>
        </w:tc>
        <w:tc>
          <w:tcPr>
            <w:tcW w:w="1780" w:type="pct"/>
            <w:shd w:val="clear" w:color="auto" w:fill="auto"/>
            <w:vAlign w:val="center"/>
          </w:tcPr>
          <w:p w14:paraId="0E346EAB" w14:textId="45623127" w:rsidR="00E42F73" w:rsidRPr="00CF2284" w:rsidRDefault="003452AB" w:rsidP="0050473F">
            <w:pPr>
              <w:pStyle w:val="TableText0"/>
            </w:pPr>
            <w:r w:rsidRPr="00CF2284">
              <w:t>Consistent with CMA</w:t>
            </w:r>
          </w:p>
        </w:tc>
      </w:tr>
      <w:tr w:rsidR="004658B5" w:rsidRPr="0098262F" w14:paraId="7B7FA999" w14:textId="77777777" w:rsidTr="26403EC0">
        <w:tc>
          <w:tcPr>
            <w:tcW w:w="950" w:type="pct"/>
            <w:shd w:val="clear" w:color="auto" w:fill="auto"/>
            <w:vAlign w:val="center"/>
          </w:tcPr>
          <w:p w14:paraId="2C67FF14" w14:textId="6A7EB1A7" w:rsidR="004658B5" w:rsidRPr="0098262F" w:rsidRDefault="004658B5" w:rsidP="0050473F">
            <w:pPr>
              <w:pStyle w:val="TableText0"/>
            </w:pPr>
            <w:r w:rsidRPr="0098262F">
              <w:t>MBS item</w:t>
            </w:r>
          </w:p>
        </w:tc>
        <w:tc>
          <w:tcPr>
            <w:tcW w:w="2270" w:type="pct"/>
            <w:shd w:val="clear" w:color="auto" w:fill="auto"/>
            <w:vAlign w:val="center"/>
          </w:tcPr>
          <w:p w14:paraId="2CB17643" w14:textId="2423D66F" w:rsidR="004658B5" w:rsidRPr="00B314A3" w:rsidRDefault="003452AB" w:rsidP="0050473F">
            <w:pPr>
              <w:pStyle w:val="TableText0"/>
            </w:pPr>
            <w:r w:rsidRPr="00B314A3">
              <w:t>None included</w:t>
            </w:r>
          </w:p>
        </w:tc>
        <w:tc>
          <w:tcPr>
            <w:tcW w:w="1780" w:type="pct"/>
            <w:shd w:val="clear" w:color="auto" w:fill="auto"/>
            <w:vAlign w:val="center"/>
          </w:tcPr>
          <w:p w14:paraId="2F12B392" w14:textId="10506E03" w:rsidR="004658B5" w:rsidRPr="00CF2284" w:rsidRDefault="00B65611" w:rsidP="0050473F">
            <w:pPr>
              <w:pStyle w:val="TableText0"/>
            </w:pPr>
            <w:r w:rsidRPr="00CF2284">
              <w:t>Appropriate</w:t>
            </w:r>
          </w:p>
        </w:tc>
      </w:tr>
    </w:tbl>
    <w:p w14:paraId="1040AD72" w14:textId="4B538F03" w:rsidR="004021D6" w:rsidRDefault="00E42F73" w:rsidP="004021D6">
      <w:pPr>
        <w:pStyle w:val="FooterTableFigure"/>
      </w:pPr>
      <w:r w:rsidRPr="0098262F">
        <w:t>Source:</w:t>
      </w:r>
      <w:r w:rsidR="003452AB">
        <w:t xml:space="preserve"> constructed from Section 4.1, pp 142-150 </w:t>
      </w:r>
      <w:r w:rsidRPr="0098262F">
        <w:t>of the submission.</w:t>
      </w:r>
      <w:r w:rsidR="004021D6" w:rsidRPr="004021D6">
        <w:t xml:space="preserve"> </w:t>
      </w:r>
    </w:p>
    <w:p w14:paraId="3855B701" w14:textId="533E188D" w:rsidR="004021D6" w:rsidRPr="00577935" w:rsidRDefault="004021D6" w:rsidP="004021D6">
      <w:pPr>
        <w:pStyle w:val="FooterTableFigure"/>
        <w:rPr>
          <w:i/>
          <w:iCs/>
        </w:rPr>
      </w:pPr>
      <w:r w:rsidRPr="00577935">
        <w:rPr>
          <w:i/>
          <w:iCs/>
        </w:rPr>
        <w:t xml:space="preserve">The redacted values correspond to the following ranges: </w:t>
      </w:r>
    </w:p>
    <w:p w14:paraId="18D32C76" w14:textId="2B3E06FC" w:rsidR="00E42F73" w:rsidRPr="00577935" w:rsidRDefault="004021D6" w:rsidP="004021D6">
      <w:pPr>
        <w:pStyle w:val="FooterTableFigure"/>
        <w:rPr>
          <w:i/>
          <w:iCs/>
        </w:rPr>
      </w:pPr>
      <w:r w:rsidRPr="00577935">
        <w:rPr>
          <w:i/>
          <w:iCs/>
        </w:rPr>
        <w:t>1 &lt; 500</w:t>
      </w:r>
    </w:p>
    <w:p w14:paraId="31663660" w14:textId="22938132" w:rsidR="0048678B" w:rsidRPr="00D87811" w:rsidRDefault="00B314A3" w:rsidP="00D87811">
      <w:pPr>
        <w:pStyle w:val="3-BodyText"/>
        <w:rPr>
          <w:color w:val="0066FF"/>
        </w:rPr>
      </w:pPr>
      <w:r w:rsidRPr="3420F49C">
        <w:t xml:space="preserve">The estimated use and financial implications of listing CIPAMIG, based on the price calculated from the </w:t>
      </w:r>
      <w:r w:rsidR="00E511AA" w:rsidRPr="3420F49C">
        <w:t xml:space="preserve">proposed </w:t>
      </w:r>
      <w:r w:rsidRPr="3420F49C">
        <w:t xml:space="preserve">published price of AVAL </w:t>
      </w:r>
      <w:r w:rsidR="000B7891" w:rsidRPr="3420F49C">
        <w:t xml:space="preserve">and as presented in the submission </w:t>
      </w:r>
      <w:r w:rsidRPr="3420F49C">
        <w:t xml:space="preserve">are shown in </w:t>
      </w:r>
      <w:r w:rsidRPr="00D87811">
        <w:rPr>
          <w:iCs/>
        </w:rPr>
        <w:fldChar w:fldCharType="begin"/>
      </w:r>
      <w:r w:rsidRPr="00D87811">
        <w:rPr>
          <w:iCs/>
        </w:rPr>
        <w:instrText xml:space="preserve"> REF _Ref104805295 \h </w:instrText>
      </w:r>
      <w:r w:rsidR="00D87811">
        <w:rPr>
          <w:iCs/>
        </w:rPr>
        <w:instrText xml:space="preserve"> \* MERGEFORMAT </w:instrText>
      </w:r>
      <w:r w:rsidRPr="00D87811">
        <w:rPr>
          <w:iCs/>
        </w:rPr>
      </w:r>
      <w:r w:rsidRPr="00D87811">
        <w:rPr>
          <w:iCs/>
        </w:rPr>
        <w:fldChar w:fldCharType="separate"/>
      </w:r>
      <w:r w:rsidR="007A62D0" w:rsidRPr="0098262F">
        <w:t xml:space="preserve">Table </w:t>
      </w:r>
      <w:r w:rsidR="007A62D0">
        <w:t>13</w:t>
      </w:r>
      <w:r w:rsidRPr="00D87811">
        <w:rPr>
          <w:iCs/>
        </w:rPr>
        <w:fldChar w:fldCharType="end"/>
      </w:r>
      <w:r w:rsidRPr="00D87811">
        <w:rPr>
          <w:iCs/>
        </w:rPr>
        <w:t xml:space="preserve">. </w:t>
      </w:r>
      <w:r w:rsidR="001566DC" w:rsidRPr="3420F49C">
        <w:t>The submission</w:t>
      </w:r>
      <w:r w:rsidR="003579C1" w:rsidRPr="3420F49C">
        <w:t xml:space="preserve"> only provided </w:t>
      </w:r>
      <w:r w:rsidR="006E2AF0" w:rsidRPr="3420F49C">
        <w:t xml:space="preserve">estimates </w:t>
      </w:r>
      <w:r w:rsidR="003579C1" w:rsidRPr="3420F49C">
        <w:t>of</w:t>
      </w:r>
      <w:r w:rsidR="001566DC" w:rsidRPr="3420F49C">
        <w:t xml:space="preserve"> the financial impact of listing CIPAMIG on the LSDP </w:t>
      </w:r>
      <w:r w:rsidR="00850860" w:rsidRPr="3420F49C">
        <w:t xml:space="preserve">and did not provide </w:t>
      </w:r>
      <w:r w:rsidR="006E2AF0" w:rsidRPr="3420F49C">
        <w:t>estimates of the financial impact of listing on the PBS</w:t>
      </w:r>
      <w:r w:rsidR="00DF316D" w:rsidRPr="00D87811">
        <w:rPr>
          <w:iCs/>
        </w:rPr>
        <w:t>.</w:t>
      </w:r>
      <w:r w:rsidR="001566DC" w:rsidRPr="00D87811">
        <w:rPr>
          <w:iCs/>
        </w:rPr>
        <w:t xml:space="preserve"> </w:t>
      </w:r>
      <w:r w:rsidR="00F611CC" w:rsidRPr="3420F49C">
        <w:t xml:space="preserve">The sponsor’s </w:t>
      </w:r>
      <w:r w:rsidR="00B022A4" w:rsidRPr="3420F49C">
        <w:t xml:space="preserve">utilisation and cost </w:t>
      </w:r>
      <w:r w:rsidR="00F611CC" w:rsidRPr="3420F49C">
        <w:t xml:space="preserve">model </w:t>
      </w:r>
      <w:r w:rsidR="009D5780" w:rsidRPr="3420F49C">
        <w:t>are</w:t>
      </w:r>
      <w:r w:rsidR="00F611CC" w:rsidRPr="3420F49C">
        <w:t xml:space="preserve"> not suitable for </w:t>
      </w:r>
      <w:r w:rsidR="00B022A4" w:rsidRPr="3420F49C">
        <w:t xml:space="preserve">PBS </w:t>
      </w:r>
      <w:r w:rsidR="00F611CC" w:rsidRPr="3420F49C">
        <w:t xml:space="preserve">decision-making purposes. </w:t>
      </w:r>
      <w:r w:rsidR="0048678B" w:rsidRPr="3420F49C">
        <w:t xml:space="preserve">The sponsor </w:t>
      </w:r>
      <w:r w:rsidR="00596729" w:rsidRPr="3420F49C">
        <w:t xml:space="preserve">was </w:t>
      </w:r>
      <w:r w:rsidR="0048678B" w:rsidRPr="3420F49C">
        <w:t xml:space="preserve">asked </w:t>
      </w:r>
      <w:r w:rsidR="000711CE" w:rsidRPr="3420F49C">
        <w:t>to use</w:t>
      </w:r>
      <w:r w:rsidR="0048678B" w:rsidRPr="00D87811">
        <w:rPr>
          <w:iCs/>
        </w:rPr>
        <w:t xml:space="preserve"> </w:t>
      </w:r>
      <w:r w:rsidR="006D3A1B" w:rsidRPr="3420F49C">
        <w:t>the utilisation and cost model template to build the ABS population and in</w:t>
      </w:r>
      <w:r w:rsidR="008736F7" w:rsidRPr="3420F49C">
        <w:t xml:space="preserve">corporate the appropriate eligibilities </w:t>
      </w:r>
      <w:r w:rsidR="006940DB" w:rsidRPr="3420F49C">
        <w:t>to build the propose</w:t>
      </w:r>
      <w:r w:rsidR="007425BB" w:rsidRPr="3420F49C">
        <w:t>d</w:t>
      </w:r>
      <w:r w:rsidR="006940DB" w:rsidRPr="3420F49C">
        <w:t xml:space="preserve"> population. </w:t>
      </w:r>
      <w:r w:rsidR="000711CE" w:rsidRPr="3420F49C">
        <w:t>The methods and assumptions should be clearly presented in the revised utilisation cost model together with detail</w:t>
      </w:r>
      <w:r w:rsidR="00906709" w:rsidRPr="3420F49C">
        <w:t>ed</w:t>
      </w:r>
      <w:r w:rsidR="000711CE" w:rsidRPr="3420F49C">
        <w:t xml:space="preserve"> derivation and clear references to the data.</w:t>
      </w:r>
      <w:r w:rsidR="00DF15FC" w:rsidRPr="3420F49C">
        <w:t xml:space="preserve"> Further information is available </w:t>
      </w:r>
      <w:r w:rsidR="007C1B12" w:rsidRPr="3420F49C">
        <w:t xml:space="preserve">in the utilisation and cost model </w:t>
      </w:r>
      <w:hyperlink r:id="rId12">
        <w:r w:rsidR="00B02728" w:rsidRPr="3420F49C">
          <w:t>User Manual</w:t>
        </w:r>
      </w:hyperlink>
      <w:r w:rsidR="00AC743F" w:rsidRPr="00D87811">
        <w:rPr>
          <w:iCs/>
        </w:rPr>
        <w:t>.</w:t>
      </w:r>
      <w:r w:rsidR="00B02728" w:rsidRPr="00D87811">
        <w:rPr>
          <w:iCs/>
        </w:rPr>
        <w:t xml:space="preserve"> </w:t>
      </w:r>
      <w:r w:rsidR="00D87811" w:rsidRPr="3420F49C">
        <w:rPr>
          <w:rFonts w:eastAsia="Times New Roman"/>
        </w:rPr>
        <w:t xml:space="preserve">The PSCR considered that the financial impact to the PBS was not relevant for this submission given the intended listing of CIPAMIG is for the LSDP and on this basis did not provide a completed PBAC Utilisation and Cost Model Workbook. </w:t>
      </w:r>
    </w:p>
    <w:p w14:paraId="26FB6670" w14:textId="16844F9E" w:rsidR="00B505C8" w:rsidRPr="00702D1A" w:rsidRDefault="00B314A3" w:rsidP="00625B2F">
      <w:pPr>
        <w:pStyle w:val="3-BodyText"/>
        <w:rPr>
          <w:color w:val="0066FF"/>
        </w:rPr>
      </w:pPr>
      <w:r w:rsidRPr="00702D1A">
        <w:t xml:space="preserve">Estimates based on the effective price of AVAL are provided in the Committee-in-Confidence section of the commentary. </w:t>
      </w:r>
      <w:r w:rsidR="00625B2F" w:rsidRPr="00702D1A">
        <w:t>It is not clear whether the grandfathered patients noted in the submission were included in this patient population.</w:t>
      </w:r>
    </w:p>
    <w:p w14:paraId="38EC053C" w14:textId="455426AA" w:rsidR="00C25D9C" w:rsidRPr="0098262F" w:rsidRDefault="00E16AD8" w:rsidP="00E16AD8">
      <w:pPr>
        <w:pStyle w:val="Caption"/>
      </w:pPr>
      <w:bookmarkStart w:id="54" w:name="_Ref104805295"/>
      <w:r w:rsidRPr="0098262F">
        <w:t xml:space="preserve">Table </w:t>
      </w:r>
      <w:r w:rsidR="007854A1">
        <w:fldChar w:fldCharType="begin"/>
      </w:r>
      <w:r w:rsidR="007854A1">
        <w:instrText xml:space="preserve"> SEQ Table \* ARABIC </w:instrText>
      </w:r>
      <w:r w:rsidR="007854A1">
        <w:fldChar w:fldCharType="separate"/>
      </w:r>
      <w:r w:rsidR="007A62D0">
        <w:rPr>
          <w:noProof/>
        </w:rPr>
        <w:t>13</w:t>
      </w:r>
      <w:r w:rsidR="007854A1">
        <w:rPr>
          <w:noProof/>
        </w:rPr>
        <w:fldChar w:fldCharType="end"/>
      </w:r>
      <w:bookmarkEnd w:id="54"/>
      <w:r w:rsidRPr="0098262F">
        <w:t>:</w:t>
      </w:r>
      <w:r w:rsidR="002A2F50" w:rsidRPr="0098262F">
        <w:rPr>
          <w:rStyle w:val="CommentReference"/>
          <w:b/>
          <w:szCs w:val="24"/>
        </w:rPr>
        <w:t xml:space="preserve"> Estimated use and financial implications</w:t>
      </w:r>
      <w:r w:rsidR="009C0C7E">
        <w:rPr>
          <w:rStyle w:val="CommentReference"/>
          <w:b/>
          <w:szCs w:val="24"/>
        </w:rPr>
        <w:t xml:space="preserve"> for the LSDP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for the LSDP"/>
      </w:tblPr>
      <w:tblGrid>
        <w:gridCol w:w="2689"/>
        <w:gridCol w:w="1134"/>
        <w:gridCol w:w="992"/>
        <w:gridCol w:w="1134"/>
        <w:gridCol w:w="1133"/>
        <w:gridCol w:w="994"/>
        <w:gridCol w:w="941"/>
      </w:tblGrid>
      <w:tr w:rsidR="00385A9D" w:rsidRPr="0098262F" w14:paraId="43A2A3A1" w14:textId="77777777" w:rsidTr="00085C36">
        <w:trPr>
          <w:tblHeader/>
        </w:trPr>
        <w:tc>
          <w:tcPr>
            <w:tcW w:w="1491" w:type="pct"/>
            <w:shd w:val="clear" w:color="auto" w:fill="auto"/>
            <w:vAlign w:val="center"/>
          </w:tcPr>
          <w:p w14:paraId="0A4E41E1" w14:textId="77777777" w:rsidR="00385A9D" w:rsidRPr="0098262F" w:rsidRDefault="00385A9D" w:rsidP="000D2D05">
            <w:pPr>
              <w:pStyle w:val="In-tableHeading"/>
            </w:pPr>
          </w:p>
        </w:tc>
        <w:tc>
          <w:tcPr>
            <w:tcW w:w="629" w:type="pct"/>
            <w:shd w:val="clear" w:color="auto" w:fill="auto"/>
            <w:vAlign w:val="center"/>
          </w:tcPr>
          <w:p w14:paraId="77420B6F" w14:textId="77777777" w:rsidR="00385A9D" w:rsidRPr="0098262F" w:rsidRDefault="00385A9D" w:rsidP="00085C36">
            <w:pPr>
              <w:pStyle w:val="In-tableHeading"/>
              <w:jc w:val="center"/>
            </w:pPr>
            <w:r w:rsidRPr="0098262F">
              <w:t>Year 1</w:t>
            </w:r>
          </w:p>
        </w:tc>
        <w:tc>
          <w:tcPr>
            <w:tcW w:w="550" w:type="pct"/>
            <w:shd w:val="clear" w:color="auto" w:fill="auto"/>
            <w:vAlign w:val="center"/>
          </w:tcPr>
          <w:p w14:paraId="3BBD9218" w14:textId="77777777" w:rsidR="00385A9D" w:rsidRPr="0098262F" w:rsidRDefault="00385A9D" w:rsidP="00085C36">
            <w:pPr>
              <w:pStyle w:val="In-tableHeading"/>
              <w:jc w:val="center"/>
            </w:pPr>
            <w:r w:rsidRPr="0098262F">
              <w:t>Year 2</w:t>
            </w:r>
          </w:p>
        </w:tc>
        <w:tc>
          <w:tcPr>
            <w:tcW w:w="629" w:type="pct"/>
            <w:shd w:val="clear" w:color="auto" w:fill="auto"/>
            <w:vAlign w:val="center"/>
          </w:tcPr>
          <w:p w14:paraId="729A646E" w14:textId="77777777" w:rsidR="00385A9D" w:rsidRPr="0098262F" w:rsidRDefault="00385A9D" w:rsidP="00085C36">
            <w:pPr>
              <w:pStyle w:val="In-tableHeading"/>
              <w:jc w:val="center"/>
            </w:pPr>
            <w:r w:rsidRPr="0098262F">
              <w:t>Year 3</w:t>
            </w:r>
          </w:p>
        </w:tc>
        <w:tc>
          <w:tcPr>
            <w:tcW w:w="628" w:type="pct"/>
            <w:shd w:val="clear" w:color="auto" w:fill="auto"/>
            <w:vAlign w:val="center"/>
          </w:tcPr>
          <w:p w14:paraId="280BB544" w14:textId="77777777" w:rsidR="00385A9D" w:rsidRPr="0098262F" w:rsidRDefault="00385A9D" w:rsidP="00085C36">
            <w:pPr>
              <w:pStyle w:val="In-tableHeading"/>
              <w:jc w:val="center"/>
            </w:pPr>
            <w:r w:rsidRPr="0098262F">
              <w:t>Year 4</w:t>
            </w:r>
          </w:p>
        </w:tc>
        <w:tc>
          <w:tcPr>
            <w:tcW w:w="551" w:type="pct"/>
            <w:shd w:val="clear" w:color="auto" w:fill="auto"/>
            <w:vAlign w:val="center"/>
          </w:tcPr>
          <w:p w14:paraId="6435BB5B" w14:textId="77777777" w:rsidR="00385A9D" w:rsidRPr="0098262F" w:rsidRDefault="00385A9D" w:rsidP="00085C36">
            <w:pPr>
              <w:pStyle w:val="In-tableHeading"/>
              <w:jc w:val="center"/>
            </w:pPr>
            <w:r w:rsidRPr="0098262F">
              <w:t>Year 5</w:t>
            </w:r>
          </w:p>
        </w:tc>
        <w:tc>
          <w:tcPr>
            <w:tcW w:w="522" w:type="pct"/>
            <w:vAlign w:val="center"/>
          </w:tcPr>
          <w:p w14:paraId="7C618119" w14:textId="77777777" w:rsidR="00385A9D" w:rsidRPr="0098262F" w:rsidRDefault="00385A9D" w:rsidP="00085C36">
            <w:pPr>
              <w:pStyle w:val="In-tableHeading"/>
              <w:jc w:val="center"/>
            </w:pPr>
            <w:r w:rsidRPr="0098262F">
              <w:t>Year 6</w:t>
            </w:r>
          </w:p>
        </w:tc>
      </w:tr>
      <w:tr w:rsidR="00385A9D" w:rsidRPr="0098262F" w14:paraId="3C519059" w14:textId="77777777" w:rsidTr="26403EC0">
        <w:tc>
          <w:tcPr>
            <w:tcW w:w="5000" w:type="pct"/>
            <w:gridSpan w:val="7"/>
            <w:shd w:val="clear" w:color="auto" w:fill="auto"/>
            <w:vAlign w:val="center"/>
          </w:tcPr>
          <w:p w14:paraId="516C2197" w14:textId="77777777" w:rsidR="00385A9D" w:rsidRPr="0098262F" w:rsidRDefault="00385A9D" w:rsidP="000D2D05">
            <w:pPr>
              <w:pStyle w:val="In-tableHeading"/>
            </w:pPr>
            <w:r w:rsidRPr="0098262F">
              <w:t>Estimated extent of use</w:t>
            </w:r>
          </w:p>
        </w:tc>
      </w:tr>
      <w:tr w:rsidR="00385A9D" w:rsidRPr="0098262F" w14:paraId="148A8EEF" w14:textId="77777777" w:rsidTr="00085C36">
        <w:tc>
          <w:tcPr>
            <w:tcW w:w="1491" w:type="pct"/>
            <w:shd w:val="clear" w:color="auto" w:fill="auto"/>
            <w:vAlign w:val="center"/>
          </w:tcPr>
          <w:p w14:paraId="201B6ECA" w14:textId="77777777" w:rsidR="00385A9D" w:rsidRPr="0098262F" w:rsidRDefault="00385A9D" w:rsidP="0050473F">
            <w:pPr>
              <w:pStyle w:val="TableText0"/>
              <w:rPr>
                <w:rFonts w:ascii="Times" w:hAnsi="Times"/>
              </w:rPr>
            </w:pPr>
            <w:r w:rsidRPr="0098262F">
              <w:t>Number of patients treated</w:t>
            </w:r>
          </w:p>
        </w:tc>
        <w:tc>
          <w:tcPr>
            <w:tcW w:w="629" w:type="pct"/>
            <w:shd w:val="clear" w:color="auto" w:fill="auto"/>
            <w:vAlign w:val="center"/>
          </w:tcPr>
          <w:p w14:paraId="577607A9" w14:textId="31D3362A" w:rsidR="00385A9D" w:rsidRPr="00B8073C" w:rsidRDefault="00085C36" w:rsidP="00085C36">
            <w:pPr>
              <w:pStyle w:val="TableText0"/>
              <w:jc w:val="center"/>
              <w:rPr>
                <w:highlight w:val="darkGray"/>
              </w:rPr>
            </w:pPr>
            <w:r w:rsidRPr="00085C36">
              <w:rPr>
                <w:color w:val="000000"/>
                <w:spacing w:val="53"/>
                <w:shd w:val="solid" w:color="000000" w:fill="000000"/>
                <w:fitText w:val="330" w:id="-694519025"/>
                <w14:textFill>
                  <w14:solidFill>
                    <w14:srgbClr w14:val="000000">
                      <w14:alpha w14:val="100000"/>
                    </w14:srgbClr>
                  </w14:solidFill>
                </w14:textFill>
              </w:rPr>
              <w:t>|||</w:t>
            </w:r>
            <w:r w:rsidRPr="00085C36">
              <w:rPr>
                <w:color w:val="000000"/>
                <w:spacing w:val="1"/>
                <w:shd w:val="solid" w:color="000000" w:fill="000000"/>
                <w:fitText w:val="330" w:id="-694519025"/>
                <w14:textFill>
                  <w14:solidFill>
                    <w14:srgbClr w14:val="000000">
                      <w14:alpha w14:val="100000"/>
                    </w14:srgbClr>
                  </w14:solidFill>
                </w14:textFill>
              </w:rPr>
              <w:t>|</w:t>
            </w:r>
            <w:r w:rsidR="00B8073C" w:rsidRPr="00B8073C">
              <w:rPr>
                <w:vertAlign w:val="superscript"/>
              </w:rPr>
              <w:t>1</w:t>
            </w:r>
          </w:p>
        </w:tc>
        <w:tc>
          <w:tcPr>
            <w:tcW w:w="550" w:type="pct"/>
            <w:shd w:val="clear" w:color="auto" w:fill="auto"/>
            <w:vAlign w:val="center"/>
          </w:tcPr>
          <w:p w14:paraId="6610B4C9" w14:textId="16EA4029" w:rsidR="00385A9D" w:rsidRPr="00B8073C" w:rsidRDefault="00085C36" w:rsidP="00085C36">
            <w:pPr>
              <w:pStyle w:val="TableText0"/>
              <w:jc w:val="center"/>
              <w:rPr>
                <w:highlight w:val="darkGray"/>
              </w:rPr>
            </w:pPr>
            <w:r w:rsidRPr="00085C36">
              <w:rPr>
                <w:color w:val="000000"/>
                <w:spacing w:val="53"/>
                <w:shd w:val="solid" w:color="000000" w:fill="000000"/>
                <w:fitText w:val="330" w:id="-694519024"/>
                <w14:textFill>
                  <w14:solidFill>
                    <w14:srgbClr w14:val="000000">
                      <w14:alpha w14:val="100000"/>
                    </w14:srgbClr>
                  </w14:solidFill>
                </w14:textFill>
              </w:rPr>
              <w:t>|||</w:t>
            </w:r>
            <w:r w:rsidRPr="00085C36">
              <w:rPr>
                <w:color w:val="000000"/>
                <w:spacing w:val="1"/>
                <w:shd w:val="solid" w:color="000000" w:fill="000000"/>
                <w:fitText w:val="330" w:id="-694519024"/>
                <w14:textFill>
                  <w14:solidFill>
                    <w14:srgbClr w14:val="000000">
                      <w14:alpha w14:val="100000"/>
                    </w14:srgbClr>
                  </w14:solidFill>
                </w14:textFill>
              </w:rPr>
              <w:t>|</w:t>
            </w:r>
            <w:r w:rsidR="00B8073C" w:rsidRPr="00B8073C">
              <w:rPr>
                <w:vertAlign w:val="superscript"/>
              </w:rPr>
              <w:t>1</w:t>
            </w:r>
          </w:p>
        </w:tc>
        <w:tc>
          <w:tcPr>
            <w:tcW w:w="629" w:type="pct"/>
            <w:shd w:val="clear" w:color="auto" w:fill="auto"/>
            <w:vAlign w:val="center"/>
          </w:tcPr>
          <w:p w14:paraId="29F46D6B" w14:textId="184E6A7D" w:rsidR="00385A9D" w:rsidRPr="00B8073C" w:rsidRDefault="00085C36" w:rsidP="00085C36">
            <w:pPr>
              <w:pStyle w:val="TableText0"/>
              <w:jc w:val="center"/>
              <w:rPr>
                <w:highlight w:val="darkGray"/>
              </w:rPr>
            </w:pPr>
            <w:r w:rsidRPr="00085C36">
              <w:rPr>
                <w:color w:val="000000"/>
                <w:spacing w:val="53"/>
                <w:shd w:val="solid" w:color="000000" w:fill="000000"/>
                <w:fitText w:val="330" w:id="-694519040"/>
                <w14:textFill>
                  <w14:solidFill>
                    <w14:srgbClr w14:val="000000">
                      <w14:alpha w14:val="100000"/>
                    </w14:srgbClr>
                  </w14:solidFill>
                </w14:textFill>
              </w:rPr>
              <w:t>|||</w:t>
            </w:r>
            <w:r w:rsidRPr="00085C36">
              <w:rPr>
                <w:color w:val="000000"/>
                <w:spacing w:val="1"/>
                <w:shd w:val="solid" w:color="000000" w:fill="000000"/>
                <w:fitText w:val="330" w:id="-694519040"/>
                <w14:textFill>
                  <w14:solidFill>
                    <w14:srgbClr w14:val="000000">
                      <w14:alpha w14:val="100000"/>
                    </w14:srgbClr>
                  </w14:solidFill>
                </w14:textFill>
              </w:rPr>
              <w:t>|</w:t>
            </w:r>
            <w:r w:rsidR="00B8073C" w:rsidRPr="00B8073C">
              <w:rPr>
                <w:vertAlign w:val="superscript"/>
              </w:rPr>
              <w:t>1</w:t>
            </w:r>
          </w:p>
        </w:tc>
        <w:tc>
          <w:tcPr>
            <w:tcW w:w="628" w:type="pct"/>
            <w:shd w:val="clear" w:color="auto" w:fill="auto"/>
            <w:vAlign w:val="center"/>
          </w:tcPr>
          <w:p w14:paraId="21167904" w14:textId="37F6AB28" w:rsidR="00385A9D" w:rsidRPr="00B8073C" w:rsidRDefault="00085C36" w:rsidP="00085C36">
            <w:pPr>
              <w:pStyle w:val="TableText0"/>
              <w:jc w:val="center"/>
              <w:rPr>
                <w:highlight w:val="darkGray"/>
              </w:rPr>
            </w:pPr>
            <w:r w:rsidRPr="00085C36">
              <w:rPr>
                <w:color w:val="000000"/>
                <w:spacing w:val="53"/>
                <w:shd w:val="solid" w:color="000000" w:fill="000000"/>
                <w:fitText w:val="330" w:id="-694519039"/>
                <w14:textFill>
                  <w14:solidFill>
                    <w14:srgbClr w14:val="000000">
                      <w14:alpha w14:val="100000"/>
                    </w14:srgbClr>
                  </w14:solidFill>
                </w14:textFill>
              </w:rPr>
              <w:t>|||</w:t>
            </w:r>
            <w:r w:rsidRPr="00085C36">
              <w:rPr>
                <w:color w:val="000000"/>
                <w:spacing w:val="1"/>
                <w:shd w:val="solid" w:color="000000" w:fill="000000"/>
                <w:fitText w:val="330" w:id="-694519039"/>
                <w14:textFill>
                  <w14:solidFill>
                    <w14:srgbClr w14:val="000000">
                      <w14:alpha w14:val="100000"/>
                    </w14:srgbClr>
                  </w14:solidFill>
                </w14:textFill>
              </w:rPr>
              <w:t>|</w:t>
            </w:r>
            <w:r w:rsidR="00B8073C" w:rsidRPr="00B8073C">
              <w:rPr>
                <w:vertAlign w:val="superscript"/>
              </w:rPr>
              <w:t>1</w:t>
            </w:r>
          </w:p>
        </w:tc>
        <w:tc>
          <w:tcPr>
            <w:tcW w:w="551" w:type="pct"/>
            <w:shd w:val="clear" w:color="auto" w:fill="auto"/>
            <w:vAlign w:val="center"/>
          </w:tcPr>
          <w:p w14:paraId="762D4B71" w14:textId="42D94D29" w:rsidR="00385A9D" w:rsidRPr="00B8073C" w:rsidRDefault="00085C36" w:rsidP="00085C36">
            <w:pPr>
              <w:pStyle w:val="TableText0"/>
              <w:jc w:val="center"/>
              <w:rPr>
                <w:highlight w:val="darkGray"/>
              </w:rPr>
            </w:pPr>
            <w:r w:rsidRPr="00085C36">
              <w:rPr>
                <w:color w:val="000000"/>
                <w:spacing w:val="53"/>
                <w:shd w:val="solid" w:color="000000" w:fill="000000"/>
                <w:fitText w:val="330" w:id="-694519038"/>
                <w14:textFill>
                  <w14:solidFill>
                    <w14:srgbClr w14:val="000000">
                      <w14:alpha w14:val="100000"/>
                    </w14:srgbClr>
                  </w14:solidFill>
                </w14:textFill>
              </w:rPr>
              <w:t>|||</w:t>
            </w:r>
            <w:r w:rsidRPr="00085C36">
              <w:rPr>
                <w:color w:val="000000"/>
                <w:spacing w:val="1"/>
                <w:shd w:val="solid" w:color="000000" w:fill="000000"/>
                <w:fitText w:val="330" w:id="-694519038"/>
                <w14:textFill>
                  <w14:solidFill>
                    <w14:srgbClr w14:val="000000">
                      <w14:alpha w14:val="100000"/>
                    </w14:srgbClr>
                  </w14:solidFill>
                </w14:textFill>
              </w:rPr>
              <w:t>|</w:t>
            </w:r>
            <w:r w:rsidR="00B8073C" w:rsidRPr="00B8073C">
              <w:rPr>
                <w:vertAlign w:val="superscript"/>
              </w:rPr>
              <w:t>1</w:t>
            </w:r>
          </w:p>
        </w:tc>
        <w:tc>
          <w:tcPr>
            <w:tcW w:w="522" w:type="pct"/>
            <w:vAlign w:val="center"/>
          </w:tcPr>
          <w:p w14:paraId="42B428B5" w14:textId="093E0CE8" w:rsidR="00385A9D" w:rsidRPr="00B8073C" w:rsidRDefault="00085C36" w:rsidP="00085C36">
            <w:pPr>
              <w:pStyle w:val="TableText0"/>
              <w:jc w:val="center"/>
              <w:rPr>
                <w:highlight w:val="darkGray"/>
              </w:rPr>
            </w:pPr>
            <w:r w:rsidRPr="00085C36">
              <w:rPr>
                <w:color w:val="000000"/>
                <w:spacing w:val="53"/>
                <w:shd w:val="solid" w:color="000000" w:fill="000000"/>
                <w:fitText w:val="330" w:id="-694519037"/>
                <w14:textFill>
                  <w14:solidFill>
                    <w14:srgbClr w14:val="000000">
                      <w14:alpha w14:val="100000"/>
                    </w14:srgbClr>
                  </w14:solidFill>
                </w14:textFill>
              </w:rPr>
              <w:t>|||</w:t>
            </w:r>
            <w:r w:rsidRPr="00085C36">
              <w:rPr>
                <w:color w:val="000000"/>
                <w:spacing w:val="1"/>
                <w:shd w:val="solid" w:color="000000" w:fill="000000"/>
                <w:fitText w:val="330" w:id="-694519037"/>
                <w14:textFill>
                  <w14:solidFill>
                    <w14:srgbClr w14:val="000000">
                      <w14:alpha w14:val="100000"/>
                    </w14:srgbClr>
                  </w14:solidFill>
                </w14:textFill>
              </w:rPr>
              <w:t>|</w:t>
            </w:r>
            <w:r w:rsidR="00B8073C" w:rsidRPr="00B8073C">
              <w:rPr>
                <w:vertAlign w:val="superscript"/>
              </w:rPr>
              <w:t>1</w:t>
            </w:r>
          </w:p>
        </w:tc>
      </w:tr>
      <w:tr w:rsidR="00385A9D" w:rsidRPr="0098262F" w14:paraId="1CEE4D09" w14:textId="77777777" w:rsidTr="00085C36">
        <w:tc>
          <w:tcPr>
            <w:tcW w:w="1491" w:type="pct"/>
            <w:shd w:val="clear" w:color="auto" w:fill="auto"/>
            <w:vAlign w:val="center"/>
          </w:tcPr>
          <w:p w14:paraId="229A1EDF" w14:textId="4F4727C0" w:rsidR="00385A9D" w:rsidRPr="0098262F" w:rsidRDefault="2941140D" w:rsidP="26403EC0">
            <w:pPr>
              <w:pStyle w:val="TableText0"/>
              <w:rPr>
                <w:rFonts w:ascii="Times" w:hAnsi="Times"/>
              </w:rPr>
            </w:pPr>
            <w:r w:rsidRPr="26403EC0">
              <w:t xml:space="preserve">Number of </w:t>
            </w:r>
            <w:r w:rsidR="000B7891" w:rsidRPr="26403EC0">
              <w:t xml:space="preserve">CIPA </w:t>
            </w:r>
            <w:r w:rsidRPr="26403EC0">
              <w:t>scripts dispensed</w:t>
            </w:r>
            <w:r w:rsidRPr="26403EC0">
              <w:rPr>
                <w:vertAlign w:val="superscript"/>
              </w:rPr>
              <w:t>a</w:t>
            </w:r>
          </w:p>
        </w:tc>
        <w:tc>
          <w:tcPr>
            <w:tcW w:w="629" w:type="pct"/>
            <w:shd w:val="clear" w:color="auto" w:fill="auto"/>
            <w:vAlign w:val="center"/>
          </w:tcPr>
          <w:p w14:paraId="0D9F25C2" w14:textId="35A4BD9C" w:rsidR="00385A9D" w:rsidRPr="00B8073C" w:rsidRDefault="00085C36" w:rsidP="00085C36">
            <w:pPr>
              <w:pStyle w:val="TableText0"/>
              <w:jc w:val="center"/>
              <w:rPr>
                <w:highlight w:val="darkGray"/>
              </w:rPr>
            </w:pPr>
            <w:r w:rsidRPr="00085C36">
              <w:rPr>
                <w:color w:val="000000"/>
                <w:spacing w:val="53"/>
                <w:shd w:val="solid" w:color="000000" w:fill="000000"/>
                <w:fitText w:val="330" w:id="-694519036"/>
                <w14:textFill>
                  <w14:solidFill>
                    <w14:srgbClr w14:val="000000">
                      <w14:alpha w14:val="100000"/>
                    </w14:srgbClr>
                  </w14:solidFill>
                </w14:textFill>
              </w:rPr>
              <w:t>|||</w:t>
            </w:r>
            <w:r w:rsidRPr="00085C36">
              <w:rPr>
                <w:color w:val="000000"/>
                <w:spacing w:val="1"/>
                <w:shd w:val="solid" w:color="000000" w:fill="000000"/>
                <w:fitText w:val="330" w:id="-694519036"/>
                <w14:textFill>
                  <w14:solidFill>
                    <w14:srgbClr w14:val="000000">
                      <w14:alpha w14:val="100000"/>
                    </w14:srgbClr>
                  </w14:solidFill>
                </w14:textFill>
              </w:rPr>
              <w:t>|</w:t>
            </w:r>
            <w:r w:rsidR="00976A33" w:rsidRPr="00976A33">
              <w:rPr>
                <w:vertAlign w:val="superscript"/>
              </w:rPr>
              <w:t>2</w:t>
            </w:r>
          </w:p>
        </w:tc>
        <w:tc>
          <w:tcPr>
            <w:tcW w:w="550" w:type="pct"/>
            <w:shd w:val="clear" w:color="auto" w:fill="auto"/>
            <w:vAlign w:val="center"/>
          </w:tcPr>
          <w:p w14:paraId="2D7847AA" w14:textId="19F395AF" w:rsidR="00385A9D" w:rsidRPr="00B8073C" w:rsidRDefault="00085C36" w:rsidP="00085C36">
            <w:pPr>
              <w:pStyle w:val="TableText0"/>
              <w:jc w:val="center"/>
              <w:rPr>
                <w:highlight w:val="darkGray"/>
              </w:rPr>
            </w:pPr>
            <w:r w:rsidRPr="00085C36">
              <w:rPr>
                <w:color w:val="000000"/>
                <w:spacing w:val="53"/>
                <w:shd w:val="solid" w:color="000000" w:fill="000000"/>
                <w:fitText w:val="330" w:id="-694519035"/>
                <w14:textFill>
                  <w14:solidFill>
                    <w14:srgbClr w14:val="000000">
                      <w14:alpha w14:val="100000"/>
                    </w14:srgbClr>
                  </w14:solidFill>
                </w14:textFill>
              </w:rPr>
              <w:t>|||</w:t>
            </w:r>
            <w:r w:rsidRPr="00085C36">
              <w:rPr>
                <w:color w:val="000000"/>
                <w:spacing w:val="1"/>
                <w:shd w:val="solid" w:color="000000" w:fill="000000"/>
                <w:fitText w:val="330" w:id="-694519035"/>
                <w14:textFill>
                  <w14:solidFill>
                    <w14:srgbClr w14:val="000000">
                      <w14:alpha w14:val="100000"/>
                    </w14:srgbClr>
                  </w14:solidFill>
                </w14:textFill>
              </w:rPr>
              <w:t>|</w:t>
            </w:r>
            <w:r w:rsidR="00976A33" w:rsidRPr="00976A33">
              <w:rPr>
                <w:vertAlign w:val="superscript"/>
              </w:rPr>
              <w:t>2</w:t>
            </w:r>
          </w:p>
        </w:tc>
        <w:tc>
          <w:tcPr>
            <w:tcW w:w="629" w:type="pct"/>
            <w:shd w:val="clear" w:color="auto" w:fill="auto"/>
            <w:vAlign w:val="center"/>
          </w:tcPr>
          <w:p w14:paraId="7A620378" w14:textId="4C319F4A" w:rsidR="00385A9D" w:rsidRPr="00B8073C" w:rsidRDefault="00085C36" w:rsidP="00085C36">
            <w:pPr>
              <w:pStyle w:val="TableText0"/>
              <w:jc w:val="center"/>
              <w:rPr>
                <w:highlight w:val="darkGray"/>
              </w:rPr>
            </w:pPr>
            <w:r w:rsidRPr="00085C36">
              <w:rPr>
                <w:color w:val="000000"/>
                <w:spacing w:val="53"/>
                <w:shd w:val="solid" w:color="000000" w:fill="000000"/>
                <w:fitText w:val="330" w:id="-694519034"/>
                <w14:textFill>
                  <w14:solidFill>
                    <w14:srgbClr w14:val="000000">
                      <w14:alpha w14:val="100000"/>
                    </w14:srgbClr>
                  </w14:solidFill>
                </w14:textFill>
              </w:rPr>
              <w:t>|||</w:t>
            </w:r>
            <w:r w:rsidRPr="00085C36">
              <w:rPr>
                <w:color w:val="000000"/>
                <w:spacing w:val="1"/>
                <w:shd w:val="solid" w:color="000000" w:fill="000000"/>
                <w:fitText w:val="330" w:id="-694519034"/>
                <w14:textFill>
                  <w14:solidFill>
                    <w14:srgbClr w14:val="000000">
                      <w14:alpha w14:val="100000"/>
                    </w14:srgbClr>
                  </w14:solidFill>
                </w14:textFill>
              </w:rPr>
              <w:t>|</w:t>
            </w:r>
            <w:r w:rsidR="00976A33" w:rsidRPr="00976A33">
              <w:rPr>
                <w:vertAlign w:val="superscript"/>
              </w:rPr>
              <w:t>2</w:t>
            </w:r>
          </w:p>
        </w:tc>
        <w:tc>
          <w:tcPr>
            <w:tcW w:w="628" w:type="pct"/>
            <w:shd w:val="clear" w:color="auto" w:fill="auto"/>
            <w:vAlign w:val="center"/>
          </w:tcPr>
          <w:p w14:paraId="1D2C1413" w14:textId="1FF58520" w:rsidR="00385A9D" w:rsidRPr="00B8073C" w:rsidRDefault="00085C36" w:rsidP="00085C36">
            <w:pPr>
              <w:pStyle w:val="TableText0"/>
              <w:jc w:val="center"/>
              <w:rPr>
                <w:highlight w:val="darkGray"/>
              </w:rPr>
            </w:pPr>
            <w:r w:rsidRPr="00085C36">
              <w:rPr>
                <w:color w:val="000000"/>
                <w:spacing w:val="53"/>
                <w:shd w:val="solid" w:color="000000" w:fill="000000"/>
                <w:fitText w:val="330" w:id="-694519033"/>
                <w14:textFill>
                  <w14:solidFill>
                    <w14:srgbClr w14:val="000000">
                      <w14:alpha w14:val="100000"/>
                    </w14:srgbClr>
                  </w14:solidFill>
                </w14:textFill>
              </w:rPr>
              <w:t>|||</w:t>
            </w:r>
            <w:r w:rsidRPr="00085C36">
              <w:rPr>
                <w:color w:val="000000"/>
                <w:spacing w:val="1"/>
                <w:shd w:val="solid" w:color="000000" w:fill="000000"/>
                <w:fitText w:val="330" w:id="-694519033"/>
                <w14:textFill>
                  <w14:solidFill>
                    <w14:srgbClr w14:val="000000">
                      <w14:alpha w14:val="100000"/>
                    </w14:srgbClr>
                  </w14:solidFill>
                </w14:textFill>
              </w:rPr>
              <w:t>|</w:t>
            </w:r>
            <w:r w:rsidR="00976A33" w:rsidRPr="00976A33">
              <w:rPr>
                <w:vertAlign w:val="superscript"/>
              </w:rPr>
              <w:t>2</w:t>
            </w:r>
          </w:p>
        </w:tc>
        <w:tc>
          <w:tcPr>
            <w:tcW w:w="551" w:type="pct"/>
            <w:shd w:val="clear" w:color="auto" w:fill="auto"/>
            <w:vAlign w:val="center"/>
          </w:tcPr>
          <w:p w14:paraId="3F0ACB95" w14:textId="3ED7B4E0" w:rsidR="00385A9D" w:rsidRPr="00B8073C" w:rsidRDefault="00085C36" w:rsidP="00085C36">
            <w:pPr>
              <w:pStyle w:val="TableText0"/>
              <w:jc w:val="center"/>
              <w:rPr>
                <w:highlight w:val="darkGray"/>
              </w:rPr>
            </w:pPr>
            <w:r w:rsidRPr="00085C36">
              <w:rPr>
                <w:color w:val="000000"/>
                <w:spacing w:val="53"/>
                <w:shd w:val="solid" w:color="000000" w:fill="000000"/>
                <w:fitText w:val="330" w:id="-694519032"/>
                <w14:textFill>
                  <w14:solidFill>
                    <w14:srgbClr w14:val="000000">
                      <w14:alpha w14:val="100000"/>
                    </w14:srgbClr>
                  </w14:solidFill>
                </w14:textFill>
              </w:rPr>
              <w:t>|||</w:t>
            </w:r>
            <w:r w:rsidRPr="00085C36">
              <w:rPr>
                <w:color w:val="000000"/>
                <w:spacing w:val="1"/>
                <w:shd w:val="solid" w:color="000000" w:fill="000000"/>
                <w:fitText w:val="330" w:id="-694519032"/>
                <w14:textFill>
                  <w14:solidFill>
                    <w14:srgbClr w14:val="000000">
                      <w14:alpha w14:val="100000"/>
                    </w14:srgbClr>
                  </w14:solidFill>
                </w14:textFill>
              </w:rPr>
              <w:t>|</w:t>
            </w:r>
            <w:r w:rsidR="00976A33" w:rsidRPr="00976A33">
              <w:rPr>
                <w:vertAlign w:val="superscript"/>
              </w:rPr>
              <w:t>2</w:t>
            </w:r>
          </w:p>
        </w:tc>
        <w:tc>
          <w:tcPr>
            <w:tcW w:w="522" w:type="pct"/>
            <w:vAlign w:val="center"/>
          </w:tcPr>
          <w:p w14:paraId="1C30F331" w14:textId="1832120D" w:rsidR="00385A9D" w:rsidRPr="00B8073C" w:rsidRDefault="00085C36" w:rsidP="00085C36">
            <w:pPr>
              <w:pStyle w:val="TableText0"/>
              <w:jc w:val="center"/>
              <w:rPr>
                <w:highlight w:val="darkGray"/>
              </w:rPr>
            </w:pPr>
            <w:r w:rsidRPr="00085C36">
              <w:rPr>
                <w:color w:val="000000"/>
                <w:spacing w:val="53"/>
                <w:shd w:val="solid" w:color="000000" w:fill="000000"/>
                <w:fitText w:val="330" w:id="-694519031"/>
                <w14:textFill>
                  <w14:solidFill>
                    <w14:srgbClr w14:val="000000">
                      <w14:alpha w14:val="100000"/>
                    </w14:srgbClr>
                  </w14:solidFill>
                </w14:textFill>
              </w:rPr>
              <w:t>|||</w:t>
            </w:r>
            <w:r w:rsidRPr="00085C36">
              <w:rPr>
                <w:color w:val="000000"/>
                <w:spacing w:val="1"/>
                <w:shd w:val="solid" w:color="000000" w:fill="000000"/>
                <w:fitText w:val="330" w:id="-694519031"/>
                <w14:textFill>
                  <w14:solidFill>
                    <w14:srgbClr w14:val="000000">
                      <w14:alpha w14:val="100000"/>
                    </w14:srgbClr>
                  </w14:solidFill>
                </w14:textFill>
              </w:rPr>
              <w:t>|</w:t>
            </w:r>
            <w:r w:rsidR="00976A33" w:rsidRPr="00B66FD8">
              <w:rPr>
                <w:vertAlign w:val="superscript"/>
              </w:rPr>
              <w:t>3</w:t>
            </w:r>
          </w:p>
        </w:tc>
      </w:tr>
      <w:tr w:rsidR="000B7891" w:rsidRPr="0098262F" w14:paraId="6A75BFCB" w14:textId="77777777" w:rsidTr="00085C36">
        <w:tc>
          <w:tcPr>
            <w:tcW w:w="1491" w:type="pct"/>
            <w:shd w:val="clear" w:color="auto" w:fill="auto"/>
            <w:vAlign w:val="center"/>
          </w:tcPr>
          <w:p w14:paraId="13E5D886" w14:textId="5936D5F5" w:rsidR="000B7891" w:rsidRPr="000B7891" w:rsidRDefault="000B7891" w:rsidP="26403EC0">
            <w:pPr>
              <w:pStyle w:val="TableText0"/>
              <w:rPr>
                <w:vertAlign w:val="superscript"/>
              </w:rPr>
            </w:pPr>
            <w:r w:rsidRPr="26403EC0">
              <w:t>Number of MIG scripts dispensed</w:t>
            </w:r>
            <w:r w:rsidRPr="26403EC0">
              <w:rPr>
                <w:vertAlign w:val="superscript"/>
              </w:rPr>
              <w:t>a</w:t>
            </w:r>
          </w:p>
        </w:tc>
        <w:tc>
          <w:tcPr>
            <w:tcW w:w="629" w:type="pct"/>
            <w:shd w:val="clear" w:color="auto" w:fill="auto"/>
            <w:vAlign w:val="center"/>
          </w:tcPr>
          <w:p w14:paraId="73B03A29" w14:textId="78296430" w:rsidR="000B7891" w:rsidRPr="00B8073C" w:rsidRDefault="00085C36" w:rsidP="00085C36">
            <w:pPr>
              <w:pStyle w:val="TableText0"/>
              <w:jc w:val="center"/>
              <w:rPr>
                <w:highlight w:val="darkGray"/>
              </w:rPr>
            </w:pPr>
            <w:r w:rsidRPr="00085C36">
              <w:rPr>
                <w:color w:val="000000"/>
                <w:spacing w:val="53"/>
                <w:shd w:val="solid" w:color="000000" w:fill="000000"/>
                <w:fitText w:val="330" w:id="-694519030"/>
                <w14:textFill>
                  <w14:solidFill>
                    <w14:srgbClr w14:val="000000">
                      <w14:alpha w14:val="100000"/>
                    </w14:srgbClr>
                  </w14:solidFill>
                </w14:textFill>
              </w:rPr>
              <w:t>|||</w:t>
            </w:r>
            <w:r w:rsidRPr="00085C36">
              <w:rPr>
                <w:color w:val="000000"/>
                <w:spacing w:val="1"/>
                <w:shd w:val="solid" w:color="000000" w:fill="000000"/>
                <w:fitText w:val="330" w:id="-694519030"/>
                <w14:textFill>
                  <w14:solidFill>
                    <w14:srgbClr w14:val="000000">
                      <w14:alpha w14:val="100000"/>
                    </w14:srgbClr>
                  </w14:solidFill>
                </w14:textFill>
              </w:rPr>
              <w:t>|</w:t>
            </w:r>
            <w:r w:rsidR="00751724" w:rsidRPr="00751724">
              <w:rPr>
                <w:vertAlign w:val="superscript"/>
              </w:rPr>
              <w:t>4</w:t>
            </w:r>
          </w:p>
        </w:tc>
        <w:tc>
          <w:tcPr>
            <w:tcW w:w="550" w:type="pct"/>
            <w:shd w:val="clear" w:color="auto" w:fill="auto"/>
            <w:vAlign w:val="center"/>
          </w:tcPr>
          <w:p w14:paraId="4AB41A8D" w14:textId="34917723" w:rsidR="000B7891" w:rsidRPr="00B8073C" w:rsidRDefault="00085C36" w:rsidP="00085C36">
            <w:pPr>
              <w:pStyle w:val="TableText0"/>
              <w:jc w:val="center"/>
              <w:rPr>
                <w:highlight w:val="darkGray"/>
              </w:rPr>
            </w:pPr>
            <w:r w:rsidRPr="00085C36">
              <w:rPr>
                <w:color w:val="000000"/>
                <w:spacing w:val="53"/>
                <w:shd w:val="solid" w:color="000000" w:fill="000000"/>
                <w:fitText w:val="330" w:id="-694519029"/>
                <w14:textFill>
                  <w14:solidFill>
                    <w14:srgbClr w14:val="000000">
                      <w14:alpha w14:val="100000"/>
                    </w14:srgbClr>
                  </w14:solidFill>
                </w14:textFill>
              </w:rPr>
              <w:t>|||</w:t>
            </w:r>
            <w:r w:rsidRPr="00085C36">
              <w:rPr>
                <w:color w:val="000000"/>
                <w:spacing w:val="1"/>
                <w:shd w:val="solid" w:color="000000" w:fill="000000"/>
                <w:fitText w:val="330" w:id="-694519029"/>
                <w14:textFill>
                  <w14:solidFill>
                    <w14:srgbClr w14:val="000000">
                      <w14:alpha w14:val="100000"/>
                    </w14:srgbClr>
                  </w14:solidFill>
                </w14:textFill>
              </w:rPr>
              <w:t>|</w:t>
            </w:r>
            <w:r w:rsidR="00751724" w:rsidRPr="00751724">
              <w:rPr>
                <w:vertAlign w:val="superscript"/>
              </w:rPr>
              <w:t>4</w:t>
            </w:r>
          </w:p>
        </w:tc>
        <w:tc>
          <w:tcPr>
            <w:tcW w:w="629" w:type="pct"/>
            <w:shd w:val="clear" w:color="auto" w:fill="auto"/>
            <w:vAlign w:val="center"/>
          </w:tcPr>
          <w:p w14:paraId="7A6B5D06" w14:textId="0D95379E" w:rsidR="000B7891" w:rsidRPr="00B8073C" w:rsidRDefault="00085C36" w:rsidP="00085C36">
            <w:pPr>
              <w:pStyle w:val="TableText0"/>
              <w:jc w:val="center"/>
              <w:rPr>
                <w:highlight w:val="darkGray"/>
              </w:rPr>
            </w:pPr>
            <w:r w:rsidRPr="00085C36">
              <w:rPr>
                <w:color w:val="000000"/>
                <w:spacing w:val="53"/>
                <w:shd w:val="solid" w:color="000000" w:fill="000000"/>
                <w:fitText w:val="330" w:id="-694519028"/>
                <w14:textFill>
                  <w14:solidFill>
                    <w14:srgbClr w14:val="000000">
                      <w14:alpha w14:val="100000"/>
                    </w14:srgbClr>
                  </w14:solidFill>
                </w14:textFill>
              </w:rPr>
              <w:t>|||</w:t>
            </w:r>
            <w:r w:rsidRPr="00085C36">
              <w:rPr>
                <w:color w:val="000000"/>
                <w:spacing w:val="1"/>
                <w:shd w:val="solid" w:color="000000" w:fill="000000"/>
                <w:fitText w:val="330" w:id="-694519028"/>
                <w14:textFill>
                  <w14:solidFill>
                    <w14:srgbClr w14:val="000000">
                      <w14:alpha w14:val="100000"/>
                    </w14:srgbClr>
                  </w14:solidFill>
                </w14:textFill>
              </w:rPr>
              <w:t>|</w:t>
            </w:r>
            <w:r w:rsidR="00751724" w:rsidRPr="00751724">
              <w:rPr>
                <w:vertAlign w:val="superscript"/>
              </w:rPr>
              <w:t>4</w:t>
            </w:r>
          </w:p>
        </w:tc>
        <w:tc>
          <w:tcPr>
            <w:tcW w:w="628" w:type="pct"/>
            <w:shd w:val="clear" w:color="auto" w:fill="auto"/>
            <w:vAlign w:val="center"/>
          </w:tcPr>
          <w:p w14:paraId="03DCAC2A" w14:textId="34A994B4" w:rsidR="000B7891" w:rsidRPr="00B8073C" w:rsidRDefault="00085C36" w:rsidP="00085C36">
            <w:pPr>
              <w:pStyle w:val="TableText0"/>
              <w:jc w:val="center"/>
              <w:rPr>
                <w:highlight w:val="darkGray"/>
              </w:rPr>
            </w:pPr>
            <w:r w:rsidRPr="00085C36">
              <w:rPr>
                <w:color w:val="000000"/>
                <w:spacing w:val="53"/>
                <w:shd w:val="solid" w:color="000000" w:fill="000000"/>
                <w:fitText w:val="330" w:id="-694519027"/>
                <w14:textFill>
                  <w14:solidFill>
                    <w14:srgbClr w14:val="000000">
                      <w14:alpha w14:val="100000"/>
                    </w14:srgbClr>
                  </w14:solidFill>
                </w14:textFill>
              </w:rPr>
              <w:t>|||</w:t>
            </w:r>
            <w:r w:rsidRPr="00085C36">
              <w:rPr>
                <w:color w:val="000000"/>
                <w:spacing w:val="1"/>
                <w:shd w:val="solid" w:color="000000" w:fill="000000"/>
                <w:fitText w:val="330" w:id="-694519027"/>
                <w14:textFill>
                  <w14:solidFill>
                    <w14:srgbClr w14:val="000000">
                      <w14:alpha w14:val="100000"/>
                    </w14:srgbClr>
                  </w14:solidFill>
                </w14:textFill>
              </w:rPr>
              <w:t>|</w:t>
            </w:r>
            <w:r w:rsidR="00751724" w:rsidRPr="00751724">
              <w:rPr>
                <w:vertAlign w:val="superscript"/>
              </w:rPr>
              <w:t>4</w:t>
            </w:r>
          </w:p>
        </w:tc>
        <w:tc>
          <w:tcPr>
            <w:tcW w:w="551" w:type="pct"/>
            <w:shd w:val="clear" w:color="auto" w:fill="auto"/>
            <w:vAlign w:val="center"/>
          </w:tcPr>
          <w:p w14:paraId="43C579D6" w14:textId="51911C97" w:rsidR="000B7891" w:rsidRPr="00B8073C" w:rsidRDefault="00085C36" w:rsidP="00085C36">
            <w:pPr>
              <w:pStyle w:val="TableText0"/>
              <w:jc w:val="center"/>
              <w:rPr>
                <w:highlight w:val="darkGray"/>
              </w:rPr>
            </w:pPr>
            <w:r w:rsidRPr="00085C36">
              <w:rPr>
                <w:color w:val="000000"/>
                <w:spacing w:val="53"/>
                <w:shd w:val="solid" w:color="000000" w:fill="000000"/>
                <w:fitText w:val="330" w:id="-694519026"/>
                <w14:textFill>
                  <w14:solidFill>
                    <w14:srgbClr w14:val="000000">
                      <w14:alpha w14:val="100000"/>
                    </w14:srgbClr>
                  </w14:solidFill>
                </w14:textFill>
              </w:rPr>
              <w:t>|||</w:t>
            </w:r>
            <w:r w:rsidRPr="00085C36">
              <w:rPr>
                <w:color w:val="000000"/>
                <w:spacing w:val="1"/>
                <w:shd w:val="solid" w:color="000000" w:fill="000000"/>
                <w:fitText w:val="330" w:id="-694519026"/>
                <w14:textFill>
                  <w14:solidFill>
                    <w14:srgbClr w14:val="000000">
                      <w14:alpha w14:val="100000"/>
                    </w14:srgbClr>
                  </w14:solidFill>
                </w14:textFill>
              </w:rPr>
              <w:t>|</w:t>
            </w:r>
            <w:r w:rsidR="00751724" w:rsidRPr="00751724">
              <w:rPr>
                <w:vertAlign w:val="superscript"/>
              </w:rPr>
              <w:t>4</w:t>
            </w:r>
          </w:p>
        </w:tc>
        <w:tc>
          <w:tcPr>
            <w:tcW w:w="522" w:type="pct"/>
            <w:vAlign w:val="center"/>
          </w:tcPr>
          <w:p w14:paraId="09DFD186" w14:textId="551162F6" w:rsidR="000B7891" w:rsidRPr="00B8073C" w:rsidRDefault="00085C36" w:rsidP="00085C36">
            <w:pPr>
              <w:pStyle w:val="TableText0"/>
              <w:jc w:val="center"/>
              <w:rPr>
                <w:highlight w:val="darkGray"/>
              </w:rPr>
            </w:pPr>
            <w:r w:rsidRPr="00085C36">
              <w:rPr>
                <w:color w:val="000000"/>
                <w:spacing w:val="53"/>
                <w:shd w:val="solid" w:color="000000" w:fill="000000"/>
                <w:fitText w:val="330" w:id="-694519025"/>
                <w14:textFill>
                  <w14:solidFill>
                    <w14:srgbClr w14:val="000000">
                      <w14:alpha w14:val="100000"/>
                    </w14:srgbClr>
                  </w14:solidFill>
                </w14:textFill>
              </w:rPr>
              <w:t>|||</w:t>
            </w:r>
            <w:r w:rsidRPr="00085C36">
              <w:rPr>
                <w:color w:val="000000"/>
                <w:spacing w:val="1"/>
                <w:shd w:val="solid" w:color="000000" w:fill="000000"/>
                <w:fitText w:val="330" w:id="-694519025"/>
                <w14:textFill>
                  <w14:solidFill>
                    <w14:srgbClr w14:val="000000">
                      <w14:alpha w14:val="100000"/>
                    </w14:srgbClr>
                  </w14:solidFill>
                </w14:textFill>
              </w:rPr>
              <w:t>|</w:t>
            </w:r>
            <w:r w:rsidR="00751724" w:rsidRPr="00751724">
              <w:rPr>
                <w:vertAlign w:val="superscript"/>
              </w:rPr>
              <w:t>4</w:t>
            </w:r>
          </w:p>
        </w:tc>
      </w:tr>
      <w:tr w:rsidR="00385A9D" w:rsidRPr="0098262F" w14:paraId="1E699D47" w14:textId="77777777" w:rsidTr="26403EC0">
        <w:tc>
          <w:tcPr>
            <w:tcW w:w="5000" w:type="pct"/>
            <w:gridSpan w:val="7"/>
            <w:shd w:val="clear" w:color="auto" w:fill="auto"/>
            <w:vAlign w:val="center"/>
          </w:tcPr>
          <w:p w14:paraId="7D0E0884" w14:textId="4BD02DDC" w:rsidR="00385A9D" w:rsidRPr="0098262F" w:rsidRDefault="00385A9D" w:rsidP="000D2D05">
            <w:pPr>
              <w:pStyle w:val="In-tableHeading"/>
            </w:pPr>
            <w:r w:rsidRPr="0098262F">
              <w:t xml:space="preserve">Estimated financial implications of </w:t>
            </w:r>
            <w:r w:rsidR="00F77067">
              <w:t xml:space="preserve">CIPAMIG </w:t>
            </w:r>
          </w:p>
        </w:tc>
      </w:tr>
      <w:tr w:rsidR="00F77067" w:rsidRPr="0098262F" w14:paraId="4B4ACF1A" w14:textId="77777777" w:rsidTr="00085C36">
        <w:tc>
          <w:tcPr>
            <w:tcW w:w="1491" w:type="pct"/>
            <w:shd w:val="clear" w:color="auto" w:fill="auto"/>
            <w:vAlign w:val="center"/>
          </w:tcPr>
          <w:p w14:paraId="467993BD" w14:textId="5190F2E8" w:rsidR="00F77067" w:rsidRPr="0098262F" w:rsidRDefault="00F77067" w:rsidP="00F77067">
            <w:pPr>
              <w:pStyle w:val="TableText0"/>
            </w:pPr>
            <w:r w:rsidRPr="0098262F">
              <w:t xml:space="preserve">Cost to </w:t>
            </w:r>
            <w:r w:rsidR="009C0C7E">
              <w:t xml:space="preserve">LSDP </w:t>
            </w:r>
          </w:p>
        </w:tc>
        <w:tc>
          <w:tcPr>
            <w:tcW w:w="629" w:type="pct"/>
            <w:shd w:val="clear" w:color="auto" w:fill="auto"/>
            <w:vAlign w:val="center"/>
          </w:tcPr>
          <w:p w14:paraId="4125A2B6" w14:textId="0A64E6D6" w:rsidR="00F77067" w:rsidRPr="00B8073C" w:rsidRDefault="00085C36" w:rsidP="00085C36">
            <w:pPr>
              <w:pStyle w:val="TableText0"/>
              <w:jc w:val="center"/>
              <w:rPr>
                <w:highlight w:val="darkGray"/>
              </w:rPr>
            </w:pPr>
            <w:r w:rsidRPr="00085C36">
              <w:rPr>
                <w:color w:val="000000"/>
                <w:spacing w:val="53"/>
                <w:shd w:val="solid" w:color="000000" w:fill="000000"/>
                <w:fitText w:val="330" w:id="-694519024"/>
                <w14:textFill>
                  <w14:solidFill>
                    <w14:srgbClr w14:val="000000">
                      <w14:alpha w14:val="100000"/>
                    </w14:srgbClr>
                  </w14:solidFill>
                </w14:textFill>
              </w:rPr>
              <w:t>|||</w:t>
            </w:r>
            <w:r w:rsidRPr="00085C36">
              <w:rPr>
                <w:color w:val="000000"/>
                <w:spacing w:val="1"/>
                <w:shd w:val="solid" w:color="000000" w:fill="000000"/>
                <w:fitText w:val="330" w:id="-694519024"/>
                <w14:textFill>
                  <w14:solidFill>
                    <w14:srgbClr w14:val="000000">
                      <w14:alpha w14:val="100000"/>
                    </w14:srgbClr>
                  </w14:solidFill>
                </w14:textFill>
              </w:rPr>
              <w:t>|</w:t>
            </w:r>
            <w:r w:rsidR="00751724" w:rsidRPr="00751724">
              <w:rPr>
                <w:vertAlign w:val="superscript"/>
              </w:rPr>
              <w:t>5</w:t>
            </w:r>
          </w:p>
        </w:tc>
        <w:tc>
          <w:tcPr>
            <w:tcW w:w="550" w:type="pct"/>
            <w:shd w:val="clear" w:color="auto" w:fill="auto"/>
            <w:vAlign w:val="center"/>
          </w:tcPr>
          <w:p w14:paraId="5BDFECEB" w14:textId="7B6CBCFC" w:rsidR="00F77067" w:rsidRPr="00B8073C" w:rsidRDefault="00085C36" w:rsidP="00085C36">
            <w:pPr>
              <w:pStyle w:val="TableText0"/>
              <w:jc w:val="center"/>
              <w:rPr>
                <w:highlight w:val="darkGray"/>
              </w:rPr>
            </w:pPr>
            <w:r w:rsidRPr="00085C36">
              <w:rPr>
                <w:color w:val="000000"/>
                <w:spacing w:val="53"/>
                <w:shd w:val="solid" w:color="000000" w:fill="000000"/>
                <w:fitText w:val="330" w:id="-694519040"/>
                <w14:textFill>
                  <w14:solidFill>
                    <w14:srgbClr w14:val="000000">
                      <w14:alpha w14:val="100000"/>
                    </w14:srgbClr>
                  </w14:solidFill>
                </w14:textFill>
              </w:rPr>
              <w:t>|||</w:t>
            </w:r>
            <w:r w:rsidRPr="00085C36">
              <w:rPr>
                <w:color w:val="000000"/>
                <w:spacing w:val="1"/>
                <w:shd w:val="solid" w:color="000000" w:fill="000000"/>
                <w:fitText w:val="330" w:id="-694519040"/>
                <w14:textFill>
                  <w14:solidFill>
                    <w14:srgbClr w14:val="000000">
                      <w14:alpha w14:val="100000"/>
                    </w14:srgbClr>
                  </w14:solidFill>
                </w14:textFill>
              </w:rPr>
              <w:t>|</w:t>
            </w:r>
            <w:r w:rsidR="00751724" w:rsidRPr="00751724">
              <w:rPr>
                <w:vertAlign w:val="superscript"/>
              </w:rPr>
              <w:t>5</w:t>
            </w:r>
          </w:p>
        </w:tc>
        <w:tc>
          <w:tcPr>
            <w:tcW w:w="629" w:type="pct"/>
            <w:shd w:val="clear" w:color="auto" w:fill="auto"/>
            <w:vAlign w:val="center"/>
          </w:tcPr>
          <w:p w14:paraId="3890D42E" w14:textId="5894A36C" w:rsidR="00F77067" w:rsidRPr="00B8073C" w:rsidRDefault="00085C36" w:rsidP="00085C36">
            <w:pPr>
              <w:pStyle w:val="TableText0"/>
              <w:jc w:val="center"/>
              <w:rPr>
                <w:highlight w:val="darkGray"/>
              </w:rPr>
            </w:pPr>
            <w:r w:rsidRPr="00085C36">
              <w:rPr>
                <w:color w:val="000000"/>
                <w:spacing w:val="53"/>
                <w:shd w:val="solid" w:color="000000" w:fill="000000"/>
                <w:fitText w:val="330" w:id="-694519039"/>
                <w14:textFill>
                  <w14:solidFill>
                    <w14:srgbClr w14:val="000000">
                      <w14:alpha w14:val="100000"/>
                    </w14:srgbClr>
                  </w14:solidFill>
                </w14:textFill>
              </w:rPr>
              <w:t>|||</w:t>
            </w:r>
            <w:r w:rsidRPr="00085C36">
              <w:rPr>
                <w:color w:val="000000"/>
                <w:spacing w:val="1"/>
                <w:shd w:val="solid" w:color="000000" w:fill="000000"/>
                <w:fitText w:val="330" w:id="-694519039"/>
                <w14:textFill>
                  <w14:solidFill>
                    <w14:srgbClr w14:val="000000">
                      <w14:alpha w14:val="100000"/>
                    </w14:srgbClr>
                  </w14:solidFill>
                </w14:textFill>
              </w:rPr>
              <w:t>|</w:t>
            </w:r>
            <w:r w:rsidR="00F85229" w:rsidRPr="00F85229">
              <w:rPr>
                <w:vertAlign w:val="superscript"/>
              </w:rPr>
              <w:t>6</w:t>
            </w:r>
          </w:p>
        </w:tc>
        <w:tc>
          <w:tcPr>
            <w:tcW w:w="628" w:type="pct"/>
            <w:shd w:val="clear" w:color="auto" w:fill="auto"/>
            <w:vAlign w:val="center"/>
          </w:tcPr>
          <w:p w14:paraId="2728B643" w14:textId="2A733FD3" w:rsidR="00F77067" w:rsidRPr="00B8073C" w:rsidRDefault="00085C36" w:rsidP="00085C36">
            <w:pPr>
              <w:pStyle w:val="TableText0"/>
              <w:jc w:val="center"/>
              <w:rPr>
                <w:highlight w:val="darkGray"/>
              </w:rPr>
            </w:pPr>
            <w:r w:rsidRPr="00085C36">
              <w:rPr>
                <w:color w:val="000000"/>
                <w:spacing w:val="53"/>
                <w:shd w:val="solid" w:color="000000" w:fill="000000"/>
                <w:fitText w:val="330" w:id="-694519038"/>
                <w14:textFill>
                  <w14:solidFill>
                    <w14:srgbClr w14:val="000000">
                      <w14:alpha w14:val="100000"/>
                    </w14:srgbClr>
                  </w14:solidFill>
                </w14:textFill>
              </w:rPr>
              <w:t>|||</w:t>
            </w:r>
            <w:r w:rsidRPr="00085C36">
              <w:rPr>
                <w:color w:val="000000"/>
                <w:spacing w:val="1"/>
                <w:shd w:val="solid" w:color="000000" w:fill="000000"/>
                <w:fitText w:val="330" w:id="-694519038"/>
                <w14:textFill>
                  <w14:solidFill>
                    <w14:srgbClr w14:val="000000">
                      <w14:alpha w14:val="100000"/>
                    </w14:srgbClr>
                  </w14:solidFill>
                </w14:textFill>
              </w:rPr>
              <w:t>|</w:t>
            </w:r>
            <w:r w:rsidR="00F85229" w:rsidRPr="00F85229">
              <w:rPr>
                <w:vertAlign w:val="superscript"/>
              </w:rPr>
              <w:t>6</w:t>
            </w:r>
          </w:p>
        </w:tc>
        <w:tc>
          <w:tcPr>
            <w:tcW w:w="551" w:type="pct"/>
            <w:shd w:val="clear" w:color="auto" w:fill="auto"/>
            <w:vAlign w:val="center"/>
          </w:tcPr>
          <w:p w14:paraId="5FE5021A" w14:textId="682ABD6B" w:rsidR="00F77067" w:rsidRPr="00B8073C" w:rsidRDefault="00085C36" w:rsidP="00085C36">
            <w:pPr>
              <w:pStyle w:val="TableText0"/>
              <w:jc w:val="center"/>
              <w:rPr>
                <w:highlight w:val="darkGray"/>
              </w:rPr>
            </w:pPr>
            <w:r w:rsidRPr="00085C36">
              <w:rPr>
                <w:color w:val="000000"/>
                <w:spacing w:val="53"/>
                <w:shd w:val="solid" w:color="000000" w:fill="000000"/>
                <w:fitText w:val="330" w:id="-694519037"/>
                <w14:textFill>
                  <w14:solidFill>
                    <w14:srgbClr w14:val="000000">
                      <w14:alpha w14:val="100000"/>
                    </w14:srgbClr>
                  </w14:solidFill>
                </w14:textFill>
              </w:rPr>
              <w:t>|||</w:t>
            </w:r>
            <w:r w:rsidRPr="00085C36">
              <w:rPr>
                <w:color w:val="000000"/>
                <w:spacing w:val="1"/>
                <w:shd w:val="solid" w:color="000000" w:fill="000000"/>
                <w:fitText w:val="330" w:id="-694519037"/>
                <w14:textFill>
                  <w14:solidFill>
                    <w14:srgbClr w14:val="000000">
                      <w14:alpha w14:val="100000"/>
                    </w14:srgbClr>
                  </w14:solidFill>
                </w14:textFill>
              </w:rPr>
              <w:t>|</w:t>
            </w:r>
            <w:r w:rsidR="0072064E" w:rsidRPr="0072064E">
              <w:rPr>
                <w:vertAlign w:val="superscript"/>
              </w:rPr>
              <w:t>7</w:t>
            </w:r>
          </w:p>
        </w:tc>
        <w:tc>
          <w:tcPr>
            <w:tcW w:w="522" w:type="pct"/>
            <w:vAlign w:val="center"/>
          </w:tcPr>
          <w:p w14:paraId="6F8E9082" w14:textId="696A3C2A" w:rsidR="00F77067" w:rsidRPr="00B8073C" w:rsidRDefault="00085C36" w:rsidP="00085C36">
            <w:pPr>
              <w:pStyle w:val="TableText0"/>
              <w:jc w:val="center"/>
              <w:rPr>
                <w:highlight w:val="darkGray"/>
              </w:rPr>
            </w:pPr>
            <w:r w:rsidRPr="00085C36">
              <w:rPr>
                <w:color w:val="000000"/>
                <w:spacing w:val="53"/>
                <w:shd w:val="solid" w:color="000000" w:fill="000000"/>
                <w:fitText w:val="330" w:id="-694519036"/>
                <w14:textFill>
                  <w14:solidFill>
                    <w14:srgbClr w14:val="000000">
                      <w14:alpha w14:val="100000"/>
                    </w14:srgbClr>
                  </w14:solidFill>
                </w14:textFill>
              </w:rPr>
              <w:t>|||</w:t>
            </w:r>
            <w:r w:rsidRPr="00085C36">
              <w:rPr>
                <w:color w:val="000000"/>
                <w:spacing w:val="1"/>
                <w:shd w:val="solid" w:color="000000" w:fill="000000"/>
                <w:fitText w:val="330" w:id="-694519036"/>
                <w14:textFill>
                  <w14:solidFill>
                    <w14:srgbClr w14:val="000000">
                      <w14:alpha w14:val="100000"/>
                    </w14:srgbClr>
                  </w14:solidFill>
                </w14:textFill>
              </w:rPr>
              <w:t>|</w:t>
            </w:r>
            <w:r w:rsidR="0072064E" w:rsidRPr="0072064E">
              <w:rPr>
                <w:vertAlign w:val="superscript"/>
              </w:rPr>
              <w:t>7</w:t>
            </w:r>
          </w:p>
        </w:tc>
      </w:tr>
      <w:tr w:rsidR="00F77067" w:rsidRPr="0098262F" w14:paraId="344AC0E2" w14:textId="77777777" w:rsidTr="26403EC0">
        <w:tc>
          <w:tcPr>
            <w:tcW w:w="5000" w:type="pct"/>
            <w:gridSpan w:val="7"/>
            <w:shd w:val="clear" w:color="auto" w:fill="auto"/>
            <w:vAlign w:val="center"/>
          </w:tcPr>
          <w:p w14:paraId="0FF7E64D" w14:textId="182777F0" w:rsidR="00F77067" w:rsidRPr="00F77067" w:rsidRDefault="00F77067" w:rsidP="00F77067">
            <w:pPr>
              <w:pStyle w:val="TableText0"/>
              <w:rPr>
                <w:b/>
                <w:bCs/>
              </w:rPr>
            </w:pPr>
            <w:r w:rsidRPr="00F77067">
              <w:rPr>
                <w:b/>
                <w:bCs/>
              </w:rPr>
              <w:t>Estimated financial implications for AVAL and ALGL</w:t>
            </w:r>
            <w:r>
              <w:rPr>
                <w:b/>
                <w:bCs/>
              </w:rPr>
              <w:t xml:space="preserve"> on the LSDP</w:t>
            </w:r>
          </w:p>
        </w:tc>
      </w:tr>
      <w:tr w:rsidR="00F77067" w:rsidRPr="0098262F" w14:paraId="0CE077D9" w14:textId="77777777" w:rsidTr="00085C36">
        <w:tc>
          <w:tcPr>
            <w:tcW w:w="1491" w:type="pct"/>
            <w:shd w:val="clear" w:color="auto" w:fill="auto"/>
            <w:vAlign w:val="center"/>
          </w:tcPr>
          <w:p w14:paraId="40F6A2C5" w14:textId="722314E7" w:rsidR="00F77067" w:rsidRPr="0098262F" w:rsidRDefault="00F77067" w:rsidP="00F77067">
            <w:pPr>
              <w:pStyle w:val="TableText0"/>
            </w:pPr>
            <w:r w:rsidRPr="0098262F">
              <w:t xml:space="preserve">Cost to </w:t>
            </w:r>
            <w:r>
              <w:t>LSDP</w:t>
            </w:r>
          </w:p>
        </w:tc>
        <w:tc>
          <w:tcPr>
            <w:tcW w:w="629" w:type="pct"/>
            <w:shd w:val="clear" w:color="auto" w:fill="auto"/>
            <w:vAlign w:val="center"/>
          </w:tcPr>
          <w:p w14:paraId="50CF2446" w14:textId="45A8A43F" w:rsidR="00F77067" w:rsidRPr="00B8073C" w:rsidRDefault="00085C36" w:rsidP="00085C36">
            <w:pPr>
              <w:pStyle w:val="TableText0"/>
              <w:jc w:val="center"/>
              <w:rPr>
                <w:highlight w:val="darkGray"/>
              </w:rPr>
            </w:pPr>
            <w:r w:rsidRPr="00085C36">
              <w:rPr>
                <w:color w:val="000000"/>
                <w:spacing w:val="53"/>
                <w:shd w:val="solid" w:color="000000" w:fill="000000"/>
                <w:fitText w:val="330" w:id="-694519035"/>
                <w14:textFill>
                  <w14:solidFill>
                    <w14:srgbClr w14:val="000000">
                      <w14:alpha w14:val="100000"/>
                    </w14:srgbClr>
                  </w14:solidFill>
                </w14:textFill>
              </w:rPr>
              <w:t>|||</w:t>
            </w:r>
            <w:r w:rsidRPr="00085C36">
              <w:rPr>
                <w:color w:val="000000"/>
                <w:spacing w:val="1"/>
                <w:shd w:val="solid" w:color="000000" w:fill="000000"/>
                <w:fitText w:val="330" w:id="-694519035"/>
                <w14:textFill>
                  <w14:solidFill>
                    <w14:srgbClr w14:val="000000">
                      <w14:alpha w14:val="100000"/>
                    </w14:srgbClr>
                  </w14:solidFill>
                </w14:textFill>
              </w:rPr>
              <w:t>|</w:t>
            </w:r>
            <w:r w:rsidR="001F045C" w:rsidRPr="001F045C">
              <w:rPr>
                <w:vertAlign w:val="superscript"/>
              </w:rPr>
              <w:t>8</w:t>
            </w:r>
          </w:p>
        </w:tc>
        <w:tc>
          <w:tcPr>
            <w:tcW w:w="550" w:type="pct"/>
            <w:shd w:val="clear" w:color="auto" w:fill="auto"/>
            <w:vAlign w:val="center"/>
          </w:tcPr>
          <w:p w14:paraId="35AF80ED" w14:textId="545BD85B" w:rsidR="00F77067" w:rsidRPr="00B8073C" w:rsidRDefault="00085C36" w:rsidP="00085C36">
            <w:pPr>
              <w:pStyle w:val="TableText0"/>
              <w:jc w:val="center"/>
              <w:rPr>
                <w:highlight w:val="darkGray"/>
              </w:rPr>
            </w:pPr>
            <w:r w:rsidRPr="00085C36">
              <w:rPr>
                <w:color w:val="000000"/>
                <w:spacing w:val="53"/>
                <w:shd w:val="solid" w:color="000000" w:fill="000000"/>
                <w:fitText w:val="330" w:id="-694519034"/>
                <w14:textFill>
                  <w14:solidFill>
                    <w14:srgbClr w14:val="000000">
                      <w14:alpha w14:val="100000"/>
                    </w14:srgbClr>
                  </w14:solidFill>
                </w14:textFill>
              </w:rPr>
              <w:t>|||</w:t>
            </w:r>
            <w:r w:rsidRPr="00085C36">
              <w:rPr>
                <w:color w:val="000000"/>
                <w:spacing w:val="1"/>
                <w:shd w:val="solid" w:color="000000" w:fill="000000"/>
                <w:fitText w:val="330" w:id="-694519034"/>
                <w14:textFill>
                  <w14:solidFill>
                    <w14:srgbClr w14:val="000000">
                      <w14:alpha w14:val="100000"/>
                    </w14:srgbClr>
                  </w14:solidFill>
                </w14:textFill>
              </w:rPr>
              <w:t>|</w:t>
            </w:r>
            <w:r w:rsidR="001F045C" w:rsidRPr="001F045C">
              <w:rPr>
                <w:vertAlign w:val="superscript"/>
              </w:rPr>
              <w:t>8</w:t>
            </w:r>
          </w:p>
        </w:tc>
        <w:tc>
          <w:tcPr>
            <w:tcW w:w="629" w:type="pct"/>
            <w:shd w:val="clear" w:color="auto" w:fill="auto"/>
            <w:vAlign w:val="center"/>
          </w:tcPr>
          <w:p w14:paraId="28F1C25D" w14:textId="4B6ABEBE" w:rsidR="00F77067" w:rsidRPr="00B8073C" w:rsidRDefault="00085C36" w:rsidP="00085C36">
            <w:pPr>
              <w:pStyle w:val="TableText0"/>
              <w:jc w:val="center"/>
              <w:rPr>
                <w:highlight w:val="darkGray"/>
              </w:rPr>
            </w:pPr>
            <w:r w:rsidRPr="00085C36">
              <w:rPr>
                <w:color w:val="000000"/>
                <w:spacing w:val="53"/>
                <w:shd w:val="solid" w:color="000000" w:fill="000000"/>
                <w:fitText w:val="330" w:id="-694519033"/>
                <w14:textFill>
                  <w14:solidFill>
                    <w14:srgbClr w14:val="000000">
                      <w14:alpha w14:val="100000"/>
                    </w14:srgbClr>
                  </w14:solidFill>
                </w14:textFill>
              </w:rPr>
              <w:t>|||</w:t>
            </w:r>
            <w:r w:rsidRPr="00085C36">
              <w:rPr>
                <w:color w:val="000000"/>
                <w:spacing w:val="1"/>
                <w:shd w:val="solid" w:color="000000" w:fill="000000"/>
                <w:fitText w:val="330" w:id="-694519033"/>
                <w14:textFill>
                  <w14:solidFill>
                    <w14:srgbClr w14:val="000000">
                      <w14:alpha w14:val="100000"/>
                    </w14:srgbClr>
                  </w14:solidFill>
                </w14:textFill>
              </w:rPr>
              <w:t>|</w:t>
            </w:r>
            <w:r w:rsidR="001F045C" w:rsidRPr="001F045C">
              <w:rPr>
                <w:vertAlign w:val="superscript"/>
              </w:rPr>
              <w:t>8</w:t>
            </w:r>
          </w:p>
        </w:tc>
        <w:tc>
          <w:tcPr>
            <w:tcW w:w="628" w:type="pct"/>
            <w:shd w:val="clear" w:color="auto" w:fill="auto"/>
            <w:vAlign w:val="center"/>
          </w:tcPr>
          <w:p w14:paraId="5DBA4173" w14:textId="5EF4E313" w:rsidR="00F77067" w:rsidRPr="00B8073C" w:rsidRDefault="00085C36" w:rsidP="00085C36">
            <w:pPr>
              <w:pStyle w:val="TableText0"/>
              <w:jc w:val="center"/>
              <w:rPr>
                <w:highlight w:val="darkGray"/>
              </w:rPr>
            </w:pPr>
            <w:r w:rsidRPr="00085C36">
              <w:rPr>
                <w:color w:val="000000"/>
                <w:spacing w:val="53"/>
                <w:shd w:val="solid" w:color="000000" w:fill="000000"/>
                <w:fitText w:val="330" w:id="-694519032"/>
                <w14:textFill>
                  <w14:solidFill>
                    <w14:srgbClr w14:val="000000">
                      <w14:alpha w14:val="100000"/>
                    </w14:srgbClr>
                  </w14:solidFill>
                </w14:textFill>
              </w:rPr>
              <w:t>|||</w:t>
            </w:r>
            <w:r w:rsidRPr="00085C36">
              <w:rPr>
                <w:color w:val="000000"/>
                <w:spacing w:val="1"/>
                <w:shd w:val="solid" w:color="000000" w:fill="000000"/>
                <w:fitText w:val="330" w:id="-694519032"/>
                <w14:textFill>
                  <w14:solidFill>
                    <w14:srgbClr w14:val="000000">
                      <w14:alpha w14:val="100000"/>
                    </w14:srgbClr>
                  </w14:solidFill>
                </w14:textFill>
              </w:rPr>
              <w:t>|</w:t>
            </w:r>
            <w:r w:rsidR="001F045C" w:rsidRPr="001F045C">
              <w:rPr>
                <w:vertAlign w:val="superscript"/>
              </w:rPr>
              <w:t>8</w:t>
            </w:r>
          </w:p>
        </w:tc>
        <w:tc>
          <w:tcPr>
            <w:tcW w:w="551" w:type="pct"/>
            <w:shd w:val="clear" w:color="auto" w:fill="auto"/>
            <w:vAlign w:val="center"/>
          </w:tcPr>
          <w:p w14:paraId="4D6DC68C" w14:textId="5814EE7F" w:rsidR="00F77067" w:rsidRPr="00B8073C" w:rsidRDefault="00085C36" w:rsidP="00085C36">
            <w:pPr>
              <w:pStyle w:val="TableText0"/>
              <w:jc w:val="center"/>
              <w:rPr>
                <w:highlight w:val="darkGray"/>
              </w:rPr>
            </w:pPr>
            <w:r w:rsidRPr="00085C36">
              <w:rPr>
                <w:color w:val="000000"/>
                <w:spacing w:val="53"/>
                <w:shd w:val="solid" w:color="000000" w:fill="000000"/>
                <w:fitText w:val="330" w:id="-694519031"/>
                <w14:textFill>
                  <w14:solidFill>
                    <w14:srgbClr w14:val="000000">
                      <w14:alpha w14:val="100000"/>
                    </w14:srgbClr>
                  </w14:solidFill>
                </w14:textFill>
              </w:rPr>
              <w:t>|||</w:t>
            </w:r>
            <w:r w:rsidRPr="00085C36">
              <w:rPr>
                <w:color w:val="000000"/>
                <w:spacing w:val="1"/>
                <w:shd w:val="solid" w:color="000000" w:fill="000000"/>
                <w:fitText w:val="330" w:id="-694519031"/>
                <w14:textFill>
                  <w14:solidFill>
                    <w14:srgbClr w14:val="000000">
                      <w14:alpha w14:val="100000"/>
                    </w14:srgbClr>
                  </w14:solidFill>
                </w14:textFill>
              </w:rPr>
              <w:t>|</w:t>
            </w:r>
            <w:r w:rsidR="001F045C" w:rsidRPr="001F045C">
              <w:rPr>
                <w:vertAlign w:val="superscript"/>
              </w:rPr>
              <w:t>8</w:t>
            </w:r>
          </w:p>
        </w:tc>
        <w:tc>
          <w:tcPr>
            <w:tcW w:w="522" w:type="pct"/>
            <w:vAlign w:val="center"/>
          </w:tcPr>
          <w:p w14:paraId="0766C6AC" w14:textId="7F91425A" w:rsidR="00F77067" w:rsidRPr="00B8073C" w:rsidRDefault="00085C36" w:rsidP="00085C36">
            <w:pPr>
              <w:pStyle w:val="TableText0"/>
              <w:jc w:val="center"/>
              <w:rPr>
                <w:highlight w:val="darkGray"/>
              </w:rPr>
            </w:pPr>
            <w:r w:rsidRPr="00085C36">
              <w:rPr>
                <w:color w:val="000000"/>
                <w:spacing w:val="53"/>
                <w:shd w:val="solid" w:color="000000" w:fill="000000"/>
                <w:fitText w:val="330" w:id="-694519030"/>
                <w14:textFill>
                  <w14:solidFill>
                    <w14:srgbClr w14:val="000000">
                      <w14:alpha w14:val="100000"/>
                    </w14:srgbClr>
                  </w14:solidFill>
                </w14:textFill>
              </w:rPr>
              <w:t>|||</w:t>
            </w:r>
            <w:r w:rsidRPr="00085C36">
              <w:rPr>
                <w:color w:val="000000"/>
                <w:spacing w:val="1"/>
                <w:shd w:val="solid" w:color="000000" w:fill="000000"/>
                <w:fitText w:val="330" w:id="-694519030"/>
                <w14:textFill>
                  <w14:solidFill>
                    <w14:srgbClr w14:val="000000">
                      <w14:alpha w14:val="100000"/>
                    </w14:srgbClr>
                  </w14:solidFill>
                </w14:textFill>
              </w:rPr>
              <w:t>|</w:t>
            </w:r>
            <w:r w:rsidR="001F045C" w:rsidRPr="001F045C">
              <w:rPr>
                <w:vertAlign w:val="superscript"/>
              </w:rPr>
              <w:t>8</w:t>
            </w:r>
          </w:p>
        </w:tc>
      </w:tr>
      <w:tr w:rsidR="00F77067" w:rsidRPr="0098262F" w14:paraId="4FA07BD8" w14:textId="77777777" w:rsidTr="26403EC0">
        <w:tc>
          <w:tcPr>
            <w:tcW w:w="5000" w:type="pct"/>
            <w:gridSpan w:val="7"/>
            <w:shd w:val="clear" w:color="auto" w:fill="auto"/>
            <w:vAlign w:val="center"/>
          </w:tcPr>
          <w:p w14:paraId="1A627EA0" w14:textId="0C986591" w:rsidR="00F77067" w:rsidRPr="000D5F65" w:rsidRDefault="00F77067" w:rsidP="000D2D05">
            <w:pPr>
              <w:pStyle w:val="In-tableHeading"/>
            </w:pPr>
            <w:r w:rsidRPr="0098262F">
              <w:t>Net financial implications</w:t>
            </w:r>
            <w:r w:rsidRPr="0098262F">
              <w:rPr>
                <w:color w:val="4BACC6" w:themeColor="accent5"/>
              </w:rPr>
              <w:t xml:space="preserve"> </w:t>
            </w:r>
            <w:r w:rsidR="000D5F65">
              <w:t>to Government</w:t>
            </w:r>
          </w:p>
        </w:tc>
      </w:tr>
      <w:tr w:rsidR="000D5F65" w:rsidRPr="0098262F" w14:paraId="3F33D4C6" w14:textId="77777777" w:rsidTr="00085C36">
        <w:tc>
          <w:tcPr>
            <w:tcW w:w="1491" w:type="pct"/>
            <w:shd w:val="clear" w:color="auto" w:fill="auto"/>
            <w:vAlign w:val="center"/>
          </w:tcPr>
          <w:p w14:paraId="5ABBDE64" w14:textId="2A454FCC" w:rsidR="000D5F65" w:rsidRPr="0098262F" w:rsidRDefault="000D5F65" w:rsidP="000D5F65">
            <w:pPr>
              <w:pStyle w:val="TableText0"/>
            </w:pPr>
            <w:r w:rsidRPr="0098262F">
              <w:t xml:space="preserve">Net cost to </w:t>
            </w:r>
            <w:r>
              <w:t>Government</w:t>
            </w:r>
          </w:p>
        </w:tc>
        <w:tc>
          <w:tcPr>
            <w:tcW w:w="629" w:type="pct"/>
            <w:shd w:val="clear" w:color="auto" w:fill="auto"/>
            <w:vAlign w:val="center"/>
          </w:tcPr>
          <w:p w14:paraId="744F82C2" w14:textId="1EF53F53" w:rsidR="000D5F65" w:rsidRPr="00B8073C" w:rsidRDefault="00085C36" w:rsidP="00085C36">
            <w:pPr>
              <w:pStyle w:val="TableText0"/>
              <w:jc w:val="center"/>
              <w:rPr>
                <w:highlight w:val="darkGray"/>
              </w:rPr>
            </w:pPr>
            <w:r w:rsidRPr="00085C36">
              <w:rPr>
                <w:color w:val="000000"/>
                <w:spacing w:val="53"/>
                <w:shd w:val="solid" w:color="000000" w:fill="000000"/>
                <w:fitText w:val="330" w:id="-694519029"/>
                <w14:textFill>
                  <w14:solidFill>
                    <w14:srgbClr w14:val="000000">
                      <w14:alpha w14:val="100000"/>
                    </w14:srgbClr>
                  </w14:solidFill>
                </w14:textFill>
              </w:rPr>
              <w:t>|||</w:t>
            </w:r>
            <w:r w:rsidRPr="00085C36">
              <w:rPr>
                <w:color w:val="000000"/>
                <w:spacing w:val="1"/>
                <w:shd w:val="solid" w:color="000000" w:fill="000000"/>
                <w:fitText w:val="330" w:id="-694519029"/>
                <w14:textFill>
                  <w14:solidFill>
                    <w14:srgbClr w14:val="000000">
                      <w14:alpha w14:val="100000"/>
                    </w14:srgbClr>
                  </w14:solidFill>
                </w14:textFill>
              </w:rPr>
              <w:t>|</w:t>
            </w:r>
            <w:r w:rsidR="001F045C" w:rsidRPr="001F045C">
              <w:rPr>
                <w:vertAlign w:val="superscript"/>
              </w:rPr>
              <w:t>8</w:t>
            </w:r>
          </w:p>
        </w:tc>
        <w:tc>
          <w:tcPr>
            <w:tcW w:w="550" w:type="pct"/>
            <w:shd w:val="clear" w:color="auto" w:fill="auto"/>
            <w:vAlign w:val="center"/>
          </w:tcPr>
          <w:p w14:paraId="295843EA" w14:textId="0BD9421D" w:rsidR="000D5F65" w:rsidRPr="00B8073C" w:rsidRDefault="00085C36" w:rsidP="00085C36">
            <w:pPr>
              <w:pStyle w:val="TableText0"/>
              <w:jc w:val="center"/>
              <w:rPr>
                <w:highlight w:val="darkGray"/>
              </w:rPr>
            </w:pPr>
            <w:r w:rsidRPr="00085C36">
              <w:rPr>
                <w:color w:val="000000"/>
                <w:spacing w:val="53"/>
                <w:shd w:val="solid" w:color="000000" w:fill="000000"/>
                <w:fitText w:val="330" w:id="-694519028"/>
                <w14:textFill>
                  <w14:solidFill>
                    <w14:srgbClr w14:val="000000">
                      <w14:alpha w14:val="100000"/>
                    </w14:srgbClr>
                  </w14:solidFill>
                </w14:textFill>
              </w:rPr>
              <w:t>|||</w:t>
            </w:r>
            <w:r w:rsidRPr="00085C36">
              <w:rPr>
                <w:color w:val="000000"/>
                <w:spacing w:val="1"/>
                <w:shd w:val="solid" w:color="000000" w:fill="000000"/>
                <w:fitText w:val="330" w:id="-694519028"/>
                <w14:textFill>
                  <w14:solidFill>
                    <w14:srgbClr w14:val="000000">
                      <w14:alpha w14:val="100000"/>
                    </w14:srgbClr>
                  </w14:solidFill>
                </w14:textFill>
              </w:rPr>
              <w:t>|</w:t>
            </w:r>
            <w:r w:rsidR="001F045C" w:rsidRPr="001F045C">
              <w:rPr>
                <w:vertAlign w:val="superscript"/>
              </w:rPr>
              <w:t>8</w:t>
            </w:r>
          </w:p>
        </w:tc>
        <w:tc>
          <w:tcPr>
            <w:tcW w:w="629" w:type="pct"/>
            <w:shd w:val="clear" w:color="auto" w:fill="auto"/>
            <w:vAlign w:val="center"/>
          </w:tcPr>
          <w:p w14:paraId="3A32302A" w14:textId="77E4E5AB" w:rsidR="000D5F65" w:rsidRPr="00B8073C" w:rsidRDefault="00085C36" w:rsidP="00085C36">
            <w:pPr>
              <w:pStyle w:val="TableText0"/>
              <w:jc w:val="center"/>
              <w:rPr>
                <w:highlight w:val="darkGray"/>
              </w:rPr>
            </w:pPr>
            <w:r w:rsidRPr="00085C36">
              <w:rPr>
                <w:color w:val="000000"/>
                <w:spacing w:val="53"/>
                <w:shd w:val="solid" w:color="000000" w:fill="000000"/>
                <w:fitText w:val="330" w:id="-694519027"/>
                <w14:textFill>
                  <w14:solidFill>
                    <w14:srgbClr w14:val="000000">
                      <w14:alpha w14:val="100000"/>
                    </w14:srgbClr>
                  </w14:solidFill>
                </w14:textFill>
              </w:rPr>
              <w:t>|||</w:t>
            </w:r>
            <w:r w:rsidRPr="00085C36">
              <w:rPr>
                <w:color w:val="000000"/>
                <w:spacing w:val="1"/>
                <w:shd w:val="solid" w:color="000000" w:fill="000000"/>
                <w:fitText w:val="330" w:id="-694519027"/>
                <w14:textFill>
                  <w14:solidFill>
                    <w14:srgbClr w14:val="000000">
                      <w14:alpha w14:val="100000"/>
                    </w14:srgbClr>
                  </w14:solidFill>
                </w14:textFill>
              </w:rPr>
              <w:t>|</w:t>
            </w:r>
            <w:r w:rsidR="001F045C" w:rsidRPr="001F045C">
              <w:rPr>
                <w:vertAlign w:val="superscript"/>
              </w:rPr>
              <w:t>8</w:t>
            </w:r>
          </w:p>
        </w:tc>
        <w:tc>
          <w:tcPr>
            <w:tcW w:w="628" w:type="pct"/>
            <w:shd w:val="clear" w:color="auto" w:fill="auto"/>
            <w:vAlign w:val="center"/>
          </w:tcPr>
          <w:p w14:paraId="326E9207" w14:textId="39E15C41" w:rsidR="000D5F65" w:rsidRPr="00B8073C" w:rsidRDefault="00085C36" w:rsidP="00085C36">
            <w:pPr>
              <w:pStyle w:val="TableText0"/>
              <w:jc w:val="center"/>
              <w:rPr>
                <w:highlight w:val="darkGray"/>
              </w:rPr>
            </w:pPr>
            <w:r w:rsidRPr="00085C36">
              <w:rPr>
                <w:color w:val="000000"/>
                <w:spacing w:val="53"/>
                <w:shd w:val="solid" w:color="000000" w:fill="000000"/>
                <w:fitText w:val="330" w:id="-694519026"/>
                <w14:textFill>
                  <w14:solidFill>
                    <w14:srgbClr w14:val="000000">
                      <w14:alpha w14:val="100000"/>
                    </w14:srgbClr>
                  </w14:solidFill>
                </w14:textFill>
              </w:rPr>
              <w:t>|||</w:t>
            </w:r>
            <w:r w:rsidRPr="00085C36">
              <w:rPr>
                <w:color w:val="000000"/>
                <w:spacing w:val="1"/>
                <w:shd w:val="solid" w:color="000000" w:fill="000000"/>
                <w:fitText w:val="330" w:id="-694519026"/>
                <w14:textFill>
                  <w14:solidFill>
                    <w14:srgbClr w14:val="000000">
                      <w14:alpha w14:val="100000"/>
                    </w14:srgbClr>
                  </w14:solidFill>
                </w14:textFill>
              </w:rPr>
              <w:t>|</w:t>
            </w:r>
            <w:r w:rsidR="001F045C" w:rsidRPr="001F045C">
              <w:rPr>
                <w:vertAlign w:val="superscript"/>
              </w:rPr>
              <w:t>8</w:t>
            </w:r>
          </w:p>
        </w:tc>
        <w:tc>
          <w:tcPr>
            <w:tcW w:w="551" w:type="pct"/>
            <w:shd w:val="clear" w:color="auto" w:fill="auto"/>
            <w:vAlign w:val="center"/>
          </w:tcPr>
          <w:p w14:paraId="56E4D70E" w14:textId="2E67295C" w:rsidR="000D5F65" w:rsidRPr="00B8073C" w:rsidRDefault="00085C36" w:rsidP="00085C36">
            <w:pPr>
              <w:pStyle w:val="TableText0"/>
              <w:jc w:val="center"/>
              <w:rPr>
                <w:highlight w:val="darkGray"/>
              </w:rPr>
            </w:pPr>
            <w:r w:rsidRPr="00085C36">
              <w:rPr>
                <w:color w:val="000000"/>
                <w:spacing w:val="53"/>
                <w:shd w:val="solid" w:color="000000" w:fill="000000"/>
                <w:fitText w:val="330" w:id="-694519025"/>
                <w14:textFill>
                  <w14:solidFill>
                    <w14:srgbClr w14:val="000000">
                      <w14:alpha w14:val="100000"/>
                    </w14:srgbClr>
                  </w14:solidFill>
                </w14:textFill>
              </w:rPr>
              <w:t>|||</w:t>
            </w:r>
            <w:r w:rsidRPr="00085C36">
              <w:rPr>
                <w:color w:val="000000"/>
                <w:spacing w:val="1"/>
                <w:shd w:val="solid" w:color="000000" w:fill="000000"/>
                <w:fitText w:val="330" w:id="-694519025"/>
                <w14:textFill>
                  <w14:solidFill>
                    <w14:srgbClr w14:val="000000">
                      <w14:alpha w14:val="100000"/>
                    </w14:srgbClr>
                  </w14:solidFill>
                </w14:textFill>
              </w:rPr>
              <w:t>|</w:t>
            </w:r>
            <w:r w:rsidR="00071A3E" w:rsidRPr="001F045C">
              <w:rPr>
                <w:vertAlign w:val="superscript"/>
              </w:rPr>
              <w:t>8</w:t>
            </w:r>
          </w:p>
        </w:tc>
        <w:tc>
          <w:tcPr>
            <w:tcW w:w="522" w:type="pct"/>
            <w:vAlign w:val="center"/>
          </w:tcPr>
          <w:p w14:paraId="241B1CFD" w14:textId="6196D85A" w:rsidR="000D5F65" w:rsidRPr="00B8073C" w:rsidRDefault="00085C36" w:rsidP="00085C36">
            <w:pPr>
              <w:pStyle w:val="TableText0"/>
              <w:jc w:val="center"/>
              <w:rPr>
                <w:highlight w:val="darkGray"/>
              </w:rPr>
            </w:pPr>
            <w:r w:rsidRPr="00085C36">
              <w:rPr>
                <w:color w:val="000000"/>
                <w:spacing w:val="53"/>
                <w:shd w:val="solid" w:color="000000" w:fill="000000"/>
                <w:fitText w:val="330" w:id="-694519024"/>
                <w14:textFill>
                  <w14:solidFill>
                    <w14:srgbClr w14:val="000000">
                      <w14:alpha w14:val="100000"/>
                    </w14:srgbClr>
                  </w14:solidFill>
                </w14:textFill>
              </w:rPr>
              <w:t>|||</w:t>
            </w:r>
            <w:r w:rsidRPr="00085C36">
              <w:rPr>
                <w:color w:val="000000"/>
                <w:spacing w:val="1"/>
                <w:shd w:val="solid" w:color="000000" w:fill="000000"/>
                <w:fitText w:val="330" w:id="-694519024"/>
                <w14:textFill>
                  <w14:solidFill>
                    <w14:srgbClr w14:val="000000">
                      <w14:alpha w14:val="100000"/>
                    </w14:srgbClr>
                  </w14:solidFill>
                </w14:textFill>
              </w:rPr>
              <w:t>|</w:t>
            </w:r>
            <w:r w:rsidR="00071A3E" w:rsidRPr="001F045C">
              <w:rPr>
                <w:vertAlign w:val="superscript"/>
              </w:rPr>
              <w:t>8</w:t>
            </w:r>
          </w:p>
        </w:tc>
      </w:tr>
    </w:tbl>
    <w:p w14:paraId="484CF5B6" w14:textId="3648DD24" w:rsidR="00620C25" w:rsidRPr="0098262F" w:rsidRDefault="00620C25" w:rsidP="00620C25">
      <w:pPr>
        <w:pStyle w:val="FooterTableFigure"/>
        <w:rPr>
          <w:rStyle w:val="CommentReference"/>
        </w:rPr>
      </w:pPr>
      <w:r w:rsidRPr="0098262F">
        <w:t>Source: Table</w:t>
      </w:r>
      <w:r w:rsidR="00F77067">
        <w:t xml:space="preserve"> 69, Table 70,; </w:t>
      </w:r>
      <w:r w:rsidRPr="0098262F">
        <w:t>of the submission.</w:t>
      </w:r>
    </w:p>
    <w:p w14:paraId="7656BE24" w14:textId="77777777" w:rsidR="00B8073C" w:rsidRDefault="00E466F3" w:rsidP="00B8073C">
      <w:pPr>
        <w:pStyle w:val="FooterTableFigure"/>
      </w:pPr>
      <w:r w:rsidRPr="26403EC0">
        <w:rPr>
          <w:vertAlign w:val="superscript"/>
        </w:rPr>
        <w:t>a</w:t>
      </w:r>
      <w:r w:rsidR="00606FBA" w:rsidRPr="26403EC0">
        <w:t xml:space="preserve"> </w:t>
      </w:r>
      <w:r w:rsidRPr="26403EC0">
        <w:t xml:space="preserve">Assuming </w:t>
      </w:r>
      <w:r w:rsidR="00F77067" w:rsidRPr="26403EC0">
        <w:t xml:space="preserve">380.34 vials </w:t>
      </w:r>
      <w:r w:rsidR="00F112AA" w:rsidRPr="26403EC0">
        <w:t>of</w:t>
      </w:r>
      <w:r w:rsidR="00F77067" w:rsidRPr="26403EC0">
        <w:t xml:space="preserve"> CIPA per patient per year and 26 MIG scripts per patient per year</w:t>
      </w:r>
      <w:r w:rsidRPr="26403EC0">
        <w:t xml:space="preserve"> as estimated by the submission.</w:t>
      </w:r>
      <w:r w:rsidR="009C0C7E" w:rsidRPr="26403EC0">
        <w:t xml:space="preserve"> There appeared to be rounding errors in the number of scripts dispensed</w:t>
      </w:r>
      <w:r w:rsidR="00A049D7" w:rsidRPr="26403EC0">
        <w:t xml:space="preserve">, </w:t>
      </w:r>
      <w:r w:rsidR="0036422C" w:rsidRPr="26403EC0">
        <w:t xml:space="preserve">the number of </w:t>
      </w:r>
      <w:r w:rsidR="00EF2116" w:rsidRPr="26403EC0">
        <w:t xml:space="preserve">CIPA scripts dispensed </w:t>
      </w:r>
      <w:r w:rsidR="00E62DF7" w:rsidRPr="26403EC0">
        <w:t>per year</w:t>
      </w:r>
      <w:r w:rsidR="00EF2116" w:rsidRPr="26403EC0">
        <w:t xml:space="preserve"> does not match the number of patients </w:t>
      </w:r>
      <w:r w:rsidR="00E62DF7" w:rsidRPr="26403EC0">
        <w:t xml:space="preserve">per year </w:t>
      </w:r>
      <w:r w:rsidR="00EF2116" w:rsidRPr="26403EC0">
        <w:t xml:space="preserve">multiplied by </w:t>
      </w:r>
      <w:r w:rsidR="007F694D" w:rsidRPr="26403EC0">
        <w:t xml:space="preserve">the estimated number of CIPA </w:t>
      </w:r>
      <w:r w:rsidR="007C68D4" w:rsidRPr="26403EC0">
        <w:t xml:space="preserve">vials per patient </w:t>
      </w:r>
      <w:r w:rsidR="00E62DF7" w:rsidRPr="26403EC0">
        <w:t>per year</w:t>
      </w:r>
      <w:r w:rsidR="00E13384" w:rsidRPr="26403EC0">
        <w:t>.</w:t>
      </w:r>
      <w:r w:rsidR="009C0C7E" w:rsidRPr="26403EC0">
        <w:t xml:space="preserve"> </w:t>
      </w:r>
    </w:p>
    <w:p w14:paraId="31DDE189" w14:textId="3A8AB536" w:rsidR="00B8073C" w:rsidRPr="00747462" w:rsidRDefault="00B8073C" w:rsidP="00B8073C">
      <w:pPr>
        <w:pStyle w:val="FooterTableFigure"/>
        <w:rPr>
          <w:i/>
          <w:iCs/>
        </w:rPr>
      </w:pPr>
      <w:r w:rsidRPr="00747462">
        <w:rPr>
          <w:i/>
          <w:iCs/>
        </w:rPr>
        <w:t xml:space="preserve">The redacted values correspond to the following ranges: </w:t>
      </w:r>
    </w:p>
    <w:p w14:paraId="2242FAAB" w14:textId="77777777" w:rsidR="00AD5855" w:rsidRPr="00747462" w:rsidRDefault="00B8073C" w:rsidP="00B8073C">
      <w:pPr>
        <w:pStyle w:val="FooterTableFigure"/>
        <w:rPr>
          <w:i/>
          <w:iCs/>
        </w:rPr>
      </w:pPr>
      <w:r w:rsidRPr="00747462">
        <w:rPr>
          <w:i/>
          <w:iCs/>
          <w:vertAlign w:val="superscript"/>
        </w:rPr>
        <w:t>1</w:t>
      </w:r>
      <w:r w:rsidRPr="00747462">
        <w:rPr>
          <w:i/>
          <w:iCs/>
        </w:rPr>
        <w:t xml:space="preserve"> &lt; 500 </w:t>
      </w:r>
    </w:p>
    <w:p w14:paraId="451B6A53" w14:textId="77777777" w:rsidR="00165345" w:rsidRPr="00747462" w:rsidRDefault="00AD5855" w:rsidP="00B8073C">
      <w:pPr>
        <w:pStyle w:val="FooterTableFigure"/>
        <w:rPr>
          <w:i/>
          <w:iCs/>
        </w:rPr>
      </w:pPr>
      <w:r w:rsidRPr="00747462">
        <w:rPr>
          <w:i/>
          <w:iCs/>
          <w:vertAlign w:val="superscript"/>
        </w:rPr>
        <w:t>2</w:t>
      </w:r>
      <w:r w:rsidRPr="00747462">
        <w:rPr>
          <w:i/>
          <w:iCs/>
        </w:rPr>
        <w:t xml:space="preserve"> 10,000 to &lt; 20,000</w:t>
      </w:r>
      <w:r w:rsidR="00165345" w:rsidRPr="00747462">
        <w:rPr>
          <w:i/>
          <w:iCs/>
        </w:rPr>
        <w:t xml:space="preserve"> </w:t>
      </w:r>
    </w:p>
    <w:p w14:paraId="4A474293" w14:textId="07FACD52" w:rsidR="00B8073C" w:rsidRPr="00747462" w:rsidRDefault="00165345" w:rsidP="00B8073C">
      <w:pPr>
        <w:pStyle w:val="FooterTableFigure"/>
        <w:rPr>
          <w:i/>
          <w:iCs/>
        </w:rPr>
      </w:pPr>
      <w:r w:rsidRPr="00747462">
        <w:rPr>
          <w:i/>
          <w:iCs/>
          <w:vertAlign w:val="superscript"/>
        </w:rPr>
        <w:t>3</w:t>
      </w:r>
      <w:r w:rsidRPr="00747462">
        <w:rPr>
          <w:i/>
          <w:iCs/>
        </w:rPr>
        <w:t xml:space="preserve"> 20,000 to &lt; 30,000</w:t>
      </w:r>
    </w:p>
    <w:p w14:paraId="1D96105D" w14:textId="77777777" w:rsidR="00990806" w:rsidRPr="00747462" w:rsidRDefault="00751724" w:rsidP="00B8073C">
      <w:pPr>
        <w:pStyle w:val="FooterTableFigure"/>
        <w:rPr>
          <w:i/>
          <w:iCs/>
        </w:rPr>
      </w:pPr>
      <w:r w:rsidRPr="00747462">
        <w:rPr>
          <w:i/>
          <w:iCs/>
          <w:vertAlign w:val="superscript"/>
        </w:rPr>
        <w:t>4</w:t>
      </w:r>
      <w:r w:rsidR="00B8073C" w:rsidRPr="00747462">
        <w:rPr>
          <w:i/>
          <w:iCs/>
        </w:rPr>
        <w:t xml:space="preserve"> 500 to &lt; 5,000</w:t>
      </w:r>
      <w:r w:rsidR="00990806" w:rsidRPr="00747462">
        <w:rPr>
          <w:i/>
          <w:iCs/>
        </w:rPr>
        <w:t xml:space="preserve"> </w:t>
      </w:r>
    </w:p>
    <w:p w14:paraId="263DAC3A" w14:textId="77777777" w:rsidR="00EB559D" w:rsidRPr="00747462" w:rsidRDefault="00990806" w:rsidP="00B8073C">
      <w:pPr>
        <w:pStyle w:val="FooterTableFigure"/>
        <w:rPr>
          <w:i/>
          <w:iCs/>
        </w:rPr>
      </w:pPr>
      <w:r w:rsidRPr="00747462">
        <w:rPr>
          <w:i/>
          <w:iCs/>
          <w:vertAlign w:val="superscript"/>
        </w:rPr>
        <w:t>5</w:t>
      </w:r>
      <w:r w:rsidRPr="00747462">
        <w:rPr>
          <w:i/>
          <w:iCs/>
        </w:rPr>
        <w:t xml:space="preserve"> $20 million to &lt; $30 million</w:t>
      </w:r>
      <w:r w:rsidR="00EB559D" w:rsidRPr="00747462">
        <w:rPr>
          <w:i/>
          <w:iCs/>
        </w:rPr>
        <w:t xml:space="preserve"> </w:t>
      </w:r>
    </w:p>
    <w:p w14:paraId="2E3D5995" w14:textId="77777777" w:rsidR="001F045C" w:rsidRPr="00747462" w:rsidRDefault="00EB559D" w:rsidP="00B8073C">
      <w:pPr>
        <w:pStyle w:val="FooterTableFigure"/>
        <w:rPr>
          <w:i/>
          <w:iCs/>
        </w:rPr>
      </w:pPr>
      <w:r w:rsidRPr="00747462">
        <w:rPr>
          <w:i/>
          <w:iCs/>
          <w:vertAlign w:val="superscript"/>
        </w:rPr>
        <w:t xml:space="preserve">6 </w:t>
      </w:r>
      <w:r w:rsidRPr="00747462">
        <w:rPr>
          <w:i/>
          <w:iCs/>
        </w:rPr>
        <w:t>$30 million to &lt; $40 million</w:t>
      </w:r>
      <w:r w:rsidR="001F045C" w:rsidRPr="00747462">
        <w:rPr>
          <w:i/>
          <w:iCs/>
        </w:rPr>
        <w:t xml:space="preserve"> </w:t>
      </w:r>
    </w:p>
    <w:p w14:paraId="7E16ED9B" w14:textId="77777777" w:rsidR="0038117C" w:rsidRPr="00747462" w:rsidRDefault="001F045C" w:rsidP="00B8073C">
      <w:pPr>
        <w:pStyle w:val="FooterTableFigure"/>
        <w:rPr>
          <w:i/>
          <w:iCs/>
        </w:rPr>
      </w:pPr>
      <w:r w:rsidRPr="00747462">
        <w:rPr>
          <w:i/>
          <w:iCs/>
          <w:vertAlign w:val="superscript"/>
        </w:rPr>
        <w:t>7</w:t>
      </w:r>
      <w:r w:rsidRPr="00747462">
        <w:rPr>
          <w:i/>
          <w:iCs/>
        </w:rPr>
        <w:t xml:space="preserve"> $40 million to &lt; $50 million</w:t>
      </w:r>
      <w:r w:rsidR="0038117C" w:rsidRPr="00747462">
        <w:rPr>
          <w:i/>
          <w:iCs/>
        </w:rPr>
        <w:t xml:space="preserve"> </w:t>
      </w:r>
    </w:p>
    <w:p w14:paraId="65E99FBE" w14:textId="02B8941E" w:rsidR="00E466F3" w:rsidRPr="00747462" w:rsidRDefault="0038117C" w:rsidP="00B8073C">
      <w:pPr>
        <w:pStyle w:val="FooterTableFigure"/>
        <w:rPr>
          <w:i/>
          <w:iCs/>
        </w:rPr>
      </w:pPr>
      <w:r w:rsidRPr="00747462">
        <w:rPr>
          <w:i/>
          <w:iCs/>
          <w:vertAlign w:val="superscript"/>
        </w:rPr>
        <w:t>8</w:t>
      </w:r>
      <w:r w:rsidRPr="00747462">
        <w:rPr>
          <w:i/>
          <w:iCs/>
        </w:rPr>
        <w:t xml:space="preserve"> net cost saving</w:t>
      </w:r>
    </w:p>
    <w:p w14:paraId="41F02D90" w14:textId="4AF9455A" w:rsidR="001671A0" w:rsidRPr="00702D1A" w:rsidRDefault="002F630E" w:rsidP="00625B2F">
      <w:pPr>
        <w:pStyle w:val="3-BodyText"/>
        <w:rPr>
          <w:iCs/>
        </w:rPr>
      </w:pPr>
      <w:r w:rsidRPr="00702D1A">
        <w:rPr>
          <w:iCs/>
        </w:rPr>
        <w:t xml:space="preserve">The </w:t>
      </w:r>
      <w:r w:rsidR="002068A0" w:rsidRPr="00702D1A">
        <w:rPr>
          <w:iCs/>
        </w:rPr>
        <w:t xml:space="preserve">net cost to the </w:t>
      </w:r>
      <w:r w:rsidR="009C0C7E" w:rsidRPr="00702D1A">
        <w:rPr>
          <w:iCs/>
        </w:rPr>
        <w:t>LSDP u</w:t>
      </w:r>
      <w:r w:rsidR="00C7060A" w:rsidRPr="00702D1A">
        <w:rPr>
          <w:iCs/>
        </w:rPr>
        <w:t>sing</w:t>
      </w:r>
      <w:r w:rsidR="002068A0" w:rsidRPr="00702D1A">
        <w:rPr>
          <w:iCs/>
        </w:rPr>
        <w:t xml:space="preserve"> the effective price of </w:t>
      </w:r>
      <w:r w:rsidR="00D13E74" w:rsidRPr="00702D1A">
        <w:rPr>
          <w:iCs/>
        </w:rPr>
        <w:t>AVAL</w:t>
      </w:r>
      <w:r w:rsidR="001606AF" w:rsidRPr="00702D1A">
        <w:rPr>
          <w:iCs/>
        </w:rPr>
        <w:t xml:space="preserve"> </w:t>
      </w:r>
      <w:r w:rsidR="00891E6F" w:rsidRPr="00702D1A">
        <w:rPr>
          <w:iCs/>
        </w:rPr>
        <w:t xml:space="preserve">to calculate the effective price of </w:t>
      </w:r>
      <w:r w:rsidRPr="00702D1A">
        <w:rPr>
          <w:iCs/>
        </w:rPr>
        <w:t>CIPA MIG</w:t>
      </w:r>
      <w:r w:rsidR="00891E6F" w:rsidRPr="00702D1A">
        <w:rPr>
          <w:iCs/>
        </w:rPr>
        <w:t xml:space="preserve"> </w:t>
      </w:r>
      <w:r w:rsidR="001606AF" w:rsidRPr="00702D1A">
        <w:rPr>
          <w:iCs/>
        </w:rPr>
        <w:t xml:space="preserve">and actual LSDP utilisation data </w:t>
      </w:r>
      <w:r w:rsidR="00C7060A" w:rsidRPr="00702D1A">
        <w:rPr>
          <w:iCs/>
        </w:rPr>
        <w:t>is presented in the Committee-in-Confidence section</w:t>
      </w:r>
      <w:r w:rsidR="002068A0" w:rsidRPr="00702D1A">
        <w:rPr>
          <w:iCs/>
        </w:rPr>
        <w:t>.</w:t>
      </w:r>
      <w:r w:rsidR="001671A0" w:rsidRPr="00702D1A">
        <w:rPr>
          <w:iCs/>
          <w:color w:val="0066FF"/>
        </w:rPr>
        <w:t xml:space="preserve"> </w:t>
      </w:r>
    </w:p>
    <w:p w14:paraId="1118AE69" w14:textId="7546A00A" w:rsidR="00625B2F" w:rsidRPr="00702D1A" w:rsidRDefault="00625B2F" w:rsidP="00625B2F">
      <w:pPr>
        <w:pStyle w:val="3-BodyText"/>
        <w:rPr>
          <w:iCs/>
        </w:rPr>
      </w:pPr>
      <w:r w:rsidRPr="00702D1A">
        <w:rPr>
          <w:iCs/>
        </w:rPr>
        <w:t xml:space="preserve">The submission did not present any sensitivity analyses for these estimates. </w:t>
      </w:r>
    </w:p>
    <w:p w14:paraId="2238DEE9" w14:textId="3E6A228B" w:rsidR="00576972" w:rsidRPr="0098262F" w:rsidRDefault="00576972" w:rsidP="00606FBA">
      <w:pPr>
        <w:pStyle w:val="4-SubsectionHeading"/>
      </w:pPr>
      <w:bookmarkStart w:id="55" w:name="_Toc22897648"/>
      <w:bookmarkStart w:id="56" w:name="_Toc187576340"/>
      <w:r w:rsidRPr="0098262F">
        <w:t>Quality Use of Medicines</w:t>
      </w:r>
      <w:bookmarkEnd w:id="55"/>
      <w:bookmarkEnd w:id="56"/>
    </w:p>
    <w:p w14:paraId="38BD0AEF" w14:textId="1FA5340C" w:rsidR="00576972" w:rsidRPr="0098262F" w:rsidRDefault="00C27704" w:rsidP="00606FBA">
      <w:pPr>
        <w:pStyle w:val="3-BodyText"/>
        <w:rPr>
          <w:color w:val="0066FF"/>
        </w:rPr>
      </w:pPr>
      <w:r>
        <w:t>The submission did not provide any information about the quality use of medicines with respect to CIPAMIG.</w:t>
      </w:r>
    </w:p>
    <w:p w14:paraId="6015A395" w14:textId="2EDB6A4E" w:rsidR="00576972" w:rsidRPr="0098262F" w:rsidRDefault="00576972" w:rsidP="00606FBA">
      <w:pPr>
        <w:pStyle w:val="4-SubsectionHeading"/>
      </w:pPr>
      <w:bookmarkStart w:id="57" w:name="_Toc22897649"/>
      <w:bookmarkStart w:id="58" w:name="_Toc187576341"/>
      <w:r w:rsidRPr="0098262F">
        <w:t>Financial Management – Risk Sharing Arrangements</w:t>
      </w:r>
      <w:bookmarkEnd w:id="57"/>
      <w:bookmarkEnd w:id="58"/>
    </w:p>
    <w:p w14:paraId="25BA2464" w14:textId="79A23947" w:rsidR="00894CD6" w:rsidRPr="0098262F" w:rsidRDefault="00C27704" w:rsidP="004C2AC2">
      <w:pPr>
        <w:pStyle w:val="3-BodyText"/>
        <w:rPr>
          <w:color w:val="0066FF"/>
        </w:rPr>
      </w:pPr>
      <w:r>
        <w:t>The submission did not propose a risk share or any other financial arrangement</w:t>
      </w:r>
      <w:r w:rsidR="009C0C7E">
        <w:t xml:space="preserve"> for the PBS as </w:t>
      </w:r>
      <w:r w:rsidR="00856461">
        <w:t>the sponsor intended to list</w:t>
      </w:r>
      <w:r w:rsidR="00D50042">
        <w:t xml:space="preserve"> </w:t>
      </w:r>
      <w:r w:rsidR="009C0C7E">
        <w:t>on the LSDP</w:t>
      </w:r>
      <w:r>
        <w:t xml:space="preserve">. As noted in Section 3, </w:t>
      </w:r>
      <w:r w:rsidDel="00FA5DD0">
        <w:t>t</w:t>
      </w:r>
      <w:r>
        <w:t xml:space="preserve">he submission </w:t>
      </w:r>
      <w:r w:rsidR="003C34DE">
        <w:t>did not propose</w:t>
      </w:r>
      <w:r>
        <w:t xml:space="preserve"> a Special Pricing Arrangement</w:t>
      </w:r>
      <w:r w:rsidR="00A22416">
        <w:t>.</w:t>
      </w:r>
    </w:p>
    <w:p w14:paraId="6DF2C584" w14:textId="0386F778" w:rsidR="006F4732" w:rsidRDefault="00AD3E85" w:rsidP="006F4732">
      <w:pPr>
        <w:pStyle w:val="3-BodyText"/>
        <w:rPr>
          <w:lang w:eastAsia="en-US"/>
        </w:rPr>
      </w:pPr>
      <w:r>
        <w:rPr>
          <w:lang w:eastAsia="en-US"/>
        </w:rPr>
        <w:t>The submission also provided information about the price of CIPAMIG in overseas markets (Table 73</w:t>
      </w:r>
      <w:r w:rsidR="000334CB">
        <w:rPr>
          <w:lang w:eastAsia="en-US"/>
        </w:rPr>
        <w:t xml:space="preserve"> of the submission</w:t>
      </w:r>
      <w:r>
        <w:rPr>
          <w:lang w:eastAsia="en-US"/>
        </w:rPr>
        <w:t>)</w:t>
      </w:r>
      <w:r w:rsidR="00777A6B">
        <w:rPr>
          <w:lang w:eastAsia="en-US"/>
        </w:rPr>
        <w:t>.</w:t>
      </w:r>
      <w:r>
        <w:rPr>
          <w:lang w:eastAsia="en-US"/>
        </w:rPr>
        <w:t xml:space="preserve"> </w:t>
      </w:r>
    </w:p>
    <w:p w14:paraId="4F985937" w14:textId="15905CAE" w:rsidR="006F4732" w:rsidRPr="006F4732" w:rsidRDefault="006F4732" w:rsidP="006F4732">
      <w:pPr>
        <w:pStyle w:val="3-BodyText"/>
        <w:numPr>
          <w:ilvl w:val="0"/>
          <w:numId w:val="0"/>
        </w:numPr>
        <w:ind w:left="720"/>
        <w:rPr>
          <w:lang w:eastAsia="en-US"/>
        </w:rPr>
      </w:pPr>
      <w:r w:rsidRPr="006F4732">
        <w:rPr>
          <w:i/>
          <w:iCs/>
          <w:lang w:eastAsia="en-US"/>
        </w:rPr>
        <w:t>For more detail on PBAC’s view, see section 7 PBAC outcome.</w:t>
      </w:r>
    </w:p>
    <w:p w14:paraId="45815F47" w14:textId="379A4B06" w:rsidR="00336968" w:rsidRDefault="00336968">
      <w:pPr>
        <w:jc w:val="left"/>
        <w:rPr>
          <w:rFonts w:asciiTheme="minorHAnsi" w:eastAsiaTheme="majorEastAsia" w:hAnsiTheme="minorHAnsi" w:cstheme="majorBidi"/>
          <w:b/>
          <w:color w:val="000000" w:themeColor="text1"/>
        </w:rPr>
      </w:pPr>
    </w:p>
    <w:p w14:paraId="4A4AD018" w14:textId="0FAEF1DD" w:rsidR="008A3C3E" w:rsidRPr="0098262F" w:rsidRDefault="008A3C3E" w:rsidP="009C426B">
      <w:pPr>
        <w:pStyle w:val="5-SubsectionSubheading"/>
        <w:jc w:val="center"/>
      </w:pPr>
      <w:bookmarkStart w:id="59" w:name="_Toc187576344"/>
      <w:r w:rsidRPr="0098262F">
        <w:t>Committee-In-</w:t>
      </w:r>
      <w:r w:rsidRPr="009C426B">
        <w:t>Confidence</w:t>
      </w:r>
      <w:r w:rsidRPr="0098262F">
        <w:t xml:space="preserve"> information</w:t>
      </w:r>
      <w:bookmarkEnd w:id="59"/>
    </w:p>
    <w:p w14:paraId="7F13D676" w14:textId="77777777" w:rsidR="00D30D5B" w:rsidRPr="0098262F" w:rsidRDefault="00D30D5B" w:rsidP="00BB176C">
      <w:pPr>
        <w:keepNext/>
        <w:keepLines/>
        <w:rPr>
          <w:color w:val="3366FF"/>
        </w:rPr>
      </w:pPr>
    </w:p>
    <w:p w14:paraId="046E5562" w14:textId="4DCF40CC" w:rsidR="00551D35" w:rsidRPr="004E4B2F" w:rsidRDefault="00551D35" w:rsidP="00551D35">
      <w:pPr>
        <w:pStyle w:val="Caption"/>
      </w:pPr>
      <w:r w:rsidRPr="004E4B2F">
        <w:t xml:space="preserve">Results of the CMA </w:t>
      </w:r>
      <w:r w:rsidR="008C23AE">
        <w:t>using the effective price of AVAL</w:t>
      </w:r>
      <w:r w:rsidRPr="004E4B2F">
        <w:t xml:space="preserve">- One year cost of </w:t>
      </w:r>
      <w:r>
        <w:t>CIPA MIG</w:t>
      </w:r>
    </w:p>
    <w:tbl>
      <w:tblPr>
        <w:tblStyle w:val="TableGrid"/>
        <w:tblW w:w="5186" w:type="pct"/>
        <w:tblLook w:val="04A0" w:firstRow="1" w:lastRow="0" w:firstColumn="1" w:lastColumn="0" w:noHBand="0" w:noVBand="1"/>
        <w:tblCaption w:val="Results of the CMA using the effective price of AVAL- One year cost of CIPA MIG"/>
      </w:tblPr>
      <w:tblGrid>
        <w:gridCol w:w="845"/>
        <w:gridCol w:w="4538"/>
        <w:gridCol w:w="1494"/>
        <w:gridCol w:w="2475"/>
      </w:tblGrid>
      <w:tr w:rsidR="00551D35" w:rsidRPr="008E269C" w14:paraId="31E31B27" w14:textId="77777777" w:rsidTr="00A32E57">
        <w:trPr>
          <w:trHeight w:val="20"/>
        </w:trPr>
        <w:tc>
          <w:tcPr>
            <w:tcW w:w="452" w:type="pct"/>
            <w:tcBorders>
              <w:bottom w:val="single" w:sz="4" w:space="0" w:color="auto"/>
            </w:tcBorders>
            <w:shd w:val="solid" w:color="000000" w:fill="000000"/>
          </w:tcPr>
          <w:p w14:paraId="17CE3924" w14:textId="12BF2021" w:rsidR="00551D35" w:rsidRPr="008E269C" w:rsidRDefault="00B536C4" w:rsidP="000D2D05">
            <w:pPr>
              <w:pStyle w:val="In-tableHeading"/>
            </w:pPr>
            <w:r w:rsidRPr="00085C36">
              <w:rPr>
                <w:spacing w:val="55"/>
                <w:fitText w:val="225" w:id="-729043968"/>
              </w:rPr>
              <w:t>||</w:t>
            </w:r>
            <w:r w:rsidRPr="00085C36">
              <w:rPr>
                <w:spacing w:val="1"/>
                <w:fitText w:val="225" w:id="-729043968"/>
              </w:rPr>
              <w:t>|</w:t>
            </w:r>
          </w:p>
        </w:tc>
        <w:tc>
          <w:tcPr>
            <w:tcW w:w="2426" w:type="pct"/>
            <w:shd w:val="solid" w:color="000000" w:fill="000000"/>
          </w:tcPr>
          <w:p w14:paraId="5D72D7D1" w14:textId="2E7CA9DE" w:rsidR="00551D35" w:rsidRPr="008E269C" w:rsidRDefault="00A32E57" w:rsidP="000D2D05">
            <w:pPr>
              <w:pStyle w:val="In-tableHeading"/>
            </w:pPr>
            <w:r w:rsidRPr="00085C36">
              <w:rPr>
                <w:spacing w:val="25"/>
                <w:fitText w:val="690" w:id="-729043456"/>
              </w:rPr>
              <w:t>|||||||||</w:t>
            </w:r>
            <w:r w:rsidRPr="00085C36">
              <w:rPr>
                <w:spacing w:val="87"/>
                <w:fitText w:val="690" w:id="-729043456"/>
              </w:rPr>
              <w:t>|</w:t>
            </w:r>
          </w:p>
        </w:tc>
        <w:tc>
          <w:tcPr>
            <w:tcW w:w="799" w:type="pct"/>
            <w:tcBorders>
              <w:bottom w:val="single" w:sz="4" w:space="0" w:color="auto"/>
            </w:tcBorders>
            <w:shd w:val="clear" w:color="auto" w:fill="auto"/>
          </w:tcPr>
          <w:p w14:paraId="19CE608B" w14:textId="51D2C9A3" w:rsidR="00551D35" w:rsidRPr="008E269C" w:rsidRDefault="00A32E57" w:rsidP="000D2D05">
            <w:pPr>
              <w:pStyle w:val="In-tableHeading"/>
            </w:pPr>
            <w:r w:rsidRPr="00085C36">
              <w:rPr>
                <w:spacing w:val="25"/>
                <w:shd w:val="solid" w:color="000000" w:fill="000000"/>
                <w:fitText w:val="1035" w:id="-729043455"/>
              </w:rPr>
              <w:t>|||||||||||||||</w:t>
            </w:r>
            <w:r w:rsidRPr="00085C36">
              <w:rPr>
                <w:spacing w:val="50"/>
                <w:shd w:val="solid" w:color="000000" w:fill="000000"/>
                <w:fitText w:val="1035" w:id="-729043455"/>
              </w:rPr>
              <w:t>|</w:t>
            </w:r>
            <w:r w:rsidRPr="008E269C">
              <w:t xml:space="preserve"> </w:t>
            </w:r>
            <w:r w:rsidRPr="00085C36">
              <w:rPr>
                <w:spacing w:val="25"/>
                <w:shd w:val="solid" w:color="000000" w:fill="000000"/>
                <w:fitText w:val="1170" w:id="-729043454"/>
              </w:rPr>
              <w:t>|||||||||||||||||</w:t>
            </w:r>
            <w:r w:rsidRPr="00085C36">
              <w:rPr>
                <w:spacing w:val="62"/>
                <w:shd w:val="solid" w:color="000000" w:fill="000000"/>
                <w:fitText w:val="1170" w:id="-729043454"/>
              </w:rPr>
              <w:t>|</w:t>
            </w:r>
          </w:p>
        </w:tc>
        <w:tc>
          <w:tcPr>
            <w:tcW w:w="1323" w:type="pct"/>
            <w:tcBorders>
              <w:bottom w:val="single" w:sz="4" w:space="0" w:color="auto"/>
            </w:tcBorders>
            <w:shd w:val="solid" w:color="000000" w:fill="000000"/>
          </w:tcPr>
          <w:p w14:paraId="1D5A7264" w14:textId="6AC29118" w:rsidR="00551D35" w:rsidRPr="008E269C" w:rsidRDefault="00A32E57" w:rsidP="000D2D05">
            <w:pPr>
              <w:pStyle w:val="In-tableHeading"/>
            </w:pPr>
            <w:r w:rsidRPr="00085C36">
              <w:rPr>
                <w:spacing w:val="25"/>
                <w:fitText w:val="675" w:id="-729043453"/>
              </w:rPr>
              <w:t>|||||||||</w:t>
            </w:r>
            <w:r w:rsidRPr="00085C36">
              <w:rPr>
                <w:spacing w:val="62"/>
                <w:fitText w:val="675" w:id="-729043453"/>
              </w:rPr>
              <w:t>|</w:t>
            </w:r>
          </w:p>
        </w:tc>
      </w:tr>
      <w:tr w:rsidR="00551D35" w:rsidRPr="008E269C" w14:paraId="31093EEC" w14:textId="77777777" w:rsidTr="00151EDF">
        <w:trPr>
          <w:trHeight w:val="20"/>
        </w:trPr>
        <w:tc>
          <w:tcPr>
            <w:tcW w:w="452" w:type="pct"/>
            <w:tcBorders>
              <w:bottom w:val="single" w:sz="4" w:space="0" w:color="auto"/>
            </w:tcBorders>
            <w:shd w:val="solid" w:color="000000" w:fill="000000"/>
          </w:tcPr>
          <w:p w14:paraId="7095832D" w14:textId="03E77CDF" w:rsidR="00551D35" w:rsidRPr="008E269C" w:rsidRDefault="00B536C4">
            <w:pPr>
              <w:pStyle w:val="TableText0"/>
            </w:pPr>
            <w:r w:rsidRPr="008E269C">
              <w:rPr>
                <w:rFonts w:hint="eastAsia"/>
                <w:color w:val="000000"/>
                <w:w w:val="15"/>
                <w:fitText w:val="60" w:id="-729043967"/>
                <w14:textFill>
                  <w14:solidFill>
                    <w14:srgbClr w14:val="000000">
                      <w14:alpha w14:val="100000"/>
                    </w14:srgbClr>
                  </w14:solidFill>
                </w14:textFill>
              </w:rPr>
              <w:t xml:space="preserve">　</w:t>
            </w:r>
            <w:r w:rsidRPr="008E269C">
              <w:rPr>
                <w:color w:val="000000"/>
                <w:w w:val="15"/>
                <w:fitText w:val="60" w:id="-729043967"/>
                <w14:textFill>
                  <w14:solidFill>
                    <w14:srgbClr w14:val="000000">
                      <w14:alpha w14:val="100000"/>
                    </w14:srgbClr>
                  </w14:solidFill>
                </w14:textFill>
              </w:rPr>
              <w:t>|</w:t>
            </w:r>
            <w:r w:rsidRPr="008E269C">
              <w:rPr>
                <w:rFonts w:hint="eastAsia"/>
                <w:color w:val="000000"/>
                <w:spacing w:val="-15"/>
                <w:w w:val="15"/>
                <w:fitText w:val="60" w:id="-729043967"/>
                <w14:textFill>
                  <w14:solidFill>
                    <w14:srgbClr w14:val="000000">
                      <w14:alpha w14:val="100000"/>
                    </w14:srgbClr>
                  </w14:solidFill>
                </w14:textFill>
              </w:rPr>
              <w:t xml:space="preserve">　</w:t>
            </w:r>
          </w:p>
        </w:tc>
        <w:tc>
          <w:tcPr>
            <w:tcW w:w="2426" w:type="pct"/>
            <w:tcBorders>
              <w:bottom w:val="single" w:sz="4" w:space="0" w:color="auto"/>
            </w:tcBorders>
            <w:shd w:val="clear" w:color="auto" w:fill="auto"/>
          </w:tcPr>
          <w:p w14:paraId="32D657A6" w14:textId="295C1F03" w:rsidR="00551D35" w:rsidRPr="008E269C" w:rsidRDefault="00A32E57">
            <w:pPr>
              <w:pStyle w:val="TableText0"/>
            </w:pPr>
            <w:r w:rsidRPr="007A62D0">
              <w:rPr>
                <w:color w:val="000000"/>
                <w:spacing w:val="20"/>
                <w:shd w:val="solid" w:color="000000" w:fill="000000"/>
                <w:fitText w:val="3765" w:id="-729043200"/>
                <w14:textFill>
                  <w14:solidFill>
                    <w14:srgbClr w14:val="000000">
                      <w14:alpha w14:val="100000"/>
                    </w14:srgbClr>
                  </w14:solidFill>
                </w14:textFill>
              </w:rPr>
              <w:t>|||||||||||||||||||||||||||||||||||||||||||||||||||||||||||</w:t>
            </w:r>
            <w:r w:rsidRPr="007A62D0">
              <w:rPr>
                <w:color w:val="000000"/>
                <w:spacing w:val="30"/>
                <w:shd w:val="solid" w:color="000000" w:fill="000000"/>
                <w:fitText w:val="3765" w:id="-729043200"/>
                <w14:textFill>
                  <w14:solidFill>
                    <w14:srgbClr w14:val="000000">
                      <w14:alpha w14:val="100000"/>
                    </w14:srgbClr>
                  </w14:solidFill>
                </w14:textFill>
              </w:rPr>
              <w:t>|</w:t>
            </w:r>
            <w:r w:rsidRPr="008E269C">
              <w:t xml:space="preserve"> </w:t>
            </w:r>
            <w:r w:rsidRPr="00085C36">
              <w:rPr>
                <w:color w:val="000000"/>
                <w:spacing w:val="62"/>
                <w:shd w:val="solid" w:color="000000" w:fill="000000"/>
                <w:fitText w:val="360" w:id="-729043199"/>
                <w14:textFill>
                  <w14:solidFill>
                    <w14:srgbClr w14:val="000000">
                      <w14:alpha w14:val="100000"/>
                    </w14:srgbClr>
                  </w14:solidFill>
                </w14:textFill>
              </w:rPr>
              <w:t>|||</w:t>
            </w:r>
            <w:r w:rsidRPr="00085C36">
              <w:rPr>
                <w:color w:val="000000"/>
                <w:spacing w:val="12"/>
                <w:shd w:val="solid" w:color="000000" w:fill="000000"/>
                <w:fitText w:val="360" w:id="-729043199"/>
                <w14:textFill>
                  <w14:solidFill>
                    <w14:srgbClr w14:val="000000">
                      <w14:alpha w14:val="100000"/>
                    </w14:srgbClr>
                  </w14:solidFill>
                </w14:textFill>
              </w:rPr>
              <w:t>|</w:t>
            </w:r>
          </w:p>
        </w:tc>
        <w:tc>
          <w:tcPr>
            <w:tcW w:w="799" w:type="pct"/>
            <w:tcBorders>
              <w:bottom w:val="single" w:sz="4" w:space="0" w:color="auto"/>
            </w:tcBorders>
            <w:shd w:val="solid" w:color="000000" w:fill="000000"/>
          </w:tcPr>
          <w:p w14:paraId="63ED5059" w14:textId="4FF170D5" w:rsidR="00551D35" w:rsidRPr="008E269C" w:rsidRDefault="00A32E57">
            <w:pPr>
              <w:pStyle w:val="TableText0"/>
            </w:pPr>
            <w:r w:rsidRPr="00085C36">
              <w:rPr>
                <w:color w:val="000000"/>
                <w:spacing w:val="28"/>
                <w:fitText w:val="825" w:id="-729043198"/>
                <w14:textFill>
                  <w14:solidFill>
                    <w14:srgbClr w14:val="000000">
                      <w14:alpha w14:val="100000"/>
                    </w14:srgbClr>
                  </w14:solidFill>
                </w14:textFill>
              </w:rPr>
              <w:t>|||||||||||</w:t>
            </w:r>
            <w:r w:rsidRPr="00085C36">
              <w:rPr>
                <w:color w:val="000000"/>
                <w:spacing w:val="7"/>
                <w:fitText w:val="825" w:id="-729043198"/>
                <w14:textFill>
                  <w14:solidFill>
                    <w14:srgbClr w14:val="000000">
                      <w14:alpha w14:val="100000"/>
                    </w14:srgbClr>
                  </w14:solidFill>
                </w14:textFill>
              </w:rPr>
              <w:t>|</w:t>
            </w:r>
          </w:p>
        </w:tc>
        <w:tc>
          <w:tcPr>
            <w:tcW w:w="1323" w:type="pct"/>
            <w:shd w:val="solid" w:color="000000" w:fill="000000"/>
          </w:tcPr>
          <w:p w14:paraId="22304664" w14:textId="23862B86" w:rsidR="00551D35" w:rsidRPr="008E269C" w:rsidRDefault="00A32E57">
            <w:pPr>
              <w:pStyle w:val="TableText0"/>
            </w:pPr>
            <w:r w:rsidRPr="007A62D0">
              <w:rPr>
                <w:color w:val="000000"/>
                <w:spacing w:val="20"/>
                <w:fitText w:val="1875" w:id="-729043197"/>
                <w14:textFill>
                  <w14:solidFill>
                    <w14:srgbClr w14:val="000000">
                      <w14:alpha w14:val="100000"/>
                    </w14:srgbClr>
                  </w14:solidFill>
                </w14:textFill>
              </w:rPr>
              <w:t>|||||||||||||||||||||||||||||</w:t>
            </w:r>
            <w:r w:rsidRPr="007A62D0">
              <w:rPr>
                <w:color w:val="000000"/>
                <w:spacing w:val="18"/>
                <w:fitText w:val="1875" w:id="-729043197"/>
                <w14:textFill>
                  <w14:solidFill>
                    <w14:srgbClr w14:val="000000">
                      <w14:alpha w14:val="100000"/>
                    </w14:srgbClr>
                  </w14:solidFill>
                </w14:textFill>
              </w:rPr>
              <w:t>|</w:t>
            </w:r>
          </w:p>
        </w:tc>
      </w:tr>
      <w:tr w:rsidR="00551D35" w:rsidRPr="008E269C" w14:paraId="0543595E" w14:textId="77777777" w:rsidTr="004C77B7">
        <w:trPr>
          <w:trHeight w:val="20"/>
        </w:trPr>
        <w:tc>
          <w:tcPr>
            <w:tcW w:w="452" w:type="pct"/>
            <w:tcBorders>
              <w:bottom w:val="single" w:sz="4" w:space="0" w:color="auto"/>
            </w:tcBorders>
            <w:shd w:val="solid" w:color="000000" w:fill="000000"/>
          </w:tcPr>
          <w:p w14:paraId="4ABFC058" w14:textId="45689B6E" w:rsidR="00551D35" w:rsidRPr="008E269C" w:rsidRDefault="00B536C4">
            <w:pPr>
              <w:pStyle w:val="TableText0"/>
            </w:pPr>
            <w:r w:rsidRPr="00085C36">
              <w:rPr>
                <w:rFonts w:hint="eastAsia"/>
                <w:color w:val="000000"/>
                <w:w w:val="15"/>
                <w:fitText w:val="60" w:id="-729043966"/>
                <w14:textFill>
                  <w14:solidFill>
                    <w14:srgbClr w14:val="000000">
                      <w14:alpha w14:val="100000"/>
                    </w14:srgbClr>
                  </w14:solidFill>
                </w14:textFill>
              </w:rPr>
              <w:t xml:space="preserve">　</w:t>
            </w:r>
            <w:r w:rsidRPr="00085C36">
              <w:rPr>
                <w:color w:val="000000"/>
                <w:w w:val="15"/>
                <w:fitText w:val="60" w:id="-729043966"/>
                <w14:textFill>
                  <w14:solidFill>
                    <w14:srgbClr w14:val="000000">
                      <w14:alpha w14:val="100000"/>
                    </w14:srgbClr>
                  </w14:solidFill>
                </w14:textFill>
              </w:rPr>
              <w:t>|</w:t>
            </w:r>
            <w:r w:rsidRPr="00085C36">
              <w:rPr>
                <w:rFonts w:hint="eastAsia"/>
                <w:color w:val="000000"/>
                <w:spacing w:val="-12"/>
                <w:w w:val="15"/>
                <w:fitText w:val="60" w:id="-729043966"/>
                <w14:textFill>
                  <w14:solidFill>
                    <w14:srgbClr w14:val="000000">
                      <w14:alpha w14:val="100000"/>
                    </w14:srgbClr>
                  </w14:solidFill>
                </w14:textFill>
              </w:rPr>
              <w:t xml:space="preserve">　</w:t>
            </w:r>
          </w:p>
        </w:tc>
        <w:tc>
          <w:tcPr>
            <w:tcW w:w="2426" w:type="pct"/>
            <w:tcBorders>
              <w:bottom w:val="single" w:sz="4" w:space="0" w:color="auto"/>
            </w:tcBorders>
            <w:shd w:val="solid" w:color="000000" w:fill="000000"/>
          </w:tcPr>
          <w:p w14:paraId="3942DD4A" w14:textId="14232FEC" w:rsidR="00551D35" w:rsidRPr="008E269C" w:rsidRDefault="00151EDF">
            <w:pPr>
              <w:pStyle w:val="TableText0"/>
            </w:pPr>
            <w:r w:rsidRPr="007A62D0">
              <w:rPr>
                <w:color w:val="000000"/>
                <w:spacing w:val="20"/>
                <w:fitText w:val="3600" w:id="-729042688"/>
                <w14:textFill>
                  <w14:solidFill>
                    <w14:srgbClr w14:val="000000">
                      <w14:alpha w14:val="100000"/>
                    </w14:srgbClr>
                  </w14:solidFill>
                </w14:textFill>
              </w:rPr>
              <w:t>|||||||||||||||||||||||||||||||||||||||||||||||||||||||||</w:t>
            </w:r>
            <w:r w:rsidRPr="007A62D0">
              <w:rPr>
                <w:color w:val="000000"/>
                <w:spacing w:val="-9"/>
                <w:fitText w:val="3600" w:id="-729042688"/>
                <w14:textFill>
                  <w14:solidFill>
                    <w14:srgbClr w14:val="000000">
                      <w14:alpha w14:val="100000"/>
                    </w14:srgbClr>
                  </w14:solidFill>
                </w14:textFill>
              </w:rPr>
              <w:t>|</w:t>
            </w:r>
          </w:p>
        </w:tc>
        <w:tc>
          <w:tcPr>
            <w:tcW w:w="799" w:type="pct"/>
            <w:tcBorders>
              <w:bottom w:val="single" w:sz="4" w:space="0" w:color="auto"/>
            </w:tcBorders>
            <w:shd w:val="solid" w:color="000000" w:fill="000000"/>
          </w:tcPr>
          <w:p w14:paraId="55303A3F" w14:textId="1D113B47" w:rsidR="00551D35" w:rsidRPr="008E269C" w:rsidRDefault="00151EDF">
            <w:pPr>
              <w:pStyle w:val="TableText0"/>
            </w:pPr>
            <w:r w:rsidRPr="00085C36">
              <w:rPr>
                <w:color w:val="000000"/>
                <w:spacing w:val="28"/>
                <w:fitText w:val="825" w:id="-729042687"/>
                <w14:textFill>
                  <w14:solidFill>
                    <w14:srgbClr w14:val="000000">
                      <w14:alpha w14:val="100000"/>
                    </w14:srgbClr>
                  </w14:solidFill>
                </w14:textFill>
              </w:rPr>
              <w:t>|||||||||||</w:t>
            </w:r>
            <w:r w:rsidRPr="00085C36">
              <w:rPr>
                <w:color w:val="000000"/>
                <w:spacing w:val="7"/>
                <w:fitText w:val="825" w:id="-729042687"/>
                <w14:textFill>
                  <w14:solidFill>
                    <w14:srgbClr w14:val="000000">
                      <w14:alpha w14:val="100000"/>
                    </w14:srgbClr>
                  </w14:solidFill>
                </w14:textFill>
              </w:rPr>
              <w:t>|</w:t>
            </w:r>
          </w:p>
        </w:tc>
        <w:tc>
          <w:tcPr>
            <w:tcW w:w="1323" w:type="pct"/>
            <w:shd w:val="clear" w:color="auto" w:fill="auto"/>
          </w:tcPr>
          <w:p w14:paraId="36375EF9" w14:textId="204F9160" w:rsidR="00551D35" w:rsidRPr="008E269C" w:rsidRDefault="004C77B7">
            <w:pPr>
              <w:pStyle w:val="TableText0"/>
            </w:pPr>
            <w:r w:rsidRPr="007A62D0">
              <w:rPr>
                <w:color w:val="000000"/>
                <w:spacing w:val="20"/>
                <w:shd w:val="solid" w:color="000000" w:fill="000000"/>
                <w:fitText w:val="1995" w:id="-729042686"/>
                <w14:textFill>
                  <w14:solidFill>
                    <w14:srgbClr w14:val="000000">
                      <w14:alpha w14:val="100000"/>
                    </w14:srgbClr>
                  </w14:solidFill>
                </w14:textFill>
              </w:rPr>
              <w:t>|||||||||||||||||||||||||||||||</w:t>
            </w:r>
            <w:r w:rsidRPr="007A62D0">
              <w:rPr>
                <w:color w:val="000000"/>
                <w:spacing w:val="13"/>
                <w:shd w:val="solid" w:color="000000" w:fill="000000"/>
                <w:fitText w:val="1995" w:id="-729042686"/>
                <w14:textFill>
                  <w14:solidFill>
                    <w14:srgbClr w14:val="000000">
                      <w14:alpha w14:val="100000"/>
                    </w14:srgbClr>
                  </w14:solidFill>
                </w14:textFill>
              </w:rPr>
              <w:t>|</w:t>
            </w:r>
            <w:r w:rsidRPr="008E269C">
              <w:t xml:space="preserve"> </w:t>
            </w:r>
            <w:r w:rsidRPr="00085C36">
              <w:rPr>
                <w:color w:val="000000"/>
                <w:spacing w:val="162"/>
                <w:shd w:val="solid" w:color="000000" w:fill="000000"/>
                <w:fitText w:val="240" w:id="-729042685"/>
                <w14:textFill>
                  <w14:solidFill>
                    <w14:srgbClr w14:val="000000">
                      <w14:alpha w14:val="100000"/>
                    </w14:srgbClr>
                  </w14:solidFill>
                </w14:textFill>
              </w:rPr>
              <w:t>|</w:t>
            </w:r>
            <w:r w:rsidRPr="00085C36">
              <w:rPr>
                <w:color w:val="000000"/>
                <w:shd w:val="solid" w:color="000000" w:fill="000000"/>
                <w:fitText w:val="240" w:id="-729042685"/>
                <w14:textFill>
                  <w14:solidFill>
                    <w14:srgbClr w14:val="000000">
                      <w14:alpha w14:val="100000"/>
                    </w14:srgbClr>
                  </w14:solidFill>
                </w14:textFill>
              </w:rPr>
              <w:t>|</w:t>
            </w:r>
          </w:p>
        </w:tc>
      </w:tr>
      <w:tr w:rsidR="00551D35" w:rsidRPr="008E269C" w14:paraId="43A2BB0B" w14:textId="77777777" w:rsidTr="000C5EEF">
        <w:trPr>
          <w:trHeight w:val="20"/>
        </w:trPr>
        <w:tc>
          <w:tcPr>
            <w:tcW w:w="452" w:type="pct"/>
            <w:tcBorders>
              <w:bottom w:val="single" w:sz="4" w:space="0" w:color="auto"/>
            </w:tcBorders>
            <w:shd w:val="solid" w:color="000000" w:fill="000000"/>
          </w:tcPr>
          <w:p w14:paraId="03C815A3" w14:textId="51F3BB60" w:rsidR="00551D35" w:rsidRPr="008E269C" w:rsidRDefault="00B536C4">
            <w:pPr>
              <w:pStyle w:val="TableText0"/>
            </w:pPr>
            <w:r w:rsidRPr="00085C36">
              <w:rPr>
                <w:rFonts w:hint="eastAsia"/>
                <w:color w:val="000000"/>
                <w:w w:val="15"/>
                <w:fitText w:val="60" w:id="-729043712"/>
                <w14:textFill>
                  <w14:solidFill>
                    <w14:srgbClr w14:val="000000">
                      <w14:alpha w14:val="100000"/>
                    </w14:srgbClr>
                  </w14:solidFill>
                </w14:textFill>
              </w:rPr>
              <w:t xml:space="preserve">　</w:t>
            </w:r>
            <w:r w:rsidRPr="00085C36">
              <w:rPr>
                <w:color w:val="000000"/>
                <w:w w:val="15"/>
                <w:fitText w:val="60" w:id="-729043712"/>
                <w14:textFill>
                  <w14:solidFill>
                    <w14:srgbClr w14:val="000000">
                      <w14:alpha w14:val="100000"/>
                    </w14:srgbClr>
                  </w14:solidFill>
                </w14:textFill>
              </w:rPr>
              <w:t>|</w:t>
            </w:r>
            <w:r w:rsidRPr="00085C36">
              <w:rPr>
                <w:rFonts w:hint="eastAsia"/>
                <w:color w:val="000000"/>
                <w:spacing w:val="-12"/>
                <w:w w:val="15"/>
                <w:fitText w:val="60" w:id="-729043712"/>
                <w14:textFill>
                  <w14:solidFill>
                    <w14:srgbClr w14:val="000000">
                      <w14:alpha w14:val="100000"/>
                    </w14:srgbClr>
                  </w14:solidFill>
                </w14:textFill>
              </w:rPr>
              <w:t xml:space="preserve">　</w:t>
            </w:r>
          </w:p>
        </w:tc>
        <w:tc>
          <w:tcPr>
            <w:tcW w:w="2426" w:type="pct"/>
            <w:tcBorders>
              <w:bottom w:val="single" w:sz="4" w:space="0" w:color="auto"/>
            </w:tcBorders>
            <w:shd w:val="solid" w:color="000000" w:fill="000000"/>
          </w:tcPr>
          <w:p w14:paraId="2DF2C151" w14:textId="4A2C8060" w:rsidR="00551D35" w:rsidRPr="008E269C" w:rsidRDefault="004C77B7">
            <w:pPr>
              <w:pStyle w:val="TableText0"/>
            </w:pPr>
            <w:r w:rsidRPr="007A62D0">
              <w:rPr>
                <w:color w:val="000000"/>
                <w:spacing w:val="19"/>
                <w:fitText w:val="2340" w:id="-729042684"/>
                <w14:textFill>
                  <w14:solidFill>
                    <w14:srgbClr w14:val="000000">
                      <w14:alpha w14:val="100000"/>
                    </w14:srgbClr>
                  </w14:solidFill>
                </w14:textFill>
              </w:rPr>
              <w:t>||||||||||||||||||||||||||||||||||||||</w:t>
            </w:r>
          </w:p>
        </w:tc>
        <w:tc>
          <w:tcPr>
            <w:tcW w:w="799" w:type="pct"/>
            <w:tcBorders>
              <w:bottom w:val="single" w:sz="4" w:space="0" w:color="auto"/>
            </w:tcBorders>
            <w:shd w:val="solid" w:color="000000" w:fill="000000"/>
          </w:tcPr>
          <w:p w14:paraId="54EF159E" w14:textId="3D4A3C25" w:rsidR="00551D35" w:rsidRPr="008E269C" w:rsidRDefault="004C77B7">
            <w:pPr>
              <w:pStyle w:val="TableText0"/>
            </w:pPr>
            <w:r w:rsidRPr="008E269C">
              <w:rPr>
                <w:color w:val="000000"/>
                <w:spacing w:val="94"/>
                <w:fitText w:val="180" w:id="-729042432"/>
                <w14:textFill>
                  <w14:solidFill>
                    <w14:srgbClr w14:val="000000">
                      <w14:alpha w14:val="100000"/>
                    </w14:srgbClr>
                  </w14:solidFill>
                </w14:textFill>
              </w:rPr>
              <w:t>|</w:t>
            </w:r>
            <w:r w:rsidRPr="008E269C">
              <w:rPr>
                <w:color w:val="000000"/>
                <w:fitText w:val="180" w:id="-729042432"/>
                <w14:textFill>
                  <w14:solidFill>
                    <w14:srgbClr w14:val="000000">
                      <w14:alpha w14:val="100000"/>
                    </w14:srgbClr>
                  </w14:solidFill>
                </w14:textFill>
              </w:rPr>
              <w:t>|</w:t>
            </w:r>
          </w:p>
        </w:tc>
        <w:tc>
          <w:tcPr>
            <w:tcW w:w="1323" w:type="pct"/>
            <w:tcBorders>
              <w:bottom w:val="single" w:sz="4" w:space="0" w:color="auto"/>
            </w:tcBorders>
            <w:shd w:val="clear" w:color="auto" w:fill="auto"/>
          </w:tcPr>
          <w:p w14:paraId="731D3C64" w14:textId="05EDB61E" w:rsidR="00551D35" w:rsidRPr="008E269C" w:rsidRDefault="004C77B7">
            <w:pPr>
              <w:pStyle w:val="TableText0"/>
            </w:pPr>
            <w:r w:rsidRPr="007A62D0">
              <w:rPr>
                <w:color w:val="000000"/>
                <w:spacing w:val="22"/>
                <w:shd w:val="solid" w:color="000000" w:fill="000000"/>
                <w:fitText w:val="1665" w:id="-729042683"/>
                <w14:textFill>
                  <w14:solidFill>
                    <w14:srgbClr w14:val="000000">
                      <w14:alpha w14:val="100000"/>
                    </w14:srgbClr>
                  </w14:solidFill>
                </w14:textFill>
              </w:rPr>
              <w:t>|||||||||||||||||||||||||</w:t>
            </w:r>
            <w:r w:rsidRPr="007A62D0">
              <w:rPr>
                <w:color w:val="000000"/>
                <w:spacing w:val="8"/>
                <w:shd w:val="solid" w:color="000000" w:fill="000000"/>
                <w:fitText w:val="1665" w:id="-729042683"/>
                <w14:textFill>
                  <w14:solidFill>
                    <w14:srgbClr w14:val="000000">
                      <w14:alpha w14:val="100000"/>
                    </w14:srgbClr>
                  </w14:solidFill>
                </w14:textFill>
              </w:rPr>
              <w:t>|</w:t>
            </w:r>
            <w:r w:rsidRPr="008E269C">
              <w:rPr>
                <w:shd w:val="clear" w:color="auto" w:fill="000000" w:themeFill="text1"/>
              </w:rPr>
              <w:t xml:space="preserve"> </w:t>
            </w:r>
            <w:r w:rsidRPr="00085C36">
              <w:rPr>
                <w:color w:val="000000"/>
                <w:spacing w:val="56"/>
                <w:shd w:val="solid" w:color="000000" w:fill="000000"/>
                <w:fitText w:val="540" w:id="-729042682"/>
                <w14:textFill>
                  <w14:solidFill>
                    <w14:srgbClr w14:val="000000">
                      <w14:alpha w14:val="100000"/>
                    </w14:srgbClr>
                  </w14:solidFill>
                </w14:textFill>
              </w:rPr>
              <w:t>|||||</w:t>
            </w:r>
            <w:r w:rsidRPr="00085C36">
              <w:rPr>
                <w:color w:val="000000"/>
                <w:spacing w:val="5"/>
                <w:shd w:val="solid" w:color="000000" w:fill="000000"/>
                <w:fitText w:val="540" w:id="-729042682"/>
                <w14:textFill>
                  <w14:solidFill>
                    <w14:srgbClr w14:val="000000">
                      <w14:alpha w14:val="100000"/>
                    </w14:srgbClr>
                  </w14:solidFill>
                </w14:textFill>
              </w:rPr>
              <w:t>|</w:t>
            </w:r>
            <w:r w:rsidRPr="008E269C">
              <w:t xml:space="preserve"> </w:t>
            </w:r>
          </w:p>
        </w:tc>
      </w:tr>
      <w:tr w:rsidR="00551D35" w:rsidRPr="008E269C" w14:paraId="797D471E" w14:textId="77777777" w:rsidTr="004158A1">
        <w:trPr>
          <w:trHeight w:val="20"/>
        </w:trPr>
        <w:tc>
          <w:tcPr>
            <w:tcW w:w="452" w:type="pct"/>
            <w:tcBorders>
              <w:bottom w:val="single" w:sz="4" w:space="0" w:color="auto"/>
            </w:tcBorders>
            <w:shd w:val="solid" w:color="000000" w:fill="000000"/>
          </w:tcPr>
          <w:p w14:paraId="54EE726E" w14:textId="08EA648F" w:rsidR="00551D35" w:rsidRPr="008E269C" w:rsidRDefault="00B536C4">
            <w:pPr>
              <w:pStyle w:val="TableText0"/>
            </w:pPr>
            <w:r w:rsidRPr="00085C36">
              <w:rPr>
                <w:rFonts w:hint="eastAsia"/>
                <w:color w:val="000000"/>
                <w:w w:val="15"/>
                <w:fitText w:val="60" w:id="-729043711"/>
                <w14:textFill>
                  <w14:solidFill>
                    <w14:srgbClr w14:val="000000">
                      <w14:alpha w14:val="100000"/>
                    </w14:srgbClr>
                  </w14:solidFill>
                </w14:textFill>
              </w:rPr>
              <w:t xml:space="preserve">　</w:t>
            </w:r>
            <w:r w:rsidRPr="00085C36">
              <w:rPr>
                <w:color w:val="000000"/>
                <w:w w:val="15"/>
                <w:fitText w:val="60" w:id="-729043711"/>
                <w14:textFill>
                  <w14:solidFill>
                    <w14:srgbClr w14:val="000000">
                      <w14:alpha w14:val="100000"/>
                    </w14:srgbClr>
                  </w14:solidFill>
                </w14:textFill>
              </w:rPr>
              <w:t>|</w:t>
            </w:r>
            <w:r w:rsidRPr="00085C36">
              <w:rPr>
                <w:rFonts w:hint="eastAsia"/>
                <w:color w:val="000000"/>
                <w:spacing w:val="-12"/>
                <w:w w:val="15"/>
                <w:fitText w:val="60" w:id="-729043711"/>
                <w14:textFill>
                  <w14:solidFill>
                    <w14:srgbClr w14:val="000000">
                      <w14:alpha w14:val="100000"/>
                    </w14:srgbClr>
                  </w14:solidFill>
                </w14:textFill>
              </w:rPr>
              <w:t xml:space="preserve">　</w:t>
            </w:r>
          </w:p>
        </w:tc>
        <w:tc>
          <w:tcPr>
            <w:tcW w:w="2426" w:type="pct"/>
            <w:shd w:val="solid" w:color="000000" w:fill="000000"/>
          </w:tcPr>
          <w:p w14:paraId="5AA8D335" w14:textId="10B45B90" w:rsidR="00551D35" w:rsidRPr="008E269C" w:rsidRDefault="000C5EEF">
            <w:pPr>
              <w:pStyle w:val="TableText0"/>
            </w:pPr>
            <w:r w:rsidRPr="00085C36">
              <w:rPr>
                <w:color w:val="000000"/>
                <w:spacing w:val="28"/>
                <w:fitText w:val="1245" w:id="-729042176"/>
                <w14:textFill>
                  <w14:solidFill>
                    <w14:srgbClr w14:val="000000">
                      <w14:alpha w14:val="100000"/>
                    </w14:srgbClr>
                  </w14:solidFill>
                </w14:textFill>
              </w:rPr>
              <w:t>|||||||||||||||||</w:t>
            </w:r>
            <w:r w:rsidRPr="00085C36">
              <w:rPr>
                <w:color w:val="000000"/>
                <w:spacing w:val="3"/>
                <w:fitText w:val="1245" w:id="-729042176"/>
                <w14:textFill>
                  <w14:solidFill>
                    <w14:srgbClr w14:val="000000">
                      <w14:alpha w14:val="100000"/>
                    </w14:srgbClr>
                  </w14:solidFill>
                </w14:textFill>
              </w:rPr>
              <w:t>|</w:t>
            </w:r>
          </w:p>
        </w:tc>
        <w:tc>
          <w:tcPr>
            <w:tcW w:w="799" w:type="pct"/>
            <w:tcBorders>
              <w:bottom w:val="single" w:sz="4" w:space="0" w:color="auto"/>
            </w:tcBorders>
            <w:shd w:val="solid" w:color="000000" w:fill="000000"/>
          </w:tcPr>
          <w:p w14:paraId="19BB6BA7" w14:textId="12D10ADB" w:rsidR="00551D35" w:rsidRPr="008E269C" w:rsidRDefault="000C5EEF">
            <w:pPr>
              <w:pStyle w:val="TableText0"/>
            </w:pPr>
            <w:r w:rsidRPr="00085C36">
              <w:rPr>
                <w:color w:val="000000"/>
                <w:spacing w:val="78"/>
                <w:fitText w:val="405" w:id="-729042175"/>
                <w14:textFill>
                  <w14:solidFill>
                    <w14:srgbClr w14:val="000000">
                      <w14:alpha w14:val="100000"/>
                    </w14:srgbClr>
                  </w14:solidFill>
                </w14:textFill>
              </w:rPr>
              <w:t>|||</w:t>
            </w:r>
            <w:r w:rsidRPr="00085C36">
              <w:rPr>
                <w:color w:val="000000"/>
                <w:spacing w:val="1"/>
                <w:fitText w:val="405" w:id="-729042175"/>
                <w14:textFill>
                  <w14:solidFill>
                    <w14:srgbClr w14:val="000000">
                      <w14:alpha w14:val="100000"/>
                    </w14:srgbClr>
                  </w14:solidFill>
                </w14:textFill>
              </w:rPr>
              <w:t>|</w:t>
            </w:r>
          </w:p>
        </w:tc>
        <w:tc>
          <w:tcPr>
            <w:tcW w:w="1323" w:type="pct"/>
            <w:tcBorders>
              <w:bottom w:val="single" w:sz="4" w:space="0" w:color="auto"/>
            </w:tcBorders>
            <w:shd w:val="solid" w:color="000000" w:fill="000000"/>
          </w:tcPr>
          <w:p w14:paraId="461D9F83" w14:textId="1D41717E" w:rsidR="00551D35" w:rsidRPr="008E269C" w:rsidRDefault="000C5EEF">
            <w:pPr>
              <w:pStyle w:val="TableText0"/>
            </w:pPr>
            <w:r w:rsidRPr="00085C36">
              <w:rPr>
                <w:color w:val="000000"/>
                <w:spacing w:val="25"/>
                <w:fitText w:val="1335" w:id="-729042174"/>
                <w14:textFill>
                  <w14:solidFill>
                    <w14:srgbClr w14:val="000000">
                      <w14:alpha w14:val="100000"/>
                    </w14:srgbClr>
                  </w14:solidFill>
                </w14:textFill>
              </w:rPr>
              <w:t>|||||||||||||||||||</w:t>
            </w:r>
            <w:r w:rsidRPr="00085C36">
              <w:rPr>
                <w:color w:val="000000"/>
                <w:spacing w:val="9"/>
                <w:fitText w:val="1335" w:id="-729042174"/>
                <w14:textFill>
                  <w14:solidFill>
                    <w14:srgbClr w14:val="000000">
                      <w14:alpha w14:val="100000"/>
                    </w14:srgbClr>
                  </w14:solidFill>
                </w14:textFill>
              </w:rPr>
              <w:t>|</w:t>
            </w:r>
          </w:p>
        </w:tc>
      </w:tr>
      <w:tr w:rsidR="00551D35" w:rsidRPr="008E269C" w14:paraId="7B41D9FC" w14:textId="77777777" w:rsidTr="004158A1">
        <w:trPr>
          <w:trHeight w:val="20"/>
        </w:trPr>
        <w:tc>
          <w:tcPr>
            <w:tcW w:w="452" w:type="pct"/>
            <w:tcBorders>
              <w:bottom w:val="single" w:sz="4" w:space="0" w:color="auto"/>
            </w:tcBorders>
            <w:shd w:val="solid" w:color="000000" w:fill="000000"/>
          </w:tcPr>
          <w:p w14:paraId="561E44A1" w14:textId="6EB84F3F" w:rsidR="00551D35" w:rsidRPr="008E269C" w:rsidRDefault="004158A1">
            <w:pPr>
              <w:pStyle w:val="TableText0"/>
            </w:pPr>
            <w:r w:rsidRPr="00085C36">
              <w:rPr>
                <w:rFonts w:hint="eastAsia"/>
                <w:color w:val="000000"/>
                <w:w w:val="15"/>
                <w:fitText w:val="60" w:id="-729041662"/>
                <w14:textFill>
                  <w14:solidFill>
                    <w14:srgbClr w14:val="000000">
                      <w14:alpha w14:val="100000"/>
                    </w14:srgbClr>
                  </w14:solidFill>
                </w14:textFill>
              </w:rPr>
              <w:t xml:space="preserve">　</w:t>
            </w:r>
            <w:r w:rsidRPr="00085C36">
              <w:rPr>
                <w:color w:val="000000"/>
                <w:w w:val="15"/>
                <w:fitText w:val="60" w:id="-729041662"/>
                <w14:textFill>
                  <w14:solidFill>
                    <w14:srgbClr w14:val="000000">
                      <w14:alpha w14:val="100000"/>
                    </w14:srgbClr>
                  </w14:solidFill>
                </w14:textFill>
              </w:rPr>
              <w:t>|</w:t>
            </w:r>
            <w:r w:rsidRPr="00085C36">
              <w:rPr>
                <w:rFonts w:hint="eastAsia"/>
                <w:color w:val="000000"/>
                <w:spacing w:val="-12"/>
                <w:w w:val="15"/>
                <w:fitText w:val="60" w:id="-729041662"/>
                <w14:textFill>
                  <w14:solidFill>
                    <w14:srgbClr w14:val="000000">
                      <w14:alpha w14:val="100000"/>
                    </w14:srgbClr>
                  </w14:solidFill>
                </w14:textFill>
              </w:rPr>
              <w:t xml:space="preserve">　</w:t>
            </w:r>
          </w:p>
        </w:tc>
        <w:tc>
          <w:tcPr>
            <w:tcW w:w="2426" w:type="pct"/>
            <w:tcBorders>
              <w:bottom w:val="single" w:sz="4" w:space="0" w:color="auto"/>
            </w:tcBorders>
            <w:shd w:val="clear" w:color="auto" w:fill="auto"/>
          </w:tcPr>
          <w:p w14:paraId="401F6E58" w14:textId="2F6F4218" w:rsidR="0063546A" w:rsidRPr="008E269C" w:rsidRDefault="0063546A">
            <w:pPr>
              <w:pStyle w:val="TableText0"/>
            </w:pPr>
            <w:r w:rsidRPr="00085C36">
              <w:rPr>
                <w:color w:val="000000"/>
                <w:spacing w:val="25"/>
                <w:shd w:val="solid" w:color="000000" w:fill="000000"/>
                <w:fitText w:val="1335" w:id="-729041919"/>
                <w14:textFill>
                  <w14:solidFill>
                    <w14:srgbClr w14:val="000000">
                      <w14:alpha w14:val="100000"/>
                    </w14:srgbClr>
                  </w14:solidFill>
                </w14:textFill>
              </w:rPr>
              <w:t>|||||||||||||||||||</w:t>
            </w:r>
            <w:r w:rsidRPr="00085C36">
              <w:rPr>
                <w:color w:val="000000"/>
                <w:spacing w:val="9"/>
                <w:shd w:val="solid" w:color="000000" w:fill="000000"/>
                <w:fitText w:val="1335" w:id="-729041919"/>
                <w14:textFill>
                  <w14:solidFill>
                    <w14:srgbClr w14:val="000000">
                      <w14:alpha w14:val="100000"/>
                    </w14:srgbClr>
                  </w14:solidFill>
                </w14:textFill>
              </w:rPr>
              <w:t>|</w:t>
            </w:r>
            <w:r w:rsidRPr="008E269C">
              <w:t xml:space="preserve"> </w:t>
            </w:r>
          </w:p>
          <w:p w14:paraId="623BC28E" w14:textId="12C8E5AA" w:rsidR="00551D35" w:rsidRPr="008E269C" w:rsidRDefault="00551D35">
            <w:pPr>
              <w:pStyle w:val="TableText0"/>
            </w:pPr>
          </w:p>
        </w:tc>
        <w:tc>
          <w:tcPr>
            <w:tcW w:w="799" w:type="pct"/>
            <w:tcBorders>
              <w:bottom w:val="single" w:sz="4" w:space="0" w:color="auto"/>
            </w:tcBorders>
            <w:shd w:val="solid" w:color="000000" w:fill="000000"/>
          </w:tcPr>
          <w:p w14:paraId="29A3BB45" w14:textId="4BA8F088" w:rsidR="00551D35" w:rsidRPr="008E269C" w:rsidRDefault="007C44BF">
            <w:pPr>
              <w:pStyle w:val="TableText0"/>
            </w:pPr>
            <w:r w:rsidRPr="00085C36">
              <w:rPr>
                <w:color w:val="000000"/>
                <w:spacing w:val="37"/>
                <w:fitText w:val="600" w:id="-729041918"/>
                <w14:textFill>
                  <w14:solidFill>
                    <w14:srgbClr w14:val="000000">
                      <w14:alpha w14:val="100000"/>
                    </w14:srgbClr>
                  </w14:solidFill>
                </w14:textFill>
              </w:rPr>
              <w:t>|||||||</w:t>
            </w:r>
            <w:r w:rsidRPr="00085C36">
              <w:rPr>
                <w:color w:val="000000"/>
                <w:spacing w:val="1"/>
                <w:fitText w:val="600" w:id="-729041918"/>
                <w14:textFill>
                  <w14:solidFill>
                    <w14:srgbClr w14:val="000000">
                      <w14:alpha w14:val="100000"/>
                    </w14:srgbClr>
                  </w14:solidFill>
                </w14:textFill>
              </w:rPr>
              <w:t>|</w:t>
            </w:r>
          </w:p>
        </w:tc>
        <w:tc>
          <w:tcPr>
            <w:tcW w:w="1323" w:type="pct"/>
            <w:tcBorders>
              <w:bottom w:val="single" w:sz="4" w:space="0" w:color="auto"/>
            </w:tcBorders>
            <w:shd w:val="solid" w:color="000000" w:fill="000000"/>
          </w:tcPr>
          <w:p w14:paraId="09541F4F" w14:textId="14A3B7E5" w:rsidR="00551D35" w:rsidRPr="008E269C" w:rsidRDefault="0063546A">
            <w:pPr>
              <w:pStyle w:val="TableText0"/>
            </w:pPr>
            <w:r w:rsidRPr="008E269C">
              <w:rPr>
                <w:color w:val="000000"/>
                <w:spacing w:val="184"/>
                <w:fitText w:val="270" w:id="-729041920"/>
                <w14:textFill>
                  <w14:solidFill>
                    <w14:srgbClr w14:val="000000">
                      <w14:alpha w14:val="100000"/>
                    </w14:srgbClr>
                  </w14:solidFill>
                </w14:textFill>
              </w:rPr>
              <w:t>|</w:t>
            </w:r>
            <w:r w:rsidRPr="008E269C">
              <w:rPr>
                <w:color w:val="000000"/>
                <w:fitText w:val="270" w:id="-729041920"/>
                <w14:textFill>
                  <w14:solidFill>
                    <w14:srgbClr w14:val="000000">
                      <w14:alpha w14:val="100000"/>
                    </w14:srgbClr>
                  </w14:solidFill>
                </w14:textFill>
              </w:rPr>
              <w:t>|</w:t>
            </w:r>
          </w:p>
        </w:tc>
      </w:tr>
      <w:tr w:rsidR="00551D35" w:rsidRPr="008E269C" w14:paraId="0D24F4DF" w14:textId="77777777" w:rsidTr="004158A1">
        <w:trPr>
          <w:trHeight w:val="20"/>
        </w:trPr>
        <w:tc>
          <w:tcPr>
            <w:tcW w:w="452" w:type="pct"/>
            <w:tcBorders>
              <w:bottom w:val="single" w:sz="4" w:space="0" w:color="auto"/>
            </w:tcBorders>
            <w:shd w:val="solid" w:color="000000" w:fill="000000"/>
          </w:tcPr>
          <w:p w14:paraId="285492E8" w14:textId="1153F207" w:rsidR="00551D35" w:rsidRPr="008E269C" w:rsidRDefault="004158A1">
            <w:pPr>
              <w:pStyle w:val="TableText0"/>
            </w:pPr>
            <w:r w:rsidRPr="00085C36">
              <w:rPr>
                <w:rFonts w:hint="eastAsia"/>
                <w:color w:val="000000"/>
                <w:w w:val="15"/>
                <w:fitText w:val="60" w:id="-729041661"/>
                <w14:textFill>
                  <w14:solidFill>
                    <w14:srgbClr w14:val="000000">
                      <w14:alpha w14:val="100000"/>
                    </w14:srgbClr>
                  </w14:solidFill>
                </w14:textFill>
              </w:rPr>
              <w:t xml:space="preserve">　</w:t>
            </w:r>
            <w:r w:rsidRPr="00085C36">
              <w:rPr>
                <w:color w:val="000000"/>
                <w:w w:val="15"/>
                <w:fitText w:val="60" w:id="-729041661"/>
                <w14:textFill>
                  <w14:solidFill>
                    <w14:srgbClr w14:val="000000">
                      <w14:alpha w14:val="100000"/>
                    </w14:srgbClr>
                  </w14:solidFill>
                </w14:textFill>
              </w:rPr>
              <w:t>|</w:t>
            </w:r>
            <w:r w:rsidRPr="00085C36">
              <w:rPr>
                <w:rFonts w:hint="eastAsia"/>
                <w:color w:val="000000"/>
                <w:spacing w:val="-12"/>
                <w:w w:val="15"/>
                <w:fitText w:val="60" w:id="-729041661"/>
                <w14:textFill>
                  <w14:solidFill>
                    <w14:srgbClr w14:val="000000">
                      <w14:alpha w14:val="100000"/>
                    </w14:srgbClr>
                  </w14:solidFill>
                </w14:textFill>
              </w:rPr>
              <w:t xml:space="preserve">　</w:t>
            </w:r>
          </w:p>
        </w:tc>
        <w:tc>
          <w:tcPr>
            <w:tcW w:w="2426" w:type="pct"/>
            <w:tcBorders>
              <w:bottom w:val="single" w:sz="4" w:space="0" w:color="auto"/>
            </w:tcBorders>
            <w:shd w:val="solid" w:color="000000" w:fill="000000"/>
          </w:tcPr>
          <w:p w14:paraId="4F949995" w14:textId="4931901A" w:rsidR="00551D35" w:rsidRPr="008E269C" w:rsidRDefault="007C44BF">
            <w:pPr>
              <w:pStyle w:val="TableText0"/>
            </w:pPr>
            <w:r w:rsidRPr="007A62D0">
              <w:rPr>
                <w:color w:val="000000"/>
                <w:spacing w:val="22"/>
                <w:fitText w:val="2205" w:id="-729041664"/>
                <w14:textFill>
                  <w14:solidFill>
                    <w14:srgbClr w14:val="000000">
                      <w14:alpha w14:val="100000"/>
                    </w14:srgbClr>
                  </w14:solidFill>
                </w14:textFill>
              </w:rPr>
              <w:t>|||||||||||||||||||||||||||||||||</w:t>
            </w:r>
            <w:r w:rsidRPr="007A62D0">
              <w:rPr>
                <w:color w:val="000000"/>
                <w:spacing w:val="31"/>
                <w:fitText w:val="2205" w:id="-729041664"/>
                <w14:textFill>
                  <w14:solidFill>
                    <w14:srgbClr w14:val="000000">
                      <w14:alpha w14:val="100000"/>
                    </w14:srgbClr>
                  </w14:solidFill>
                </w14:textFill>
              </w:rPr>
              <w:t>|</w:t>
            </w:r>
          </w:p>
        </w:tc>
        <w:tc>
          <w:tcPr>
            <w:tcW w:w="799" w:type="pct"/>
            <w:tcBorders>
              <w:bottom w:val="single" w:sz="4" w:space="0" w:color="auto"/>
            </w:tcBorders>
            <w:shd w:val="solid" w:color="000000" w:fill="000000"/>
          </w:tcPr>
          <w:p w14:paraId="12D4D807" w14:textId="7B90E9D3" w:rsidR="00551D35" w:rsidRPr="008E269C" w:rsidRDefault="004158A1">
            <w:pPr>
              <w:pStyle w:val="TableText0"/>
            </w:pPr>
            <w:r w:rsidRPr="008E269C">
              <w:rPr>
                <w:color w:val="000000"/>
                <w:spacing w:val="48"/>
                <w:fitText w:val="225" w:id="-729041403"/>
                <w14:textFill>
                  <w14:solidFill>
                    <w14:srgbClr w14:val="000000">
                      <w14:alpha w14:val="100000"/>
                    </w14:srgbClr>
                  </w14:solidFill>
                </w14:textFill>
              </w:rPr>
              <w:t>||</w:t>
            </w:r>
            <w:r w:rsidRPr="008E269C">
              <w:rPr>
                <w:color w:val="000000"/>
                <w:spacing w:val="2"/>
                <w:fitText w:val="225" w:id="-729041403"/>
                <w14:textFill>
                  <w14:solidFill>
                    <w14:srgbClr w14:val="000000">
                      <w14:alpha w14:val="100000"/>
                    </w14:srgbClr>
                  </w14:solidFill>
                </w14:textFill>
              </w:rPr>
              <w:t>|</w:t>
            </w:r>
          </w:p>
        </w:tc>
        <w:tc>
          <w:tcPr>
            <w:tcW w:w="1323" w:type="pct"/>
            <w:shd w:val="solid" w:color="000000" w:fill="000000"/>
          </w:tcPr>
          <w:p w14:paraId="0A70316E" w14:textId="10ABDE82" w:rsidR="00551D35" w:rsidRPr="008E269C" w:rsidRDefault="004158A1">
            <w:pPr>
              <w:pStyle w:val="TableText0"/>
            </w:pPr>
            <w:r w:rsidRPr="00085C36">
              <w:rPr>
                <w:color w:val="000000"/>
                <w:spacing w:val="28"/>
                <w:fitText w:val="1245" w:id="-729041152"/>
                <w14:textFill>
                  <w14:solidFill>
                    <w14:srgbClr w14:val="000000">
                      <w14:alpha w14:val="100000"/>
                    </w14:srgbClr>
                  </w14:solidFill>
                </w14:textFill>
              </w:rPr>
              <w:t>|||||||||||||||||</w:t>
            </w:r>
            <w:r w:rsidRPr="00085C36">
              <w:rPr>
                <w:color w:val="000000"/>
                <w:spacing w:val="3"/>
                <w:fitText w:val="1245" w:id="-729041152"/>
                <w14:textFill>
                  <w14:solidFill>
                    <w14:srgbClr w14:val="000000">
                      <w14:alpha w14:val="100000"/>
                    </w14:srgbClr>
                  </w14:solidFill>
                </w14:textFill>
              </w:rPr>
              <w:t>|</w:t>
            </w:r>
          </w:p>
        </w:tc>
      </w:tr>
      <w:tr w:rsidR="00551D35" w:rsidRPr="008E269C" w14:paraId="25C66304" w14:textId="77777777" w:rsidTr="00181EAF">
        <w:trPr>
          <w:trHeight w:val="20"/>
        </w:trPr>
        <w:tc>
          <w:tcPr>
            <w:tcW w:w="452" w:type="pct"/>
            <w:tcBorders>
              <w:bottom w:val="single" w:sz="4" w:space="0" w:color="auto"/>
            </w:tcBorders>
            <w:shd w:val="solid" w:color="000000" w:fill="000000"/>
          </w:tcPr>
          <w:p w14:paraId="5DD2D36B" w14:textId="0216F370" w:rsidR="00551D35" w:rsidRPr="008E269C" w:rsidRDefault="004158A1">
            <w:pPr>
              <w:pStyle w:val="TableText0"/>
            </w:pPr>
            <w:r w:rsidRPr="00085C36">
              <w:rPr>
                <w:rFonts w:hint="eastAsia"/>
                <w:color w:val="000000"/>
                <w:w w:val="15"/>
                <w:fitText w:val="60" w:id="-729041660"/>
                <w14:textFill>
                  <w14:solidFill>
                    <w14:srgbClr w14:val="000000">
                      <w14:alpha w14:val="100000"/>
                    </w14:srgbClr>
                  </w14:solidFill>
                </w14:textFill>
              </w:rPr>
              <w:t xml:space="preserve">　</w:t>
            </w:r>
            <w:r w:rsidRPr="00085C36">
              <w:rPr>
                <w:color w:val="000000"/>
                <w:w w:val="15"/>
                <w:fitText w:val="60" w:id="-729041660"/>
                <w14:textFill>
                  <w14:solidFill>
                    <w14:srgbClr w14:val="000000">
                      <w14:alpha w14:val="100000"/>
                    </w14:srgbClr>
                  </w14:solidFill>
                </w14:textFill>
              </w:rPr>
              <w:t>|</w:t>
            </w:r>
            <w:r w:rsidRPr="00085C36">
              <w:rPr>
                <w:rFonts w:hint="eastAsia"/>
                <w:color w:val="000000"/>
                <w:spacing w:val="-12"/>
                <w:w w:val="15"/>
                <w:fitText w:val="60" w:id="-729041660"/>
                <w14:textFill>
                  <w14:solidFill>
                    <w14:srgbClr w14:val="000000">
                      <w14:alpha w14:val="100000"/>
                    </w14:srgbClr>
                  </w14:solidFill>
                </w14:textFill>
              </w:rPr>
              <w:t xml:space="preserve">　</w:t>
            </w:r>
          </w:p>
        </w:tc>
        <w:tc>
          <w:tcPr>
            <w:tcW w:w="2426" w:type="pct"/>
            <w:tcBorders>
              <w:bottom w:val="single" w:sz="4" w:space="0" w:color="auto"/>
            </w:tcBorders>
            <w:shd w:val="solid" w:color="000000" w:fill="000000"/>
          </w:tcPr>
          <w:p w14:paraId="7C05A9DA" w14:textId="34A31390" w:rsidR="00551D35" w:rsidRPr="008E269C" w:rsidRDefault="007C44BF">
            <w:pPr>
              <w:pStyle w:val="TableText0"/>
            </w:pPr>
            <w:r w:rsidRPr="007A62D0">
              <w:rPr>
                <w:color w:val="000000"/>
                <w:spacing w:val="22"/>
                <w:fitText w:val="2070" w:id="-729041663"/>
                <w14:textFill>
                  <w14:solidFill>
                    <w14:srgbClr w14:val="000000">
                      <w14:alpha w14:val="100000"/>
                    </w14:srgbClr>
                  </w14:solidFill>
                </w14:textFill>
              </w:rPr>
              <w:t>|||||||||||||||||||||||||||||||</w:t>
            </w:r>
            <w:r w:rsidRPr="007A62D0">
              <w:rPr>
                <w:color w:val="000000"/>
                <w:spacing w:val="25"/>
                <w:fitText w:val="2070" w:id="-729041663"/>
                <w14:textFill>
                  <w14:solidFill>
                    <w14:srgbClr w14:val="000000">
                      <w14:alpha w14:val="100000"/>
                    </w14:srgbClr>
                  </w14:solidFill>
                </w14:textFill>
              </w:rPr>
              <w:t>|</w:t>
            </w:r>
          </w:p>
        </w:tc>
        <w:tc>
          <w:tcPr>
            <w:tcW w:w="799" w:type="pct"/>
            <w:tcBorders>
              <w:bottom w:val="single" w:sz="4" w:space="0" w:color="auto"/>
            </w:tcBorders>
            <w:shd w:val="solid" w:color="000000" w:fill="000000"/>
          </w:tcPr>
          <w:p w14:paraId="00520550" w14:textId="0725C6A5" w:rsidR="00551D35" w:rsidRPr="008E269C" w:rsidRDefault="004158A1">
            <w:pPr>
              <w:pStyle w:val="TableText0"/>
            </w:pPr>
            <w:r w:rsidRPr="00085C36">
              <w:rPr>
                <w:color w:val="000000"/>
                <w:spacing w:val="78"/>
                <w:fitText w:val="405" w:id="-729041406"/>
                <w14:textFill>
                  <w14:solidFill>
                    <w14:srgbClr w14:val="000000">
                      <w14:alpha w14:val="100000"/>
                    </w14:srgbClr>
                  </w14:solidFill>
                </w14:textFill>
              </w:rPr>
              <w:t>|||</w:t>
            </w:r>
            <w:r w:rsidRPr="00085C36">
              <w:rPr>
                <w:color w:val="000000"/>
                <w:spacing w:val="1"/>
                <w:fitText w:val="405" w:id="-729041406"/>
                <w14:textFill>
                  <w14:solidFill>
                    <w14:srgbClr w14:val="000000">
                      <w14:alpha w14:val="100000"/>
                    </w14:srgbClr>
                  </w14:solidFill>
                </w14:textFill>
              </w:rPr>
              <w:t>|</w:t>
            </w:r>
          </w:p>
        </w:tc>
        <w:tc>
          <w:tcPr>
            <w:tcW w:w="1323" w:type="pct"/>
            <w:tcBorders>
              <w:bottom w:val="single" w:sz="4" w:space="0" w:color="auto"/>
            </w:tcBorders>
            <w:shd w:val="clear" w:color="auto" w:fill="000000" w:themeFill="text1"/>
          </w:tcPr>
          <w:p w14:paraId="65A27DF1" w14:textId="4FF6DFEB" w:rsidR="00551D35" w:rsidRPr="008E269C" w:rsidRDefault="004158A1">
            <w:pPr>
              <w:pStyle w:val="TableText0"/>
            </w:pPr>
            <w:r w:rsidRPr="007A62D0">
              <w:rPr>
                <w:color w:val="000000"/>
                <w:spacing w:val="21"/>
                <w:shd w:val="solid" w:color="000000" w:fill="000000"/>
                <w:fitText w:val="1650" w:id="-729041400"/>
                <w14:textFill>
                  <w14:solidFill>
                    <w14:srgbClr w14:val="000000">
                      <w14:alpha w14:val="100000"/>
                    </w14:srgbClr>
                  </w14:solidFill>
                </w14:textFill>
              </w:rPr>
              <w:t>|||||||||||||||||||||||||</w:t>
            </w:r>
            <w:r w:rsidRPr="007A62D0">
              <w:rPr>
                <w:color w:val="000000"/>
                <w:spacing w:val="18"/>
                <w:shd w:val="solid" w:color="000000" w:fill="000000"/>
                <w:fitText w:val="1650" w:id="-729041400"/>
                <w14:textFill>
                  <w14:solidFill>
                    <w14:srgbClr w14:val="000000">
                      <w14:alpha w14:val="100000"/>
                    </w14:srgbClr>
                  </w14:solidFill>
                </w14:textFill>
              </w:rPr>
              <w:t>|</w:t>
            </w:r>
            <w:r w:rsidRPr="008E269C">
              <w:t xml:space="preserve"> </w:t>
            </w:r>
            <w:r w:rsidRPr="00085C36">
              <w:rPr>
                <w:color w:val="000000"/>
                <w:spacing w:val="53"/>
                <w:shd w:val="solid" w:color="000000" w:fill="000000"/>
                <w:fitText w:val="525" w:id="-729041399"/>
                <w14:textFill>
                  <w14:solidFill>
                    <w14:srgbClr w14:val="000000">
                      <w14:alpha w14:val="100000"/>
                    </w14:srgbClr>
                  </w14:solidFill>
                </w14:textFill>
              </w:rPr>
              <w:t>|||||</w:t>
            </w:r>
            <w:r w:rsidRPr="00085C36">
              <w:rPr>
                <w:color w:val="000000"/>
                <w:spacing w:val="5"/>
                <w:shd w:val="solid" w:color="000000" w:fill="000000"/>
                <w:fitText w:val="525" w:id="-729041399"/>
                <w14:textFill>
                  <w14:solidFill>
                    <w14:srgbClr w14:val="000000">
                      <w14:alpha w14:val="100000"/>
                    </w14:srgbClr>
                  </w14:solidFill>
                </w14:textFill>
              </w:rPr>
              <w:t>|</w:t>
            </w:r>
          </w:p>
        </w:tc>
      </w:tr>
      <w:tr w:rsidR="00551D35" w:rsidRPr="008E269C" w14:paraId="4B614E28" w14:textId="77777777" w:rsidTr="004158A1">
        <w:trPr>
          <w:trHeight w:val="20"/>
        </w:trPr>
        <w:tc>
          <w:tcPr>
            <w:tcW w:w="452" w:type="pct"/>
            <w:tcBorders>
              <w:bottom w:val="single" w:sz="4" w:space="0" w:color="auto"/>
            </w:tcBorders>
            <w:shd w:val="solid" w:color="000000" w:fill="000000"/>
          </w:tcPr>
          <w:p w14:paraId="46D157DC" w14:textId="4DB59BF9" w:rsidR="00551D35" w:rsidRPr="008E269C" w:rsidRDefault="004158A1">
            <w:pPr>
              <w:pStyle w:val="TableText0"/>
            </w:pPr>
            <w:r w:rsidRPr="00085C36">
              <w:rPr>
                <w:rFonts w:hint="eastAsia"/>
                <w:color w:val="000000"/>
                <w:w w:val="15"/>
                <w:fitText w:val="60" w:id="-729041659"/>
                <w14:textFill>
                  <w14:solidFill>
                    <w14:srgbClr w14:val="000000">
                      <w14:alpha w14:val="100000"/>
                    </w14:srgbClr>
                  </w14:solidFill>
                </w14:textFill>
              </w:rPr>
              <w:t xml:space="preserve">　</w:t>
            </w:r>
            <w:r w:rsidRPr="00085C36">
              <w:rPr>
                <w:color w:val="000000"/>
                <w:w w:val="15"/>
                <w:fitText w:val="60" w:id="-729041659"/>
                <w14:textFill>
                  <w14:solidFill>
                    <w14:srgbClr w14:val="000000">
                      <w14:alpha w14:val="100000"/>
                    </w14:srgbClr>
                  </w14:solidFill>
                </w14:textFill>
              </w:rPr>
              <w:t>|</w:t>
            </w:r>
            <w:r w:rsidRPr="00085C36">
              <w:rPr>
                <w:rFonts w:hint="eastAsia"/>
                <w:color w:val="000000"/>
                <w:spacing w:val="-12"/>
                <w:w w:val="15"/>
                <w:fitText w:val="60" w:id="-729041659"/>
                <w14:textFill>
                  <w14:solidFill>
                    <w14:srgbClr w14:val="000000">
                      <w14:alpha w14:val="100000"/>
                    </w14:srgbClr>
                  </w14:solidFill>
                </w14:textFill>
              </w:rPr>
              <w:t xml:space="preserve">　</w:t>
            </w:r>
          </w:p>
        </w:tc>
        <w:tc>
          <w:tcPr>
            <w:tcW w:w="2426" w:type="pct"/>
            <w:tcBorders>
              <w:bottom w:val="single" w:sz="4" w:space="0" w:color="auto"/>
            </w:tcBorders>
            <w:shd w:val="solid" w:color="000000" w:fill="000000"/>
          </w:tcPr>
          <w:p w14:paraId="682470BB" w14:textId="767F0E7D" w:rsidR="00551D35" w:rsidRPr="008E269C" w:rsidRDefault="004158A1">
            <w:pPr>
              <w:pStyle w:val="TableText0"/>
            </w:pPr>
            <w:r w:rsidRPr="00085C36">
              <w:rPr>
                <w:color w:val="000000"/>
                <w:spacing w:val="23"/>
                <w:fitText w:val="1170" w:id="-729041408"/>
                <w14:textFill>
                  <w14:solidFill>
                    <w14:srgbClr w14:val="000000">
                      <w14:alpha w14:val="100000"/>
                    </w14:srgbClr>
                  </w14:solidFill>
                </w14:textFill>
              </w:rPr>
              <w:t>|||||||||||||||||</w:t>
            </w:r>
            <w:r w:rsidRPr="00085C36">
              <w:rPr>
                <w:color w:val="000000"/>
                <w:spacing w:val="13"/>
                <w:fitText w:val="1170" w:id="-729041408"/>
                <w14:textFill>
                  <w14:solidFill>
                    <w14:srgbClr w14:val="000000">
                      <w14:alpha w14:val="100000"/>
                    </w14:srgbClr>
                  </w14:solidFill>
                </w14:textFill>
              </w:rPr>
              <w:t>|</w:t>
            </w:r>
          </w:p>
        </w:tc>
        <w:tc>
          <w:tcPr>
            <w:tcW w:w="799" w:type="pct"/>
            <w:shd w:val="solid" w:color="000000" w:fill="000000"/>
          </w:tcPr>
          <w:p w14:paraId="59059FA8" w14:textId="5773B0E0" w:rsidR="00551D35" w:rsidRPr="008E269C" w:rsidRDefault="004158A1">
            <w:pPr>
              <w:pStyle w:val="TableText0"/>
            </w:pPr>
            <w:r w:rsidRPr="00085C36">
              <w:rPr>
                <w:color w:val="000000"/>
                <w:spacing w:val="48"/>
                <w:fitText w:val="315" w:id="-729041405"/>
                <w14:textFill>
                  <w14:solidFill>
                    <w14:srgbClr w14:val="000000">
                      <w14:alpha w14:val="100000"/>
                    </w14:srgbClr>
                  </w14:solidFill>
                </w14:textFill>
              </w:rPr>
              <w:t>|||</w:t>
            </w:r>
            <w:r w:rsidRPr="00085C36">
              <w:rPr>
                <w:color w:val="000000"/>
                <w:spacing w:val="1"/>
                <w:fitText w:val="315" w:id="-729041405"/>
                <w14:textFill>
                  <w14:solidFill>
                    <w14:srgbClr w14:val="000000">
                      <w14:alpha w14:val="100000"/>
                    </w14:srgbClr>
                  </w14:solidFill>
                </w14:textFill>
              </w:rPr>
              <w:t>|</w:t>
            </w:r>
          </w:p>
        </w:tc>
        <w:tc>
          <w:tcPr>
            <w:tcW w:w="1323" w:type="pct"/>
            <w:tcBorders>
              <w:bottom w:val="single" w:sz="4" w:space="0" w:color="auto"/>
            </w:tcBorders>
            <w:shd w:val="solid" w:color="000000" w:fill="000000"/>
          </w:tcPr>
          <w:p w14:paraId="47CAD52F" w14:textId="11C37C71" w:rsidR="00551D35" w:rsidRPr="008E269C" w:rsidRDefault="004158A1">
            <w:pPr>
              <w:pStyle w:val="TableText0"/>
            </w:pPr>
            <w:r w:rsidRPr="008E269C">
              <w:rPr>
                <w:color w:val="000000"/>
                <w:spacing w:val="184"/>
                <w:fitText w:val="270" w:id="-729041401"/>
                <w14:textFill>
                  <w14:solidFill>
                    <w14:srgbClr w14:val="000000">
                      <w14:alpha w14:val="100000"/>
                    </w14:srgbClr>
                  </w14:solidFill>
                </w14:textFill>
              </w:rPr>
              <w:t>|</w:t>
            </w:r>
            <w:r w:rsidRPr="008E269C">
              <w:rPr>
                <w:color w:val="000000"/>
                <w:fitText w:val="270" w:id="-729041401"/>
                <w14:textFill>
                  <w14:solidFill>
                    <w14:srgbClr w14:val="000000">
                      <w14:alpha w14:val="100000"/>
                    </w14:srgbClr>
                  </w14:solidFill>
                </w14:textFill>
              </w:rPr>
              <w:t>|</w:t>
            </w:r>
          </w:p>
        </w:tc>
      </w:tr>
      <w:tr w:rsidR="00551D35" w:rsidRPr="008E269C" w14:paraId="0F07901C" w14:textId="77777777" w:rsidTr="004158A1">
        <w:trPr>
          <w:trHeight w:val="20"/>
        </w:trPr>
        <w:tc>
          <w:tcPr>
            <w:tcW w:w="452" w:type="pct"/>
            <w:shd w:val="solid" w:color="000000" w:fill="000000"/>
          </w:tcPr>
          <w:p w14:paraId="6F002574" w14:textId="1F0F4B6A" w:rsidR="00551D35" w:rsidRPr="008E269C" w:rsidRDefault="004158A1">
            <w:pPr>
              <w:pStyle w:val="TableText0"/>
            </w:pPr>
            <w:r w:rsidRPr="00085C36">
              <w:rPr>
                <w:rFonts w:hint="eastAsia"/>
                <w:color w:val="000000"/>
                <w:w w:val="15"/>
                <w:fitText w:val="60" w:id="-729041658"/>
                <w14:textFill>
                  <w14:solidFill>
                    <w14:srgbClr w14:val="000000">
                      <w14:alpha w14:val="100000"/>
                    </w14:srgbClr>
                  </w14:solidFill>
                </w14:textFill>
              </w:rPr>
              <w:t xml:space="preserve">　</w:t>
            </w:r>
            <w:r w:rsidRPr="00085C36">
              <w:rPr>
                <w:color w:val="000000"/>
                <w:w w:val="15"/>
                <w:fitText w:val="60" w:id="-729041658"/>
                <w14:textFill>
                  <w14:solidFill>
                    <w14:srgbClr w14:val="000000">
                      <w14:alpha w14:val="100000"/>
                    </w14:srgbClr>
                  </w14:solidFill>
                </w14:textFill>
              </w:rPr>
              <w:t>|</w:t>
            </w:r>
            <w:r w:rsidRPr="00085C36">
              <w:rPr>
                <w:rFonts w:hint="eastAsia"/>
                <w:color w:val="000000"/>
                <w:spacing w:val="-12"/>
                <w:w w:val="15"/>
                <w:fitText w:val="60" w:id="-729041658"/>
                <w14:textFill>
                  <w14:solidFill>
                    <w14:srgbClr w14:val="000000">
                      <w14:alpha w14:val="100000"/>
                    </w14:srgbClr>
                  </w14:solidFill>
                </w14:textFill>
              </w:rPr>
              <w:t xml:space="preserve">　</w:t>
            </w:r>
          </w:p>
        </w:tc>
        <w:tc>
          <w:tcPr>
            <w:tcW w:w="2426" w:type="pct"/>
            <w:shd w:val="solid" w:color="000000" w:fill="000000"/>
          </w:tcPr>
          <w:p w14:paraId="73A9B392" w14:textId="582D9028" w:rsidR="00551D35" w:rsidRPr="008E269C" w:rsidRDefault="004158A1">
            <w:pPr>
              <w:pStyle w:val="TableText0"/>
            </w:pPr>
            <w:r w:rsidRPr="007A62D0">
              <w:rPr>
                <w:color w:val="000000"/>
                <w:spacing w:val="21"/>
                <w:fitText w:val="1770" w:id="-729041407"/>
                <w14:textFill>
                  <w14:solidFill>
                    <w14:srgbClr w14:val="000000">
                      <w14:alpha w14:val="100000"/>
                    </w14:srgbClr>
                  </w14:solidFill>
                </w14:textFill>
              </w:rPr>
              <w:t>|||||||||||||||||||||||||||</w:t>
            </w:r>
            <w:r w:rsidRPr="007A62D0">
              <w:rPr>
                <w:color w:val="000000"/>
                <w:spacing w:val="11"/>
                <w:fitText w:val="1770" w:id="-729041407"/>
                <w14:textFill>
                  <w14:solidFill>
                    <w14:srgbClr w14:val="000000">
                      <w14:alpha w14:val="100000"/>
                    </w14:srgbClr>
                  </w14:solidFill>
                </w14:textFill>
              </w:rPr>
              <w:t>|</w:t>
            </w:r>
          </w:p>
        </w:tc>
        <w:tc>
          <w:tcPr>
            <w:tcW w:w="799" w:type="pct"/>
            <w:shd w:val="clear" w:color="auto" w:fill="auto"/>
          </w:tcPr>
          <w:p w14:paraId="505ADF8D" w14:textId="05CEA077" w:rsidR="00551D35" w:rsidRPr="008E269C" w:rsidRDefault="004158A1">
            <w:pPr>
              <w:pStyle w:val="TableText0"/>
            </w:pPr>
            <w:r w:rsidRPr="00085C36">
              <w:rPr>
                <w:rFonts w:hint="eastAsia"/>
                <w:color w:val="000000"/>
                <w:w w:val="15"/>
                <w:shd w:val="solid" w:color="000000" w:fill="000000"/>
                <w:fitText w:val="60" w:id="-729041404"/>
                <w14:textFill>
                  <w14:solidFill>
                    <w14:srgbClr w14:val="000000">
                      <w14:alpha w14:val="100000"/>
                    </w14:srgbClr>
                  </w14:solidFill>
                </w14:textFill>
              </w:rPr>
              <w:t xml:space="preserve">　</w:t>
            </w:r>
            <w:r w:rsidRPr="00085C36">
              <w:rPr>
                <w:color w:val="000000"/>
                <w:w w:val="15"/>
                <w:shd w:val="solid" w:color="000000" w:fill="000000"/>
                <w:fitText w:val="60" w:id="-729041404"/>
                <w14:textFill>
                  <w14:solidFill>
                    <w14:srgbClr w14:val="000000">
                      <w14:alpha w14:val="100000"/>
                    </w14:srgbClr>
                  </w14:solidFill>
                </w14:textFill>
              </w:rPr>
              <w:t>|</w:t>
            </w:r>
            <w:r w:rsidRPr="00085C36">
              <w:rPr>
                <w:rFonts w:hint="eastAsia"/>
                <w:color w:val="000000"/>
                <w:spacing w:val="-12"/>
                <w:w w:val="15"/>
                <w:shd w:val="solid" w:color="000000" w:fill="000000"/>
                <w:fitText w:val="60" w:id="-729041404"/>
                <w14:textFill>
                  <w14:solidFill>
                    <w14:srgbClr w14:val="000000">
                      <w14:alpha w14:val="100000"/>
                    </w14:srgbClr>
                  </w14:solidFill>
                </w14:textFill>
              </w:rPr>
              <w:t xml:space="preserve">　</w:t>
            </w:r>
            <w:r w:rsidRPr="008E269C">
              <w:rPr>
                <w:color w:val="000000"/>
                <w:spacing w:val="32"/>
                <w:shd w:val="solid" w:color="000000" w:fill="000000"/>
                <w:fitText w:val="420" w:id="-729041151"/>
                <w14:textFill>
                  <w14:solidFill>
                    <w14:srgbClr w14:val="000000">
                      <w14:alpha w14:val="100000"/>
                    </w14:srgbClr>
                  </w14:solidFill>
                </w14:textFill>
              </w:rPr>
              <w:t>|||||</w:t>
            </w:r>
            <w:r w:rsidRPr="008E269C">
              <w:rPr>
                <w:color w:val="000000"/>
                <w:spacing w:val="5"/>
                <w:shd w:val="solid" w:color="000000" w:fill="000000"/>
                <w:fitText w:val="420" w:id="-729041151"/>
                <w14:textFill>
                  <w14:solidFill>
                    <w14:srgbClr w14:val="000000">
                      <w14:alpha w14:val="100000"/>
                    </w14:srgbClr>
                  </w14:solidFill>
                </w14:textFill>
              </w:rPr>
              <w:t>|</w:t>
            </w:r>
          </w:p>
        </w:tc>
        <w:tc>
          <w:tcPr>
            <w:tcW w:w="1323" w:type="pct"/>
            <w:shd w:val="solid" w:color="000000" w:fill="000000"/>
          </w:tcPr>
          <w:p w14:paraId="493EF346" w14:textId="33853EF9" w:rsidR="00551D35" w:rsidRPr="008E269C" w:rsidRDefault="004158A1">
            <w:pPr>
              <w:pStyle w:val="TableText0"/>
            </w:pPr>
            <w:r w:rsidRPr="00085C36">
              <w:rPr>
                <w:color w:val="000000"/>
                <w:spacing w:val="32"/>
                <w:fitText w:val="720" w:id="-729041402"/>
                <w14:textFill>
                  <w14:solidFill>
                    <w14:srgbClr w14:val="000000">
                      <w14:alpha w14:val="100000"/>
                    </w14:srgbClr>
                  </w14:solidFill>
                </w14:textFill>
              </w:rPr>
              <w:t>|||||||||</w:t>
            </w:r>
            <w:r w:rsidRPr="00085C36">
              <w:rPr>
                <w:color w:val="000000"/>
                <w:spacing w:val="7"/>
                <w:fitText w:val="720" w:id="-729041402"/>
                <w14:textFill>
                  <w14:solidFill>
                    <w14:srgbClr w14:val="000000">
                      <w14:alpha w14:val="100000"/>
                    </w14:srgbClr>
                  </w14:solidFill>
                </w14:textFill>
              </w:rPr>
              <w:t>|</w:t>
            </w:r>
          </w:p>
        </w:tc>
      </w:tr>
      <w:tr w:rsidR="00DD1AE3" w:rsidRPr="008E269C" w14:paraId="51A73594" w14:textId="77777777" w:rsidTr="26403EC0">
        <w:trPr>
          <w:trHeight w:val="20"/>
        </w:trPr>
        <w:tc>
          <w:tcPr>
            <w:tcW w:w="5000" w:type="pct"/>
            <w:gridSpan w:val="4"/>
            <w:shd w:val="clear" w:color="auto" w:fill="auto"/>
          </w:tcPr>
          <w:p w14:paraId="7DF96040" w14:textId="7CD447FB" w:rsidR="00234B77" w:rsidRPr="008E269C" w:rsidRDefault="00234B77" w:rsidP="00DD1AE3">
            <w:pPr>
              <w:pStyle w:val="TableFigureFooter"/>
            </w:pPr>
            <w:r w:rsidRPr="007A62D0">
              <w:rPr>
                <w:color w:val="000000"/>
                <w:spacing w:val="23"/>
                <w:shd w:val="solid" w:color="000000" w:fill="000000"/>
                <w:fitText w:val="8910" w:id="-729044224"/>
                <w14:textFill>
                  <w14:solidFill>
                    <w14:srgbClr w14:val="000000">
                      <w14:alpha w14:val="100000"/>
                    </w14:srgbClr>
                  </w14:solidFill>
                </w14:textFill>
              </w:rPr>
              <w:t>|||||||||||||||||||||||||||||||||||||||||||||||||||||||||||||||||||||||||||||||||||||||||||||||||||||||||||||||||||||||||||||||||||||||||||||||||</w:t>
            </w:r>
            <w:r w:rsidRPr="007A62D0">
              <w:rPr>
                <w:color w:val="000000"/>
                <w:spacing w:val="-19"/>
                <w:shd w:val="solid" w:color="000000" w:fill="000000"/>
                <w:fitText w:val="8910" w:id="-729044224"/>
                <w14:textFill>
                  <w14:solidFill>
                    <w14:srgbClr w14:val="000000">
                      <w14:alpha w14:val="100000"/>
                    </w14:srgbClr>
                  </w14:solidFill>
                </w14:textFill>
              </w:rPr>
              <w:t>|</w:t>
            </w:r>
            <w:r w:rsidRPr="008E269C">
              <w:t xml:space="preserve"> </w:t>
            </w:r>
            <w:r w:rsidRPr="007A62D0">
              <w:rPr>
                <w:color w:val="000000"/>
                <w:spacing w:val="24"/>
                <w:shd w:val="solid" w:color="000000" w:fill="000000"/>
                <w:fitText w:val="3960" w:id="-729044223"/>
                <w14:textFill>
                  <w14:solidFill>
                    <w14:srgbClr w14:val="000000">
                      <w14:alpha w14:val="100000"/>
                    </w14:srgbClr>
                  </w14:solidFill>
                </w14:textFill>
              </w:rPr>
              <w:t>|||||||||||||||||||||||||||||||||||||||||||||||||||||||||||||||</w:t>
            </w:r>
            <w:r w:rsidRPr="007A62D0">
              <w:rPr>
                <w:color w:val="000000"/>
                <w:spacing w:val="-4"/>
                <w:shd w:val="solid" w:color="000000" w:fill="000000"/>
                <w:fitText w:val="3960" w:id="-729044223"/>
                <w14:textFill>
                  <w14:solidFill>
                    <w14:srgbClr w14:val="000000">
                      <w14:alpha w14:val="100000"/>
                    </w14:srgbClr>
                  </w14:solidFill>
                </w14:textFill>
              </w:rPr>
              <w:t>|</w:t>
            </w:r>
          </w:p>
          <w:p w14:paraId="7EA66CC1" w14:textId="2CC2F082" w:rsidR="00DD1AE3" w:rsidRPr="008E269C" w:rsidRDefault="00234B77" w:rsidP="00DD1AE3">
            <w:pPr>
              <w:pStyle w:val="TableFigureFooter"/>
            </w:pPr>
            <w:r w:rsidRPr="007A62D0">
              <w:rPr>
                <w:color w:val="000000"/>
                <w:spacing w:val="23"/>
                <w:shd w:val="solid" w:color="000000" w:fill="000000"/>
                <w:fitText w:val="8910" w:id="-729044222"/>
                <w14:textFill>
                  <w14:solidFill>
                    <w14:srgbClr w14:val="000000">
                      <w14:alpha w14:val="100000"/>
                    </w14:srgbClr>
                  </w14:solidFill>
                </w14:textFill>
              </w:rPr>
              <w:t>|||||||||||||||||||||||||||||||||||||||||||||||||||||||||||||||||||||||||||||||||||||||||||||||||||||||||||||||||||||||||||||||||||||||||||||||||</w:t>
            </w:r>
            <w:r w:rsidRPr="007A62D0">
              <w:rPr>
                <w:color w:val="000000"/>
                <w:spacing w:val="-19"/>
                <w:shd w:val="solid" w:color="000000" w:fill="000000"/>
                <w:fitText w:val="8910" w:id="-729044222"/>
                <w14:textFill>
                  <w14:solidFill>
                    <w14:srgbClr w14:val="000000">
                      <w14:alpha w14:val="100000"/>
                    </w14:srgbClr>
                  </w14:solidFill>
                </w14:textFill>
              </w:rPr>
              <w:t>|</w:t>
            </w:r>
            <w:r w:rsidRPr="008E269C">
              <w:t xml:space="preserve"> </w:t>
            </w:r>
            <w:r w:rsidRPr="007A62D0">
              <w:rPr>
                <w:color w:val="000000"/>
                <w:spacing w:val="27"/>
                <w:shd w:val="solid" w:color="000000" w:fill="000000"/>
                <w:fitText w:val="2325" w:id="-729044221"/>
                <w14:textFill>
                  <w14:solidFill>
                    <w14:srgbClr w14:val="000000">
                      <w14:alpha w14:val="100000"/>
                    </w14:srgbClr>
                  </w14:solidFill>
                </w14:textFill>
              </w:rPr>
              <w:t>|||||||||||||||||||||||||||||||||||</w:t>
            </w:r>
            <w:r w:rsidRPr="007A62D0">
              <w:rPr>
                <w:color w:val="000000"/>
                <w:spacing w:val="1"/>
                <w:shd w:val="solid" w:color="000000" w:fill="000000"/>
                <w:fitText w:val="2325" w:id="-729044221"/>
                <w14:textFill>
                  <w14:solidFill>
                    <w14:srgbClr w14:val="000000">
                      <w14:alpha w14:val="100000"/>
                    </w14:srgbClr>
                  </w14:solidFill>
                </w14:textFill>
              </w:rPr>
              <w:t>|</w:t>
            </w:r>
          </w:p>
        </w:tc>
      </w:tr>
    </w:tbl>
    <w:p w14:paraId="23E9A617" w14:textId="77777777" w:rsidR="00DD1AE3" w:rsidRPr="008E269C" w:rsidRDefault="00DD1AE3" w:rsidP="000D5F65">
      <w:pPr>
        <w:pStyle w:val="TableFigureHeading"/>
      </w:pPr>
    </w:p>
    <w:p w14:paraId="774C7490" w14:textId="3EE98C4B" w:rsidR="00551D35" w:rsidRPr="008E269C" w:rsidRDefault="000D5F65" w:rsidP="000D5F65">
      <w:pPr>
        <w:pStyle w:val="TableFigureHeading"/>
      </w:pPr>
      <w:r w:rsidRPr="008E269C">
        <w:t xml:space="preserve">Estimated </w:t>
      </w:r>
      <w:r w:rsidR="0072670D" w:rsidRPr="008E269C">
        <w:t>use and cost, using effective price of AVAL</w:t>
      </w:r>
      <w:r w:rsidR="00DD1AE3" w:rsidRPr="008E269C">
        <w:t xml:space="preserve"> and actual utilisation data</w:t>
      </w:r>
    </w:p>
    <w:tbl>
      <w:tblPr>
        <w:tblStyle w:val="TableGrid"/>
        <w:tblW w:w="5264" w:type="pct"/>
        <w:tblLayout w:type="fixed"/>
        <w:tblLook w:val="04A0" w:firstRow="1" w:lastRow="0" w:firstColumn="1" w:lastColumn="0" w:noHBand="0" w:noVBand="1"/>
        <w:tblCaption w:val="Estimated use and cost, using effective price of AVAL and actual utilisation data"/>
      </w:tblPr>
      <w:tblGrid>
        <w:gridCol w:w="2407"/>
        <w:gridCol w:w="1101"/>
        <w:gridCol w:w="1101"/>
        <w:gridCol w:w="1101"/>
        <w:gridCol w:w="1378"/>
        <w:gridCol w:w="1133"/>
        <w:gridCol w:w="1272"/>
      </w:tblGrid>
      <w:tr w:rsidR="004A5589" w:rsidRPr="008E269C" w14:paraId="6525C071" w14:textId="77777777" w:rsidTr="004A5589">
        <w:tc>
          <w:tcPr>
            <w:tcW w:w="1267" w:type="pct"/>
          </w:tcPr>
          <w:p w14:paraId="68758E68" w14:textId="77777777" w:rsidR="004A5589" w:rsidRPr="008E269C" w:rsidRDefault="004A5589" w:rsidP="000D2D05">
            <w:pPr>
              <w:pStyle w:val="In-tableHeading"/>
            </w:pPr>
          </w:p>
        </w:tc>
        <w:tc>
          <w:tcPr>
            <w:tcW w:w="580" w:type="pct"/>
          </w:tcPr>
          <w:p w14:paraId="00E52312" w14:textId="77777777" w:rsidR="004A5589" w:rsidRPr="008E269C" w:rsidRDefault="004A5589" w:rsidP="000D2D05">
            <w:pPr>
              <w:pStyle w:val="In-tableHeading"/>
            </w:pPr>
            <w:r w:rsidRPr="00085C36">
              <w:rPr>
                <w:spacing w:val="62"/>
                <w:shd w:val="solid" w:color="000000" w:fill="000000"/>
                <w:fitText w:val="360" w:id="-729040896"/>
              </w:rPr>
              <w:t>|||</w:t>
            </w:r>
            <w:r w:rsidRPr="00085C36">
              <w:rPr>
                <w:spacing w:val="12"/>
                <w:shd w:val="solid" w:color="000000" w:fill="000000"/>
                <w:fitText w:val="360" w:id="-729040896"/>
              </w:rPr>
              <w:t>|</w:t>
            </w:r>
            <w:r w:rsidRPr="008E269C">
              <w:t xml:space="preserve"> </w:t>
            </w:r>
            <w:r w:rsidRPr="00085C36">
              <w:rPr>
                <w:spacing w:val="62"/>
                <w:shd w:val="solid" w:color="000000" w:fill="000000"/>
                <w:fitText w:val="360" w:id="-729040895"/>
              </w:rPr>
              <w:t>|||</w:t>
            </w:r>
            <w:r w:rsidRPr="00085C36">
              <w:rPr>
                <w:spacing w:val="12"/>
                <w:shd w:val="solid" w:color="000000" w:fill="000000"/>
                <w:fitText w:val="360" w:id="-729040895"/>
              </w:rPr>
              <w:t>|</w:t>
            </w:r>
          </w:p>
        </w:tc>
        <w:tc>
          <w:tcPr>
            <w:tcW w:w="580" w:type="pct"/>
          </w:tcPr>
          <w:p w14:paraId="717F239B" w14:textId="77777777" w:rsidR="004A5589" w:rsidRPr="008E269C" w:rsidRDefault="004A5589" w:rsidP="000D2D05">
            <w:pPr>
              <w:pStyle w:val="In-tableHeading"/>
            </w:pPr>
            <w:r w:rsidRPr="00085C36">
              <w:rPr>
                <w:spacing w:val="62"/>
                <w:shd w:val="solid" w:color="000000" w:fill="000000"/>
                <w:fitText w:val="360" w:id="-729040894"/>
              </w:rPr>
              <w:t>|||</w:t>
            </w:r>
            <w:r w:rsidRPr="00085C36">
              <w:rPr>
                <w:spacing w:val="12"/>
                <w:shd w:val="solid" w:color="000000" w:fill="000000"/>
                <w:fitText w:val="360" w:id="-729040894"/>
              </w:rPr>
              <w:t>|</w:t>
            </w:r>
            <w:r w:rsidRPr="008E269C">
              <w:t xml:space="preserve"> </w:t>
            </w:r>
            <w:r w:rsidRPr="00085C36">
              <w:rPr>
                <w:spacing w:val="62"/>
                <w:shd w:val="solid" w:color="000000" w:fill="000000"/>
                <w:fitText w:val="360" w:id="-729040893"/>
              </w:rPr>
              <w:t>|||</w:t>
            </w:r>
            <w:r w:rsidRPr="00085C36">
              <w:rPr>
                <w:spacing w:val="12"/>
                <w:shd w:val="solid" w:color="000000" w:fill="000000"/>
                <w:fitText w:val="360" w:id="-729040893"/>
              </w:rPr>
              <w:t>|</w:t>
            </w:r>
          </w:p>
        </w:tc>
        <w:tc>
          <w:tcPr>
            <w:tcW w:w="580" w:type="pct"/>
          </w:tcPr>
          <w:p w14:paraId="3585E8BF" w14:textId="77777777" w:rsidR="004A5589" w:rsidRPr="008E269C" w:rsidRDefault="004A5589" w:rsidP="000D2D05">
            <w:pPr>
              <w:pStyle w:val="In-tableHeading"/>
            </w:pPr>
            <w:r w:rsidRPr="00085C36">
              <w:rPr>
                <w:spacing w:val="62"/>
                <w:shd w:val="solid" w:color="000000" w:fill="000000"/>
                <w:fitText w:val="360" w:id="-729040892"/>
              </w:rPr>
              <w:t>|||</w:t>
            </w:r>
            <w:r w:rsidRPr="00085C36">
              <w:rPr>
                <w:spacing w:val="12"/>
                <w:shd w:val="solid" w:color="000000" w:fill="000000"/>
                <w:fitText w:val="360" w:id="-729040892"/>
              </w:rPr>
              <w:t>|</w:t>
            </w:r>
            <w:r w:rsidRPr="008E269C">
              <w:t xml:space="preserve"> </w:t>
            </w:r>
            <w:r w:rsidRPr="00085C36">
              <w:rPr>
                <w:spacing w:val="62"/>
                <w:shd w:val="solid" w:color="000000" w:fill="000000"/>
                <w:fitText w:val="360" w:id="-729040891"/>
              </w:rPr>
              <w:t>|||</w:t>
            </w:r>
            <w:r w:rsidRPr="00085C36">
              <w:rPr>
                <w:spacing w:val="12"/>
                <w:shd w:val="solid" w:color="000000" w:fill="000000"/>
                <w:fitText w:val="360" w:id="-729040891"/>
              </w:rPr>
              <w:t>|</w:t>
            </w:r>
          </w:p>
        </w:tc>
        <w:tc>
          <w:tcPr>
            <w:tcW w:w="726" w:type="pct"/>
          </w:tcPr>
          <w:p w14:paraId="6D3EBAEE" w14:textId="77777777" w:rsidR="004A5589" w:rsidRPr="008E269C" w:rsidRDefault="004A5589" w:rsidP="000D2D05">
            <w:pPr>
              <w:pStyle w:val="In-tableHeading"/>
            </w:pPr>
            <w:r w:rsidRPr="008E269C">
              <w:rPr>
                <w:spacing w:val="52"/>
                <w:shd w:val="solid" w:color="000000" w:fill="000000"/>
                <w:fitText w:val="220" w:id="-729040890"/>
              </w:rPr>
              <w:t>||</w:t>
            </w:r>
            <w:r w:rsidRPr="008E269C">
              <w:rPr>
                <w:spacing w:val="2"/>
                <w:shd w:val="solid" w:color="000000" w:fill="000000"/>
                <w:fitText w:val="220" w:id="-729040890"/>
              </w:rPr>
              <w:t>|</w:t>
            </w:r>
            <w:r w:rsidRPr="008E269C">
              <w:t xml:space="preserve"> </w:t>
            </w:r>
            <w:r w:rsidRPr="008E269C">
              <w:rPr>
                <w:spacing w:val="65"/>
                <w:shd w:val="solid" w:color="000000" w:fill="000000"/>
                <w:fitText w:val="350" w:id="-729040889"/>
              </w:rPr>
              <w:t>|||</w:t>
            </w:r>
            <w:r w:rsidRPr="008E269C">
              <w:rPr>
                <w:spacing w:val="2"/>
                <w:shd w:val="solid" w:color="000000" w:fill="000000"/>
                <w:fitText w:val="350" w:id="-729040889"/>
              </w:rPr>
              <w:t>|</w:t>
            </w:r>
          </w:p>
        </w:tc>
        <w:tc>
          <w:tcPr>
            <w:tcW w:w="597" w:type="pct"/>
          </w:tcPr>
          <w:p w14:paraId="1A962A9C" w14:textId="77777777" w:rsidR="004A5589" w:rsidRPr="008E269C" w:rsidRDefault="004A5589" w:rsidP="000D2D05">
            <w:pPr>
              <w:pStyle w:val="In-tableHeading"/>
            </w:pPr>
            <w:r w:rsidRPr="008E269C">
              <w:rPr>
                <w:spacing w:val="62"/>
                <w:shd w:val="solid" w:color="000000" w:fill="000000"/>
                <w:fitText w:val="340" w:id="-729040888"/>
              </w:rPr>
              <w:t>|||</w:t>
            </w:r>
            <w:r w:rsidRPr="008E269C">
              <w:rPr>
                <w:spacing w:val="1"/>
                <w:shd w:val="solid" w:color="000000" w:fill="000000"/>
                <w:fitText w:val="340" w:id="-729040888"/>
              </w:rPr>
              <w:t>|</w:t>
            </w:r>
            <w:r w:rsidRPr="008E269C">
              <w:t xml:space="preserve"> </w:t>
            </w:r>
            <w:r w:rsidRPr="008E269C">
              <w:rPr>
                <w:spacing w:val="62"/>
                <w:shd w:val="solid" w:color="000000" w:fill="000000"/>
                <w:fitText w:val="340" w:id="-729040887"/>
              </w:rPr>
              <w:t>|||</w:t>
            </w:r>
            <w:r w:rsidRPr="008E269C">
              <w:rPr>
                <w:spacing w:val="1"/>
                <w:shd w:val="solid" w:color="000000" w:fill="000000"/>
                <w:fitText w:val="340" w:id="-729040887"/>
              </w:rPr>
              <w:t>|</w:t>
            </w:r>
          </w:p>
        </w:tc>
        <w:tc>
          <w:tcPr>
            <w:tcW w:w="670" w:type="pct"/>
          </w:tcPr>
          <w:p w14:paraId="0DED56C0" w14:textId="77777777" w:rsidR="004A5589" w:rsidRPr="008E269C" w:rsidRDefault="004A5589" w:rsidP="000D2D05">
            <w:pPr>
              <w:pStyle w:val="In-tableHeading"/>
            </w:pPr>
            <w:r w:rsidRPr="008E269C">
              <w:rPr>
                <w:spacing w:val="193"/>
                <w:shd w:val="solid" w:color="000000" w:fill="000000"/>
                <w:fitText w:val="270" w:id="-729040886"/>
              </w:rPr>
              <w:t>|</w:t>
            </w:r>
            <w:r w:rsidRPr="008E269C">
              <w:rPr>
                <w:spacing w:val="1"/>
                <w:shd w:val="solid" w:color="000000" w:fill="000000"/>
                <w:fitText w:val="270" w:id="-729040886"/>
              </w:rPr>
              <w:t>|</w:t>
            </w:r>
            <w:r w:rsidRPr="008E269C">
              <w:t xml:space="preserve"> </w:t>
            </w:r>
            <w:r w:rsidRPr="00085C36">
              <w:rPr>
                <w:spacing w:val="37"/>
                <w:shd w:val="solid" w:color="000000" w:fill="000000"/>
                <w:fitText w:val="430" w:id="-729040885"/>
              </w:rPr>
              <w:t>|||||</w:t>
            </w:r>
            <w:r w:rsidRPr="00085C36">
              <w:rPr>
                <w:spacing w:val="12"/>
                <w:shd w:val="solid" w:color="000000" w:fill="000000"/>
                <w:fitText w:val="430" w:id="-729040885"/>
              </w:rPr>
              <w:t>|</w:t>
            </w:r>
          </w:p>
        </w:tc>
      </w:tr>
      <w:tr w:rsidR="004A5589" w:rsidRPr="008E269C" w14:paraId="6AD21BF6" w14:textId="77777777" w:rsidTr="007D214C">
        <w:tc>
          <w:tcPr>
            <w:tcW w:w="5000" w:type="pct"/>
            <w:gridSpan w:val="7"/>
          </w:tcPr>
          <w:p w14:paraId="74548DD5" w14:textId="77777777" w:rsidR="004A5589" w:rsidRPr="008E269C" w:rsidRDefault="004A5589" w:rsidP="000D2D05">
            <w:pPr>
              <w:pStyle w:val="In-tableHeading"/>
              <w:rPr>
                <w:color w:val="000000"/>
              </w:rPr>
            </w:pPr>
            <w:r w:rsidRPr="008E269C">
              <w:rPr>
                <w:spacing w:val="50"/>
                <w:shd w:val="solid" w:color="000000" w:fill="000000"/>
                <w:fitText w:val="480" w:id="-729040884"/>
              </w:rPr>
              <w:t>|||||</w:t>
            </w:r>
            <w:r w:rsidRPr="008E269C">
              <w:rPr>
                <w:spacing w:val="1"/>
                <w:shd w:val="solid" w:color="000000" w:fill="000000"/>
                <w:fitText w:val="480" w:id="-729040884"/>
              </w:rPr>
              <w:t>|</w:t>
            </w:r>
            <w:r w:rsidRPr="008E269C">
              <w:rPr>
                <w:color w:val="000000"/>
              </w:rPr>
              <w:t xml:space="preserve"> </w:t>
            </w:r>
            <w:r w:rsidRPr="008E269C">
              <w:rPr>
                <w:spacing w:val="50"/>
                <w:shd w:val="solid" w:color="000000" w:fill="000000"/>
                <w:fitText w:val="480" w:id="-729040883"/>
              </w:rPr>
              <w:t>|||||</w:t>
            </w:r>
            <w:r w:rsidRPr="008E269C">
              <w:rPr>
                <w:spacing w:val="1"/>
                <w:shd w:val="solid" w:color="000000" w:fill="000000"/>
                <w:fitText w:val="480" w:id="-729040883"/>
              </w:rPr>
              <w:t>|</w:t>
            </w:r>
            <w:r w:rsidRPr="008E269C">
              <w:rPr>
                <w:color w:val="000000"/>
              </w:rPr>
              <w:t xml:space="preserve"> </w:t>
            </w:r>
            <w:r w:rsidRPr="008E269C">
              <w:rPr>
                <w:spacing w:val="50"/>
                <w:shd w:val="solid" w:color="000000" w:fill="000000"/>
                <w:fitText w:val="480" w:id="-729040882"/>
              </w:rPr>
              <w:t>|||||</w:t>
            </w:r>
            <w:r w:rsidRPr="008E269C">
              <w:rPr>
                <w:spacing w:val="1"/>
                <w:shd w:val="solid" w:color="000000" w:fill="000000"/>
                <w:fitText w:val="480" w:id="-729040882"/>
              </w:rPr>
              <w:t>|</w:t>
            </w:r>
            <w:r w:rsidRPr="008E269C">
              <w:rPr>
                <w:color w:val="000000"/>
              </w:rPr>
              <w:t xml:space="preserve"> </w:t>
            </w:r>
            <w:r w:rsidRPr="008E269C">
              <w:rPr>
                <w:spacing w:val="50"/>
                <w:shd w:val="solid" w:color="000000" w:fill="000000"/>
                <w:fitText w:val="480" w:id="-729040881"/>
              </w:rPr>
              <w:t>|||||</w:t>
            </w:r>
            <w:r w:rsidRPr="008E269C">
              <w:rPr>
                <w:spacing w:val="1"/>
                <w:shd w:val="solid" w:color="000000" w:fill="000000"/>
                <w:fitText w:val="480" w:id="-729040881"/>
              </w:rPr>
              <w:t>|</w:t>
            </w:r>
          </w:p>
        </w:tc>
      </w:tr>
      <w:tr w:rsidR="004A5589" w:rsidRPr="008E269C" w14:paraId="37380389" w14:textId="77777777" w:rsidTr="004A5589">
        <w:tc>
          <w:tcPr>
            <w:tcW w:w="1267" w:type="pct"/>
          </w:tcPr>
          <w:p w14:paraId="1987A8AD" w14:textId="77777777" w:rsidR="004A5589" w:rsidRPr="008E269C" w:rsidRDefault="004A5589" w:rsidP="007D214C">
            <w:pPr>
              <w:pStyle w:val="TableText0"/>
              <w:rPr>
                <w:rFonts w:ascii="Times" w:hAnsi="Times"/>
              </w:rPr>
            </w:pPr>
            <w:r w:rsidRPr="00085C36">
              <w:rPr>
                <w:color w:val="000000"/>
                <w:spacing w:val="48"/>
                <w:shd w:val="solid" w:color="000000" w:fill="000000"/>
                <w:fitText w:val="500" w:id="-729040880"/>
                <w14:textFill>
                  <w14:solidFill>
                    <w14:srgbClr w14:val="000000">
                      <w14:alpha w14:val="100000"/>
                    </w14:srgbClr>
                  </w14:solidFill>
                </w14:textFill>
              </w:rPr>
              <w:t>|||||</w:t>
            </w:r>
            <w:r w:rsidRPr="00085C36">
              <w:rPr>
                <w:color w:val="000000"/>
                <w:spacing w:val="5"/>
                <w:shd w:val="solid" w:color="000000" w:fill="000000"/>
                <w:fitText w:val="500" w:id="-729040880"/>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96"/>
                <w14:textFill>
                  <w14:solidFill>
                    <w14:srgbClr w14:val="000000">
                      <w14:alpha w14:val="100000"/>
                    </w14:srgbClr>
                  </w14:solidFill>
                </w14:textFill>
              </w:rPr>
              <w:t>|||||</w:t>
            </w:r>
            <w:r w:rsidRPr="00085C36">
              <w:rPr>
                <w:color w:val="000000"/>
                <w:spacing w:val="5"/>
                <w:shd w:val="solid" w:color="000000" w:fill="000000"/>
                <w:fitText w:val="500" w:id="-729040896"/>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95"/>
                <w14:textFill>
                  <w14:solidFill>
                    <w14:srgbClr w14:val="000000">
                      <w14:alpha w14:val="100000"/>
                    </w14:srgbClr>
                  </w14:solidFill>
                </w14:textFill>
              </w:rPr>
              <w:t>|||||</w:t>
            </w:r>
            <w:r w:rsidRPr="00085C36">
              <w:rPr>
                <w:color w:val="000000"/>
                <w:spacing w:val="5"/>
                <w:shd w:val="solid" w:color="000000" w:fill="000000"/>
                <w:fitText w:val="500" w:id="-729040895"/>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94"/>
                <w14:textFill>
                  <w14:solidFill>
                    <w14:srgbClr w14:val="000000">
                      <w14:alpha w14:val="100000"/>
                    </w14:srgbClr>
                  </w14:solidFill>
                </w14:textFill>
              </w:rPr>
              <w:t>|||||</w:t>
            </w:r>
            <w:r w:rsidRPr="00085C36">
              <w:rPr>
                <w:color w:val="000000"/>
                <w:spacing w:val="5"/>
                <w:shd w:val="solid" w:color="000000" w:fill="000000"/>
                <w:fitText w:val="500" w:id="-729040894"/>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045EB584" w14:textId="77777777" w:rsidR="004A5589" w:rsidRPr="008E269C" w:rsidRDefault="004A5589" w:rsidP="007D214C">
            <w:pPr>
              <w:pStyle w:val="TableText0"/>
            </w:pPr>
            <w:r w:rsidRPr="00085C36">
              <w:rPr>
                <w:color w:val="000000"/>
                <w:spacing w:val="48"/>
                <w:fitText w:val="500" w:id="-729040893"/>
                <w14:textFill>
                  <w14:solidFill>
                    <w14:srgbClr w14:val="000000">
                      <w14:alpha w14:val="100000"/>
                    </w14:srgbClr>
                  </w14:solidFill>
                </w14:textFill>
              </w:rPr>
              <w:t>|||||</w:t>
            </w:r>
            <w:r w:rsidRPr="00085C36">
              <w:rPr>
                <w:color w:val="000000"/>
                <w:spacing w:val="5"/>
                <w:fitText w:val="500" w:id="-729040893"/>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40663310" w14:textId="77777777" w:rsidR="004A5589" w:rsidRPr="008E269C" w:rsidRDefault="004A5589" w:rsidP="007D214C">
            <w:pPr>
              <w:pStyle w:val="TableText0"/>
            </w:pPr>
            <w:r w:rsidRPr="00085C36">
              <w:rPr>
                <w:color w:val="000000"/>
                <w:spacing w:val="48"/>
                <w:fitText w:val="500" w:id="-729040892"/>
                <w14:textFill>
                  <w14:solidFill>
                    <w14:srgbClr w14:val="000000">
                      <w14:alpha w14:val="100000"/>
                    </w14:srgbClr>
                  </w14:solidFill>
                </w14:textFill>
              </w:rPr>
              <w:t>|||||</w:t>
            </w:r>
            <w:r w:rsidRPr="00085C36">
              <w:rPr>
                <w:color w:val="000000"/>
                <w:spacing w:val="5"/>
                <w:fitText w:val="500" w:id="-729040892"/>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2BC1C9CD" w14:textId="77777777" w:rsidR="004A5589" w:rsidRPr="008E269C" w:rsidRDefault="004A5589" w:rsidP="007D214C">
            <w:pPr>
              <w:pStyle w:val="TableText0"/>
            </w:pPr>
            <w:r w:rsidRPr="00085C36">
              <w:rPr>
                <w:color w:val="000000"/>
                <w:spacing w:val="48"/>
                <w:fitText w:val="500" w:id="-729040891"/>
                <w14:textFill>
                  <w14:solidFill>
                    <w14:srgbClr w14:val="000000">
                      <w14:alpha w14:val="100000"/>
                    </w14:srgbClr>
                  </w14:solidFill>
                </w14:textFill>
              </w:rPr>
              <w:t>|||||</w:t>
            </w:r>
            <w:r w:rsidRPr="00085C36">
              <w:rPr>
                <w:color w:val="000000"/>
                <w:spacing w:val="5"/>
                <w:fitText w:val="500" w:id="-729040891"/>
                <w14:textFill>
                  <w14:solidFill>
                    <w14:srgbClr w14:val="000000">
                      <w14:alpha w14:val="100000"/>
                    </w14:srgbClr>
                  </w14:solidFill>
                </w14:textFill>
              </w:rPr>
              <w:t>|</w:t>
            </w:r>
          </w:p>
        </w:tc>
        <w:tc>
          <w:tcPr>
            <w:tcW w:w="726" w:type="pct"/>
            <w:tcBorders>
              <w:bottom w:val="single" w:sz="4" w:space="0" w:color="auto"/>
            </w:tcBorders>
            <w:shd w:val="solid" w:color="000000" w:fill="000000"/>
          </w:tcPr>
          <w:p w14:paraId="446780E8" w14:textId="77777777" w:rsidR="004A5589" w:rsidRPr="008E269C" w:rsidRDefault="004A5589" w:rsidP="007D214C">
            <w:pPr>
              <w:pStyle w:val="TableText0"/>
            </w:pPr>
            <w:r w:rsidRPr="00085C36">
              <w:rPr>
                <w:color w:val="000000"/>
                <w:spacing w:val="48"/>
                <w:fitText w:val="500" w:id="-729040890"/>
                <w14:textFill>
                  <w14:solidFill>
                    <w14:srgbClr w14:val="000000">
                      <w14:alpha w14:val="100000"/>
                    </w14:srgbClr>
                  </w14:solidFill>
                </w14:textFill>
              </w:rPr>
              <w:t>|||||</w:t>
            </w:r>
            <w:r w:rsidRPr="00085C36">
              <w:rPr>
                <w:color w:val="000000"/>
                <w:spacing w:val="5"/>
                <w:fitText w:val="500" w:id="-729040890"/>
                <w14:textFill>
                  <w14:solidFill>
                    <w14:srgbClr w14:val="000000">
                      <w14:alpha w14:val="100000"/>
                    </w14:srgbClr>
                  </w14:solidFill>
                </w14:textFill>
              </w:rPr>
              <w:t>|</w:t>
            </w:r>
          </w:p>
        </w:tc>
        <w:tc>
          <w:tcPr>
            <w:tcW w:w="597" w:type="pct"/>
            <w:tcBorders>
              <w:bottom w:val="single" w:sz="4" w:space="0" w:color="auto"/>
            </w:tcBorders>
            <w:shd w:val="solid" w:color="000000" w:fill="000000"/>
          </w:tcPr>
          <w:p w14:paraId="51C93067" w14:textId="77777777" w:rsidR="004A5589" w:rsidRPr="008E269C" w:rsidRDefault="004A5589" w:rsidP="007D214C">
            <w:pPr>
              <w:pStyle w:val="TableText0"/>
            </w:pPr>
            <w:r w:rsidRPr="00085C36">
              <w:rPr>
                <w:color w:val="000000"/>
                <w:spacing w:val="48"/>
                <w:fitText w:val="500" w:id="-729040889"/>
                <w14:textFill>
                  <w14:solidFill>
                    <w14:srgbClr w14:val="000000">
                      <w14:alpha w14:val="100000"/>
                    </w14:srgbClr>
                  </w14:solidFill>
                </w14:textFill>
              </w:rPr>
              <w:t>|||||</w:t>
            </w:r>
            <w:r w:rsidRPr="00085C36">
              <w:rPr>
                <w:color w:val="000000"/>
                <w:spacing w:val="5"/>
                <w:fitText w:val="500" w:id="-729040889"/>
                <w14:textFill>
                  <w14:solidFill>
                    <w14:srgbClr w14:val="000000">
                      <w14:alpha w14:val="100000"/>
                    </w14:srgbClr>
                  </w14:solidFill>
                </w14:textFill>
              </w:rPr>
              <w:t>|</w:t>
            </w:r>
          </w:p>
        </w:tc>
        <w:tc>
          <w:tcPr>
            <w:tcW w:w="670" w:type="pct"/>
            <w:tcBorders>
              <w:bottom w:val="single" w:sz="4" w:space="0" w:color="auto"/>
            </w:tcBorders>
            <w:shd w:val="solid" w:color="000000" w:fill="000000"/>
          </w:tcPr>
          <w:p w14:paraId="2E52BD61" w14:textId="77777777" w:rsidR="004A5589" w:rsidRPr="008E269C" w:rsidRDefault="004A5589" w:rsidP="007D214C">
            <w:pPr>
              <w:pStyle w:val="TableText0"/>
            </w:pPr>
            <w:r w:rsidRPr="00085C36">
              <w:rPr>
                <w:color w:val="000000"/>
                <w:spacing w:val="48"/>
                <w:fitText w:val="500" w:id="-729040888"/>
                <w14:textFill>
                  <w14:solidFill>
                    <w14:srgbClr w14:val="000000">
                      <w14:alpha w14:val="100000"/>
                    </w14:srgbClr>
                  </w14:solidFill>
                </w14:textFill>
              </w:rPr>
              <w:t>|||||</w:t>
            </w:r>
            <w:r w:rsidRPr="00085C36">
              <w:rPr>
                <w:color w:val="000000"/>
                <w:spacing w:val="5"/>
                <w:fitText w:val="500" w:id="-729040888"/>
                <w14:textFill>
                  <w14:solidFill>
                    <w14:srgbClr w14:val="000000">
                      <w14:alpha w14:val="100000"/>
                    </w14:srgbClr>
                  </w14:solidFill>
                </w14:textFill>
              </w:rPr>
              <w:t>|</w:t>
            </w:r>
          </w:p>
        </w:tc>
      </w:tr>
      <w:tr w:rsidR="004A5589" w:rsidRPr="008E269C" w14:paraId="00772AF6" w14:textId="77777777" w:rsidTr="004A5589">
        <w:tc>
          <w:tcPr>
            <w:tcW w:w="1267" w:type="pct"/>
          </w:tcPr>
          <w:p w14:paraId="7AEC7BAD" w14:textId="77777777" w:rsidR="004A5589" w:rsidRPr="008E269C" w:rsidRDefault="004A5589" w:rsidP="007D214C">
            <w:pPr>
              <w:pStyle w:val="TableText0"/>
            </w:pPr>
            <w:r w:rsidRPr="00085C36">
              <w:rPr>
                <w:color w:val="000000"/>
                <w:spacing w:val="48"/>
                <w:shd w:val="solid" w:color="000000" w:fill="000000"/>
                <w:fitText w:val="500" w:id="-729040887"/>
                <w14:textFill>
                  <w14:solidFill>
                    <w14:srgbClr w14:val="000000">
                      <w14:alpha w14:val="100000"/>
                    </w14:srgbClr>
                  </w14:solidFill>
                </w14:textFill>
              </w:rPr>
              <w:t>|||||</w:t>
            </w:r>
            <w:r w:rsidRPr="00085C36">
              <w:rPr>
                <w:color w:val="000000"/>
                <w:spacing w:val="5"/>
                <w:shd w:val="solid" w:color="000000" w:fill="000000"/>
                <w:fitText w:val="500" w:id="-729040887"/>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86"/>
                <w14:textFill>
                  <w14:solidFill>
                    <w14:srgbClr w14:val="000000">
                      <w14:alpha w14:val="100000"/>
                    </w14:srgbClr>
                  </w14:solidFill>
                </w14:textFill>
              </w:rPr>
              <w:t>|||||</w:t>
            </w:r>
            <w:r w:rsidRPr="00085C36">
              <w:rPr>
                <w:color w:val="000000"/>
                <w:spacing w:val="5"/>
                <w:shd w:val="solid" w:color="000000" w:fill="000000"/>
                <w:fitText w:val="500" w:id="-729040886"/>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85"/>
                <w14:textFill>
                  <w14:solidFill>
                    <w14:srgbClr w14:val="000000">
                      <w14:alpha w14:val="100000"/>
                    </w14:srgbClr>
                  </w14:solidFill>
                </w14:textFill>
              </w:rPr>
              <w:t>|||||</w:t>
            </w:r>
            <w:r w:rsidRPr="00085C36">
              <w:rPr>
                <w:color w:val="000000"/>
                <w:spacing w:val="5"/>
                <w:shd w:val="solid" w:color="000000" w:fill="000000"/>
                <w:fitText w:val="500" w:id="-729040885"/>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84"/>
                <w14:textFill>
                  <w14:solidFill>
                    <w14:srgbClr w14:val="000000">
                      <w14:alpha w14:val="100000"/>
                    </w14:srgbClr>
                  </w14:solidFill>
                </w14:textFill>
              </w:rPr>
              <w:t>|||||</w:t>
            </w:r>
            <w:r w:rsidRPr="00085C36">
              <w:rPr>
                <w:color w:val="000000"/>
                <w:spacing w:val="5"/>
                <w:shd w:val="solid" w:color="000000" w:fill="000000"/>
                <w:fitText w:val="500" w:id="-729040884"/>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83"/>
                <w14:textFill>
                  <w14:solidFill>
                    <w14:srgbClr w14:val="000000">
                      <w14:alpha w14:val="100000"/>
                    </w14:srgbClr>
                  </w14:solidFill>
                </w14:textFill>
              </w:rPr>
              <w:t>|||||</w:t>
            </w:r>
            <w:r w:rsidRPr="00085C36">
              <w:rPr>
                <w:color w:val="000000"/>
                <w:spacing w:val="5"/>
                <w:shd w:val="solid" w:color="000000" w:fill="000000"/>
                <w:fitText w:val="500" w:id="-729040883"/>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82"/>
                <w14:textFill>
                  <w14:solidFill>
                    <w14:srgbClr w14:val="000000">
                      <w14:alpha w14:val="100000"/>
                    </w14:srgbClr>
                  </w14:solidFill>
                </w14:textFill>
              </w:rPr>
              <w:t>|||||</w:t>
            </w:r>
            <w:r w:rsidRPr="00085C36">
              <w:rPr>
                <w:color w:val="000000"/>
                <w:spacing w:val="5"/>
                <w:shd w:val="solid" w:color="000000" w:fill="000000"/>
                <w:fitText w:val="500" w:id="-729040882"/>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81"/>
                <w14:textFill>
                  <w14:solidFill>
                    <w14:srgbClr w14:val="000000">
                      <w14:alpha w14:val="100000"/>
                    </w14:srgbClr>
                  </w14:solidFill>
                </w14:textFill>
              </w:rPr>
              <w:t>|||||</w:t>
            </w:r>
            <w:r w:rsidRPr="00085C36">
              <w:rPr>
                <w:color w:val="000000"/>
                <w:spacing w:val="5"/>
                <w:shd w:val="solid" w:color="000000" w:fill="000000"/>
                <w:fitText w:val="500" w:id="-729040881"/>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80"/>
                <w14:textFill>
                  <w14:solidFill>
                    <w14:srgbClr w14:val="000000">
                      <w14:alpha w14:val="100000"/>
                    </w14:srgbClr>
                  </w14:solidFill>
                </w14:textFill>
              </w:rPr>
              <w:t>|||||</w:t>
            </w:r>
            <w:r w:rsidRPr="00085C36">
              <w:rPr>
                <w:color w:val="000000"/>
                <w:spacing w:val="5"/>
                <w:shd w:val="solid" w:color="000000" w:fill="000000"/>
                <w:fitText w:val="500" w:id="-729040880"/>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96"/>
                <w14:textFill>
                  <w14:solidFill>
                    <w14:srgbClr w14:val="000000">
                      <w14:alpha w14:val="100000"/>
                    </w14:srgbClr>
                  </w14:solidFill>
                </w14:textFill>
              </w:rPr>
              <w:t>|||||</w:t>
            </w:r>
            <w:r w:rsidRPr="00085C36">
              <w:rPr>
                <w:color w:val="000000"/>
                <w:spacing w:val="5"/>
                <w:shd w:val="solid" w:color="000000" w:fill="000000"/>
                <w:fitText w:val="500" w:id="-729040896"/>
                <w14:textFill>
                  <w14:solidFill>
                    <w14:srgbClr w14:val="000000">
                      <w14:alpha w14:val="100000"/>
                    </w14:srgbClr>
                  </w14:solidFill>
                </w14:textFill>
              </w:rPr>
              <w:t>|</w:t>
            </w:r>
            <w:r w:rsidRPr="008E269C">
              <w:t xml:space="preserve"> </w:t>
            </w:r>
            <w:r w:rsidRPr="00085C36">
              <w:rPr>
                <w:color w:val="000000"/>
                <w:spacing w:val="48"/>
                <w:shd w:val="solid" w:color="000000" w:fill="000000"/>
                <w:fitText w:val="500" w:id="-729040895"/>
                <w14:textFill>
                  <w14:solidFill>
                    <w14:srgbClr w14:val="000000">
                      <w14:alpha w14:val="100000"/>
                    </w14:srgbClr>
                  </w14:solidFill>
                </w14:textFill>
              </w:rPr>
              <w:t>|||||</w:t>
            </w:r>
            <w:r w:rsidRPr="00085C36">
              <w:rPr>
                <w:color w:val="000000"/>
                <w:spacing w:val="5"/>
                <w:shd w:val="solid" w:color="000000" w:fill="000000"/>
                <w:fitText w:val="500" w:id="-729040895"/>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5D51A50A" w14:textId="77777777" w:rsidR="004A5589" w:rsidRPr="008E269C" w:rsidRDefault="004A5589" w:rsidP="007D214C">
            <w:pPr>
              <w:pStyle w:val="TableText0"/>
            </w:pPr>
            <w:r w:rsidRPr="00085C36">
              <w:rPr>
                <w:color w:val="000000"/>
                <w:spacing w:val="48"/>
                <w:fitText w:val="500" w:id="-729040894"/>
                <w14:textFill>
                  <w14:solidFill>
                    <w14:srgbClr w14:val="000000">
                      <w14:alpha w14:val="100000"/>
                    </w14:srgbClr>
                  </w14:solidFill>
                </w14:textFill>
              </w:rPr>
              <w:t>|||||</w:t>
            </w:r>
            <w:r w:rsidRPr="00085C36">
              <w:rPr>
                <w:color w:val="000000"/>
                <w:spacing w:val="5"/>
                <w:fitText w:val="500" w:id="-729040894"/>
                <w14:textFill>
                  <w14:solidFill>
                    <w14:srgbClr w14:val="000000">
                      <w14:alpha w14:val="100000"/>
                    </w14:srgbClr>
                  </w14:solidFill>
                </w14:textFill>
              </w:rPr>
              <w:t>|</w:t>
            </w:r>
          </w:p>
        </w:tc>
        <w:tc>
          <w:tcPr>
            <w:tcW w:w="580" w:type="pct"/>
            <w:shd w:val="solid" w:color="000000" w:fill="000000"/>
          </w:tcPr>
          <w:p w14:paraId="203560F4" w14:textId="77777777" w:rsidR="004A5589" w:rsidRPr="008E269C" w:rsidRDefault="004A5589" w:rsidP="007D214C">
            <w:pPr>
              <w:pStyle w:val="TableText0"/>
            </w:pPr>
            <w:r w:rsidRPr="00085C36">
              <w:rPr>
                <w:color w:val="000000"/>
                <w:spacing w:val="48"/>
                <w:fitText w:val="500" w:id="-729040893"/>
                <w14:textFill>
                  <w14:solidFill>
                    <w14:srgbClr w14:val="000000">
                      <w14:alpha w14:val="100000"/>
                    </w14:srgbClr>
                  </w14:solidFill>
                </w14:textFill>
              </w:rPr>
              <w:t>|||||</w:t>
            </w:r>
            <w:r w:rsidRPr="00085C36">
              <w:rPr>
                <w:color w:val="000000"/>
                <w:spacing w:val="5"/>
                <w:fitText w:val="500" w:id="-729040893"/>
                <w14:textFill>
                  <w14:solidFill>
                    <w14:srgbClr w14:val="000000">
                      <w14:alpha w14:val="100000"/>
                    </w14:srgbClr>
                  </w14:solidFill>
                </w14:textFill>
              </w:rPr>
              <w:t>|</w:t>
            </w:r>
          </w:p>
        </w:tc>
        <w:tc>
          <w:tcPr>
            <w:tcW w:w="580" w:type="pct"/>
            <w:shd w:val="solid" w:color="000000" w:fill="000000"/>
          </w:tcPr>
          <w:p w14:paraId="3AD52ED5" w14:textId="77777777" w:rsidR="004A5589" w:rsidRPr="008E269C" w:rsidRDefault="004A5589" w:rsidP="007D214C">
            <w:pPr>
              <w:pStyle w:val="TableText0"/>
            </w:pPr>
            <w:r w:rsidRPr="00085C36">
              <w:rPr>
                <w:color w:val="000000"/>
                <w:spacing w:val="48"/>
                <w:fitText w:val="500" w:id="-729040892"/>
                <w14:textFill>
                  <w14:solidFill>
                    <w14:srgbClr w14:val="000000">
                      <w14:alpha w14:val="100000"/>
                    </w14:srgbClr>
                  </w14:solidFill>
                </w14:textFill>
              </w:rPr>
              <w:t>|||||</w:t>
            </w:r>
            <w:r w:rsidRPr="00085C36">
              <w:rPr>
                <w:color w:val="000000"/>
                <w:spacing w:val="5"/>
                <w:fitText w:val="500" w:id="-729040892"/>
                <w14:textFill>
                  <w14:solidFill>
                    <w14:srgbClr w14:val="000000">
                      <w14:alpha w14:val="100000"/>
                    </w14:srgbClr>
                  </w14:solidFill>
                </w14:textFill>
              </w:rPr>
              <w:t>|</w:t>
            </w:r>
          </w:p>
        </w:tc>
        <w:tc>
          <w:tcPr>
            <w:tcW w:w="726" w:type="pct"/>
            <w:shd w:val="solid" w:color="000000" w:fill="000000"/>
          </w:tcPr>
          <w:p w14:paraId="1F727214" w14:textId="77777777" w:rsidR="004A5589" w:rsidRPr="008E269C" w:rsidRDefault="004A5589" w:rsidP="007D214C">
            <w:pPr>
              <w:pStyle w:val="TableText0"/>
            </w:pPr>
            <w:r w:rsidRPr="00085C36">
              <w:rPr>
                <w:color w:val="000000"/>
                <w:spacing w:val="48"/>
                <w:fitText w:val="500" w:id="-729040891"/>
                <w14:textFill>
                  <w14:solidFill>
                    <w14:srgbClr w14:val="000000">
                      <w14:alpha w14:val="100000"/>
                    </w14:srgbClr>
                  </w14:solidFill>
                </w14:textFill>
              </w:rPr>
              <w:t>|||||</w:t>
            </w:r>
            <w:r w:rsidRPr="00085C36">
              <w:rPr>
                <w:color w:val="000000"/>
                <w:spacing w:val="5"/>
                <w:fitText w:val="500" w:id="-729040891"/>
                <w14:textFill>
                  <w14:solidFill>
                    <w14:srgbClr w14:val="000000">
                      <w14:alpha w14:val="100000"/>
                    </w14:srgbClr>
                  </w14:solidFill>
                </w14:textFill>
              </w:rPr>
              <w:t>|</w:t>
            </w:r>
          </w:p>
        </w:tc>
        <w:tc>
          <w:tcPr>
            <w:tcW w:w="597" w:type="pct"/>
            <w:shd w:val="solid" w:color="000000" w:fill="000000"/>
          </w:tcPr>
          <w:p w14:paraId="048F34CC" w14:textId="77777777" w:rsidR="004A5589" w:rsidRPr="008E269C" w:rsidRDefault="004A5589" w:rsidP="007D214C">
            <w:pPr>
              <w:pStyle w:val="TableText0"/>
            </w:pPr>
            <w:r w:rsidRPr="00085C36">
              <w:rPr>
                <w:color w:val="000000"/>
                <w:spacing w:val="48"/>
                <w:fitText w:val="500" w:id="-729040890"/>
                <w14:textFill>
                  <w14:solidFill>
                    <w14:srgbClr w14:val="000000">
                      <w14:alpha w14:val="100000"/>
                    </w14:srgbClr>
                  </w14:solidFill>
                </w14:textFill>
              </w:rPr>
              <w:t>|||||</w:t>
            </w:r>
            <w:r w:rsidRPr="00085C36">
              <w:rPr>
                <w:color w:val="000000"/>
                <w:spacing w:val="5"/>
                <w:fitText w:val="500" w:id="-729040890"/>
                <w14:textFill>
                  <w14:solidFill>
                    <w14:srgbClr w14:val="000000">
                      <w14:alpha w14:val="100000"/>
                    </w14:srgbClr>
                  </w14:solidFill>
                </w14:textFill>
              </w:rPr>
              <w:t>|</w:t>
            </w:r>
          </w:p>
        </w:tc>
        <w:tc>
          <w:tcPr>
            <w:tcW w:w="670" w:type="pct"/>
            <w:shd w:val="solid" w:color="000000" w:fill="000000"/>
          </w:tcPr>
          <w:p w14:paraId="04E92D30" w14:textId="77777777" w:rsidR="004A5589" w:rsidRPr="008E269C" w:rsidRDefault="004A5589" w:rsidP="007D214C">
            <w:pPr>
              <w:pStyle w:val="TableText0"/>
            </w:pPr>
            <w:r w:rsidRPr="00085C36">
              <w:rPr>
                <w:color w:val="000000"/>
                <w:spacing w:val="48"/>
                <w:fitText w:val="500" w:id="-729040889"/>
                <w14:textFill>
                  <w14:solidFill>
                    <w14:srgbClr w14:val="000000">
                      <w14:alpha w14:val="100000"/>
                    </w14:srgbClr>
                  </w14:solidFill>
                </w14:textFill>
              </w:rPr>
              <w:t>|||||</w:t>
            </w:r>
            <w:r w:rsidRPr="00085C36">
              <w:rPr>
                <w:color w:val="000000"/>
                <w:spacing w:val="5"/>
                <w:fitText w:val="500" w:id="-729040889"/>
                <w14:textFill>
                  <w14:solidFill>
                    <w14:srgbClr w14:val="000000">
                      <w14:alpha w14:val="100000"/>
                    </w14:srgbClr>
                  </w14:solidFill>
                </w14:textFill>
              </w:rPr>
              <w:t>|</w:t>
            </w:r>
          </w:p>
        </w:tc>
      </w:tr>
      <w:tr w:rsidR="004A5589" w:rsidRPr="008E269C" w14:paraId="2B554955" w14:textId="77777777" w:rsidTr="004A5589">
        <w:tc>
          <w:tcPr>
            <w:tcW w:w="1267" w:type="pct"/>
          </w:tcPr>
          <w:p w14:paraId="76B7CC65" w14:textId="77777777" w:rsidR="004A5589" w:rsidRPr="008E269C" w:rsidRDefault="004A5589" w:rsidP="007D214C">
            <w:pPr>
              <w:pStyle w:val="TableText0"/>
              <w:rPr>
                <w:i/>
                <w:iCs/>
              </w:rPr>
            </w:pPr>
            <w:r w:rsidRPr="00085C36">
              <w:rPr>
                <w:i/>
                <w:iCs/>
                <w:color w:val="000000"/>
                <w:spacing w:val="48"/>
                <w:shd w:val="solid" w:color="000000" w:fill="000000"/>
                <w:fitText w:val="500" w:id="-729040888"/>
                <w14:textFill>
                  <w14:solidFill>
                    <w14:srgbClr w14:val="000000">
                      <w14:alpha w14:val="100000"/>
                    </w14:srgbClr>
                  </w14:solidFill>
                </w14:textFill>
              </w:rPr>
              <w:t>|||||</w:t>
            </w:r>
            <w:r w:rsidRPr="00085C36">
              <w:rPr>
                <w:i/>
                <w:iCs/>
                <w:color w:val="000000"/>
                <w:spacing w:val="5"/>
                <w:shd w:val="solid" w:color="000000" w:fill="000000"/>
                <w:fitText w:val="500" w:id="-729040888"/>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7"/>
                <w14:textFill>
                  <w14:solidFill>
                    <w14:srgbClr w14:val="000000">
                      <w14:alpha w14:val="100000"/>
                    </w14:srgbClr>
                  </w14:solidFill>
                </w14:textFill>
              </w:rPr>
              <w:t>|||||</w:t>
            </w:r>
            <w:r w:rsidRPr="00085C36">
              <w:rPr>
                <w:i/>
                <w:iCs/>
                <w:color w:val="000000"/>
                <w:spacing w:val="5"/>
                <w:shd w:val="solid" w:color="000000" w:fill="000000"/>
                <w:fitText w:val="500" w:id="-729040887"/>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6"/>
                <w14:textFill>
                  <w14:solidFill>
                    <w14:srgbClr w14:val="000000">
                      <w14:alpha w14:val="100000"/>
                    </w14:srgbClr>
                  </w14:solidFill>
                </w14:textFill>
              </w:rPr>
              <w:t>|||||</w:t>
            </w:r>
            <w:r w:rsidRPr="00085C36">
              <w:rPr>
                <w:i/>
                <w:iCs/>
                <w:color w:val="000000"/>
                <w:spacing w:val="5"/>
                <w:shd w:val="solid" w:color="000000" w:fill="000000"/>
                <w:fitText w:val="500" w:id="-729040886"/>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5"/>
                <w14:textFill>
                  <w14:solidFill>
                    <w14:srgbClr w14:val="000000">
                      <w14:alpha w14:val="100000"/>
                    </w14:srgbClr>
                  </w14:solidFill>
                </w14:textFill>
              </w:rPr>
              <w:t>|||||</w:t>
            </w:r>
            <w:r w:rsidRPr="00085C36">
              <w:rPr>
                <w:i/>
                <w:iCs/>
                <w:color w:val="000000"/>
                <w:spacing w:val="5"/>
                <w:shd w:val="solid" w:color="000000" w:fill="000000"/>
                <w:fitText w:val="500" w:id="-729040885"/>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4"/>
                <w14:textFill>
                  <w14:solidFill>
                    <w14:srgbClr w14:val="000000">
                      <w14:alpha w14:val="100000"/>
                    </w14:srgbClr>
                  </w14:solidFill>
                </w14:textFill>
              </w:rPr>
              <w:t>|||||</w:t>
            </w:r>
            <w:r w:rsidRPr="00085C36">
              <w:rPr>
                <w:i/>
                <w:iCs/>
                <w:color w:val="000000"/>
                <w:spacing w:val="5"/>
                <w:shd w:val="solid" w:color="000000" w:fill="000000"/>
                <w:fitText w:val="500" w:id="-729040884"/>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3"/>
                <w14:textFill>
                  <w14:solidFill>
                    <w14:srgbClr w14:val="000000">
                      <w14:alpha w14:val="100000"/>
                    </w14:srgbClr>
                  </w14:solidFill>
                </w14:textFill>
              </w:rPr>
              <w:t>|||||</w:t>
            </w:r>
            <w:r w:rsidRPr="00085C36">
              <w:rPr>
                <w:i/>
                <w:iCs/>
                <w:color w:val="000000"/>
                <w:spacing w:val="5"/>
                <w:shd w:val="solid" w:color="000000" w:fill="000000"/>
                <w:fitText w:val="500" w:id="-729040883"/>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2"/>
                <w14:textFill>
                  <w14:solidFill>
                    <w14:srgbClr w14:val="000000">
                      <w14:alpha w14:val="100000"/>
                    </w14:srgbClr>
                  </w14:solidFill>
                </w14:textFill>
              </w:rPr>
              <w:t>|||||</w:t>
            </w:r>
            <w:r w:rsidRPr="00085C36">
              <w:rPr>
                <w:i/>
                <w:iCs/>
                <w:color w:val="000000"/>
                <w:spacing w:val="5"/>
                <w:shd w:val="solid" w:color="000000" w:fill="000000"/>
                <w:fitText w:val="500" w:id="-729040882"/>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1"/>
                <w14:textFill>
                  <w14:solidFill>
                    <w14:srgbClr w14:val="000000">
                      <w14:alpha w14:val="100000"/>
                    </w14:srgbClr>
                  </w14:solidFill>
                </w14:textFill>
              </w:rPr>
              <w:t>|||||</w:t>
            </w:r>
            <w:r w:rsidRPr="00085C36">
              <w:rPr>
                <w:i/>
                <w:iCs/>
                <w:color w:val="000000"/>
                <w:spacing w:val="5"/>
                <w:shd w:val="solid" w:color="000000" w:fill="000000"/>
                <w:fitText w:val="500" w:id="-729040881"/>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04294545" w14:textId="77777777" w:rsidR="004A5589" w:rsidRPr="008E269C" w:rsidRDefault="004A5589" w:rsidP="007D214C">
            <w:pPr>
              <w:pStyle w:val="TableText0"/>
              <w:rPr>
                <w:i/>
                <w:iCs/>
              </w:rPr>
            </w:pPr>
            <w:r w:rsidRPr="00085C36">
              <w:rPr>
                <w:i/>
                <w:iCs/>
                <w:color w:val="000000"/>
                <w:spacing w:val="48"/>
                <w:fitText w:val="500" w:id="-729040880"/>
                <w14:textFill>
                  <w14:solidFill>
                    <w14:srgbClr w14:val="000000">
                      <w14:alpha w14:val="100000"/>
                    </w14:srgbClr>
                  </w14:solidFill>
                </w14:textFill>
              </w:rPr>
              <w:t>|||||</w:t>
            </w:r>
            <w:r w:rsidRPr="00085C36">
              <w:rPr>
                <w:i/>
                <w:iCs/>
                <w:color w:val="000000"/>
                <w:spacing w:val="5"/>
                <w:fitText w:val="500" w:id="-729040880"/>
                <w14:textFill>
                  <w14:solidFill>
                    <w14:srgbClr w14:val="000000">
                      <w14:alpha w14:val="100000"/>
                    </w14:srgbClr>
                  </w14:solidFill>
                </w14:textFill>
              </w:rPr>
              <w:t>|</w:t>
            </w:r>
          </w:p>
        </w:tc>
        <w:tc>
          <w:tcPr>
            <w:tcW w:w="580" w:type="pct"/>
            <w:tcBorders>
              <w:bottom w:val="single" w:sz="4" w:space="0" w:color="auto"/>
            </w:tcBorders>
          </w:tcPr>
          <w:p w14:paraId="3E530969" w14:textId="77777777" w:rsidR="004A5589" w:rsidRPr="008E269C" w:rsidRDefault="004A5589" w:rsidP="007D214C">
            <w:pPr>
              <w:pStyle w:val="TableText0"/>
              <w:rPr>
                <w:i/>
                <w:iCs/>
              </w:rPr>
            </w:pPr>
          </w:p>
        </w:tc>
        <w:tc>
          <w:tcPr>
            <w:tcW w:w="580" w:type="pct"/>
            <w:tcBorders>
              <w:bottom w:val="single" w:sz="4" w:space="0" w:color="auto"/>
            </w:tcBorders>
          </w:tcPr>
          <w:p w14:paraId="129CD478" w14:textId="77777777" w:rsidR="004A5589" w:rsidRPr="008E269C" w:rsidRDefault="004A5589" w:rsidP="007D214C">
            <w:pPr>
              <w:pStyle w:val="TableText0"/>
              <w:rPr>
                <w:i/>
                <w:iCs/>
              </w:rPr>
            </w:pPr>
          </w:p>
        </w:tc>
        <w:tc>
          <w:tcPr>
            <w:tcW w:w="726" w:type="pct"/>
            <w:tcBorders>
              <w:bottom w:val="single" w:sz="4" w:space="0" w:color="auto"/>
            </w:tcBorders>
          </w:tcPr>
          <w:p w14:paraId="258FB279" w14:textId="77777777" w:rsidR="004A5589" w:rsidRPr="008E269C" w:rsidRDefault="004A5589" w:rsidP="007D214C">
            <w:pPr>
              <w:pStyle w:val="TableText0"/>
              <w:rPr>
                <w:i/>
                <w:iCs/>
              </w:rPr>
            </w:pPr>
          </w:p>
        </w:tc>
        <w:tc>
          <w:tcPr>
            <w:tcW w:w="597" w:type="pct"/>
            <w:tcBorders>
              <w:bottom w:val="single" w:sz="4" w:space="0" w:color="auto"/>
            </w:tcBorders>
          </w:tcPr>
          <w:p w14:paraId="14BE8C40" w14:textId="77777777" w:rsidR="004A5589" w:rsidRPr="008E269C" w:rsidRDefault="004A5589" w:rsidP="007D214C">
            <w:pPr>
              <w:pStyle w:val="TableText0"/>
              <w:rPr>
                <w:i/>
                <w:iCs/>
              </w:rPr>
            </w:pPr>
          </w:p>
        </w:tc>
        <w:tc>
          <w:tcPr>
            <w:tcW w:w="670" w:type="pct"/>
            <w:tcBorders>
              <w:bottom w:val="single" w:sz="4" w:space="0" w:color="auto"/>
            </w:tcBorders>
          </w:tcPr>
          <w:p w14:paraId="6D1720E1" w14:textId="77777777" w:rsidR="004A5589" w:rsidRPr="008E269C" w:rsidRDefault="004A5589" w:rsidP="007D214C">
            <w:pPr>
              <w:pStyle w:val="TableText0"/>
              <w:rPr>
                <w:i/>
                <w:iCs/>
              </w:rPr>
            </w:pPr>
          </w:p>
        </w:tc>
      </w:tr>
      <w:tr w:rsidR="004A5589" w:rsidRPr="008E269C" w14:paraId="56D586A4" w14:textId="77777777" w:rsidTr="004A5589">
        <w:tc>
          <w:tcPr>
            <w:tcW w:w="1267" w:type="pct"/>
          </w:tcPr>
          <w:p w14:paraId="01EB0372" w14:textId="77777777" w:rsidR="004A5589" w:rsidRPr="008E269C" w:rsidRDefault="004A5589" w:rsidP="007D214C">
            <w:pPr>
              <w:pStyle w:val="TableText0"/>
              <w:rPr>
                <w:i/>
                <w:iCs/>
              </w:rPr>
            </w:pPr>
            <w:r w:rsidRPr="00085C36">
              <w:rPr>
                <w:i/>
                <w:iCs/>
                <w:color w:val="000000"/>
                <w:spacing w:val="48"/>
                <w:shd w:val="solid" w:color="000000" w:fill="000000"/>
                <w:fitText w:val="500" w:id="-729040896"/>
                <w14:textFill>
                  <w14:solidFill>
                    <w14:srgbClr w14:val="000000">
                      <w14:alpha w14:val="100000"/>
                    </w14:srgbClr>
                  </w14:solidFill>
                </w14:textFill>
              </w:rPr>
              <w:t>|||||</w:t>
            </w:r>
            <w:r w:rsidRPr="00085C36">
              <w:rPr>
                <w:i/>
                <w:iCs/>
                <w:color w:val="000000"/>
                <w:spacing w:val="5"/>
                <w:shd w:val="solid" w:color="000000" w:fill="000000"/>
                <w:fitText w:val="500" w:id="-729040896"/>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5"/>
                <w14:textFill>
                  <w14:solidFill>
                    <w14:srgbClr w14:val="000000">
                      <w14:alpha w14:val="100000"/>
                    </w14:srgbClr>
                  </w14:solidFill>
                </w14:textFill>
              </w:rPr>
              <w:t>|||||</w:t>
            </w:r>
            <w:r w:rsidRPr="00085C36">
              <w:rPr>
                <w:i/>
                <w:iCs/>
                <w:color w:val="000000"/>
                <w:spacing w:val="5"/>
                <w:shd w:val="solid" w:color="000000" w:fill="000000"/>
                <w:fitText w:val="500" w:id="-729040895"/>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4"/>
                <w14:textFill>
                  <w14:solidFill>
                    <w14:srgbClr w14:val="000000">
                      <w14:alpha w14:val="100000"/>
                    </w14:srgbClr>
                  </w14:solidFill>
                </w14:textFill>
              </w:rPr>
              <w:t>|||||</w:t>
            </w:r>
            <w:r w:rsidRPr="00085C36">
              <w:rPr>
                <w:i/>
                <w:iCs/>
                <w:color w:val="000000"/>
                <w:spacing w:val="5"/>
                <w:shd w:val="solid" w:color="000000" w:fill="000000"/>
                <w:fitText w:val="500" w:id="-729040894"/>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3"/>
                <w14:textFill>
                  <w14:solidFill>
                    <w14:srgbClr w14:val="000000">
                      <w14:alpha w14:val="100000"/>
                    </w14:srgbClr>
                  </w14:solidFill>
                </w14:textFill>
              </w:rPr>
              <w:t>|||||</w:t>
            </w:r>
            <w:r w:rsidRPr="00085C36">
              <w:rPr>
                <w:i/>
                <w:iCs/>
                <w:color w:val="000000"/>
                <w:spacing w:val="5"/>
                <w:shd w:val="solid" w:color="000000" w:fill="000000"/>
                <w:fitText w:val="500" w:id="-729040893"/>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2"/>
                <w14:textFill>
                  <w14:solidFill>
                    <w14:srgbClr w14:val="000000">
                      <w14:alpha w14:val="100000"/>
                    </w14:srgbClr>
                  </w14:solidFill>
                </w14:textFill>
              </w:rPr>
              <w:t>|||||</w:t>
            </w:r>
            <w:r w:rsidRPr="00085C36">
              <w:rPr>
                <w:i/>
                <w:iCs/>
                <w:color w:val="000000"/>
                <w:spacing w:val="5"/>
                <w:shd w:val="solid" w:color="000000" w:fill="000000"/>
                <w:fitText w:val="500" w:id="-729040892"/>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1"/>
                <w14:textFill>
                  <w14:solidFill>
                    <w14:srgbClr w14:val="000000">
                      <w14:alpha w14:val="100000"/>
                    </w14:srgbClr>
                  </w14:solidFill>
                </w14:textFill>
              </w:rPr>
              <w:t>|||||</w:t>
            </w:r>
            <w:r w:rsidRPr="00085C36">
              <w:rPr>
                <w:i/>
                <w:iCs/>
                <w:color w:val="000000"/>
                <w:spacing w:val="5"/>
                <w:shd w:val="solid" w:color="000000" w:fill="000000"/>
                <w:fitText w:val="500" w:id="-729040891"/>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0"/>
                <w14:textFill>
                  <w14:solidFill>
                    <w14:srgbClr w14:val="000000">
                      <w14:alpha w14:val="100000"/>
                    </w14:srgbClr>
                  </w14:solidFill>
                </w14:textFill>
              </w:rPr>
              <w:t>|||||</w:t>
            </w:r>
            <w:r w:rsidRPr="00085C36">
              <w:rPr>
                <w:i/>
                <w:iCs/>
                <w:color w:val="000000"/>
                <w:spacing w:val="5"/>
                <w:shd w:val="solid" w:color="000000" w:fill="000000"/>
                <w:fitText w:val="500" w:id="-729040890"/>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9"/>
                <w14:textFill>
                  <w14:solidFill>
                    <w14:srgbClr w14:val="000000">
                      <w14:alpha w14:val="100000"/>
                    </w14:srgbClr>
                  </w14:solidFill>
                </w14:textFill>
              </w:rPr>
              <w:t>|||||</w:t>
            </w:r>
            <w:r w:rsidRPr="00085C36">
              <w:rPr>
                <w:i/>
                <w:iCs/>
                <w:color w:val="000000"/>
                <w:spacing w:val="5"/>
                <w:shd w:val="solid" w:color="000000" w:fill="000000"/>
                <w:fitText w:val="500" w:id="-729040889"/>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2FEFDD6B" w14:textId="77777777" w:rsidR="004A5589" w:rsidRPr="008E269C" w:rsidRDefault="004A5589" w:rsidP="007D214C">
            <w:pPr>
              <w:pStyle w:val="TableText0"/>
              <w:rPr>
                <w:i/>
                <w:iCs/>
              </w:rPr>
            </w:pPr>
            <w:r w:rsidRPr="00085C36">
              <w:rPr>
                <w:i/>
                <w:iCs/>
                <w:color w:val="000000"/>
                <w:spacing w:val="48"/>
                <w:fitText w:val="500" w:id="-729040888"/>
                <w14:textFill>
                  <w14:solidFill>
                    <w14:srgbClr w14:val="000000">
                      <w14:alpha w14:val="100000"/>
                    </w14:srgbClr>
                  </w14:solidFill>
                </w14:textFill>
              </w:rPr>
              <w:t>|||||</w:t>
            </w:r>
            <w:r w:rsidRPr="00085C36">
              <w:rPr>
                <w:i/>
                <w:iCs/>
                <w:color w:val="000000"/>
                <w:spacing w:val="5"/>
                <w:fitText w:val="500" w:id="-729040888"/>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200E23C6" w14:textId="77777777" w:rsidR="004A5589" w:rsidRPr="008E269C" w:rsidRDefault="004A5589" w:rsidP="007D214C">
            <w:pPr>
              <w:pStyle w:val="TableText0"/>
              <w:rPr>
                <w:i/>
                <w:iCs/>
              </w:rPr>
            </w:pPr>
            <w:r w:rsidRPr="00085C36">
              <w:rPr>
                <w:i/>
                <w:iCs/>
                <w:color w:val="000000"/>
                <w:spacing w:val="48"/>
                <w:fitText w:val="500" w:id="-729040887"/>
                <w14:textFill>
                  <w14:solidFill>
                    <w14:srgbClr w14:val="000000">
                      <w14:alpha w14:val="100000"/>
                    </w14:srgbClr>
                  </w14:solidFill>
                </w14:textFill>
              </w:rPr>
              <w:t>|||||</w:t>
            </w:r>
            <w:r w:rsidRPr="00085C36">
              <w:rPr>
                <w:i/>
                <w:iCs/>
                <w:color w:val="000000"/>
                <w:spacing w:val="5"/>
                <w:fitText w:val="500" w:id="-729040887"/>
                <w14:textFill>
                  <w14:solidFill>
                    <w14:srgbClr w14:val="000000">
                      <w14:alpha w14:val="100000"/>
                    </w14:srgbClr>
                  </w14:solidFill>
                </w14:textFill>
              </w:rPr>
              <w:t>|</w:t>
            </w:r>
          </w:p>
        </w:tc>
        <w:tc>
          <w:tcPr>
            <w:tcW w:w="580" w:type="pct"/>
            <w:tcBorders>
              <w:bottom w:val="single" w:sz="4" w:space="0" w:color="auto"/>
            </w:tcBorders>
            <w:shd w:val="solid" w:color="000000" w:fill="000000"/>
          </w:tcPr>
          <w:p w14:paraId="597F1B80" w14:textId="77777777" w:rsidR="004A5589" w:rsidRPr="008E269C" w:rsidRDefault="004A5589" w:rsidP="007D214C">
            <w:pPr>
              <w:pStyle w:val="TableText0"/>
              <w:rPr>
                <w:i/>
                <w:iCs/>
              </w:rPr>
            </w:pPr>
            <w:r w:rsidRPr="00085C36">
              <w:rPr>
                <w:i/>
                <w:iCs/>
                <w:color w:val="000000"/>
                <w:spacing w:val="48"/>
                <w:fitText w:val="500" w:id="-729040886"/>
                <w14:textFill>
                  <w14:solidFill>
                    <w14:srgbClr w14:val="000000">
                      <w14:alpha w14:val="100000"/>
                    </w14:srgbClr>
                  </w14:solidFill>
                </w14:textFill>
              </w:rPr>
              <w:t>|||||</w:t>
            </w:r>
            <w:r w:rsidRPr="00085C36">
              <w:rPr>
                <w:i/>
                <w:iCs/>
                <w:color w:val="000000"/>
                <w:spacing w:val="5"/>
                <w:fitText w:val="500" w:id="-729040886"/>
                <w14:textFill>
                  <w14:solidFill>
                    <w14:srgbClr w14:val="000000">
                      <w14:alpha w14:val="100000"/>
                    </w14:srgbClr>
                  </w14:solidFill>
                </w14:textFill>
              </w:rPr>
              <w:t>|</w:t>
            </w:r>
          </w:p>
        </w:tc>
        <w:tc>
          <w:tcPr>
            <w:tcW w:w="726" w:type="pct"/>
            <w:tcBorders>
              <w:bottom w:val="single" w:sz="4" w:space="0" w:color="auto"/>
            </w:tcBorders>
            <w:shd w:val="solid" w:color="000000" w:fill="000000"/>
          </w:tcPr>
          <w:p w14:paraId="7C4EDCA8" w14:textId="77777777" w:rsidR="004A5589" w:rsidRPr="008E269C" w:rsidRDefault="004A5589" w:rsidP="007D214C">
            <w:pPr>
              <w:pStyle w:val="TableText0"/>
              <w:rPr>
                <w:i/>
                <w:iCs/>
              </w:rPr>
            </w:pPr>
            <w:r w:rsidRPr="00085C36">
              <w:rPr>
                <w:i/>
                <w:iCs/>
                <w:color w:val="000000"/>
                <w:spacing w:val="48"/>
                <w:fitText w:val="500" w:id="-729040885"/>
                <w14:textFill>
                  <w14:solidFill>
                    <w14:srgbClr w14:val="000000">
                      <w14:alpha w14:val="100000"/>
                    </w14:srgbClr>
                  </w14:solidFill>
                </w14:textFill>
              </w:rPr>
              <w:t>|||||</w:t>
            </w:r>
            <w:r w:rsidRPr="00085C36">
              <w:rPr>
                <w:i/>
                <w:iCs/>
                <w:color w:val="000000"/>
                <w:spacing w:val="5"/>
                <w:fitText w:val="500" w:id="-729040885"/>
                <w14:textFill>
                  <w14:solidFill>
                    <w14:srgbClr w14:val="000000">
                      <w14:alpha w14:val="100000"/>
                    </w14:srgbClr>
                  </w14:solidFill>
                </w14:textFill>
              </w:rPr>
              <w:t>|</w:t>
            </w:r>
          </w:p>
        </w:tc>
        <w:tc>
          <w:tcPr>
            <w:tcW w:w="597" w:type="pct"/>
            <w:tcBorders>
              <w:bottom w:val="single" w:sz="4" w:space="0" w:color="auto"/>
            </w:tcBorders>
            <w:shd w:val="solid" w:color="000000" w:fill="000000"/>
          </w:tcPr>
          <w:p w14:paraId="78740D18" w14:textId="77777777" w:rsidR="004A5589" w:rsidRPr="008E269C" w:rsidRDefault="004A5589" w:rsidP="007D214C">
            <w:pPr>
              <w:pStyle w:val="TableText0"/>
              <w:rPr>
                <w:i/>
                <w:iCs/>
              </w:rPr>
            </w:pPr>
            <w:r w:rsidRPr="00085C36">
              <w:rPr>
                <w:i/>
                <w:iCs/>
                <w:color w:val="000000"/>
                <w:spacing w:val="48"/>
                <w:fitText w:val="500" w:id="-729040884"/>
                <w14:textFill>
                  <w14:solidFill>
                    <w14:srgbClr w14:val="000000">
                      <w14:alpha w14:val="100000"/>
                    </w14:srgbClr>
                  </w14:solidFill>
                </w14:textFill>
              </w:rPr>
              <w:t>|||||</w:t>
            </w:r>
            <w:r w:rsidRPr="00085C36">
              <w:rPr>
                <w:i/>
                <w:iCs/>
                <w:color w:val="000000"/>
                <w:spacing w:val="5"/>
                <w:fitText w:val="500" w:id="-729040884"/>
                <w14:textFill>
                  <w14:solidFill>
                    <w14:srgbClr w14:val="000000">
                      <w14:alpha w14:val="100000"/>
                    </w14:srgbClr>
                  </w14:solidFill>
                </w14:textFill>
              </w:rPr>
              <w:t>|</w:t>
            </w:r>
          </w:p>
        </w:tc>
        <w:tc>
          <w:tcPr>
            <w:tcW w:w="670" w:type="pct"/>
            <w:tcBorders>
              <w:bottom w:val="single" w:sz="4" w:space="0" w:color="auto"/>
            </w:tcBorders>
            <w:shd w:val="solid" w:color="000000" w:fill="000000"/>
          </w:tcPr>
          <w:p w14:paraId="1727397F" w14:textId="77777777" w:rsidR="004A5589" w:rsidRPr="008E269C" w:rsidRDefault="004A5589" w:rsidP="007D214C">
            <w:pPr>
              <w:pStyle w:val="TableText0"/>
              <w:rPr>
                <w:i/>
                <w:iCs/>
              </w:rPr>
            </w:pPr>
            <w:r w:rsidRPr="00085C36">
              <w:rPr>
                <w:i/>
                <w:iCs/>
                <w:color w:val="000000"/>
                <w:spacing w:val="48"/>
                <w:fitText w:val="500" w:id="-729040883"/>
                <w14:textFill>
                  <w14:solidFill>
                    <w14:srgbClr w14:val="000000">
                      <w14:alpha w14:val="100000"/>
                    </w14:srgbClr>
                  </w14:solidFill>
                </w14:textFill>
              </w:rPr>
              <w:t>|||||</w:t>
            </w:r>
            <w:r w:rsidRPr="00085C36">
              <w:rPr>
                <w:i/>
                <w:iCs/>
                <w:color w:val="000000"/>
                <w:spacing w:val="5"/>
                <w:fitText w:val="500" w:id="-729040883"/>
                <w14:textFill>
                  <w14:solidFill>
                    <w14:srgbClr w14:val="000000">
                      <w14:alpha w14:val="100000"/>
                    </w14:srgbClr>
                  </w14:solidFill>
                </w14:textFill>
              </w:rPr>
              <w:t>|</w:t>
            </w:r>
          </w:p>
        </w:tc>
      </w:tr>
      <w:tr w:rsidR="004A5589" w:rsidRPr="008E269C" w14:paraId="458FF7B9" w14:textId="77777777" w:rsidTr="004A5589">
        <w:tc>
          <w:tcPr>
            <w:tcW w:w="1267" w:type="pct"/>
          </w:tcPr>
          <w:p w14:paraId="589B22AF" w14:textId="77777777" w:rsidR="004A5589" w:rsidRPr="008E269C" w:rsidRDefault="004A5589" w:rsidP="007D214C">
            <w:pPr>
              <w:pStyle w:val="TableText0"/>
              <w:rPr>
                <w:i/>
                <w:iCs/>
              </w:rPr>
            </w:pPr>
            <w:r w:rsidRPr="00085C36">
              <w:rPr>
                <w:i/>
                <w:iCs/>
                <w:color w:val="000000"/>
                <w:spacing w:val="48"/>
                <w:shd w:val="solid" w:color="000000" w:fill="000000"/>
                <w:fitText w:val="500" w:id="-729040882"/>
                <w14:textFill>
                  <w14:solidFill>
                    <w14:srgbClr w14:val="000000">
                      <w14:alpha w14:val="100000"/>
                    </w14:srgbClr>
                  </w14:solidFill>
                </w14:textFill>
              </w:rPr>
              <w:t>|||||</w:t>
            </w:r>
            <w:r w:rsidRPr="00085C36">
              <w:rPr>
                <w:i/>
                <w:iCs/>
                <w:color w:val="000000"/>
                <w:spacing w:val="5"/>
                <w:shd w:val="solid" w:color="000000" w:fill="000000"/>
                <w:fitText w:val="500" w:id="-729040882"/>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1"/>
                <w14:textFill>
                  <w14:solidFill>
                    <w14:srgbClr w14:val="000000">
                      <w14:alpha w14:val="100000"/>
                    </w14:srgbClr>
                  </w14:solidFill>
                </w14:textFill>
              </w:rPr>
              <w:t>|||||</w:t>
            </w:r>
            <w:r w:rsidRPr="00085C36">
              <w:rPr>
                <w:i/>
                <w:iCs/>
                <w:color w:val="000000"/>
                <w:spacing w:val="5"/>
                <w:shd w:val="solid" w:color="000000" w:fill="000000"/>
                <w:fitText w:val="500" w:id="-729040881"/>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80"/>
                <w14:textFill>
                  <w14:solidFill>
                    <w14:srgbClr w14:val="000000">
                      <w14:alpha w14:val="100000"/>
                    </w14:srgbClr>
                  </w14:solidFill>
                </w14:textFill>
              </w:rPr>
              <w:t>|||||</w:t>
            </w:r>
            <w:r w:rsidRPr="00085C36">
              <w:rPr>
                <w:i/>
                <w:iCs/>
                <w:color w:val="000000"/>
                <w:spacing w:val="5"/>
                <w:shd w:val="solid" w:color="000000" w:fill="000000"/>
                <w:fitText w:val="500" w:id="-729040880"/>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6"/>
                <w14:textFill>
                  <w14:solidFill>
                    <w14:srgbClr w14:val="000000">
                      <w14:alpha w14:val="100000"/>
                    </w14:srgbClr>
                  </w14:solidFill>
                </w14:textFill>
              </w:rPr>
              <w:t>|||||</w:t>
            </w:r>
            <w:r w:rsidRPr="00085C36">
              <w:rPr>
                <w:i/>
                <w:iCs/>
                <w:color w:val="000000"/>
                <w:spacing w:val="5"/>
                <w:shd w:val="solid" w:color="000000" w:fill="000000"/>
                <w:fitText w:val="500" w:id="-729040896"/>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5"/>
                <w14:textFill>
                  <w14:solidFill>
                    <w14:srgbClr w14:val="000000">
                      <w14:alpha w14:val="100000"/>
                    </w14:srgbClr>
                  </w14:solidFill>
                </w14:textFill>
              </w:rPr>
              <w:t>|||||</w:t>
            </w:r>
            <w:r w:rsidRPr="00085C36">
              <w:rPr>
                <w:i/>
                <w:iCs/>
                <w:color w:val="000000"/>
                <w:spacing w:val="5"/>
                <w:shd w:val="solid" w:color="000000" w:fill="000000"/>
                <w:fitText w:val="500" w:id="-729040895"/>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4"/>
                <w14:textFill>
                  <w14:solidFill>
                    <w14:srgbClr w14:val="000000">
                      <w14:alpha w14:val="100000"/>
                    </w14:srgbClr>
                  </w14:solidFill>
                </w14:textFill>
              </w:rPr>
              <w:t>|||||</w:t>
            </w:r>
            <w:r w:rsidRPr="00085C36">
              <w:rPr>
                <w:i/>
                <w:iCs/>
                <w:color w:val="000000"/>
                <w:spacing w:val="5"/>
                <w:shd w:val="solid" w:color="000000" w:fill="000000"/>
                <w:fitText w:val="500" w:id="-729040894"/>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3"/>
                <w14:textFill>
                  <w14:solidFill>
                    <w14:srgbClr w14:val="000000">
                      <w14:alpha w14:val="100000"/>
                    </w14:srgbClr>
                  </w14:solidFill>
                </w14:textFill>
              </w:rPr>
              <w:t>|||||</w:t>
            </w:r>
            <w:r w:rsidRPr="00085C36">
              <w:rPr>
                <w:i/>
                <w:iCs/>
                <w:color w:val="000000"/>
                <w:spacing w:val="5"/>
                <w:shd w:val="solid" w:color="000000" w:fill="000000"/>
                <w:fitText w:val="500" w:id="-729040893"/>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2"/>
                <w14:textFill>
                  <w14:solidFill>
                    <w14:srgbClr w14:val="000000">
                      <w14:alpha w14:val="100000"/>
                    </w14:srgbClr>
                  </w14:solidFill>
                </w14:textFill>
              </w:rPr>
              <w:t>|||||</w:t>
            </w:r>
            <w:r w:rsidRPr="00085C36">
              <w:rPr>
                <w:i/>
                <w:iCs/>
                <w:color w:val="000000"/>
                <w:spacing w:val="5"/>
                <w:shd w:val="solid" w:color="000000" w:fill="000000"/>
                <w:fitText w:val="500" w:id="-729040892"/>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1"/>
                <w14:textFill>
                  <w14:solidFill>
                    <w14:srgbClr w14:val="000000">
                      <w14:alpha w14:val="100000"/>
                    </w14:srgbClr>
                  </w14:solidFill>
                </w14:textFill>
              </w:rPr>
              <w:t>|||||</w:t>
            </w:r>
            <w:r w:rsidRPr="00085C36">
              <w:rPr>
                <w:i/>
                <w:iCs/>
                <w:color w:val="000000"/>
                <w:spacing w:val="5"/>
                <w:shd w:val="solid" w:color="000000" w:fill="000000"/>
                <w:fitText w:val="500" w:id="-729040891"/>
                <w14:textFill>
                  <w14:solidFill>
                    <w14:srgbClr w14:val="000000">
                      <w14:alpha w14:val="100000"/>
                    </w14:srgbClr>
                  </w14:solidFill>
                </w14:textFill>
              </w:rPr>
              <w:t>|</w:t>
            </w:r>
            <w:r w:rsidRPr="008E269C">
              <w:rPr>
                <w:i/>
                <w:iCs/>
              </w:rPr>
              <w:t xml:space="preserve"> </w:t>
            </w:r>
            <w:r w:rsidRPr="00085C36">
              <w:rPr>
                <w:i/>
                <w:iCs/>
                <w:color w:val="000000"/>
                <w:spacing w:val="48"/>
                <w:shd w:val="solid" w:color="000000" w:fill="000000"/>
                <w:fitText w:val="500" w:id="-729040890"/>
                <w14:textFill>
                  <w14:solidFill>
                    <w14:srgbClr w14:val="000000">
                      <w14:alpha w14:val="100000"/>
                    </w14:srgbClr>
                  </w14:solidFill>
                </w14:textFill>
              </w:rPr>
              <w:t>|||||</w:t>
            </w:r>
            <w:r w:rsidRPr="00085C36">
              <w:rPr>
                <w:i/>
                <w:iCs/>
                <w:color w:val="000000"/>
                <w:spacing w:val="5"/>
                <w:shd w:val="solid" w:color="000000" w:fill="000000"/>
                <w:fitText w:val="500" w:id="-729040890"/>
                <w14:textFill>
                  <w14:solidFill>
                    <w14:srgbClr w14:val="000000">
                      <w14:alpha w14:val="100000"/>
                    </w14:srgbClr>
                  </w14:solidFill>
                </w14:textFill>
              </w:rPr>
              <w:t>|</w:t>
            </w:r>
          </w:p>
        </w:tc>
        <w:tc>
          <w:tcPr>
            <w:tcW w:w="580" w:type="pct"/>
            <w:shd w:val="solid" w:color="000000" w:fill="000000"/>
          </w:tcPr>
          <w:p w14:paraId="528E7CFF" w14:textId="77777777" w:rsidR="004A5589" w:rsidRPr="008E269C" w:rsidRDefault="004A5589" w:rsidP="007D214C">
            <w:pPr>
              <w:pStyle w:val="TableText0"/>
              <w:rPr>
                <w:i/>
                <w:iCs/>
              </w:rPr>
            </w:pPr>
            <w:r w:rsidRPr="00085C36">
              <w:rPr>
                <w:i/>
                <w:iCs/>
                <w:color w:val="000000"/>
                <w:spacing w:val="48"/>
                <w:fitText w:val="500" w:id="-729040889"/>
                <w14:textFill>
                  <w14:solidFill>
                    <w14:srgbClr w14:val="000000">
                      <w14:alpha w14:val="100000"/>
                    </w14:srgbClr>
                  </w14:solidFill>
                </w14:textFill>
              </w:rPr>
              <w:t>|||||</w:t>
            </w:r>
            <w:r w:rsidRPr="00085C36">
              <w:rPr>
                <w:i/>
                <w:iCs/>
                <w:color w:val="000000"/>
                <w:spacing w:val="5"/>
                <w:fitText w:val="500" w:id="-729040889"/>
                <w14:textFill>
                  <w14:solidFill>
                    <w14:srgbClr w14:val="000000">
                      <w14:alpha w14:val="100000"/>
                    </w14:srgbClr>
                  </w14:solidFill>
                </w14:textFill>
              </w:rPr>
              <w:t>|</w:t>
            </w:r>
          </w:p>
        </w:tc>
        <w:tc>
          <w:tcPr>
            <w:tcW w:w="580" w:type="pct"/>
            <w:shd w:val="solid" w:color="000000" w:fill="000000"/>
          </w:tcPr>
          <w:p w14:paraId="3F5E3248" w14:textId="77777777" w:rsidR="004A5589" w:rsidRPr="008E269C" w:rsidRDefault="004A5589" w:rsidP="007D214C">
            <w:pPr>
              <w:pStyle w:val="TableText0"/>
              <w:rPr>
                <w:i/>
                <w:iCs/>
              </w:rPr>
            </w:pPr>
            <w:r w:rsidRPr="00085C36">
              <w:rPr>
                <w:i/>
                <w:iCs/>
                <w:color w:val="000000"/>
                <w:spacing w:val="48"/>
                <w:fitText w:val="500" w:id="-729040888"/>
                <w14:textFill>
                  <w14:solidFill>
                    <w14:srgbClr w14:val="000000">
                      <w14:alpha w14:val="100000"/>
                    </w14:srgbClr>
                  </w14:solidFill>
                </w14:textFill>
              </w:rPr>
              <w:t>|||||</w:t>
            </w:r>
            <w:r w:rsidRPr="00085C36">
              <w:rPr>
                <w:i/>
                <w:iCs/>
                <w:color w:val="000000"/>
                <w:spacing w:val="5"/>
                <w:fitText w:val="500" w:id="-729040888"/>
                <w14:textFill>
                  <w14:solidFill>
                    <w14:srgbClr w14:val="000000">
                      <w14:alpha w14:val="100000"/>
                    </w14:srgbClr>
                  </w14:solidFill>
                </w14:textFill>
              </w:rPr>
              <w:t>|</w:t>
            </w:r>
          </w:p>
        </w:tc>
        <w:tc>
          <w:tcPr>
            <w:tcW w:w="580" w:type="pct"/>
            <w:shd w:val="solid" w:color="000000" w:fill="000000"/>
          </w:tcPr>
          <w:p w14:paraId="1BBBC05C" w14:textId="77777777" w:rsidR="004A5589" w:rsidRPr="008E269C" w:rsidRDefault="004A5589" w:rsidP="007D214C">
            <w:pPr>
              <w:pStyle w:val="TableText0"/>
              <w:rPr>
                <w:i/>
                <w:iCs/>
              </w:rPr>
            </w:pPr>
            <w:r w:rsidRPr="00085C36">
              <w:rPr>
                <w:i/>
                <w:iCs/>
                <w:color w:val="000000"/>
                <w:spacing w:val="48"/>
                <w:fitText w:val="500" w:id="-729040887"/>
                <w14:textFill>
                  <w14:solidFill>
                    <w14:srgbClr w14:val="000000">
                      <w14:alpha w14:val="100000"/>
                    </w14:srgbClr>
                  </w14:solidFill>
                </w14:textFill>
              </w:rPr>
              <w:t>|||||</w:t>
            </w:r>
            <w:r w:rsidRPr="00085C36">
              <w:rPr>
                <w:i/>
                <w:iCs/>
                <w:color w:val="000000"/>
                <w:spacing w:val="5"/>
                <w:fitText w:val="500" w:id="-729040887"/>
                <w14:textFill>
                  <w14:solidFill>
                    <w14:srgbClr w14:val="000000">
                      <w14:alpha w14:val="100000"/>
                    </w14:srgbClr>
                  </w14:solidFill>
                </w14:textFill>
              </w:rPr>
              <w:t>|</w:t>
            </w:r>
          </w:p>
        </w:tc>
        <w:tc>
          <w:tcPr>
            <w:tcW w:w="726" w:type="pct"/>
            <w:shd w:val="solid" w:color="000000" w:fill="000000"/>
          </w:tcPr>
          <w:p w14:paraId="0CCF58D9" w14:textId="77777777" w:rsidR="004A5589" w:rsidRPr="008E269C" w:rsidRDefault="004A5589" w:rsidP="007D214C">
            <w:pPr>
              <w:pStyle w:val="TableText0"/>
              <w:rPr>
                <w:i/>
                <w:iCs/>
              </w:rPr>
            </w:pPr>
            <w:r w:rsidRPr="00085C36">
              <w:rPr>
                <w:i/>
                <w:iCs/>
                <w:color w:val="000000"/>
                <w:spacing w:val="48"/>
                <w:fitText w:val="500" w:id="-729040886"/>
                <w14:textFill>
                  <w14:solidFill>
                    <w14:srgbClr w14:val="000000">
                      <w14:alpha w14:val="100000"/>
                    </w14:srgbClr>
                  </w14:solidFill>
                </w14:textFill>
              </w:rPr>
              <w:t>|||||</w:t>
            </w:r>
            <w:r w:rsidRPr="00085C36">
              <w:rPr>
                <w:i/>
                <w:iCs/>
                <w:color w:val="000000"/>
                <w:spacing w:val="5"/>
                <w:fitText w:val="500" w:id="-729040886"/>
                <w14:textFill>
                  <w14:solidFill>
                    <w14:srgbClr w14:val="000000">
                      <w14:alpha w14:val="100000"/>
                    </w14:srgbClr>
                  </w14:solidFill>
                </w14:textFill>
              </w:rPr>
              <w:t>|</w:t>
            </w:r>
          </w:p>
        </w:tc>
        <w:tc>
          <w:tcPr>
            <w:tcW w:w="597" w:type="pct"/>
            <w:shd w:val="solid" w:color="000000" w:fill="000000"/>
          </w:tcPr>
          <w:p w14:paraId="099044FE" w14:textId="77777777" w:rsidR="004A5589" w:rsidRPr="008E269C" w:rsidRDefault="004A5589" w:rsidP="007D214C">
            <w:pPr>
              <w:pStyle w:val="TableText0"/>
              <w:rPr>
                <w:i/>
                <w:iCs/>
              </w:rPr>
            </w:pPr>
            <w:r w:rsidRPr="00085C36">
              <w:rPr>
                <w:i/>
                <w:iCs/>
                <w:color w:val="000000"/>
                <w:spacing w:val="48"/>
                <w:fitText w:val="500" w:id="-729040885"/>
                <w14:textFill>
                  <w14:solidFill>
                    <w14:srgbClr w14:val="000000">
                      <w14:alpha w14:val="100000"/>
                    </w14:srgbClr>
                  </w14:solidFill>
                </w14:textFill>
              </w:rPr>
              <w:t>|||||</w:t>
            </w:r>
            <w:r w:rsidRPr="00085C36">
              <w:rPr>
                <w:i/>
                <w:iCs/>
                <w:color w:val="000000"/>
                <w:spacing w:val="5"/>
                <w:fitText w:val="500" w:id="-729040885"/>
                <w14:textFill>
                  <w14:solidFill>
                    <w14:srgbClr w14:val="000000">
                      <w14:alpha w14:val="100000"/>
                    </w14:srgbClr>
                  </w14:solidFill>
                </w14:textFill>
              </w:rPr>
              <w:t>|</w:t>
            </w:r>
          </w:p>
        </w:tc>
        <w:tc>
          <w:tcPr>
            <w:tcW w:w="670" w:type="pct"/>
            <w:shd w:val="solid" w:color="000000" w:fill="000000"/>
          </w:tcPr>
          <w:p w14:paraId="7EB374AC" w14:textId="77777777" w:rsidR="004A5589" w:rsidRPr="008E269C" w:rsidRDefault="004A5589" w:rsidP="007D214C">
            <w:pPr>
              <w:pStyle w:val="TableText0"/>
              <w:rPr>
                <w:i/>
                <w:iCs/>
              </w:rPr>
            </w:pPr>
            <w:r w:rsidRPr="00085C36">
              <w:rPr>
                <w:i/>
                <w:iCs/>
                <w:color w:val="000000"/>
                <w:spacing w:val="48"/>
                <w:fitText w:val="500" w:id="-729040884"/>
                <w14:textFill>
                  <w14:solidFill>
                    <w14:srgbClr w14:val="000000">
                      <w14:alpha w14:val="100000"/>
                    </w14:srgbClr>
                  </w14:solidFill>
                </w14:textFill>
              </w:rPr>
              <w:t>|||||</w:t>
            </w:r>
            <w:r w:rsidRPr="00085C36">
              <w:rPr>
                <w:i/>
                <w:iCs/>
                <w:color w:val="000000"/>
                <w:spacing w:val="5"/>
                <w:fitText w:val="500" w:id="-729040884"/>
                <w14:textFill>
                  <w14:solidFill>
                    <w14:srgbClr w14:val="000000">
                      <w14:alpha w14:val="100000"/>
                    </w14:srgbClr>
                  </w14:solidFill>
                </w14:textFill>
              </w:rPr>
              <w:t>|</w:t>
            </w:r>
          </w:p>
        </w:tc>
      </w:tr>
      <w:tr w:rsidR="004A5589" w:rsidRPr="0098262F" w14:paraId="314699E9" w14:textId="77777777" w:rsidTr="007D214C">
        <w:tc>
          <w:tcPr>
            <w:tcW w:w="5000" w:type="pct"/>
            <w:gridSpan w:val="7"/>
          </w:tcPr>
          <w:p w14:paraId="3F1F5D2F" w14:textId="77777777" w:rsidR="004A5589" w:rsidRPr="00DD1AE3" w:rsidRDefault="004A5589" w:rsidP="007D214C">
            <w:pPr>
              <w:pStyle w:val="TableFigureFooter"/>
            </w:pPr>
            <w:r w:rsidRPr="00085C36">
              <w:rPr>
                <w:color w:val="000000"/>
                <w:spacing w:val="44"/>
                <w:shd w:val="solid" w:color="000000" w:fill="000000"/>
                <w:fitText w:val="450" w:id="-729040883"/>
                <w14:textFill>
                  <w14:solidFill>
                    <w14:srgbClr w14:val="000000">
                      <w14:alpha w14:val="100000"/>
                    </w14:srgbClr>
                  </w14:solidFill>
                </w14:textFill>
              </w:rPr>
              <w:t>|||||</w:t>
            </w:r>
            <w:r w:rsidRPr="00085C36">
              <w:rPr>
                <w:color w:val="000000"/>
                <w:spacing w:val="1"/>
                <w:shd w:val="solid" w:color="000000" w:fill="000000"/>
                <w:fitText w:val="450" w:id="-729040883"/>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82"/>
                <w14:textFill>
                  <w14:solidFill>
                    <w14:srgbClr w14:val="000000">
                      <w14:alpha w14:val="100000"/>
                    </w14:srgbClr>
                  </w14:solidFill>
                </w14:textFill>
              </w:rPr>
              <w:t>|||||</w:t>
            </w:r>
            <w:r w:rsidRPr="00085C36">
              <w:rPr>
                <w:color w:val="000000"/>
                <w:spacing w:val="1"/>
                <w:shd w:val="solid" w:color="000000" w:fill="000000"/>
                <w:fitText w:val="450" w:id="-729040882"/>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81"/>
                <w14:textFill>
                  <w14:solidFill>
                    <w14:srgbClr w14:val="000000">
                      <w14:alpha w14:val="100000"/>
                    </w14:srgbClr>
                  </w14:solidFill>
                </w14:textFill>
              </w:rPr>
              <w:t>|||||</w:t>
            </w:r>
            <w:r w:rsidRPr="00085C36">
              <w:rPr>
                <w:color w:val="000000"/>
                <w:spacing w:val="1"/>
                <w:shd w:val="solid" w:color="000000" w:fill="000000"/>
                <w:fitText w:val="450" w:id="-729040881"/>
                <w14:textFill>
                  <w14:solidFill>
                    <w14:srgbClr w14:val="000000">
                      <w14:alpha w14:val="100000"/>
                    </w14:srgbClr>
                  </w14:solidFill>
                </w14:textFill>
              </w:rPr>
              <w:t>|</w:t>
            </w:r>
            <w:r w:rsidRPr="008E269C">
              <w:t xml:space="preserve"> </w:t>
            </w:r>
            <w:r w:rsidRPr="00085C36">
              <w:rPr>
                <w:color w:val="000000"/>
                <w:spacing w:val="37"/>
                <w:shd w:val="solid" w:color="000000" w:fill="000000"/>
                <w:fitText w:val="440" w:id="-729040880"/>
                <w14:textFill>
                  <w14:solidFill>
                    <w14:srgbClr w14:val="000000">
                      <w14:alpha w14:val="100000"/>
                    </w14:srgbClr>
                  </w14:solidFill>
                </w14:textFill>
              </w:rPr>
              <w:t>|||||</w:t>
            </w:r>
            <w:r w:rsidRPr="00085C36">
              <w:rPr>
                <w:color w:val="000000"/>
                <w:spacing w:val="25"/>
                <w:shd w:val="solid" w:color="000000" w:fill="000000"/>
                <w:fitText w:val="440" w:id="-729040880"/>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96"/>
                <w14:textFill>
                  <w14:solidFill>
                    <w14:srgbClr w14:val="000000">
                      <w14:alpha w14:val="100000"/>
                    </w14:srgbClr>
                  </w14:solidFill>
                </w14:textFill>
              </w:rPr>
              <w:t>|||||</w:t>
            </w:r>
            <w:r w:rsidRPr="00085C36">
              <w:rPr>
                <w:color w:val="000000"/>
                <w:spacing w:val="1"/>
                <w:shd w:val="solid" w:color="000000" w:fill="000000"/>
                <w:fitText w:val="450" w:id="-729040896"/>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95"/>
                <w14:textFill>
                  <w14:solidFill>
                    <w14:srgbClr w14:val="000000">
                      <w14:alpha w14:val="100000"/>
                    </w14:srgbClr>
                  </w14:solidFill>
                </w14:textFill>
              </w:rPr>
              <w:t>|||||</w:t>
            </w:r>
            <w:r w:rsidRPr="00085C36">
              <w:rPr>
                <w:color w:val="000000"/>
                <w:spacing w:val="1"/>
                <w:shd w:val="solid" w:color="000000" w:fill="000000"/>
                <w:fitText w:val="450" w:id="-729040895"/>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94"/>
                <w14:textFill>
                  <w14:solidFill>
                    <w14:srgbClr w14:val="000000">
                      <w14:alpha w14:val="100000"/>
                    </w14:srgbClr>
                  </w14:solidFill>
                </w14:textFill>
              </w:rPr>
              <w:t>|||||</w:t>
            </w:r>
            <w:r w:rsidRPr="00085C36">
              <w:rPr>
                <w:color w:val="000000"/>
                <w:spacing w:val="1"/>
                <w:shd w:val="solid" w:color="000000" w:fill="000000"/>
                <w:fitText w:val="450" w:id="-729040894"/>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93"/>
                <w14:textFill>
                  <w14:solidFill>
                    <w14:srgbClr w14:val="000000">
                      <w14:alpha w14:val="100000"/>
                    </w14:srgbClr>
                  </w14:solidFill>
                </w14:textFill>
              </w:rPr>
              <w:t>|||||</w:t>
            </w:r>
            <w:r w:rsidRPr="00085C36">
              <w:rPr>
                <w:color w:val="000000"/>
                <w:spacing w:val="1"/>
                <w:shd w:val="solid" w:color="000000" w:fill="000000"/>
                <w:fitText w:val="450" w:id="-729040893"/>
                <w14:textFill>
                  <w14:solidFill>
                    <w14:srgbClr w14:val="000000">
                      <w14:alpha w14:val="100000"/>
                    </w14:srgbClr>
                  </w14:solidFill>
                </w14:textFill>
              </w:rPr>
              <w:t>|</w:t>
            </w:r>
            <w:r w:rsidRPr="008E269C">
              <w:t xml:space="preserve"> </w:t>
            </w:r>
            <w:r w:rsidRPr="00085C36">
              <w:rPr>
                <w:color w:val="000000"/>
                <w:spacing w:val="37"/>
                <w:shd w:val="solid" w:color="000000" w:fill="000000"/>
                <w:fitText w:val="440" w:id="-729040892"/>
                <w14:textFill>
                  <w14:solidFill>
                    <w14:srgbClr w14:val="000000">
                      <w14:alpha w14:val="100000"/>
                    </w14:srgbClr>
                  </w14:solidFill>
                </w14:textFill>
              </w:rPr>
              <w:t>|||||</w:t>
            </w:r>
            <w:r w:rsidRPr="00085C36">
              <w:rPr>
                <w:color w:val="000000"/>
                <w:spacing w:val="25"/>
                <w:shd w:val="solid" w:color="000000" w:fill="000000"/>
                <w:fitText w:val="440" w:id="-729040892"/>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91"/>
                <w14:textFill>
                  <w14:solidFill>
                    <w14:srgbClr w14:val="000000">
                      <w14:alpha w14:val="100000"/>
                    </w14:srgbClr>
                  </w14:solidFill>
                </w14:textFill>
              </w:rPr>
              <w:t>|||||</w:t>
            </w:r>
            <w:r w:rsidRPr="00085C36">
              <w:rPr>
                <w:color w:val="000000"/>
                <w:spacing w:val="1"/>
                <w:shd w:val="solid" w:color="000000" w:fill="000000"/>
                <w:fitText w:val="450" w:id="-729040891"/>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90"/>
                <w14:textFill>
                  <w14:solidFill>
                    <w14:srgbClr w14:val="000000">
                      <w14:alpha w14:val="100000"/>
                    </w14:srgbClr>
                  </w14:solidFill>
                </w14:textFill>
              </w:rPr>
              <w:t>|||||</w:t>
            </w:r>
            <w:r w:rsidRPr="00085C36">
              <w:rPr>
                <w:color w:val="000000"/>
                <w:spacing w:val="1"/>
                <w:shd w:val="solid" w:color="000000" w:fill="000000"/>
                <w:fitText w:val="450" w:id="-729040890"/>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89"/>
                <w14:textFill>
                  <w14:solidFill>
                    <w14:srgbClr w14:val="000000">
                      <w14:alpha w14:val="100000"/>
                    </w14:srgbClr>
                  </w14:solidFill>
                </w14:textFill>
              </w:rPr>
              <w:t>|||||</w:t>
            </w:r>
            <w:r w:rsidRPr="00085C36">
              <w:rPr>
                <w:color w:val="000000"/>
                <w:spacing w:val="1"/>
                <w:shd w:val="solid" w:color="000000" w:fill="000000"/>
                <w:fitText w:val="450" w:id="-729040889"/>
                <w14:textFill>
                  <w14:solidFill>
                    <w14:srgbClr w14:val="000000">
                      <w14:alpha w14:val="100000"/>
                    </w14:srgbClr>
                  </w14:solidFill>
                </w14:textFill>
              </w:rPr>
              <w:t>|</w:t>
            </w:r>
            <w:r w:rsidRPr="008E269C">
              <w:t xml:space="preserve"> </w:t>
            </w:r>
            <w:r w:rsidRPr="00085C36">
              <w:rPr>
                <w:color w:val="000000"/>
                <w:spacing w:val="44"/>
                <w:shd w:val="solid" w:color="000000" w:fill="000000"/>
                <w:fitText w:val="450" w:id="-729040888"/>
                <w14:textFill>
                  <w14:solidFill>
                    <w14:srgbClr w14:val="000000">
                      <w14:alpha w14:val="100000"/>
                    </w14:srgbClr>
                  </w14:solidFill>
                </w14:textFill>
              </w:rPr>
              <w:t>|||||</w:t>
            </w:r>
            <w:r w:rsidRPr="00085C36">
              <w:rPr>
                <w:color w:val="000000"/>
                <w:spacing w:val="1"/>
                <w:shd w:val="solid" w:color="000000" w:fill="000000"/>
                <w:fitText w:val="450" w:id="-729040888"/>
                <w14:textFill>
                  <w14:solidFill>
                    <w14:srgbClr w14:val="000000">
                      <w14:alpha w14:val="100000"/>
                    </w14:srgbClr>
                  </w14:solidFill>
                </w14:textFill>
              </w:rPr>
              <w:t>|</w:t>
            </w:r>
          </w:p>
        </w:tc>
      </w:tr>
    </w:tbl>
    <w:p w14:paraId="3D741587" w14:textId="0FCA5E41" w:rsidR="008A3C3E" w:rsidRPr="0098262F" w:rsidRDefault="008A3C3E" w:rsidP="009C426B">
      <w:pPr>
        <w:pStyle w:val="5-SubsectionSubheading"/>
        <w:jc w:val="center"/>
      </w:pPr>
      <w:bookmarkStart w:id="60" w:name="_Toc187576345"/>
      <w:r w:rsidRPr="0098262F">
        <w:t>End Committee-In-</w:t>
      </w:r>
      <w:r w:rsidRPr="009C426B">
        <w:t>Confidence</w:t>
      </w:r>
      <w:r w:rsidRPr="0098262F">
        <w:t xml:space="preserve"> information</w:t>
      </w:r>
      <w:bookmarkEnd w:id="60"/>
    </w:p>
    <w:p w14:paraId="10E2E384" w14:textId="77777777" w:rsidR="006E60D2" w:rsidRDefault="006E60D2" w:rsidP="006E60D2">
      <w:pPr>
        <w:pStyle w:val="3-BodyText"/>
        <w:numPr>
          <w:ilvl w:val="0"/>
          <w:numId w:val="0"/>
        </w:numPr>
        <w:ind w:left="720" w:hanging="720"/>
      </w:pPr>
    </w:p>
    <w:p w14:paraId="68E18EE4" w14:textId="77777777" w:rsidR="006E60D2" w:rsidRPr="006E60D2" w:rsidRDefault="006E60D2" w:rsidP="006E60D2">
      <w:pPr>
        <w:pStyle w:val="3-BodyText"/>
        <w:numPr>
          <w:ilvl w:val="0"/>
          <w:numId w:val="0"/>
        </w:numPr>
        <w:ind w:left="720" w:hanging="720"/>
      </w:pPr>
    </w:p>
    <w:p w14:paraId="1D73135B" w14:textId="77777777" w:rsidR="00606FBA" w:rsidRPr="0098262F" w:rsidRDefault="00606FBA">
      <w:pPr>
        <w:jc w:val="left"/>
        <w:rPr>
          <w:b/>
          <w:caps/>
          <w:sz w:val="32"/>
        </w:rPr>
      </w:pPr>
      <w:r w:rsidRPr="0098262F">
        <w:br w:type="page"/>
      </w:r>
    </w:p>
    <w:p w14:paraId="32E715E0" w14:textId="7E5579E8" w:rsidR="00ED3A4C" w:rsidRPr="0090150D" w:rsidRDefault="00ED3A4C" w:rsidP="0027298F">
      <w:pPr>
        <w:pStyle w:val="2-SectionHeading"/>
      </w:pPr>
      <w:bookmarkStart w:id="61" w:name="_Hlk76381249"/>
      <w:r w:rsidRPr="0090150D">
        <w:t>PBAC Outcome</w:t>
      </w:r>
    </w:p>
    <w:p w14:paraId="577542CC" w14:textId="2E4C5676" w:rsidR="007C1463" w:rsidRPr="00057BBC" w:rsidRDefault="00ED3A4C" w:rsidP="00ED3A4C">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recommend</w:t>
      </w:r>
      <w:r w:rsidR="00C15F24">
        <w:rPr>
          <w:rFonts w:asciiTheme="minorHAnsi" w:hAnsiTheme="minorHAnsi"/>
          <w:snapToGrid w:val="0"/>
          <w:lang w:val="en-GB"/>
        </w:rPr>
        <w:t xml:space="preserve"> the</w:t>
      </w:r>
      <w:r w:rsidR="006008A8">
        <w:rPr>
          <w:rFonts w:asciiTheme="minorHAnsi" w:hAnsiTheme="minorHAnsi"/>
          <w:snapToGrid w:val="0"/>
          <w:lang w:val="en-GB"/>
        </w:rPr>
        <w:t xml:space="preserve"> requested</w:t>
      </w:r>
      <w:r w:rsidR="00AE1CE1">
        <w:rPr>
          <w:rFonts w:asciiTheme="minorHAnsi" w:hAnsiTheme="minorHAnsi"/>
          <w:snapToGrid w:val="0"/>
          <w:lang w:val="en-GB"/>
        </w:rPr>
        <w:t xml:space="preserve"> Section 100</w:t>
      </w:r>
      <w:r w:rsidR="006008A8">
        <w:rPr>
          <w:rFonts w:asciiTheme="minorHAnsi" w:hAnsiTheme="minorHAnsi"/>
          <w:snapToGrid w:val="0"/>
          <w:lang w:val="en-GB"/>
        </w:rPr>
        <w:t xml:space="preserve"> </w:t>
      </w:r>
      <w:r w:rsidR="00285007">
        <w:rPr>
          <w:rFonts w:asciiTheme="minorHAnsi" w:hAnsiTheme="minorHAnsi"/>
          <w:snapToGrid w:val="0"/>
          <w:lang w:val="en-GB"/>
        </w:rPr>
        <w:t xml:space="preserve">(Highly Specialised Drugs Program) </w:t>
      </w:r>
      <w:r w:rsidR="006008A8">
        <w:rPr>
          <w:rFonts w:asciiTheme="minorHAnsi" w:hAnsiTheme="minorHAnsi"/>
          <w:snapToGrid w:val="0"/>
          <w:lang w:val="en-GB"/>
        </w:rPr>
        <w:t>listing</w:t>
      </w:r>
      <w:r w:rsidR="00C15F24">
        <w:rPr>
          <w:rFonts w:asciiTheme="minorHAnsi" w:hAnsiTheme="minorHAnsi"/>
          <w:snapToGrid w:val="0"/>
          <w:lang w:val="en-GB"/>
        </w:rPr>
        <w:t xml:space="preserve"> of </w:t>
      </w:r>
      <w:r w:rsidR="00C15F24">
        <w:rPr>
          <w:snapToGrid w:val="0"/>
        </w:rPr>
        <w:t xml:space="preserve">cipaglucosidase </w:t>
      </w:r>
      <w:r w:rsidR="00285007">
        <w:rPr>
          <w:snapToGrid w:val="0"/>
        </w:rPr>
        <w:t xml:space="preserve">alfa </w:t>
      </w:r>
      <w:r w:rsidR="00C15F24">
        <w:rPr>
          <w:snapToGrid w:val="0"/>
        </w:rPr>
        <w:t xml:space="preserve">and </w:t>
      </w:r>
      <w:proofErr w:type="spellStart"/>
      <w:r w:rsidR="00C15F24">
        <w:rPr>
          <w:snapToGrid w:val="0"/>
        </w:rPr>
        <w:t>miglustat</w:t>
      </w:r>
      <w:proofErr w:type="spellEnd"/>
      <w:r w:rsidR="00396880">
        <w:rPr>
          <w:snapToGrid w:val="0"/>
        </w:rPr>
        <w:t xml:space="preserve"> (CIPAMIG) for the treatment of </w:t>
      </w:r>
      <w:r w:rsidR="00BC7C18">
        <w:rPr>
          <w:snapToGrid w:val="0"/>
        </w:rPr>
        <w:t xml:space="preserve">adults with </w:t>
      </w:r>
      <w:r w:rsidR="00396880">
        <w:rPr>
          <w:snapToGrid w:val="0"/>
        </w:rPr>
        <w:t>late-onset Pompe disease (LOPD)</w:t>
      </w:r>
      <w:r w:rsidR="0050151D">
        <w:rPr>
          <w:snapToGrid w:val="0"/>
        </w:rPr>
        <w:t>.</w:t>
      </w:r>
      <w:r w:rsidR="005212D6">
        <w:rPr>
          <w:snapToGrid w:val="0"/>
        </w:rPr>
        <w:t xml:space="preserve"> The PBAC considered </w:t>
      </w:r>
      <w:r w:rsidR="001205C2">
        <w:rPr>
          <w:snapToGrid w:val="0"/>
        </w:rPr>
        <w:t xml:space="preserve">treatment with CIPAMIG </w:t>
      </w:r>
      <w:r w:rsidR="00BE1727">
        <w:rPr>
          <w:snapToGrid w:val="0"/>
        </w:rPr>
        <w:t xml:space="preserve">for LOPD </w:t>
      </w:r>
      <w:r w:rsidR="0054183D">
        <w:rPr>
          <w:snapToGrid w:val="0"/>
        </w:rPr>
        <w:t xml:space="preserve">was likely non-inferior to </w:t>
      </w:r>
      <w:r w:rsidR="00A20CA7">
        <w:rPr>
          <w:snapToGrid w:val="0"/>
        </w:rPr>
        <w:t xml:space="preserve">alglucosidase </w:t>
      </w:r>
      <w:r w:rsidR="00FB2133">
        <w:rPr>
          <w:snapToGrid w:val="0"/>
        </w:rPr>
        <w:t xml:space="preserve">alfa (ALGLU) </w:t>
      </w:r>
      <w:r w:rsidR="00F064DB">
        <w:rPr>
          <w:snapToGrid w:val="0"/>
        </w:rPr>
        <w:t xml:space="preserve">and </w:t>
      </w:r>
      <w:proofErr w:type="spellStart"/>
      <w:r w:rsidR="00F064DB">
        <w:rPr>
          <w:snapToGrid w:val="0"/>
        </w:rPr>
        <w:t>avalglucosidase</w:t>
      </w:r>
      <w:proofErr w:type="spellEnd"/>
      <w:r w:rsidR="00F064DB">
        <w:rPr>
          <w:snapToGrid w:val="0"/>
        </w:rPr>
        <w:t xml:space="preserve"> alfa (AVAL)</w:t>
      </w:r>
      <w:r w:rsidR="000A01F8">
        <w:rPr>
          <w:snapToGrid w:val="0"/>
        </w:rPr>
        <w:t>.</w:t>
      </w:r>
      <w:r w:rsidR="001905B6">
        <w:rPr>
          <w:snapToGrid w:val="0"/>
        </w:rPr>
        <w:t xml:space="preserve"> </w:t>
      </w:r>
      <w:r w:rsidR="00E34D63">
        <w:rPr>
          <w:snapToGrid w:val="0"/>
        </w:rPr>
        <w:t xml:space="preserve">The PBAC </w:t>
      </w:r>
      <w:r w:rsidR="007C1463">
        <w:rPr>
          <w:snapToGrid w:val="0"/>
        </w:rPr>
        <w:t xml:space="preserve">considered </w:t>
      </w:r>
      <w:r w:rsidR="00465BE2">
        <w:rPr>
          <w:snapToGrid w:val="0"/>
        </w:rPr>
        <w:t>CIPAMIG</w:t>
      </w:r>
      <w:r w:rsidR="008D541B">
        <w:rPr>
          <w:snapToGrid w:val="0"/>
        </w:rPr>
        <w:t xml:space="preserve"> </w:t>
      </w:r>
      <w:r w:rsidR="00663543">
        <w:rPr>
          <w:snapToGrid w:val="0"/>
        </w:rPr>
        <w:t>was not</w:t>
      </w:r>
      <w:r w:rsidR="000F4C1A">
        <w:rPr>
          <w:snapToGrid w:val="0"/>
        </w:rPr>
        <w:t xml:space="preserve"> adequately</w:t>
      </w:r>
      <w:r w:rsidR="00663543">
        <w:rPr>
          <w:snapToGrid w:val="0"/>
        </w:rPr>
        <w:t xml:space="preserve"> cost-effective </w:t>
      </w:r>
      <w:r w:rsidR="002B2A6D">
        <w:rPr>
          <w:snapToGrid w:val="0"/>
        </w:rPr>
        <w:t>to list on the PBS</w:t>
      </w:r>
      <w:r w:rsidR="00AF3E66">
        <w:rPr>
          <w:snapToGrid w:val="0"/>
        </w:rPr>
        <w:t xml:space="preserve"> based on the</w:t>
      </w:r>
      <w:r w:rsidR="0027719B">
        <w:rPr>
          <w:snapToGrid w:val="0"/>
        </w:rPr>
        <w:t xml:space="preserve"> submission’s </w:t>
      </w:r>
      <w:r w:rsidR="00AF3E66">
        <w:rPr>
          <w:snapToGrid w:val="0"/>
        </w:rPr>
        <w:t>cost-minimisation approach versus AVAL</w:t>
      </w:r>
      <w:r w:rsidR="00296FDE">
        <w:rPr>
          <w:snapToGrid w:val="0"/>
        </w:rPr>
        <w:t xml:space="preserve"> </w:t>
      </w:r>
      <w:r w:rsidR="002B2A6D">
        <w:rPr>
          <w:snapToGrid w:val="0"/>
        </w:rPr>
        <w:t>noting</w:t>
      </w:r>
      <w:r w:rsidR="00344598">
        <w:rPr>
          <w:snapToGrid w:val="0"/>
        </w:rPr>
        <w:t xml:space="preserve"> it had previously considered</w:t>
      </w:r>
      <w:r w:rsidR="002B2A6D">
        <w:rPr>
          <w:snapToGrid w:val="0"/>
        </w:rPr>
        <w:t xml:space="preserve"> the</w:t>
      </w:r>
      <w:r w:rsidR="00E72298">
        <w:rPr>
          <w:snapToGrid w:val="0"/>
        </w:rPr>
        <w:t xml:space="preserve"> nominated</w:t>
      </w:r>
      <w:r w:rsidR="002B2A6D">
        <w:rPr>
          <w:snapToGrid w:val="0"/>
        </w:rPr>
        <w:t xml:space="preserve"> </w:t>
      </w:r>
      <w:r w:rsidR="000F4C1A">
        <w:rPr>
          <w:snapToGrid w:val="0"/>
        </w:rPr>
        <w:t xml:space="preserve">comparators </w:t>
      </w:r>
      <w:r w:rsidR="00E937D8">
        <w:rPr>
          <w:snapToGrid w:val="0"/>
        </w:rPr>
        <w:t>AVAL and ALGLU</w:t>
      </w:r>
      <w:r w:rsidR="00E72298">
        <w:rPr>
          <w:snapToGrid w:val="0"/>
        </w:rPr>
        <w:t>,</w:t>
      </w:r>
      <w:r w:rsidR="00344598">
        <w:rPr>
          <w:snapToGrid w:val="0"/>
        </w:rPr>
        <w:t xml:space="preserve"> </w:t>
      </w:r>
      <w:r w:rsidR="00305A7B">
        <w:rPr>
          <w:snapToGrid w:val="0"/>
        </w:rPr>
        <w:t xml:space="preserve">not adequately cost-effective for listing on the PBS. </w:t>
      </w:r>
    </w:p>
    <w:p w14:paraId="23334179" w14:textId="375DB1D6" w:rsidR="00057BBC" w:rsidRDefault="0063576B" w:rsidP="00ED3A4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CB3938">
        <w:rPr>
          <w:rFonts w:asciiTheme="minorHAnsi" w:hAnsiTheme="minorHAnsi"/>
          <w:snapToGrid w:val="0"/>
          <w:lang w:val="en-GB"/>
        </w:rPr>
        <w:t>noted</w:t>
      </w:r>
      <w:r w:rsidR="0025056E">
        <w:rPr>
          <w:rFonts w:asciiTheme="minorHAnsi" w:hAnsiTheme="minorHAnsi"/>
          <w:snapToGrid w:val="0"/>
          <w:lang w:val="en-GB"/>
        </w:rPr>
        <w:t xml:space="preserve"> </w:t>
      </w:r>
      <w:r w:rsidR="00CB3938">
        <w:rPr>
          <w:rFonts w:asciiTheme="minorHAnsi" w:hAnsiTheme="minorHAnsi"/>
          <w:snapToGrid w:val="0"/>
          <w:lang w:val="en-GB"/>
        </w:rPr>
        <w:t>that the submission</w:t>
      </w:r>
      <w:r w:rsidR="000C339F">
        <w:rPr>
          <w:rFonts w:asciiTheme="minorHAnsi" w:hAnsiTheme="minorHAnsi"/>
          <w:snapToGrid w:val="0"/>
          <w:lang w:val="en-GB"/>
        </w:rPr>
        <w:t xml:space="preserve"> </w:t>
      </w:r>
      <w:r w:rsidR="00FF7395">
        <w:rPr>
          <w:rFonts w:asciiTheme="minorHAnsi" w:hAnsiTheme="minorHAnsi"/>
          <w:snapToGrid w:val="0"/>
          <w:lang w:val="en-GB"/>
        </w:rPr>
        <w:t>had stated its</w:t>
      </w:r>
      <w:r w:rsidR="0058165A" w:rsidRPr="0058165A">
        <w:t xml:space="preserve"> </w:t>
      </w:r>
      <w:r w:rsidR="0058165A" w:rsidRPr="0058165A">
        <w:rPr>
          <w:rFonts w:asciiTheme="minorHAnsi" w:hAnsiTheme="minorHAnsi"/>
          <w:snapToGrid w:val="0"/>
          <w:lang w:val="en-GB"/>
        </w:rPr>
        <w:t>objective</w:t>
      </w:r>
      <w:r w:rsidR="0058165A">
        <w:rPr>
          <w:rFonts w:asciiTheme="minorHAnsi" w:hAnsiTheme="minorHAnsi"/>
          <w:snapToGrid w:val="0"/>
          <w:lang w:val="en-GB"/>
        </w:rPr>
        <w:t xml:space="preserve"> </w:t>
      </w:r>
      <w:r w:rsidR="00FF7395">
        <w:rPr>
          <w:rFonts w:asciiTheme="minorHAnsi" w:hAnsiTheme="minorHAnsi"/>
          <w:snapToGrid w:val="0"/>
          <w:lang w:val="en-GB"/>
        </w:rPr>
        <w:t>was to seek</w:t>
      </w:r>
      <w:r w:rsidR="004F7AAC">
        <w:rPr>
          <w:rFonts w:asciiTheme="minorHAnsi" w:hAnsiTheme="minorHAnsi"/>
          <w:snapToGrid w:val="0"/>
          <w:lang w:val="en-GB"/>
        </w:rPr>
        <w:t xml:space="preserve"> listing</w:t>
      </w:r>
      <w:r w:rsidR="0058165A" w:rsidRPr="0058165A">
        <w:rPr>
          <w:rFonts w:asciiTheme="minorHAnsi" w:hAnsiTheme="minorHAnsi"/>
          <w:snapToGrid w:val="0"/>
          <w:lang w:val="en-GB"/>
        </w:rPr>
        <w:t xml:space="preserve"> CIPAMIG </w:t>
      </w:r>
      <w:r w:rsidR="000C339F">
        <w:rPr>
          <w:rFonts w:asciiTheme="minorHAnsi" w:hAnsiTheme="minorHAnsi"/>
          <w:snapToGrid w:val="0"/>
          <w:lang w:val="en-GB"/>
        </w:rPr>
        <w:t xml:space="preserve">on the </w:t>
      </w:r>
      <w:r w:rsidR="00822E14" w:rsidRPr="00822E14">
        <w:rPr>
          <w:rFonts w:asciiTheme="minorHAnsi" w:hAnsiTheme="minorHAnsi"/>
          <w:snapToGrid w:val="0"/>
          <w:lang w:val="en-GB"/>
        </w:rPr>
        <w:t>Life Saving Drugs Program</w:t>
      </w:r>
      <w:r w:rsidR="00CB3938">
        <w:rPr>
          <w:rFonts w:asciiTheme="minorHAnsi" w:hAnsiTheme="minorHAnsi"/>
          <w:snapToGrid w:val="0"/>
          <w:lang w:val="en-GB"/>
        </w:rPr>
        <w:t xml:space="preserve"> </w:t>
      </w:r>
      <w:r w:rsidR="00822E14">
        <w:rPr>
          <w:rFonts w:asciiTheme="minorHAnsi" w:hAnsiTheme="minorHAnsi"/>
          <w:snapToGrid w:val="0"/>
          <w:lang w:val="en-GB"/>
        </w:rPr>
        <w:t>(</w:t>
      </w:r>
      <w:r w:rsidR="0058165A" w:rsidRPr="0058165A">
        <w:rPr>
          <w:rFonts w:asciiTheme="minorHAnsi" w:hAnsiTheme="minorHAnsi"/>
          <w:snapToGrid w:val="0"/>
          <w:lang w:val="en-GB"/>
        </w:rPr>
        <w:t>LSDP</w:t>
      </w:r>
      <w:r w:rsidR="00822E14">
        <w:rPr>
          <w:rFonts w:asciiTheme="minorHAnsi" w:hAnsiTheme="minorHAnsi"/>
          <w:snapToGrid w:val="0"/>
          <w:lang w:val="en-GB"/>
        </w:rPr>
        <w:t>)</w:t>
      </w:r>
      <w:r w:rsidR="0058165A" w:rsidRPr="0058165A">
        <w:rPr>
          <w:rFonts w:asciiTheme="minorHAnsi" w:hAnsiTheme="minorHAnsi"/>
          <w:snapToGrid w:val="0"/>
          <w:lang w:val="en-GB"/>
        </w:rPr>
        <w:t xml:space="preserve"> alongside the existing </w:t>
      </w:r>
      <w:r w:rsidR="00402E98">
        <w:rPr>
          <w:rFonts w:asciiTheme="minorHAnsi" w:hAnsiTheme="minorHAnsi"/>
          <w:snapToGrid w:val="0"/>
          <w:lang w:val="en-GB"/>
        </w:rPr>
        <w:t>enzyme replacement therapies (ERTs)</w:t>
      </w:r>
      <w:r w:rsidR="0058165A" w:rsidRPr="0058165A">
        <w:rPr>
          <w:rFonts w:asciiTheme="minorHAnsi" w:hAnsiTheme="minorHAnsi"/>
          <w:snapToGrid w:val="0"/>
          <w:lang w:val="en-GB"/>
        </w:rPr>
        <w:t xml:space="preserve"> for the treatment of LOPD.</w:t>
      </w:r>
    </w:p>
    <w:p w14:paraId="4E14CC59" w14:textId="2A5D9C1D" w:rsidR="0081011F" w:rsidRPr="0081011F" w:rsidRDefault="00CB3938" w:rsidP="0081011F">
      <w:pPr>
        <w:pStyle w:val="3-BodyText"/>
        <w:rPr>
          <w:rFonts w:eastAsia="Times New Roman" w:cs="Arial"/>
          <w:snapToGrid w:val="0"/>
          <w:szCs w:val="24"/>
          <w:lang w:val="en-GB"/>
        </w:rPr>
      </w:pPr>
      <w:r>
        <w:rPr>
          <w:snapToGrid w:val="0"/>
          <w:lang w:val="en-GB"/>
        </w:rPr>
        <w:t xml:space="preserve">The PBAC noted the </w:t>
      </w:r>
      <w:r w:rsidR="0004285E">
        <w:rPr>
          <w:snapToGrid w:val="0"/>
          <w:lang w:val="en-GB"/>
        </w:rPr>
        <w:t xml:space="preserve">consumer comments </w:t>
      </w:r>
      <w:r w:rsidR="00C562F2">
        <w:rPr>
          <w:snapToGrid w:val="0"/>
          <w:lang w:val="en-GB"/>
        </w:rPr>
        <w:t xml:space="preserve">describing </w:t>
      </w:r>
      <w:r w:rsidR="00BC57D7">
        <w:rPr>
          <w:snapToGrid w:val="0"/>
          <w:lang w:val="en-GB"/>
        </w:rPr>
        <w:t>the benefits of treatment</w:t>
      </w:r>
      <w:r w:rsidR="001B1EBD">
        <w:rPr>
          <w:snapToGrid w:val="0"/>
          <w:lang w:val="en-GB"/>
        </w:rPr>
        <w:t xml:space="preserve"> with CIPAMIG including improve</w:t>
      </w:r>
      <w:r w:rsidR="003C1713">
        <w:rPr>
          <w:snapToGrid w:val="0"/>
          <w:lang w:val="en-GB"/>
        </w:rPr>
        <w:t xml:space="preserve">d respiratory and muscle function. </w:t>
      </w:r>
      <w:r w:rsidR="006F0FDE">
        <w:rPr>
          <w:snapToGrid w:val="0"/>
          <w:lang w:val="en-GB"/>
        </w:rPr>
        <w:t xml:space="preserve">The PBAC noted </w:t>
      </w:r>
      <w:r w:rsidR="00D3396E">
        <w:rPr>
          <w:snapToGrid w:val="0"/>
          <w:lang w:val="en-GB"/>
        </w:rPr>
        <w:t>t</w:t>
      </w:r>
      <w:r w:rsidR="00774E0B">
        <w:rPr>
          <w:snapToGrid w:val="0"/>
          <w:lang w:val="en-GB"/>
        </w:rPr>
        <w:t>he comments</w:t>
      </w:r>
      <w:r w:rsidR="00E24597">
        <w:rPr>
          <w:snapToGrid w:val="0"/>
          <w:lang w:val="en-GB"/>
        </w:rPr>
        <w:t xml:space="preserve"> indicated </w:t>
      </w:r>
      <w:r w:rsidR="009B1FB9">
        <w:rPr>
          <w:snapToGrid w:val="0"/>
          <w:lang w:val="en-GB"/>
        </w:rPr>
        <w:t>that having the option to receive infusions at</w:t>
      </w:r>
      <w:r w:rsidR="00033BA9">
        <w:rPr>
          <w:snapToGrid w:val="0"/>
          <w:lang w:val="en-GB"/>
        </w:rPr>
        <w:t xml:space="preserve"> home was desirable</w:t>
      </w:r>
      <w:r w:rsidR="009B1FB9">
        <w:rPr>
          <w:snapToGrid w:val="0"/>
          <w:lang w:val="en-GB"/>
        </w:rPr>
        <w:t>.</w:t>
      </w:r>
      <w:r w:rsidR="00523971">
        <w:rPr>
          <w:snapToGrid w:val="0"/>
          <w:lang w:val="en-GB"/>
        </w:rPr>
        <w:t xml:space="preserve"> The PBAC</w:t>
      </w:r>
      <w:r w:rsidR="0081011F">
        <w:rPr>
          <w:snapToGrid w:val="0"/>
          <w:lang w:val="en-GB"/>
        </w:rPr>
        <w:t xml:space="preserve"> n</w:t>
      </w:r>
      <w:r w:rsidR="00523971">
        <w:rPr>
          <w:snapToGrid w:val="0"/>
          <w:lang w:val="en-GB"/>
        </w:rPr>
        <w:t>oted</w:t>
      </w:r>
      <w:r w:rsidR="0081011F">
        <w:rPr>
          <w:snapToGrid w:val="0"/>
          <w:lang w:val="en-GB"/>
        </w:rPr>
        <w:t xml:space="preserve"> that hom</w:t>
      </w:r>
      <w:r w:rsidR="00A1496B">
        <w:rPr>
          <w:snapToGrid w:val="0"/>
          <w:lang w:val="en-GB"/>
        </w:rPr>
        <w:t xml:space="preserve">e infusion administered by </w:t>
      </w:r>
      <w:r w:rsidR="000431FA">
        <w:rPr>
          <w:snapToGrid w:val="0"/>
          <w:lang w:val="en-GB"/>
        </w:rPr>
        <w:t xml:space="preserve">a </w:t>
      </w:r>
      <w:r w:rsidR="00A1496B">
        <w:rPr>
          <w:snapToGrid w:val="0"/>
          <w:lang w:val="en-GB"/>
        </w:rPr>
        <w:t>health care professional</w:t>
      </w:r>
      <w:r w:rsidR="007A663C">
        <w:rPr>
          <w:snapToGrid w:val="0"/>
          <w:lang w:val="en-GB"/>
        </w:rPr>
        <w:t xml:space="preserve"> following the establishment of safety and tolerability </w:t>
      </w:r>
      <w:r w:rsidR="009E669A">
        <w:rPr>
          <w:snapToGrid w:val="0"/>
          <w:lang w:val="en-GB"/>
        </w:rPr>
        <w:t>in a clinical setting, is an available</w:t>
      </w:r>
      <w:r w:rsidR="004D2887">
        <w:rPr>
          <w:snapToGrid w:val="0"/>
          <w:lang w:val="en-GB"/>
        </w:rPr>
        <w:t xml:space="preserve"> option for</w:t>
      </w:r>
      <w:r w:rsidR="009E669A">
        <w:rPr>
          <w:snapToGrid w:val="0"/>
          <w:lang w:val="en-GB"/>
        </w:rPr>
        <w:t xml:space="preserve"> </w:t>
      </w:r>
      <w:r w:rsidR="00371E18">
        <w:rPr>
          <w:snapToGrid w:val="0"/>
          <w:lang w:val="en-GB"/>
        </w:rPr>
        <w:t>both</w:t>
      </w:r>
      <w:r w:rsidR="004D2887">
        <w:rPr>
          <w:snapToGrid w:val="0"/>
          <w:lang w:val="en-GB"/>
        </w:rPr>
        <w:t xml:space="preserve"> CIPAMIG and AVAL</w:t>
      </w:r>
      <w:r w:rsidR="009E669A">
        <w:rPr>
          <w:snapToGrid w:val="0"/>
          <w:lang w:val="en-GB"/>
        </w:rPr>
        <w:t xml:space="preserve">. </w:t>
      </w:r>
    </w:p>
    <w:p w14:paraId="6BE66DD1" w14:textId="752BCA0C" w:rsidR="00C730F3" w:rsidRPr="001F0BA8" w:rsidRDefault="00C730F3" w:rsidP="00ED3A4C">
      <w:pPr>
        <w:widowControl w:val="0"/>
        <w:numPr>
          <w:ilvl w:val="1"/>
          <w:numId w:val="1"/>
        </w:numPr>
        <w:spacing w:after="120"/>
        <w:rPr>
          <w:rFonts w:asciiTheme="minorHAnsi" w:hAnsiTheme="minorHAnsi"/>
          <w:snapToGrid w:val="0"/>
          <w:lang w:val="en-GB"/>
        </w:rPr>
      </w:pPr>
      <w:r>
        <w:rPr>
          <w:snapToGrid w:val="0"/>
        </w:rPr>
        <w:t>The submission nominated A</w:t>
      </w:r>
      <w:r w:rsidR="009F553A">
        <w:rPr>
          <w:snapToGrid w:val="0"/>
        </w:rPr>
        <w:t xml:space="preserve">LGU and AVAL as the </w:t>
      </w:r>
      <w:r w:rsidR="00986AC8">
        <w:rPr>
          <w:snapToGrid w:val="0"/>
        </w:rPr>
        <w:t>main</w:t>
      </w:r>
      <w:r w:rsidR="009F553A">
        <w:rPr>
          <w:snapToGrid w:val="0"/>
        </w:rPr>
        <w:t xml:space="preserve"> comparator</w:t>
      </w:r>
      <w:r w:rsidR="00986AC8">
        <w:rPr>
          <w:snapToGrid w:val="0"/>
        </w:rPr>
        <w:t xml:space="preserve">s. The PBAC noted ALGU and </w:t>
      </w:r>
      <w:r w:rsidR="00326F36">
        <w:rPr>
          <w:snapToGrid w:val="0"/>
        </w:rPr>
        <w:t xml:space="preserve">AVAL are currently available on the LSDP for </w:t>
      </w:r>
      <w:r w:rsidR="000E2360">
        <w:rPr>
          <w:snapToGrid w:val="0"/>
        </w:rPr>
        <w:t xml:space="preserve">LOPD </w:t>
      </w:r>
      <w:r w:rsidR="00326F36">
        <w:rPr>
          <w:snapToGrid w:val="0"/>
        </w:rPr>
        <w:t>and considered both</w:t>
      </w:r>
      <w:r w:rsidR="000E2360">
        <w:rPr>
          <w:snapToGrid w:val="0"/>
        </w:rPr>
        <w:t xml:space="preserve"> </w:t>
      </w:r>
      <w:r w:rsidR="00097746">
        <w:rPr>
          <w:snapToGrid w:val="0"/>
        </w:rPr>
        <w:t xml:space="preserve">these </w:t>
      </w:r>
      <w:r w:rsidR="00326F36">
        <w:rPr>
          <w:snapToGrid w:val="0"/>
        </w:rPr>
        <w:t>ERT</w:t>
      </w:r>
      <w:r w:rsidR="000E2360">
        <w:rPr>
          <w:snapToGrid w:val="0"/>
        </w:rPr>
        <w:t>s</w:t>
      </w:r>
      <w:r w:rsidR="00326F36">
        <w:rPr>
          <w:snapToGrid w:val="0"/>
        </w:rPr>
        <w:t xml:space="preserve"> </w:t>
      </w:r>
      <w:r w:rsidR="006A07A4">
        <w:rPr>
          <w:snapToGrid w:val="0"/>
        </w:rPr>
        <w:t>were</w:t>
      </w:r>
      <w:r w:rsidR="00097746">
        <w:rPr>
          <w:snapToGrid w:val="0"/>
        </w:rPr>
        <w:t xml:space="preserve"> </w:t>
      </w:r>
      <w:r w:rsidR="00204B97">
        <w:rPr>
          <w:snapToGrid w:val="0"/>
        </w:rPr>
        <w:t>appropriate comparators</w:t>
      </w:r>
      <w:r w:rsidR="00454D95" w:rsidRPr="00454D95">
        <w:t xml:space="preserve"> </w:t>
      </w:r>
      <w:r w:rsidR="004D58EF">
        <w:rPr>
          <w:snapToGrid w:val="0"/>
        </w:rPr>
        <w:t>given they are</w:t>
      </w:r>
      <w:r w:rsidR="00454D95" w:rsidRPr="00454D95">
        <w:rPr>
          <w:snapToGrid w:val="0"/>
        </w:rPr>
        <w:t xml:space="preserve"> most likely to be replaced by </w:t>
      </w:r>
      <w:r w:rsidR="004D58EF">
        <w:rPr>
          <w:snapToGrid w:val="0"/>
        </w:rPr>
        <w:t>CIPAMIG</w:t>
      </w:r>
      <w:r w:rsidR="00204B97">
        <w:rPr>
          <w:snapToGrid w:val="0"/>
        </w:rPr>
        <w:t>.</w:t>
      </w:r>
    </w:p>
    <w:p w14:paraId="7C2CB9E2" w14:textId="5BA43B1C" w:rsidR="00793FF8" w:rsidRDefault="00793FF8" w:rsidP="00ED3A4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6B42B6">
        <w:rPr>
          <w:rFonts w:asciiTheme="minorHAnsi" w:hAnsiTheme="minorHAnsi"/>
          <w:snapToGrid w:val="0"/>
          <w:lang w:val="en-GB"/>
        </w:rPr>
        <w:t>noted the submission was</w:t>
      </w:r>
      <w:r w:rsidR="005F5AFF">
        <w:rPr>
          <w:rFonts w:asciiTheme="minorHAnsi" w:hAnsiTheme="minorHAnsi"/>
          <w:snapToGrid w:val="0"/>
          <w:lang w:val="en-GB"/>
        </w:rPr>
        <w:t xml:space="preserve"> based</w:t>
      </w:r>
      <w:r w:rsidR="005F5AFF" w:rsidRPr="005F5AFF">
        <w:t xml:space="preserve"> </w:t>
      </w:r>
      <w:r w:rsidR="005F5AFF" w:rsidRPr="005F5AFF">
        <w:rPr>
          <w:rFonts w:asciiTheme="minorHAnsi" w:hAnsiTheme="minorHAnsi"/>
          <w:snapToGrid w:val="0"/>
          <w:lang w:val="en-GB"/>
        </w:rPr>
        <w:t>on</w:t>
      </w:r>
      <w:r w:rsidR="005266FE">
        <w:rPr>
          <w:rFonts w:asciiTheme="minorHAnsi" w:hAnsiTheme="minorHAnsi"/>
          <w:snapToGrid w:val="0"/>
          <w:lang w:val="en-GB"/>
        </w:rPr>
        <w:t xml:space="preserve"> </w:t>
      </w:r>
      <w:r w:rsidR="001266C2">
        <w:rPr>
          <w:rFonts w:asciiTheme="minorHAnsi" w:hAnsiTheme="minorHAnsi"/>
          <w:snapToGrid w:val="0"/>
          <w:lang w:val="en-GB"/>
        </w:rPr>
        <w:t xml:space="preserve">results from </w:t>
      </w:r>
      <w:r w:rsidR="005F5AFF">
        <w:rPr>
          <w:rFonts w:asciiTheme="minorHAnsi" w:hAnsiTheme="minorHAnsi"/>
          <w:snapToGrid w:val="0"/>
          <w:lang w:val="en-GB"/>
        </w:rPr>
        <w:t>PROPEL</w:t>
      </w:r>
      <w:r w:rsidR="005266FE">
        <w:rPr>
          <w:rFonts w:asciiTheme="minorHAnsi" w:hAnsiTheme="minorHAnsi"/>
          <w:snapToGrid w:val="0"/>
          <w:lang w:val="en-GB"/>
        </w:rPr>
        <w:t xml:space="preserve"> (</w:t>
      </w:r>
      <w:r w:rsidR="00134FA0">
        <w:rPr>
          <w:rFonts w:asciiTheme="minorHAnsi" w:hAnsiTheme="minorHAnsi"/>
          <w:snapToGrid w:val="0"/>
          <w:lang w:val="en-GB"/>
        </w:rPr>
        <w:t>N</w:t>
      </w:r>
      <w:r w:rsidR="005266FE">
        <w:rPr>
          <w:rFonts w:asciiTheme="minorHAnsi" w:hAnsiTheme="minorHAnsi"/>
          <w:snapToGrid w:val="0"/>
          <w:lang w:val="en-GB"/>
        </w:rPr>
        <w:t>=123)</w:t>
      </w:r>
      <w:r w:rsidR="005F5AFF">
        <w:rPr>
          <w:rFonts w:asciiTheme="minorHAnsi" w:hAnsiTheme="minorHAnsi"/>
          <w:snapToGrid w:val="0"/>
          <w:lang w:val="en-GB"/>
        </w:rPr>
        <w:t xml:space="preserve">, a </w:t>
      </w:r>
      <w:r w:rsidR="005F5AFF" w:rsidRPr="005F5AFF">
        <w:rPr>
          <w:rFonts w:asciiTheme="minorHAnsi" w:hAnsiTheme="minorHAnsi"/>
          <w:snapToGrid w:val="0"/>
          <w:lang w:val="en-GB"/>
        </w:rPr>
        <w:t xml:space="preserve">head-to-head </w:t>
      </w:r>
      <w:r w:rsidR="001B0FA1">
        <w:rPr>
          <w:rFonts w:asciiTheme="minorHAnsi" w:hAnsiTheme="minorHAnsi"/>
          <w:snapToGrid w:val="0"/>
          <w:lang w:val="en-GB"/>
        </w:rPr>
        <w:t xml:space="preserve">randomised </w:t>
      </w:r>
      <w:r w:rsidR="005F5AFF" w:rsidRPr="005F5AFF">
        <w:rPr>
          <w:rFonts w:asciiTheme="minorHAnsi" w:hAnsiTheme="minorHAnsi"/>
          <w:snapToGrid w:val="0"/>
          <w:lang w:val="en-GB"/>
        </w:rPr>
        <w:t>trial comparing</w:t>
      </w:r>
      <w:r w:rsidR="000415DB">
        <w:rPr>
          <w:rFonts w:asciiTheme="minorHAnsi" w:hAnsiTheme="minorHAnsi"/>
          <w:snapToGrid w:val="0"/>
          <w:lang w:val="en-GB"/>
        </w:rPr>
        <w:t xml:space="preserve"> the efficacy</w:t>
      </w:r>
      <w:r w:rsidR="00304F0F">
        <w:rPr>
          <w:rFonts w:asciiTheme="minorHAnsi" w:hAnsiTheme="minorHAnsi"/>
          <w:snapToGrid w:val="0"/>
          <w:lang w:val="en-GB"/>
        </w:rPr>
        <w:t xml:space="preserve"> and safety</w:t>
      </w:r>
      <w:r w:rsidR="00A86676">
        <w:rPr>
          <w:rFonts w:asciiTheme="minorHAnsi" w:hAnsiTheme="minorHAnsi"/>
          <w:snapToGrid w:val="0"/>
          <w:lang w:val="en-GB"/>
        </w:rPr>
        <w:t xml:space="preserve"> of</w:t>
      </w:r>
      <w:r w:rsidR="005F5AFF" w:rsidRPr="005F5AFF">
        <w:rPr>
          <w:rFonts w:asciiTheme="minorHAnsi" w:hAnsiTheme="minorHAnsi"/>
          <w:snapToGrid w:val="0"/>
          <w:lang w:val="en-GB"/>
        </w:rPr>
        <w:t xml:space="preserve"> CIPAMIG</w:t>
      </w:r>
      <w:r w:rsidR="00C570A6">
        <w:rPr>
          <w:rFonts w:asciiTheme="minorHAnsi" w:hAnsiTheme="minorHAnsi"/>
          <w:snapToGrid w:val="0"/>
          <w:lang w:val="en-GB"/>
        </w:rPr>
        <w:t xml:space="preserve"> (</w:t>
      </w:r>
      <w:r w:rsidR="00134FA0">
        <w:rPr>
          <w:rFonts w:asciiTheme="minorHAnsi" w:hAnsiTheme="minorHAnsi"/>
          <w:snapToGrid w:val="0"/>
          <w:lang w:val="en-GB"/>
        </w:rPr>
        <w:t>N</w:t>
      </w:r>
      <w:r w:rsidR="00C570A6">
        <w:rPr>
          <w:rFonts w:asciiTheme="minorHAnsi" w:hAnsiTheme="minorHAnsi"/>
          <w:snapToGrid w:val="0"/>
          <w:lang w:val="en-GB"/>
        </w:rPr>
        <w:t>=85)</w:t>
      </w:r>
      <w:r w:rsidR="005F5AFF" w:rsidRPr="005F5AFF">
        <w:rPr>
          <w:rFonts w:asciiTheme="minorHAnsi" w:hAnsiTheme="minorHAnsi"/>
          <w:snapToGrid w:val="0"/>
          <w:lang w:val="en-GB"/>
        </w:rPr>
        <w:t xml:space="preserve"> to ALGLU</w:t>
      </w:r>
      <w:r w:rsidR="00C570A6">
        <w:rPr>
          <w:rFonts w:asciiTheme="minorHAnsi" w:hAnsiTheme="minorHAnsi"/>
          <w:snapToGrid w:val="0"/>
          <w:lang w:val="en-GB"/>
        </w:rPr>
        <w:t xml:space="preserve"> (</w:t>
      </w:r>
      <w:r w:rsidR="00134FA0">
        <w:rPr>
          <w:rFonts w:asciiTheme="minorHAnsi" w:hAnsiTheme="minorHAnsi"/>
          <w:snapToGrid w:val="0"/>
          <w:lang w:val="en-GB"/>
        </w:rPr>
        <w:t>N</w:t>
      </w:r>
      <w:r w:rsidR="00C570A6">
        <w:rPr>
          <w:rFonts w:asciiTheme="minorHAnsi" w:hAnsiTheme="minorHAnsi"/>
          <w:snapToGrid w:val="0"/>
          <w:lang w:val="en-GB"/>
        </w:rPr>
        <w:t>=35)</w:t>
      </w:r>
      <w:r w:rsidR="005F5AFF" w:rsidRPr="005F5AFF">
        <w:rPr>
          <w:rFonts w:asciiTheme="minorHAnsi" w:hAnsiTheme="minorHAnsi"/>
          <w:snapToGrid w:val="0"/>
          <w:lang w:val="en-GB"/>
        </w:rPr>
        <w:t xml:space="preserve"> in mostly treatment-experienced (i.e., already receiving ALGLU) patients. The</w:t>
      </w:r>
      <w:r w:rsidR="00BD7CB7">
        <w:rPr>
          <w:rFonts w:asciiTheme="minorHAnsi" w:hAnsiTheme="minorHAnsi"/>
          <w:snapToGrid w:val="0"/>
          <w:lang w:val="en-GB"/>
        </w:rPr>
        <w:t xml:space="preserve"> PBAC noted the</w:t>
      </w:r>
      <w:r w:rsidR="005F5AFF" w:rsidRPr="005F5AFF">
        <w:rPr>
          <w:rFonts w:asciiTheme="minorHAnsi" w:hAnsiTheme="minorHAnsi"/>
          <w:snapToGrid w:val="0"/>
          <w:lang w:val="en-GB"/>
        </w:rPr>
        <w:t xml:space="preserve"> submission </w:t>
      </w:r>
      <w:r w:rsidR="00134FA0">
        <w:rPr>
          <w:rFonts w:asciiTheme="minorHAnsi" w:hAnsiTheme="minorHAnsi"/>
          <w:snapToGrid w:val="0"/>
          <w:lang w:val="en-GB"/>
        </w:rPr>
        <w:t xml:space="preserve">also </w:t>
      </w:r>
      <w:r w:rsidR="005F5AFF" w:rsidRPr="005F5AFF">
        <w:rPr>
          <w:rFonts w:asciiTheme="minorHAnsi" w:hAnsiTheme="minorHAnsi"/>
          <w:snapToGrid w:val="0"/>
          <w:lang w:val="en-GB"/>
        </w:rPr>
        <w:t xml:space="preserve">presented </w:t>
      </w:r>
      <w:r w:rsidR="00134FA0">
        <w:rPr>
          <w:rFonts w:asciiTheme="minorHAnsi" w:hAnsiTheme="minorHAnsi"/>
          <w:snapToGrid w:val="0"/>
          <w:lang w:val="en-GB"/>
        </w:rPr>
        <w:t>results from COMET</w:t>
      </w:r>
      <w:r w:rsidR="0067552D">
        <w:rPr>
          <w:rFonts w:asciiTheme="minorHAnsi" w:hAnsiTheme="minorHAnsi"/>
          <w:snapToGrid w:val="0"/>
          <w:lang w:val="en-GB"/>
        </w:rPr>
        <w:t xml:space="preserve"> (N=100), </w:t>
      </w:r>
      <w:r w:rsidR="008F1C4B">
        <w:rPr>
          <w:rFonts w:asciiTheme="minorHAnsi" w:hAnsiTheme="minorHAnsi"/>
          <w:snapToGrid w:val="0"/>
          <w:lang w:val="en-GB"/>
        </w:rPr>
        <w:t>a head-to-head randomised non-inferiority trial</w:t>
      </w:r>
      <w:r w:rsidR="00134FA0">
        <w:rPr>
          <w:rFonts w:asciiTheme="minorHAnsi" w:hAnsiTheme="minorHAnsi"/>
          <w:snapToGrid w:val="0"/>
          <w:lang w:val="en-GB"/>
        </w:rPr>
        <w:t xml:space="preserve"> </w:t>
      </w:r>
      <w:r w:rsidR="005F5AFF" w:rsidRPr="005F5AFF">
        <w:rPr>
          <w:rFonts w:asciiTheme="minorHAnsi" w:hAnsiTheme="minorHAnsi"/>
          <w:snapToGrid w:val="0"/>
          <w:lang w:val="en-GB"/>
        </w:rPr>
        <w:t xml:space="preserve">comparing </w:t>
      </w:r>
      <w:r w:rsidR="00A5681F">
        <w:rPr>
          <w:rFonts w:asciiTheme="minorHAnsi" w:hAnsiTheme="minorHAnsi"/>
          <w:snapToGrid w:val="0"/>
          <w:lang w:val="en-GB"/>
        </w:rPr>
        <w:t xml:space="preserve">the efficacy and safety of </w:t>
      </w:r>
      <w:r w:rsidR="005F5AFF" w:rsidRPr="005F5AFF">
        <w:rPr>
          <w:rFonts w:asciiTheme="minorHAnsi" w:hAnsiTheme="minorHAnsi"/>
          <w:snapToGrid w:val="0"/>
          <w:lang w:val="en-GB"/>
        </w:rPr>
        <w:t>ALGLU</w:t>
      </w:r>
      <w:r w:rsidR="00A5681F">
        <w:rPr>
          <w:rFonts w:asciiTheme="minorHAnsi" w:hAnsiTheme="minorHAnsi"/>
          <w:snapToGrid w:val="0"/>
          <w:lang w:val="en-GB"/>
        </w:rPr>
        <w:t xml:space="preserve"> (N=49)</w:t>
      </w:r>
      <w:r w:rsidR="005F5AFF" w:rsidRPr="005F5AFF">
        <w:rPr>
          <w:rFonts w:asciiTheme="minorHAnsi" w:hAnsiTheme="minorHAnsi"/>
          <w:snapToGrid w:val="0"/>
          <w:lang w:val="en-GB"/>
        </w:rPr>
        <w:t xml:space="preserve"> </w:t>
      </w:r>
      <w:r w:rsidR="00A5681F">
        <w:rPr>
          <w:rFonts w:asciiTheme="minorHAnsi" w:hAnsiTheme="minorHAnsi"/>
          <w:snapToGrid w:val="0"/>
          <w:lang w:val="en-GB"/>
        </w:rPr>
        <w:t>and</w:t>
      </w:r>
      <w:r w:rsidR="005F5AFF" w:rsidRPr="005F5AFF">
        <w:rPr>
          <w:rFonts w:asciiTheme="minorHAnsi" w:hAnsiTheme="minorHAnsi"/>
          <w:snapToGrid w:val="0"/>
          <w:lang w:val="en-GB"/>
        </w:rPr>
        <w:t xml:space="preserve"> AVAL</w:t>
      </w:r>
      <w:r w:rsidR="00006A1C">
        <w:rPr>
          <w:rFonts w:asciiTheme="minorHAnsi" w:hAnsiTheme="minorHAnsi"/>
          <w:snapToGrid w:val="0"/>
          <w:lang w:val="en-GB"/>
        </w:rPr>
        <w:t xml:space="preserve"> (N=51)</w:t>
      </w:r>
      <w:r w:rsidR="005F5AFF" w:rsidRPr="005F5AFF">
        <w:rPr>
          <w:rFonts w:asciiTheme="minorHAnsi" w:hAnsiTheme="minorHAnsi"/>
          <w:snapToGrid w:val="0"/>
          <w:lang w:val="en-GB"/>
        </w:rPr>
        <w:t xml:space="preserve"> in treatment-naïve patients</w:t>
      </w:r>
      <w:r w:rsidR="005C58C3">
        <w:rPr>
          <w:rFonts w:asciiTheme="minorHAnsi" w:hAnsiTheme="minorHAnsi"/>
          <w:snapToGrid w:val="0"/>
          <w:lang w:val="en-GB"/>
        </w:rPr>
        <w:t xml:space="preserve">, in </w:t>
      </w:r>
      <w:r w:rsidR="005F5AFF" w:rsidRPr="005F5AFF">
        <w:rPr>
          <w:rFonts w:asciiTheme="minorHAnsi" w:hAnsiTheme="minorHAnsi"/>
          <w:snapToGrid w:val="0"/>
          <w:lang w:val="en-GB"/>
        </w:rPr>
        <w:t>an indirect comparison</w:t>
      </w:r>
      <w:r w:rsidR="009004D5">
        <w:rPr>
          <w:rFonts w:asciiTheme="minorHAnsi" w:hAnsiTheme="minorHAnsi"/>
          <w:snapToGrid w:val="0"/>
          <w:lang w:val="en-GB"/>
        </w:rPr>
        <w:t xml:space="preserve"> using COMET and PROPEL</w:t>
      </w:r>
      <w:r w:rsidR="009C6B7E">
        <w:rPr>
          <w:rFonts w:asciiTheme="minorHAnsi" w:hAnsiTheme="minorHAnsi"/>
          <w:snapToGrid w:val="0"/>
          <w:lang w:val="en-GB"/>
        </w:rPr>
        <w:t xml:space="preserve"> to compare CIPAMIG and AVAL with ALGLU as the common treatment</w:t>
      </w:r>
      <w:r w:rsidR="005F5AFF" w:rsidRPr="005F5AFF">
        <w:rPr>
          <w:rFonts w:asciiTheme="minorHAnsi" w:hAnsiTheme="minorHAnsi"/>
          <w:snapToGrid w:val="0"/>
          <w:lang w:val="en-GB"/>
        </w:rPr>
        <w:t>.</w:t>
      </w:r>
      <w:r w:rsidR="00EB627B">
        <w:rPr>
          <w:rFonts w:asciiTheme="minorHAnsi" w:hAnsiTheme="minorHAnsi"/>
          <w:snapToGrid w:val="0"/>
          <w:lang w:val="en-GB"/>
        </w:rPr>
        <w:t xml:space="preserve"> </w:t>
      </w:r>
      <w:r w:rsidR="00375916">
        <w:rPr>
          <w:rFonts w:asciiTheme="minorHAnsi" w:hAnsiTheme="minorHAnsi"/>
          <w:snapToGrid w:val="0"/>
          <w:lang w:val="en-GB"/>
        </w:rPr>
        <w:t xml:space="preserve">The PBAC also noted </w:t>
      </w:r>
      <w:r w:rsidR="0075734C">
        <w:rPr>
          <w:rFonts w:asciiTheme="minorHAnsi" w:hAnsiTheme="minorHAnsi"/>
          <w:snapToGrid w:val="0"/>
          <w:lang w:val="en-GB"/>
        </w:rPr>
        <w:t xml:space="preserve">the submission presented a </w:t>
      </w:r>
      <w:r w:rsidR="0075734C" w:rsidRPr="0075734C">
        <w:rPr>
          <w:rFonts w:asciiTheme="minorHAnsi" w:hAnsiTheme="minorHAnsi"/>
          <w:snapToGrid w:val="0"/>
          <w:lang w:val="en-GB"/>
        </w:rPr>
        <w:t>network meta-analysis</w:t>
      </w:r>
      <w:r w:rsidR="00AD418F">
        <w:rPr>
          <w:rFonts w:asciiTheme="minorHAnsi" w:hAnsiTheme="minorHAnsi"/>
          <w:snapToGrid w:val="0"/>
          <w:lang w:val="en-GB"/>
        </w:rPr>
        <w:t xml:space="preserve"> </w:t>
      </w:r>
      <w:r w:rsidR="0075734C" w:rsidRPr="0075734C">
        <w:rPr>
          <w:rFonts w:asciiTheme="minorHAnsi" w:hAnsiTheme="minorHAnsi"/>
          <w:snapToGrid w:val="0"/>
          <w:lang w:val="en-GB"/>
        </w:rPr>
        <w:t xml:space="preserve">using data from PROPEL and COMET and </w:t>
      </w:r>
      <w:r w:rsidR="0075734C">
        <w:rPr>
          <w:rFonts w:asciiTheme="minorHAnsi" w:hAnsiTheme="minorHAnsi"/>
          <w:snapToGrid w:val="0"/>
          <w:lang w:val="en-GB"/>
        </w:rPr>
        <w:t>their</w:t>
      </w:r>
      <w:r w:rsidR="0075734C" w:rsidRPr="0075734C">
        <w:rPr>
          <w:rFonts w:asciiTheme="minorHAnsi" w:hAnsiTheme="minorHAnsi"/>
          <w:snapToGrid w:val="0"/>
          <w:lang w:val="en-GB"/>
        </w:rPr>
        <w:t xml:space="preserve"> open label extension</w:t>
      </w:r>
      <w:r w:rsidR="0075734C">
        <w:rPr>
          <w:rFonts w:asciiTheme="minorHAnsi" w:hAnsiTheme="minorHAnsi"/>
          <w:snapToGrid w:val="0"/>
          <w:lang w:val="en-GB"/>
        </w:rPr>
        <w:t>s</w:t>
      </w:r>
      <w:r w:rsidR="0075734C" w:rsidRPr="0075734C">
        <w:rPr>
          <w:rFonts w:asciiTheme="minorHAnsi" w:hAnsiTheme="minorHAnsi"/>
          <w:snapToGrid w:val="0"/>
          <w:lang w:val="en-GB"/>
        </w:rPr>
        <w:t>.</w:t>
      </w:r>
      <w:r w:rsidR="0050461C">
        <w:rPr>
          <w:rFonts w:asciiTheme="minorHAnsi" w:hAnsiTheme="minorHAnsi"/>
          <w:snapToGrid w:val="0"/>
          <w:lang w:val="en-GB"/>
        </w:rPr>
        <w:t xml:space="preserve"> </w:t>
      </w:r>
      <w:r w:rsidR="00EB627B">
        <w:rPr>
          <w:rFonts w:asciiTheme="minorHAnsi" w:hAnsiTheme="minorHAnsi"/>
          <w:snapToGrid w:val="0"/>
          <w:lang w:val="en-GB"/>
        </w:rPr>
        <w:t xml:space="preserve">The PBAC recalled it had </w:t>
      </w:r>
      <w:r w:rsidR="00EB627B" w:rsidRPr="00EB627B">
        <w:rPr>
          <w:rFonts w:asciiTheme="minorHAnsi" w:hAnsiTheme="minorHAnsi"/>
          <w:snapToGrid w:val="0"/>
          <w:lang w:val="en-GB"/>
        </w:rPr>
        <w:t>previously considered</w:t>
      </w:r>
      <w:r w:rsidR="00EB627B">
        <w:rPr>
          <w:rFonts w:asciiTheme="minorHAnsi" w:hAnsiTheme="minorHAnsi"/>
          <w:snapToGrid w:val="0"/>
          <w:lang w:val="en-GB"/>
        </w:rPr>
        <w:t xml:space="preserve"> COMET</w:t>
      </w:r>
      <w:r w:rsidR="00EB627B" w:rsidRPr="00EB627B">
        <w:rPr>
          <w:rFonts w:asciiTheme="minorHAnsi" w:hAnsiTheme="minorHAnsi"/>
          <w:snapToGrid w:val="0"/>
          <w:lang w:val="en-GB"/>
        </w:rPr>
        <w:t xml:space="preserve"> in its November 2021 consideration of AVAL.</w:t>
      </w:r>
      <w:r w:rsidR="00066EB5">
        <w:rPr>
          <w:rFonts w:asciiTheme="minorHAnsi" w:hAnsiTheme="minorHAnsi"/>
          <w:snapToGrid w:val="0"/>
          <w:lang w:val="en-GB"/>
        </w:rPr>
        <w:t xml:space="preserve"> </w:t>
      </w:r>
    </w:p>
    <w:p w14:paraId="522E63A2" w14:textId="7ADBB2A0" w:rsidR="00E21523" w:rsidRPr="00E21523" w:rsidRDefault="000A6909" w:rsidP="00ED3A4C">
      <w:pPr>
        <w:widowControl w:val="0"/>
        <w:numPr>
          <w:ilvl w:val="1"/>
          <w:numId w:val="1"/>
        </w:numPr>
        <w:spacing w:after="120"/>
        <w:rPr>
          <w:rFonts w:asciiTheme="minorHAnsi" w:hAnsiTheme="minorHAnsi"/>
          <w:snapToGrid w:val="0"/>
          <w:lang w:val="en-GB"/>
        </w:rPr>
      </w:pPr>
      <w:r>
        <w:rPr>
          <w:rFonts w:asciiTheme="minorHAnsi" w:hAnsiTheme="minorHAnsi"/>
          <w:snapToGrid w:val="0"/>
        </w:rPr>
        <w:t>T</w:t>
      </w:r>
      <w:r w:rsidR="00810F59" w:rsidRPr="00810F59">
        <w:rPr>
          <w:rFonts w:asciiTheme="minorHAnsi" w:hAnsiTheme="minorHAnsi"/>
          <w:snapToGrid w:val="0"/>
        </w:rPr>
        <w:t xml:space="preserve">he PBAC recognised </w:t>
      </w:r>
      <w:r w:rsidR="00810F59">
        <w:rPr>
          <w:rFonts w:asciiTheme="minorHAnsi" w:hAnsiTheme="minorHAnsi"/>
          <w:snapToGrid w:val="0"/>
        </w:rPr>
        <w:t>th</w:t>
      </w:r>
      <w:r w:rsidR="004311C6">
        <w:rPr>
          <w:rFonts w:asciiTheme="minorHAnsi" w:hAnsiTheme="minorHAnsi"/>
          <w:snapToGrid w:val="0"/>
        </w:rPr>
        <w:t>e limitation of the clinical data in this rare disease</w:t>
      </w:r>
      <w:r w:rsidR="00810F59" w:rsidRPr="00810F59">
        <w:rPr>
          <w:rFonts w:asciiTheme="minorHAnsi" w:hAnsiTheme="minorHAnsi"/>
          <w:snapToGrid w:val="0"/>
        </w:rPr>
        <w:t>.</w:t>
      </w:r>
      <w:r w:rsidR="007F30FD">
        <w:rPr>
          <w:rFonts w:asciiTheme="minorHAnsi" w:hAnsiTheme="minorHAnsi"/>
          <w:snapToGrid w:val="0"/>
        </w:rPr>
        <w:t xml:space="preserve"> The PBAC recalled it had previously </w:t>
      </w:r>
      <w:r w:rsidR="00DD57B1">
        <w:rPr>
          <w:rFonts w:asciiTheme="minorHAnsi" w:hAnsiTheme="minorHAnsi"/>
          <w:snapToGrid w:val="0"/>
        </w:rPr>
        <w:t xml:space="preserve">considered the surrogate outcome measures </w:t>
      </w:r>
      <w:r w:rsidR="00BB46F8">
        <w:rPr>
          <w:rFonts w:asciiTheme="minorHAnsi" w:hAnsiTheme="minorHAnsi"/>
          <w:snapToGrid w:val="0"/>
        </w:rPr>
        <w:t>forced vital capacity (</w:t>
      </w:r>
      <w:r w:rsidR="00DD57B1">
        <w:rPr>
          <w:rFonts w:asciiTheme="minorHAnsi" w:hAnsiTheme="minorHAnsi"/>
          <w:snapToGrid w:val="0"/>
        </w:rPr>
        <w:t>FVC</w:t>
      </w:r>
      <w:r w:rsidR="00BB46F8">
        <w:rPr>
          <w:rFonts w:asciiTheme="minorHAnsi" w:hAnsiTheme="minorHAnsi"/>
          <w:snapToGrid w:val="0"/>
        </w:rPr>
        <w:t xml:space="preserve">) </w:t>
      </w:r>
      <w:r w:rsidR="00DD57B1">
        <w:rPr>
          <w:rFonts w:asciiTheme="minorHAnsi" w:hAnsiTheme="minorHAnsi"/>
          <w:snapToGrid w:val="0"/>
        </w:rPr>
        <w:t xml:space="preserve">and </w:t>
      </w:r>
      <w:r w:rsidR="00F42BEF" w:rsidRPr="00F42BEF">
        <w:rPr>
          <w:rFonts w:asciiTheme="minorHAnsi" w:hAnsiTheme="minorHAnsi"/>
          <w:snapToGrid w:val="0"/>
        </w:rPr>
        <w:t xml:space="preserve">6 Minute Walk </w:t>
      </w:r>
      <w:r w:rsidR="00964FE3">
        <w:rPr>
          <w:rFonts w:asciiTheme="minorHAnsi" w:hAnsiTheme="minorHAnsi"/>
          <w:snapToGrid w:val="0"/>
        </w:rPr>
        <w:t>Distance</w:t>
      </w:r>
      <w:r w:rsidR="00F42BEF" w:rsidRPr="00F42BEF">
        <w:rPr>
          <w:rFonts w:asciiTheme="minorHAnsi" w:hAnsiTheme="minorHAnsi"/>
          <w:snapToGrid w:val="0"/>
        </w:rPr>
        <w:t xml:space="preserve"> </w:t>
      </w:r>
      <w:r w:rsidR="00F42BEF">
        <w:rPr>
          <w:rFonts w:asciiTheme="minorHAnsi" w:hAnsiTheme="minorHAnsi"/>
          <w:snapToGrid w:val="0"/>
        </w:rPr>
        <w:t>(</w:t>
      </w:r>
      <w:r w:rsidR="00DD57B1">
        <w:rPr>
          <w:rFonts w:asciiTheme="minorHAnsi" w:hAnsiTheme="minorHAnsi"/>
          <w:snapToGrid w:val="0"/>
        </w:rPr>
        <w:t>6MW</w:t>
      </w:r>
      <w:r w:rsidR="00964FE3">
        <w:rPr>
          <w:rFonts w:asciiTheme="minorHAnsi" w:hAnsiTheme="minorHAnsi"/>
          <w:snapToGrid w:val="0"/>
        </w:rPr>
        <w:t>D</w:t>
      </w:r>
      <w:r w:rsidR="00F42BEF">
        <w:rPr>
          <w:rFonts w:asciiTheme="minorHAnsi" w:hAnsiTheme="minorHAnsi"/>
          <w:snapToGrid w:val="0"/>
        </w:rPr>
        <w:t>)</w:t>
      </w:r>
      <w:r w:rsidR="00D62DF3">
        <w:rPr>
          <w:rFonts w:asciiTheme="minorHAnsi" w:hAnsiTheme="minorHAnsi"/>
          <w:snapToGrid w:val="0"/>
        </w:rPr>
        <w:t xml:space="preserve"> to be reasonable </w:t>
      </w:r>
      <w:r w:rsidR="00143685">
        <w:rPr>
          <w:rFonts w:asciiTheme="minorHAnsi" w:hAnsiTheme="minorHAnsi"/>
          <w:snapToGrid w:val="0"/>
        </w:rPr>
        <w:t xml:space="preserve">in determining comparative </w:t>
      </w:r>
      <w:r w:rsidR="00B31484">
        <w:rPr>
          <w:rFonts w:asciiTheme="minorHAnsi" w:hAnsiTheme="minorHAnsi"/>
          <w:snapToGrid w:val="0"/>
        </w:rPr>
        <w:t xml:space="preserve">effectiveness between AVAL and ALGLU. </w:t>
      </w:r>
      <w:r w:rsidR="00284C31">
        <w:rPr>
          <w:rFonts w:asciiTheme="minorHAnsi" w:hAnsiTheme="minorHAnsi"/>
          <w:snapToGrid w:val="0"/>
        </w:rPr>
        <w:t>The PBAC considered that on balance,</w:t>
      </w:r>
      <w:r w:rsidR="004376A9">
        <w:rPr>
          <w:rFonts w:asciiTheme="minorHAnsi" w:hAnsiTheme="minorHAnsi"/>
          <w:snapToGrid w:val="0"/>
        </w:rPr>
        <w:t xml:space="preserve"> the results </w:t>
      </w:r>
      <w:r w:rsidR="00057C68">
        <w:rPr>
          <w:rFonts w:asciiTheme="minorHAnsi" w:hAnsiTheme="minorHAnsi"/>
          <w:snapToGrid w:val="0"/>
        </w:rPr>
        <w:t>from PROPEL</w:t>
      </w:r>
      <w:r w:rsidR="005356DB">
        <w:rPr>
          <w:rFonts w:asciiTheme="minorHAnsi" w:hAnsiTheme="minorHAnsi"/>
          <w:snapToGrid w:val="0"/>
        </w:rPr>
        <w:t xml:space="preserve"> and the indirect comparison</w:t>
      </w:r>
      <w:r w:rsidR="00524B78">
        <w:rPr>
          <w:rFonts w:asciiTheme="minorHAnsi" w:hAnsiTheme="minorHAnsi"/>
          <w:snapToGrid w:val="0"/>
        </w:rPr>
        <w:t xml:space="preserve"> supported </w:t>
      </w:r>
      <w:r w:rsidR="00703F41">
        <w:rPr>
          <w:rFonts w:asciiTheme="minorHAnsi" w:hAnsiTheme="minorHAnsi"/>
          <w:snapToGrid w:val="0"/>
        </w:rPr>
        <w:t>a conclusion of non-inferior e</w:t>
      </w:r>
      <w:r w:rsidR="00B219E6">
        <w:rPr>
          <w:rFonts w:asciiTheme="minorHAnsi" w:hAnsiTheme="minorHAnsi"/>
          <w:snapToGrid w:val="0"/>
        </w:rPr>
        <w:t xml:space="preserve">ffectiveness </w:t>
      </w:r>
      <w:r w:rsidR="009D3E6D">
        <w:rPr>
          <w:rFonts w:asciiTheme="minorHAnsi" w:hAnsiTheme="minorHAnsi"/>
          <w:snapToGrid w:val="0"/>
        </w:rPr>
        <w:t>for CIPAMIG compared to ALGLU and AVAL.</w:t>
      </w:r>
    </w:p>
    <w:p w14:paraId="2C0BF797" w14:textId="10A40360" w:rsidR="0050461C" w:rsidRPr="007D7AFD" w:rsidRDefault="00223BAB" w:rsidP="00ED3A4C">
      <w:pPr>
        <w:widowControl w:val="0"/>
        <w:numPr>
          <w:ilvl w:val="1"/>
          <w:numId w:val="1"/>
        </w:numPr>
        <w:spacing w:after="120"/>
        <w:rPr>
          <w:rFonts w:asciiTheme="minorHAnsi" w:hAnsiTheme="minorHAnsi"/>
          <w:snapToGrid w:val="0"/>
          <w:lang w:val="en-GB"/>
        </w:rPr>
      </w:pPr>
      <w:r>
        <w:rPr>
          <w:rFonts w:asciiTheme="minorHAnsi" w:hAnsiTheme="minorHAnsi"/>
          <w:snapToGrid w:val="0"/>
        </w:rPr>
        <w:t xml:space="preserve">The </w:t>
      </w:r>
      <w:r w:rsidR="00BC7B20" w:rsidRPr="00BC7B20">
        <w:rPr>
          <w:rFonts w:asciiTheme="minorHAnsi" w:hAnsiTheme="minorHAnsi"/>
          <w:snapToGrid w:val="0"/>
        </w:rPr>
        <w:t xml:space="preserve">PBAC considered </w:t>
      </w:r>
      <w:r w:rsidR="008136E0">
        <w:rPr>
          <w:rFonts w:asciiTheme="minorHAnsi" w:hAnsiTheme="minorHAnsi"/>
          <w:snapToGrid w:val="0"/>
        </w:rPr>
        <w:t xml:space="preserve">that based on the </w:t>
      </w:r>
      <w:r w:rsidR="00BC7B20" w:rsidRPr="00BC7B20">
        <w:rPr>
          <w:rFonts w:asciiTheme="minorHAnsi" w:hAnsiTheme="minorHAnsi"/>
          <w:snapToGrid w:val="0"/>
        </w:rPr>
        <w:t xml:space="preserve">available evidence, it was reasonable to accept the claim of non-inferior comparative safety compared to </w:t>
      </w:r>
      <w:r w:rsidR="002731BC">
        <w:rPr>
          <w:rFonts w:asciiTheme="minorHAnsi" w:hAnsiTheme="minorHAnsi"/>
          <w:snapToGrid w:val="0"/>
        </w:rPr>
        <w:t>ALGLU and AVAL</w:t>
      </w:r>
      <w:r w:rsidR="00BC7B20" w:rsidRPr="00BC7B20">
        <w:rPr>
          <w:rFonts w:asciiTheme="minorHAnsi" w:hAnsiTheme="minorHAnsi"/>
          <w:snapToGrid w:val="0"/>
        </w:rPr>
        <w:t>.</w:t>
      </w:r>
    </w:p>
    <w:p w14:paraId="158B94A2" w14:textId="0CB3AF5E" w:rsidR="003C20CF" w:rsidRDefault="002405CE" w:rsidP="00ED3A4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w:t>
      </w:r>
      <w:r w:rsidR="00703C63">
        <w:rPr>
          <w:rFonts w:asciiTheme="minorHAnsi" w:hAnsiTheme="minorHAnsi"/>
          <w:snapToGrid w:val="0"/>
          <w:lang w:val="en-GB"/>
        </w:rPr>
        <w:t xml:space="preserve"> in the context o</w:t>
      </w:r>
      <w:r w:rsidR="008F454E">
        <w:rPr>
          <w:rFonts w:asciiTheme="minorHAnsi" w:hAnsiTheme="minorHAnsi"/>
          <w:snapToGrid w:val="0"/>
          <w:lang w:val="en-GB"/>
        </w:rPr>
        <w:t xml:space="preserve">f </w:t>
      </w:r>
      <w:r w:rsidR="00CC1BC3">
        <w:rPr>
          <w:rFonts w:asciiTheme="minorHAnsi" w:hAnsiTheme="minorHAnsi"/>
          <w:snapToGrid w:val="0"/>
          <w:lang w:val="en-GB"/>
        </w:rPr>
        <w:t>seeking listing on the PBS,</w:t>
      </w:r>
      <w:r>
        <w:rPr>
          <w:rFonts w:asciiTheme="minorHAnsi" w:hAnsiTheme="minorHAnsi"/>
          <w:snapToGrid w:val="0"/>
          <w:lang w:val="en-GB"/>
        </w:rPr>
        <w:t xml:space="preserve"> the cost-minimisation </w:t>
      </w:r>
      <w:r w:rsidR="009303AD">
        <w:rPr>
          <w:rFonts w:asciiTheme="minorHAnsi" w:hAnsiTheme="minorHAnsi"/>
          <w:snapToGrid w:val="0"/>
          <w:lang w:val="en-GB"/>
        </w:rPr>
        <w:t>analysis</w:t>
      </w:r>
      <w:r w:rsidR="002F1E9E">
        <w:rPr>
          <w:rFonts w:asciiTheme="minorHAnsi" w:hAnsiTheme="minorHAnsi"/>
          <w:snapToGrid w:val="0"/>
          <w:lang w:val="en-GB"/>
        </w:rPr>
        <w:t xml:space="preserve"> versus </w:t>
      </w:r>
      <w:r w:rsidR="00E57EA8">
        <w:rPr>
          <w:rFonts w:asciiTheme="minorHAnsi" w:hAnsiTheme="minorHAnsi"/>
          <w:snapToGrid w:val="0"/>
          <w:lang w:val="en-GB"/>
        </w:rPr>
        <w:t>AVAL</w:t>
      </w:r>
      <w:r w:rsidR="009303AD">
        <w:rPr>
          <w:rFonts w:asciiTheme="minorHAnsi" w:hAnsiTheme="minorHAnsi"/>
          <w:snapToGrid w:val="0"/>
          <w:lang w:val="en-GB"/>
        </w:rPr>
        <w:t xml:space="preserve"> was</w:t>
      </w:r>
      <w:r w:rsidR="00082E02">
        <w:rPr>
          <w:rFonts w:asciiTheme="minorHAnsi" w:hAnsiTheme="minorHAnsi"/>
          <w:snapToGrid w:val="0"/>
          <w:lang w:val="en-GB"/>
        </w:rPr>
        <w:t xml:space="preserve"> not </w:t>
      </w:r>
      <w:r w:rsidR="007B295B">
        <w:rPr>
          <w:rFonts w:asciiTheme="minorHAnsi" w:hAnsiTheme="minorHAnsi"/>
          <w:snapToGrid w:val="0"/>
          <w:lang w:val="en-GB"/>
        </w:rPr>
        <w:t xml:space="preserve">an </w:t>
      </w:r>
      <w:r w:rsidR="00082E02">
        <w:rPr>
          <w:rFonts w:asciiTheme="minorHAnsi" w:hAnsiTheme="minorHAnsi"/>
          <w:snapToGrid w:val="0"/>
          <w:lang w:val="en-GB"/>
        </w:rPr>
        <w:t>appropriate</w:t>
      </w:r>
      <w:r w:rsidR="00827010">
        <w:rPr>
          <w:rFonts w:asciiTheme="minorHAnsi" w:hAnsiTheme="minorHAnsi"/>
          <w:snapToGrid w:val="0"/>
          <w:lang w:val="en-GB"/>
        </w:rPr>
        <w:t xml:space="preserve"> </w:t>
      </w:r>
      <w:r w:rsidR="0010433B">
        <w:rPr>
          <w:rFonts w:asciiTheme="minorHAnsi" w:hAnsiTheme="minorHAnsi"/>
          <w:snapToGrid w:val="0"/>
          <w:lang w:val="en-GB"/>
        </w:rPr>
        <w:t>approach given</w:t>
      </w:r>
      <w:r w:rsidR="00103EB0">
        <w:rPr>
          <w:rFonts w:asciiTheme="minorHAnsi" w:hAnsiTheme="minorHAnsi"/>
          <w:snapToGrid w:val="0"/>
          <w:lang w:val="en-GB"/>
        </w:rPr>
        <w:t xml:space="preserve"> it had previously considered</w:t>
      </w:r>
      <w:r w:rsidR="00904AAE">
        <w:rPr>
          <w:rFonts w:asciiTheme="minorHAnsi" w:hAnsiTheme="minorHAnsi"/>
          <w:snapToGrid w:val="0"/>
          <w:lang w:val="en-GB"/>
        </w:rPr>
        <w:t xml:space="preserve"> the nominated comparato</w:t>
      </w:r>
      <w:r w:rsidR="00B872DD">
        <w:rPr>
          <w:rFonts w:asciiTheme="minorHAnsi" w:hAnsiTheme="minorHAnsi"/>
          <w:snapToGrid w:val="0"/>
          <w:lang w:val="en-GB"/>
        </w:rPr>
        <w:t>rs</w:t>
      </w:r>
      <w:r w:rsidR="00AD357B">
        <w:rPr>
          <w:rFonts w:asciiTheme="minorHAnsi" w:hAnsiTheme="minorHAnsi"/>
          <w:snapToGrid w:val="0"/>
          <w:lang w:val="en-GB"/>
        </w:rPr>
        <w:t xml:space="preserve"> </w:t>
      </w:r>
      <w:r w:rsidR="00103EB0">
        <w:rPr>
          <w:rFonts w:asciiTheme="minorHAnsi" w:hAnsiTheme="minorHAnsi"/>
          <w:snapToGrid w:val="0"/>
          <w:lang w:val="en-GB"/>
        </w:rPr>
        <w:t>to not be adequately cost-effective for listing on the PBS.</w:t>
      </w:r>
      <w:r w:rsidR="00CB5CB9">
        <w:rPr>
          <w:rFonts w:asciiTheme="minorHAnsi" w:hAnsiTheme="minorHAnsi"/>
          <w:snapToGrid w:val="0"/>
          <w:lang w:val="en-GB"/>
        </w:rPr>
        <w:t xml:space="preserve"> </w:t>
      </w:r>
      <w:r w:rsidR="00125274">
        <w:rPr>
          <w:rFonts w:asciiTheme="minorHAnsi" w:hAnsiTheme="minorHAnsi"/>
          <w:snapToGrid w:val="0"/>
          <w:lang w:val="en-GB"/>
        </w:rPr>
        <w:t>However, t</w:t>
      </w:r>
      <w:r w:rsidR="00CB5CB9">
        <w:rPr>
          <w:rFonts w:asciiTheme="minorHAnsi" w:hAnsiTheme="minorHAnsi"/>
          <w:snapToGrid w:val="0"/>
          <w:lang w:val="en-GB"/>
        </w:rPr>
        <w:t xml:space="preserve">he PBAC </w:t>
      </w:r>
      <w:r w:rsidR="00125274">
        <w:rPr>
          <w:rFonts w:asciiTheme="minorHAnsi" w:hAnsiTheme="minorHAnsi"/>
          <w:snapToGrid w:val="0"/>
          <w:lang w:val="en-GB"/>
        </w:rPr>
        <w:t>acknowledged</w:t>
      </w:r>
      <w:r w:rsidR="00CB5CB9">
        <w:rPr>
          <w:rFonts w:asciiTheme="minorHAnsi" w:hAnsiTheme="minorHAnsi"/>
          <w:snapToGrid w:val="0"/>
          <w:lang w:val="en-GB"/>
        </w:rPr>
        <w:t xml:space="preserve"> that</w:t>
      </w:r>
      <w:r w:rsidR="00851C81">
        <w:rPr>
          <w:rFonts w:asciiTheme="minorHAnsi" w:hAnsiTheme="minorHAnsi"/>
          <w:snapToGrid w:val="0"/>
          <w:lang w:val="en-GB"/>
        </w:rPr>
        <w:t xml:space="preserve"> the sponsor had taken this approach intentionally</w:t>
      </w:r>
      <w:r w:rsidR="00734C7B">
        <w:rPr>
          <w:rFonts w:asciiTheme="minorHAnsi" w:hAnsiTheme="minorHAnsi"/>
          <w:snapToGrid w:val="0"/>
          <w:lang w:val="en-GB"/>
        </w:rPr>
        <w:t xml:space="preserve"> as a drug must first be considered by the PBAC </w:t>
      </w:r>
      <w:r w:rsidR="00C71A74">
        <w:rPr>
          <w:rFonts w:asciiTheme="minorHAnsi" w:hAnsiTheme="minorHAnsi"/>
          <w:snapToGrid w:val="0"/>
          <w:lang w:val="en-GB"/>
        </w:rPr>
        <w:t>as clinically effective but rejected for PBS listing because it fails to meet the required cost-effectiveness criteria, before it can be considered for inclusion on the LSDP. The PBAC</w:t>
      </w:r>
      <w:r w:rsidR="00E96E25">
        <w:rPr>
          <w:rFonts w:asciiTheme="minorHAnsi" w:hAnsiTheme="minorHAnsi"/>
          <w:snapToGrid w:val="0"/>
          <w:lang w:val="en-GB"/>
        </w:rPr>
        <w:t xml:space="preserve"> considered that CIPAMIG was not adequately cost-effective for PBS listing </w:t>
      </w:r>
      <w:r w:rsidR="00BC44A8">
        <w:rPr>
          <w:rFonts w:asciiTheme="minorHAnsi" w:hAnsiTheme="minorHAnsi"/>
          <w:snapToGrid w:val="0"/>
          <w:lang w:val="en-GB"/>
        </w:rPr>
        <w:t xml:space="preserve">on the basis that it had </w:t>
      </w:r>
      <w:r w:rsidR="00AE13F5">
        <w:rPr>
          <w:rFonts w:asciiTheme="minorHAnsi" w:hAnsiTheme="minorHAnsi"/>
          <w:snapToGrid w:val="0"/>
          <w:lang w:val="en-GB"/>
        </w:rPr>
        <w:t xml:space="preserve">previously considered the nominated comparators to not be adequately cost-effective for </w:t>
      </w:r>
      <w:r w:rsidR="00D71C6F">
        <w:rPr>
          <w:rFonts w:asciiTheme="minorHAnsi" w:hAnsiTheme="minorHAnsi"/>
          <w:snapToGrid w:val="0"/>
          <w:lang w:val="en-GB"/>
        </w:rPr>
        <w:t>PBS listing.</w:t>
      </w:r>
    </w:p>
    <w:p w14:paraId="4189CDE9" w14:textId="17AC05AA" w:rsidR="007F55B7" w:rsidRPr="009169BC" w:rsidRDefault="24C2F271" w:rsidP="00E722EC">
      <w:pPr>
        <w:pStyle w:val="3-BodyText"/>
        <w:rPr>
          <w:snapToGrid w:val="0"/>
          <w:lang w:val="en-GB"/>
        </w:rPr>
      </w:pPr>
      <w:r>
        <w:t xml:space="preserve">The PBAC noted </w:t>
      </w:r>
      <w:r w:rsidR="37E0AA4B">
        <w:t>that the submission did not provide</w:t>
      </w:r>
      <w:r w:rsidR="74FE3338">
        <w:t xml:space="preserve"> estimates of financial impact for</w:t>
      </w:r>
      <w:r w:rsidR="6678C95A">
        <w:t xml:space="preserve"> listing CIPAMIG on the </w:t>
      </w:r>
      <w:r w:rsidR="7439109E">
        <w:t xml:space="preserve">PBS </w:t>
      </w:r>
      <w:r w:rsidR="6678C95A">
        <w:t>and instead</w:t>
      </w:r>
      <w:r w:rsidR="2722DFB8">
        <w:t xml:space="preserve"> provided </w:t>
      </w:r>
      <w:r w:rsidR="0C9CACCA">
        <w:t>estimated</w:t>
      </w:r>
      <w:r w:rsidR="6678C95A">
        <w:t xml:space="preserve"> financial </w:t>
      </w:r>
      <w:r w:rsidR="0C9CACCA">
        <w:t>impact for listing on the LSDP</w:t>
      </w:r>
      <w:r w:rsidR="7439109E">
        <w:t>.</w:t>
      </w:r>
      <w:r w:rsidR="0C9CACCA">
        <w:t xml:space="preserve"> </w:t>
      </w:r>
      <w:r w:rsidR="274F0029">
        <w:t>The PBAC noted that</w:t>
      </w:r>
      <w:r w:rsidR="1EB80A61">
        <w:t xml:space="preserve"> the financial implications for the LSDP would be a matter for the </w:t>
      </w:r>
      <w:r w:rsidR="5B5B2B81">
        <w:t>LSDP Expert Panel</w:t>
      </w:r>
      <w:r w:rsidR="0DB81CF0">
        <w:t xml:space="preserve"> (LSDP</w:t>
      </w:r>
      <w:r w:rsidR="3905BF9F">
        <w:t xml:space="preserve"> </w:t>
      </w:r>
      <w:r w:rsidR="0DB81CF0">
        <w:t>EP)</w:t>
      </w:r>
      <w:r w:rsidR="619DBAAC">
        <w:t xml:space="preserve"> should the sponsor submit a future application for LSDP listing.</w:t>
      </w:r>
      <w:r w:rsidR="274F0029">
        <w:t xml:space="preserve"> </w:t>
      </w:r>
      <w:r w:rsidR="4B9A0F6A">
        <w:t xml:space="preserve">The PBAC noted </w:t>
      </w:r>
      <w:r w:rsidR="202A16C5">
        <w:t xml:space="preserve">that the submission </w:t>
      </w:r>
      <w:r w:rsidR="2C7540F2">
        <w:t xml:space="preserve">took </w:t>
      </w:r>
      <w:r w:rsidR="44FFD5E0">
        <w:t xml:space="preserve">an epidemiological approach to estimate </w:t>
      </w:r>
      <w:r w:rsidR="789F24A1">
        <w:t xml:space="preserve">the utilisation of CIPAMIG and used a </w:t>
      </w:r>
      <w:r w:rsidR="00BBA018">
        <w:t>B</w:t>
      </w:r>
      <w:r w:rsidR="02986009">
        <w:t>elgian study (</w:t>
      </w:r>
      <w:proofErr w:type="spellStart"/>
      <w:r w:rsidR="02986009">
        <w:t>Vanherpe</w:t>
      </w:r>
      <w:proofErr w:type="spellEnd"/>
      <w:r w:rsidR="02986009">
        <w:t xml:space="preserve">, 2020). The PBAC considered </w:t>
      </w:r>
      <w:r w:rsidR="7AA1CA9C">
        <w:t>th</w:t>
      </w:r>
      <w:r w:rsidR="001A4A77">
        <w:t xml:space="preserve">at the estimated number of patients was uncertain as it was </w:t>
      </w:r>
      <w:r w:rsidR="291D3CD1">
        <w:t xml:space="preserve">unclear how </w:t>
      </w:r>
      <w:proofErr w:type="spellStart"/>
      <w:r w:rsidR="001A4A77">
        <w:t>Vanherpe</w:t>
      </w:r>
      <w:proofErr w:type="spellEnd"/>
      <w:r w:rsidR="001A4A77">
        <w:t xml:space="preserve">, 2020 </w:t>
      </w:r>
      <w:r w:rsidR="291D3CD1">
        <w:t>calculated the</w:t>
      </w:r>
      <w:r w:rsidR="001A4A77">
        <w:t xml:space="preserve"> </w:t>
      </w:r>
      <w:r w:rsidR="76B602C5">
        <w:t>prevalence of 3.9 cases per million population for LOPD</w:t>
      </w:r>
      <w:r w:rsidR="291D3CD1">
        <w:t xml:space="preserve">. </w:t>
      </w:r>
    </w:p>
    <w:p w14:paraId="7B897E54" w14:textId="70B538C3" w:rsidR="00FE5F1A" w:rsidRDefault="0DB81CF0" w:rsidP="009802E1">
      <w:pPr>
        <w:pStyle w:val="3-BodyText"/>
      </w:pPr>
      <w:r>
        <w:t xml:space="preserve">The PBAC noted that </w:t>
      </w:r>
      <w:r w:rsidR="3BAA3245">
        <w:t>t</w:t>
      </w:r>
      <w:r>
        <w:t xml:space="preserve">he </w:t>
      </w:r>
      <w:r w:rsidR="3BAA3245">
        <w:t>LSDP</w:t>
      </w:r>
      <w:r w:rsidR="2650071C">
        <w:t xml:space="preserve"> </w:t>
      </w:r>
      <w:r w:rsidR="3BAA3245">
        <w:t>EP</w:t>
      </w:r>
      <w:r>
        <w:t xml:space="preserve"> is currently undertaking a 24-month review of </w:t>
      </w:r>
      <w:r w:rsidR="2DF8D42B">
        <w:t>AVAL</w:t>
      </w:r>
      <w:r>
        <w:t xml:space="preserve"> for the treatment of Pompe disease (</w:t>
      </w:r>
      <w:r w:rsidR="4C21461D">
        <w:t>AVAL</w:t>
      </w:r>
      <w:r>
        <w:t xml:space="preserve"> review)</w:t>
      </w:r>
      <w:r w:rsidR="3BAA3245">
        <w:t xml:space="preserve"> which is expected to be finalised later in the year, with recommendations to be agreed at the LSDP EP’s July 2025 meeting.</w:t>
      </w:r>
      <w:r>
        <w:t xml:space="preserve"> </w:t>
      </w:r>
    </w:p>
    <w:p w14:paraId="153AFBA7" w14:textId="29A6DDD2" w:rsidR="009802E1" w:rsidRDefault="3AE3E693" w:rsidP="009802E1">
      <w:pPr>
        <w:pStyle w:val="3-BodyText"/>
      </w:pPr>
      <w:r>
        <w:t>The PBAC noted</w:t>
      </w:r>
      <w:r w:rsidR="4A374DF5">
        <w:t xml:space="preserve"> that </w:t>
      </w:r>
      <w:r w:rsidR="3BAA3245">
        <w:t>the PBAC</w:t>
      </w:r>
      <w:r w:rsidR="4A374DF5">
        <w:t xml:space="preserve"> Chair had received a letter </w:t>
      </w:r>
      <w:r w:rsidR="3BAA3245">
        <w:t>from the LSDP</w:t>
      </w:r>
      <w:r w:rsidR="5824B6E2">
        <w:t xml:space="preserve"> </w:t>
      </w:r>
      <w:r w:rsidR="3BAA3245">
        <w:t>EP Chair</w:t>
      </w:r>
      <w:r w:rsidR="3094DD78">
        <w:t>,</w:t>
      </w:r>
      <w:r w:rsidR="3BAA3245">
        <w:t xml:space="preserve"> </w:t>
      </w:r>
      <w:r w:rsidR="3094DD78">
        <w:t>on behalf of the LSDP EP,</w:t>
      </w:r>
      <w:r w:rsidR="3BAA3245">
        <w:t xml:space="preserve"> </w:t>
      </w:r>
      <w:r w:rsidR="0B2B10FC">
        <w:t xml:space="preserve">which provided a preliminary view on Pompe disease eligibility for noting. </w:t>
      </w:r>
      <w:r w:rsidR="2D52ECBD">
        <w:t xml:space="preserve">The PBAC noted </w:t>
      </w:r>
      <w:r w:rsidR="23BF43E3">
        <w:t>the AVAL review is considering recent literature to inform a position on whether the current prevalence of Pompe disease now exceeds the definition of an ultra-rare disease, of one case per 50,000 people or fewer in the Australian population.</w:t>
      </w:r>
      <w:r w:rsidR="69A75887">
        <w:t xml:space="preserve"> The PBAC noted that findings on prevalence include the following:</w:t>
      </w:r>
    </w:p>
    <w:p w14:paraId="46D03F72" w14:textId="1CB4CB37" w:rsidR="00F95C17" w:rsidRDefault="002641F5" w:rsidP="00F95C17">
      <w:pPr>
        <w:pStyle w:val="3-BodyText"/>
        <w:numPr>
          <w:ilvl w:val="0"/>
          <w:numId w:val="22"/>
        </w:numPr>
        <w:rPr>
          <w:iCs/>
        </w:rPr>
      </w:pPr>
      <w:r>
        <w:rPr>
          <w:iCs/>
        </w:rPr>
        <w:t xml:space="preserve">The </w:t>
      </w:r>
      <w:r w:rsidRPr="002641F5">
        <w:rPr>
          <w:iCs/>
        </w:rPr>
        <w:t>traditional estimated global incidence of Pompe disease is 1 per 40,000 (Stevens</w:t>
      </w:r>
      <w:r w:rsidR="00F6400E">
        <w:rPr>
          <w:iCs/>
        </w:rPr>
        <w:t xml:space="preserve"> </w:t>
      </w:r>
      <w:r w:rsidRPr="002641F5">
        <w:rPr>
          <w:iCs/>
        </w:rPr>
        <w:t>et al, 2022).</w:t>
      </w:r>
      <w:r w:rsidR="006A5FF2">
        <w:rPr>
          <w:rStyle w:val="FootnoteReference"/>
          <w:iCs/>
        </w:rPr>
        <w:footnoteReference w:id="11"/>
      </w:r>
    </w:p>
    <w:p w14:paraId="0CFE1724" w14:textId="2817FD64" w:rsidR="002641F5" w:rsidRDefault="2C9B822B" w:rsidP="00773600">
      <w:pPr>
        <w:pStyle w:val="3-BodyText"/>
        <w:numPr>
          <w:ilvl w:val="0"/>
          <w:numId w:val="22"/>
        </w:numPr>
      </w:pPr>
      <w:r w:rsidRPr="0211DC3E">
        <w:t>Newborn screening of Pompe disease indicates a global birth prevalence rate of 1 per 18,771</w:t>
      </w:r>
      <w:r w:rsidR="184AFF6E" w:rsidRPr="0211DC3E">
        <w:t xml:space="preserve"> </w:t>
      </w:r>
      <w:r w:rsidRPr="0211DC3E">
        <w:t>(Colburn and Lapidus, 2024).</w:t>
      </w:r>
      <w:r w:rsidR="0033604B" w:rsidRPr="0211DC3E">
        <w:rPr>
          <w:rStyle w:val="FootnoteReference"/>
        </w:rPr>
        <w:footnoteReference w:id="12"/>
      </w:r>
    </w:p>
    <w:p w14:paraId="0BD744A8" w14:textId="68498981" w:rsidR="00CC0F11" w:rsidRDefault="00257AF0" w:rsidP="00F95C17">
      <w:pPr>
        <w:pStyle w:val="3-BodyText"/>
        <w:numPr>
          <w:ilvl w:val="0"/>
          <w:numId w:val="22"/>
        </w:numPr>
        <w:rPr>
          <w:iCs/>
        </w:rPr>
      </w:pPr>
      <w:r w:rsidRPr="00257AF0">
        <w:rPr>
          <w:iCs/>
        </w:rPr>
        <w:t>the reported Australian birth prevalence of Pompe disease is 1 per 46,000 (Chin and Fuller, 2022</w:t>
      </w:r>
      <w:r w:rsidR="00F90BD3">
        <w:rPr>
          <w:iCs/>
        </w:rPr>
        <w:t>).</w:t>
      </w:r>
      <w:r w:rsidR="002E207E">
        <w:rPr>
          <w:iCs/>
        </w:rPr>
        <w:fldChar w:fldCharType="begin"/>
      </w:r>
      <w:r w:rsidR="002E207E">
        <w:rPr>
          <w:iCs/>
        </w:rPr>
        <w:instrText xml:space="preserve"> NOTEREF _Ref195107530 \f \h </w:instrText>
      </w:r>
      <w:r w:rsidR="002E207E">
        <w:rPr>
          <w:iCs/>
        </w:rPr>
      </w:r>
      <w:r w:rsidR="002E207E">
        <w:rPr>
          <w:iCs/>
        </w:rPr>
        <w:fldChar w:fldCharType="separate"/>
      </w:r>
      <w:r w:rsidR="007A62D0" w:rsidRPr="007A62D0">
        <w:rPr>
          <w:rStyle w:val="FootnoteReference"/>
        </w:rPr>
        <w:t>9</w:t>
      </w:r>
      <w:r w:rsidR="002E207E">
        <w:rPr>
          <w:iCs/>
        </w:rPr>
        <w:fldChar w:fldCharType="end"/>
      </w:r>
    </w:p>
    <w:p w14:paraId="5465FF39" w14:textId="6B09CACD" w:rsidR="00033CFC" w:rsidRDefault="53FD432B" w:rsidP="005C3734">
      <w:pPr>
        <w:pStyle w:val="3-BodyText"/>
        <w:numPr>
          <w:ilvl w:val="0"/>
          <w:numId w:val="0"/>
        </w:numPr>
        <w:ind w:left="1440" w:hanging="720"/>
      </w:pPr>
      <w:r>
        <w:t>The PBAC noted the</w:t>
      </w:r>
      <w:r w:rsidR="36B6759C">
        <w:t xml:space="preserve"> following observations from the LSDP</w:t>
      </w:r>
      <w:r w:rsidR="0CC2B708">
        <w:t xml:space="preserve"> </w:t>
      </w:r>
      <w:r w:rsidR="36B6759C">
        <w:t>EP:</w:t>
      </w:r>
    </w:p>
    <w:p w14:paraId="6FE75417" w14:textId="207463EF" w:rsidR="00033CFC" w:rsidRDefault="00472914" w:rsidP="00033CFC">
      <w:pPr>
        <w:pStyle w:val="3-BodyText"/>
        <w:numPr>
          <w:ilvl w:val="0"/>
          <w:numId w:val="22"/>
        </w:numPr>
        <w:rPr>
          <w:iCs/>
        </w:rPr>
      </w:pPr>
      <w:r>
        <w:rPr>
          <w:iCs/>
        </w:rPr>
        <w:t>Colbu</w:t>
      </w:r>
      <w:r w:rsidR="00E14704">
        <w:rPr>
          <w:iCs/>
        </w:rPr>
        <w:t xml:space="preserve">rn and Lapidus, 2024 report that there </w:t>
      </w:r>
      <w:r w:rsidR="00E14704" w:rsidRPr="00E14704">
        <w:rPr>
          <w:iCs/>
        </w:rPr>
        <w:t>was no difference between the birth prevalence rates across populations of European, Latin American, or Asian ancestry.</w:t>
      </w:r>
    </w:p>
    <w:p w14:paraId="331030C3" w14:textId="262B5F40" w:rsidR="00E14704" w:rsidRDefault="00186CFB" w:rsidP="00033CFC">
      <w:pPr>
        <w:pStyle w:val="3-BodyText"/>
        <w:numPr>
          <w:ilvl w:val="0"/>
          <w:numId w:val="22"/>
        </w:numPr>
        <w:rPr>
          <w:iCs/>
        </w:rPr>
      </w:pPr>
      <w:r>
        <w:rPr>
          <w:iCs/>
        </w:rPr>
        <w:t xml:space="preserve">In the sponsor’s submission to </w:t>
      </w:r>
      <w:r w:rsidRPr="00186CFB">
        <w:rPr>
          <w:iCs/>
        </w:rPr>
        <w:t xml:space="preserve">the European Medicines Agency for consideration of </w:t>
      </w:r>
      <w:r>
        <w:rPr>
          <w:iCs/>
        </w:rPr>
        <w:t>CIPAMIG</w:t>
      </w:r>
      <w:r w:rsidRPr="00186CFB">
        <w:rPr>
          <w:iCs/>
        </w:rPr>
        <w:t>, the provided point prevalence rate was 0.37 per 10,000 (or 1.85 per 50,000)</w:t>
      </w:r>
      <w:r>
        <w:rPr>
          <w:iCs/>
        </w:rPr>
        <w:t xml:space="preserve"> which </w:t>
      </w:r>
      <w:r w:rsidRPr="00186CFB">
        <w:rPr>
          <w:iCs/>
        </w:rPr>
        <w:t>would not meet the LSDP’s criterion of an ultra-rare disease.</w:t>
      </w:r>
    </w:p>
    <w:p w14:paraId="36EE7512" w14:textId="2BA01F93" w:rsidR="0078189D" w:rsidRDefault="11EAA87F" w:rsidP="001D03E3">
      <w:pPr>
        <w:pStyle w:val="3-BodyText"/>
        <w:numPr>
          <w:ilvl w:val="0"/>
          <w:numId w:val="0"/>
        </w:numPr>
        <w:ind w:left="720"/>
        <w:rPr>
          <w:iCs/>
        </w:rPr>
      </w:pPr>
      <w:r>
        <w:t xml:space="preserve">The PBAC noted that </w:t>
      </w:r>
      <w:r w:rsidR="2C7CAEDE">
        <w:t>the LSDP</w:t>
      </w:r>
      <w:r w:rsidR="164FFB35">
        <w:t xml:space="preserve"> </w:t>
      </w:r>
      <w:r>
        <w:t>EP considered</w:t>
      </w:r>
      <w:r w:rsidR="69239A84">
        <w:t xml:space="preserve"> </w:t>
      </w:r>
      <w:r>
        <w:t>that ‘point’ prevalence is more suitable</w:t>
      </w:r>
      <w:r w:rsidR="00EE6652">
        <w:t xml:space="preserve"> </w:t>
      </w:r>
      <w:r>
        <w:t>in guiding its consideration on LSDP eligibility</w:t>
      </w:r>
      <w:r w:rsidR="3194FDFB">
        <w:t xml:space="preserve"> than birth prevalence</w:t>
      </w:r>
      <w:r>
        <w:t xml:space="preserve">. </w:t>
      </w:r>
      <w:r w:rsidR="69239A84">
        <w:t>The PBAC noted that the LSDP</w:t>
      </w:r>
      <w:r w:rsidR="622A3EB4">
        <w:t xml:space="preserve"> </w:t>
      </w:r>
      <w:r w:rsidR="69239A84">
        <w:t xml:space="preserve">EP </w:t>
      </w:r>
      <w:r w:rsidR="00357CA3">
        <w:rPr>
          <w:iCs/>
        </w:rPr>
        <w:t xml:space="preserve">highlighted that </w:t>
      </w:r>
      <w:r w:rsidR="0078189D">
        <w:rPr>
          <w:iCs/>
        </w:rPr>
        <w:t>while much of the literature considers birth prevalence,</w:t>
      </w:r>
      <w:r w:rsidR="00E92A3F">
        <w:rPr>
          <w:iCs/>
        </w:rPr>
        <w:t xml:space="preserve"> there could</w:t>
      </w:r>
      <w:r w:rsidR="001D03E3">
        <w:rPr>
          <w:iCs/>
        </w:rPr>
        <w:t xml:space="preserve"> </w:t>
      </w:r>
      <w:r w:rsidR="00E92A3F">
        <w:rPr>
          <w:iCs/>
        </w:rPr>
        <w:t xml:space="preserve">be </w:t>
      </w:r>
      <w:r w:rsidR="00E92A3F" w:rsidRPr="00E92A3F">
        <w:rPr>
          <w:iCs/>
        </w:rPr>
        <w:t>some residual uncertainty about whether Pompe disease prevalence continues to meet the LSDP threshold.</w:t>
      </w:r>
    </w:p>
    <w:p w14:paraId="4152503A" w14:textId="563B74C8" w:rsidR="00ED3A4C" w:rsidRPr="00692844" w:rsidRDefault="00ED3A4C" w:rsidP="00ED3A4C">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eligible for an Independent Review</w:t>
      </w:r>
      <w:r w:rsidR="00C12A6A">
        <w:rPr>
          <w:rFonts w:asciiTheme="minorHAnsi" w:hAnsiTheme="minorHAnsi"/>
          <w:bCs/>
          <w:snapToGrid w:val="0"/>
          <w:lang w:val="en-GB"/>
        </w:rPr>
        <w:t>.</w:t>
      </w:r>
    </w:p>
    <w:p w14:paraId="0DDC89AE" w14:textId="77777777" w:rsidR="00ED3A4C" w:rsidRPr="00525B39" w:rsidRDefault="00ED3A4C" w:rsidP="00ED3A4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942CA3A" w14:textId="20944D50" w:rsidR="008E6A39" w:rsidRDefault="00ED3A4C" w:rsidP="00ED1CF0">
      <w:pPr>
        <w:spacing w:after="120"/>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bookmarkEnd w:id="61"/>
    </w:p>
    <w:p w14:paraId="4837583C" w14:textId="77777777" w:rsidR="00597F94" w:rsidRPr="00597F94" w:rsidRDefault="00597F94" w:rsidP="00597F94">
      <w:pPr>
        <w:pStyle w:val="2-SectionHeading"/>
      </w:pPr>
      <w:r w:rsidRPr="00597F94">
        <w:t>Context for Decision</w:t>
      </w:r>
    </w:p>
    <w:p w14:paraId="0E40E418" w14:textId="77777777" w:rsidR="00597F94" w:rsidRPr="00597F94" w:rsidRDefault="00597F94" w:rsidP="00ED1CF0">
      <w:pPr>
        <w:spacing w:before="120" w:after="120"/>
        <w:ind w:left="720"/>
        <w:rPr>
          <w:rFonts w:asciiTheme="minorHAnsi" w:hAnsiTheme="minorHAnsi"/>
          <w:bCs/>
          <w:lang w:val="en-GB"/>
        </w:rPr>
      </w:pPr>
      <w:r w:rsidRPr="00597F94">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A7B2E94" w14:textId="77777777" w:rsidR="00597F94" w:rsidRPr="00597F94" w:rsidRDefault="00597F94" w:rsidP="00597F94">
      <w:pPr>
        <w:pStyle w:val="2-SectionHeading"/>
      </w:pPr>
      <w:r w:rsidRPr="00597F94">
        <w:t>Sponsor’s Comment</w:t>
      </w:r>
    </w:p>
    <w:p w14:paraId="0B308F31" w14:textId="25201D3C" w:rsidR="00597F94" w:rsidRPr="00181EAF" w:rsidRDefault="00ED1CF0" w:rsidP="00085C36">
      <w:pPr>
        <w:ind w:left="720"/>
        <w:rPr>
          <w:rFonts w:asciiTheme="minorHAnsi" w:hAnsiTheme="minorHAnsi"/>
          <w:bCs/>
          <w:snapToGrid w:val="0"/>
          <w:lang w:val="en-GB"/>
        </w:rPr>
      </w:pPr>
      <w:r>
        <w:t xml:space="preserve">Amicus welcomes the PBAC’s determination that </w:t>
      </w:r>
      <w:proofErr w:type="spellStart"/>
      <w:r>
        <w:t>Pombiliti</w:t>
      </w:r>
      <w:proofErr w:type="spellEnd"/>
      <w:r>
        <w:t>/</w:t>
      </w:r>
      <w:proofErr w:type="spellStart"/>
      <w:r>
        <w:t>Opfolda</w:t>
      </w:r>
      <w:proofErr w:type="spellEnd"/>
      <w:r>
        <w:t xml:space="preserve"> are effective treatment for Pompe disease and, on balance, non-inferior to the existing Enzyme replacement therapies currently funded through the Life Saving Drugs Program. We look forward to working with the LSDP executive to make this new treatment available to patients with Pompe disease in Australia.</w:t>
      </w:r>
    </w:p>
    <w:sectPr w:rsidR="00597F94" w:rsidRPr="00181EAF" w:rsidSect="0025100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E325" w14:textId="77777777" w:rsidR="00607466" w:rsidRDefault="00607466" w:rsidP="00124A51">
      <w:r>
        <w:separator/>
      </w:r>
    </w:p>
    <w:p w14:paraId="4992FC46" w14:textId="77777777" w:rsidR="00607466" w:rsidRDefault="00607466"/>
  </w:endnote>
  <w:endnote w:type="continuationSeparator" w:id="0">
    <w:p w14:paraId="37F50876" w14:textId="77777777" w:rsidR="00607466" w:rsidRDefault="00607466" w:rsidP="00124A51">
      <w:r>
        <w:continuationSeparator/>
      </w:r>
    </w:p>
    <w:p w14:paraId="4E52635E" w14:textId="77777777" w:rsidR="00607466" w:rsidRDefault="00607466"/>
  </w:endnote>
  <w:endnote w:type="continuationNotice" w:id="1">
    <w:p w14:paraId="24DA0B73" w14:textId="77777777" w:rsidR="00607466" w:rsidRDefault="00607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F562" w14:textId="77777777" w:rsidR="00085C36" w:rsidRDefault="0008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7438B343" w:rsidR="00D843F2" w:rsidRPr="007C1CD9" w:rsidRDefault="007A62D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5841" w14:textId="77777777" w:rsidR="00085C36" w:rsidRDefault="0008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6B8B" w14:textId="77777777" w:rsidR="00607466" w:rsidRDefault="00607466" w:rsidP="00124A51">
      <w:r>
        <w:separator/>
      </w:r>
    </w:p>
    <w:p w14:paraId="5DEE9B1F" w14:textId="77777777" w:rsidR="00607466" w:rsidRDefault="00607466"/>
  </w:footnote>
  <w:footnote w:type="continuationSeparator" w:id="0">
    <w:p w14:paraId="18401F48" w14:textId="77777777" w:rsidR="00607466" w:rsidRDefault="00607466" w:rsidP="00124A51">
      <w:r>
        <w:continuationSeparator/>
      </w:r>
    </w:p>
    <w:p w14:paraId="6EFCD396" w14:textId="77777777" w:rsidR="00607466" w:rsidRDefault="00607466"/>
  </w:footnote>
  <w:footnote w:type="continuationNotice" w:id="1">
    <w:p w14:paraId="72F40C7B" w14:textId="77777777" w:rsidR="00607466" w:rsidRDefault="00607466"/>
  </w:footnote>
  <w:footnote w:id="2">
    <w:p w14:paraId="39183A0D" w14:textId="5930FD8B" w:rsidR="005F2245" w:rsidRPr="005F2245" w:rsidRDefault="001E2FFF" w:rsidP="005F2245">
      <w:pPr>
        <w:pStyle w:val="FootnoteText"/>
      </w:pPr>
      <w:r>
        <w:rPr>
          <w:rStyle w:val="FootnoteReference"/>
        </w:rPr>
        <w:footnoteRef/>
      </w:r>
      <w:r>
        <w:t xml:space="preserve"> </w:t>
      </w:r>
      <w:r w:rsidR="005F2245" w:rsidRPr="005F2245">
        <w:t>van der Meijden JC, Güngör D, Kruijshaar ME, Muir AD, Broekgaarden HA, van der Ploeg AT. Ten years of the international Pompe survey: patient reported outcomes as a reliable tool for studying treated and untreated children and adults with non-classic Pompe disease. </w:t>
      </w:r>
    </w:p>
    <w:p w14:paraId="61CCAB0A" w14:textId="4F5A73F6" w:rsidR="001E2FFF" w:rsidRDefault="005F2245">
      <w:pPr>
        <w:pStyle w:val="FootnoteText"/>
      </w:pPr>
      <w:r w:rsidRPr="005F2245">
        <w:rPr>
          <w:i/>
          <w:iCs/>
        </w:rPr>
        <w:t>J Inherit Metab Dis</w:t>
      </w:r>
      <w:r w:rsidRPr="005F2245">
        <w:t xml:space="preserve"> 2015; 38:495-503. </w:t>
      </w:r>
    </w:p>
  </w:footnote>
  <w:footnote w:id="3">
    <w:p w14:paraId="31E965DF" w14:textId="6BD70E64" w:rsidR="005F2245" w:rsidRDefault="005F2245">
      <w:pPr>
        <w:pStyle w:val="FootnoteText"/>
      </w:pPr>
      <w:r>
        <w:rPr>
          <w:rStyle w:val="FootnoteReference"/>
        </w:rPr>
        <w:footnoteRef/>
      </w:r>
      <w:r>
        <w:t xml:space="preserve"> </w:t>
      </w:r>
      <w:r w:rsidR="00D4685C" w:rsidRPr="00D4685C">
        <w:t xml:space="preserve">Schoser B, Stewart A, Kanters S </w:t>
      </w:r>
      <w:r w:rsidR="00D4685C" w:rsidRPr="00D4685C">
        <w:rPr>
          <w:i/>
          <w:iCs/>
        </w:rPr>
        <w:t>et al.</w:t>
      </w:r>
      <w:r w:rsidR="00D4685C" w:rsidRPr="00D4685C">
        <w:t xml:space="preserve"> Survival and long-term outcomes in late-onset Pompe disease following alglucosidase alfa treatment: a systematic review and meta-analysis. </w:t>
      </w:r>
      <w:r w:rsidR="00D4685C" w:rsidRPr="00D4685C">
        <w:rPr>
          <w:i/>
          <w:iCs/>
        </w:rPr>
        <w:t xml:space="preserve">J Neurol </w:t>
      </w:r>
      <w:r w:rsidR="00D4685C" w:rsidRPr="00D4685C">
        <w:t>2017; 264:621–630.</w:t>
      </w:r>
    </w:p>
  </w:footnote>
  <w:footnote w:id="4">
    <w:p w14:paraId="509CD672" w14:textId="77777777" w:rsidR="007E7CD3" w:rsidRPr="007E7CD3" w:rsidRDefault="007E7CD3" w:rsidP="007E7CD3">
      <w:pPr>
        <w:pStyle w:val="FootnoteText"/>
      </w:pPr>
      <w:r>
        <w:rPr>
          <w:rStyle w:val="FootnoteReference"/>
        </w:rPr>
        <w:footnoteRef/>
      </w:r>
      <w:r>
        <w:t xml:space="preserve"> </w:t>
      </w:r>
      <w:proofErr w:type="spellStart"/>
      <w:r>
        <w:t>Harlaar</w:t>
      </w:r>
      <w:proofErr w:type="spellEnd"/>
      <w:r>
        <w:t xml:space="preserve"> L, </w:t>
      </w:r>
      <w:proofErr w:type="spellStart"/>
      <w:r>
        <w:t>Hogrel</w:t>
      </w:r>
      <w:proofErr w:type="spellEnd"/>
      <w:r>
        <w:t xml:space="preserve"> J-Y, </w:t>
      </w:r>
      <w:proofErr w:type="spellStart"/>
      <w:r>
        <w:t>Perniconi</w:t>
      </w:r>
      <w:proofErr w:type="spellEnd"/>
      <w:r>
        <w:t xml:space="preserve"> B, et al. Large variation in effects during 10 years of enzyme therapy in adults with Pompe disease. </w:t>
      </w:r>
      <w:r w:rsidRPr="007E7CD3">
        <w:rPr>
          <w:i/>
          <w:iCs/>
        </w:rPr>
        <w:t>Neurology</w:t>
      </w:r>
      <w:r>
        <w:t xml:space="preserve"> 2019; </w:t>
      </w:r>
      <w:hyperlink r:id="rId1" w:history="1">
        <w:r w:rsidRPr="007E7CD3">
          <w:rPr>
            <w:rStyle w:val="Hyperlink"/>
          </w:rPr>
          <w:t>https://doi.org/10.1212/WNL.0000000000008441</w:t>
        </w:r>
      </w:hyperlink>
    </w:p>
    <w:p w14:paraId="2BDBA6D0" w14:textId="77777777" w:rsidR="007E7CD3" w:rsidRDefault="007E7CD3" w:rsidP="007E7CD3">
      <w:pPr>
        <w:pStyle w:val="FootnoteText"/>
      </w:pPr>
    </w:p>
  </w:footnote>
  <w:footnote w:id="5">
    <w:p w14:paraId="26FD5E52" w14:textId="16A0D234" w:rsidR="00AA5189" w:rsidRPr="007445FF" w:rsidRDefault="00AA5189" w:rsidP="00AA5189">
      <w:pPr>
        <w:pStyle w:val="FootnoteText"/>
      </w:pPr>
      <w:r>
        <w:rPr>
          <w:rStyle w:val="FootnoteReference"/>
        </w:rPr>
        <w:footnoteRef/>
      </w:r>
      <w:r>
        <w:t xml:space="preserve"> Gungor D, Kruijshaar ME, Plug I, et al</w:t>
      </w:r>
      <w:r w:rsidRPr="007445FF">
        <w:t xml:space="preserve">. Impact of enzyme replacement therapy on survival in adults with Pompe </w:t>
      </w:r>
      <w:r w:rsidR="00275E79">
        <w:t>D</w:t>
      </w:r>
      <w:r w:rsidRPr="007445FF">
        <w:t>isease: results from a prospective international observational study</w:t>
      </w:r>
      <w:r>
        <w:t xml:space="preserve">. </w:t>
      </w:r>
      <w:r w:rsidRPr="007445FF">
        <w:rPr>
          <w:i/>
          <w:iCs/>
        </w:rPr>
        <w:t>Orphanet J Rare Dis</w:t>
      </w:r>
    </w:p>
    <w:p w14:paraId="7A212A6D" w14:textId="6C97E0B3" w:rsidR="00AA5189" w:rsidRDefault="00AA5189" w:rsidP="00AA5189">
      <w:pPr>
        <w:pStyle w:val="FootnoteText"/>
      </w:pPr>
      <w:r w:rsidRPr="007445FF">
        <w:t xml:space="preserve"> 2013</w:t>
      </w:r>
      <w:r>
        <w:t>,</w:t>
      </w:r>
      <w:r w:rsidRPr="007445FF">
        <w:t xml:space="preserve"> doi: </w:t>
      </w:r>
      <w:hyperlink r:id="rId2" w:tgtFrame="_blank" w:history="1">
        <w:r w:rsidRPr="007445FF">
          <w:rPr>
            <w:rStyle w:val="Hyperlink"/>
          </w:rPr>
          <w:t>10.1186/1750-1172-8-49</w:t>
        </w:r>
      </w:hyperlink>
      <w:r w:rsidRPr="007445FF">
        <w:t xml:space="preserve"> </w:t>
      </w:r>
    </w:p>
  </w:footnote>
  <w:footnote w:id="6">
    <w:p w14:paraId="0574C589" w14:textId="07860D02" w:rsidR="00AA5189" w:rsidRDefault="00AA5189" w:rsidP="00AA5189">
      <w:pPr>
        <w:pStyle w:val="FootnoteText"/>
      </w:pPr>
      <w:r>
        <w:rPr>
          <w:rStyle w:val="FootnoteReference"/>
        </w:rPr>
        <w:footnoteRef/>
      </w:r>
      <w:r>
        <w:t xml:space="preserve"> Schoser B, Stewart A, Kanters S, et al. </w:t>
      </w:r>
      <w:r w:rsidRPr="000F28DB">
        <w:t xml:space="preserve">Survival and long-term outcomes in late-onset Pompe </w:t>
      </w:r>
      <w:r w:rsidR="00275E79">
        <w:t>D</w:t>
      </w:r>
      <w:r w:rsidRPr="000F28DB">
        <w:t>isease following alglucosidase alfa treatment: a systematic review and meta-analysis</w:t>
      </w:r>
      <w:r>
        <w:t xml:space="preserve">. </w:t>
      </w:r>
      <w:r w:rsidRPr="000F28DB">
        <w:rPr>
          <w:i/>
          <w:iCs/>
        </w:rPr>
        <w:t>J Neurology</w:t>
      </w:r>
      <w:r>
        <w:t xml:space="preserve">, 2017; 264:621-630. </w:t>
      </w:r>
    </w:p>
  </w:footnote>
  <w:footnote w:id="7">
    <w:p w14:paraId="6BCAD828" w14:textId="77777777" w:rsidR="00AA5189" w:rsidRDefault="00AA5189" w:rsidP="00AA5189">
      <w:pPr>
        <w:pStyle w:val="FootnoteText"/>
      </w:pPr>
      <w:r>
        <w:rPr>
          <w:rStyle w:val="FootnoteReference"/>
        </w:rPr>
        <w:footnoteRef/>
      </w:r>
      <w:r>
        <w:t xml:space="preserve"> van der Ploeg AT, Clemens PR, Corzo D, et al. A randomized study of alglucosidase alfa in late-onset Pompe's Disease. </w:t>
      </w:r>
      <w:r w:rsidRPr="00422A9C">
        <w:rPr>
          <w:i/>
          <w:iCs/>
        </w:rPr>
        <w:t>New Engl J Med</w:t>
      </w:r>
      <w:r>
        <w:t xml:space="preserve"> 2010; 362:1396-1406. </w:t>
      </w:r>
    </w:p>
  </w:footnote>
  <w:footnote w:id="8">
    <w:p w14:paraId="4505D7C1" w14:textId="297A65B8" w:rsidR="008D392C" w:rsidRDefault="008D392C">
      <w:pPr>
        <w:pStyle w:val="FootnoteText"/>
      </w:pPr>
      <w:r>
        <w:rPr>
          <w:rStyle w:val="FootnoteReference"/>
        </w:rPr>
        <w:footnoteRef/>
      </w:r>
      <w:r>
        <w:t xml:space="preserve"> </w:t>
      </w:r>
      <w:hyperlink r:id="rId3" w:history="1">
        <w:r w:rsidRPr="001268A2">
          <w:rPr>
            <w:rStyle w:val="Hyperlink"/>
          </w:rPr>
          <w:t>https://www.health.gov.au/sites/default/files/documents/2021/11/procedure-guidance-for-medicines-funded-through-the-life-saving-drugs-program-lsdp.pdf</w:t>
        </w:r>
      </w:hyperlink>
      <w:r>
        <w:t>, accessed Dece</w:t>
      </w:r>
      <w:r w:rsidR="004F6267">
        <w:t>mber</w:t>
      </w:r>
      <w:r>
        <w:t xml:space="preserve"> 4 2024.</w:t>
      </w:r>
    </w:p>
  </w:footnote>
  <w:footnote w:id="9">
    <w:p w14:paraId="74795F63" w14:textId="059FCB1D" w:rsidR="00805146" w:rsidRDefault="00805146">
      <w:pPr>
        <w:pStyle w:val="FootnoteText"/>
      </w:pPr>
      <w:r>
        <w:rPr>
          <w:rStyle w:val="FootnoteReference"/>
        </w:rPr>
        <w:footnoteRef/>
      </w:r>
      <w:r>
        <w:t xml:space="preserve"> Kaplan S. </w:t>
      </w:r>
      <w:r w:rsidRPr="00805146">
        <w:t>Lysosomal acid alpha-glucosidase deficiency (Pompe disease, glycogen storage disease II, acid maltase deficiency)</w:t>
      </w:r>
      <w:r>
        <w:t xml:space="preserve">. UpToDate. </w:t>
      </w:r>
      <w:r w:rsidR="001C22DB">
        <w:t>2025.</w:t>
      </w:r>
    </w:p>
  </w:footnote>
  <w:footnote w:id="10">
    <w:p w14:paraId="4BAFA7C2" w14:textId="77777777" w:rsidR="003B0F35" w:rsidRDefault="003B0F35" w:rsidP="003B0F35">
      <w:pPr>
        <w:pStyle w:val="FootnoteText"/>
      </w:pPr>
      <w:r>
        <w:rPr>
          <w:rStyle w:val="FootnoteReference"/>
        </w:rPr>
        <w:footnoteRef/>
      </w:r>
      <w:r>
        <w:t xml:space="preserve"> Chin SJ, Fuller M. Prevalence of lysosomal storage disorders in Australia</w:t>
      </w:r>
    </w:p>
    <w:p w14:paraId="2CC3AE05" w14:textId="77777777" w:rsidR="003B0F35" w:rsidRDefault="003B0F35" w:rsidP="003B0F35">
      <w:pPr>
        <w:pStyle w:val="FootnoteText"/>
      </w:pPr>
      <w:r>
        <w:t>from 2009 to 2020. The Lancet Regional Health - Western Pacific 2022;19: 100344 https://doi.org/10.1016/j.</w:t>
      </w:r>
    </w:p>
    <w:p w14:paraId="69F7C8E9" w14:textId="77777777" w:rsidR="003B0F35" w:rsidRDefault="003B0F35" w:rsidP="003B0F35">
      <w:pPr>
        <w:pStyle w:val="FootnoteText"/>
      </w:pPr>
      <w:r>
        <w:t>lanwpc.2021.100344.</w:t>
      </w:r>
    </w:p>
  </w:footnote>
  <w:footnote w:id="11">
    <w:p w14:paraId="07AA1FD9" w14:textId="77700654" w:rsidR="006A5FF2" w:rsidRDefault="006A5FF2" w:rsidP="006A5FF2">
      <w:pPr>
        <w:pStyle w:val="FootnoteText"/>
      </w:pPr>
      <w:r>
        <w:rPr>
          <w:rStyle w:val="FootnoteReference"/>
        </w:rPr>
        <w:footnoteRef/>
      </w:r>
      <w:r>
        <w:t xml:space="preserve"> </w:t>
      </w:r>
      <w:r w:rsidR="00F6400E">
        <w:t xml:space="preserve">Stevens S, </w:t>
      </w:r>
      <w:r w:rsidR="00290829" w:rsidRPr="00290829">
        <w:t>Milani</w:t>
      </w:r>
      <w:r w:rsidR="00290829" w:rsidRPr="00290829">
        <w:rPr>
          <w:rFonts w:ascii="Cambria Math" w:hAnsi="Cambria Math" w:cs="Cambria Math"/>
        </w:rPr>
        <w:t>‑</w:t>
      </w:r>
      <w:r w:rsidR="00290829" w:rsidRPr="00290829">
        <w:t>Nejad</w:t>
      </w:r>
      <w:r w:rsidR="00290829">
        <w:t xml:space="preserve"> S </w:t>
      </w:r>
      <w:r w:rsidR="00A017E2">
        <w:t xml:space="preserve">&amp; </w:t>
      </w:r>
      <w:r w:rsidR="00DB2CB2" w:rsidRPr="00DB2CB2">
        <w:t>Mozaffar</w:t>
      </w:r>
      <w:r w:rsidR="00A017E2">
        <w:t xml:space="preserve"> </w:t>
      </w:r>
      <w:r w:rsidR="00DB2CB2">
        <w:t>T</w:t>
      </w:r>
      <w:r w:rsidR="00A017E2">
        <w:t xml:space="preserve">. </w:t>
      </w:r>
      <w:r w:rsidR="00416706">
        <w:t>Pompe Disease: a Clinical, Diagnostic, and Therapeutic Overview</w:t>
      </w:r>
      <w:r w:rsidR="00A71354">
        <w:t>.</w:t>
      </w:r>
      <w:r w:rsidR="00BC4462">
        <w:t xml:space="preserve"> Current Treatment Options in Neurology </w:t>
      </w:r>
      <w:r w:rsidR="00805B30">
        <w:t>2022;</w:t>
      </w:r>
      <w:r w:rsidR="00805B30" w:rsidRPr="00805B30">
        <w:t xml:space="preserve"> 24:573-588</w:t>
      </w:r>
      <w:r w:rsidR="008B3DCB">
        <w:t xml:space="preserve">: </w:t>
      </w:r>
      <w:r w:rsidR="008B3DCB" w:rsidRPr="008B3DCB">
        <w:t>10.1007/s11940-022-00736-1</w:t>
      </w:r>
      <w:r w:rsidR="008B3DCB">
        <w:t xml:space="preserve"> </w:t>
      </w:r>
    </w:p>
  </w:footnote>
  <w:footnote w:id="12">
    <w:p w14:paraId="0CA6FDE8" w14:textId="3C7515EE" w:rsidR="0033604B" w:rsidRDefault="0033604B" w:rsidP="00A212ED">
      <w:pPr>
        <w:pStyle w:val="FootnoteText"/>
      </w:pPr>
      <w:r>
        <w:rPr>
          <w:rStyle w:val="FootnoteReference"/>
        </w:rPr>
        <w:footnoteRef/>
      </w:r>
      <w:r>
        <w:t xml:space="preserve"> </w:t>
      </w:r>
      <w:r w:rsidR="00DB2CB2">
        <w:t xml:space="preserve">Colburn R &amp; </w:t>
      </w:r>
      <w:r w:rsidR="00A212ED">
        <w:t>Lapidus D. An analysis of Pompe newborn screening data: a new prevalence at birth, insight and discussion</w:t>
      </w:r>
      <w:r w:rsidR="006D4246">
        <w:t xml:space="preserve">. </w:t>
      </w:r>
      <w:r w:rsidR="00C30471">
        <w:t xml:space="preserve">Frontiers in Pediatrics 2024; </w:t>
      </w:r>
      <w:r w:rsidR="005C3734" w:rsidRPr="005C3734">
        <w:t>11:1221140</w:t>
      </w:r>
      <w:r w:rsidR="005C3734">
        <w:t xml:space="preserve">: </w:t>
      </w:r>
      <w:r w:rsidR="005C3734" w:rsidRPr="005C3734">
        <w:t>10.3389/fped.2023.1221140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510" w14:textId="77777777" w:rsidR="00085C36" w:rsidRDefault="00085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2DF2C569" w:rsidR="00D843F2" w:rsidRPr="00195452" w:rsidRDefault="00BA692E" w:rsidP="00D822E2">
    <w:pPr>
      <w:pStyle w:val="Header"/>
      <w:rPr>
        <w:rFonts w:asciiTheme="minorHAnsi" w:hAnsiTheme="minorHAnsi"/>
        <w:i w:val="0"/>
        <w:color w:val="808080"/>
      </w:rPr>
    </w:pPr>
    <w:r w:rsidRPr="00BA692E">
      <w:rPr>
        <w:rFonts w:asciiTheme="minorHAnsi" w:hAnsiTheme="minorHAnsi"/>
        <w:color w:val="808080"/>
      </w:rPr>
      <w:t xml:space="preserve">Public Summary Document </w:t>
    </w:r>
    <w:r w:rsidR="00DE12B4">
      <w:rPr>
        <w:rFonts w:asciiTheme="minorHAnsi" w:hAnsiTheme="minorHAnsi"/>
        <w:color w:val="808080"/>
      </w:rPr>
      <w:t xml:space="preserve">– </w:t>
    </w:r>
    <w:r w:rsidR="00D843F2">
      <w:rPr>
        <w:rFonts w:asciiTheme="minorHAnsi" w:hAnsiTheme="minorHAnsi"/>
        <w:color w:val="808080"/>
      </w:rPr>
      <w:t>M</w:t>
    </w:r>
    <w:r w:rsidR="008B537B">
      <w:rPr>
        <w:rFonts w:asciiTheme="minorHAnsi" w:hAnsiTheme="minorHAnsi"/>
        <w:color w:val="808080"/>
      </w:rPr>
      <w:t>arch</w:t>
    </w:r>
    <w:r w:rsidR="00D843F2">
      <w:rPr>
        <w:rFonts w:asciiTheme="minorHAnsi" w:hAnsiTheme="minorHAnsi"/>
        <w:color w:val="808080"/>
      </w:rPr>
      <w:t xml:space="preserve"> 202</w:t>
    </w:r>
    <w:r w:rsidR="008B537B">
      <w:rPr>
        <w:rFonts w:asciiTheme="minorHAnsi" w:hAnsiTheme="minorHAnsi"/>
        <w:color w:val="808080"/>
      </w:rPr>
      <w:t xml:space="preserve">5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76E5" w14:textId="77777777" w:rsidR="00085C36" w:rsidRDefault="00085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263BE"/>
    <w:multiLevelType w:val="hybridMultilevel"/>
    <w:tmpl w:val="894A81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E0012A"/>
    <w:multiLevelType w:val="hybridMultilevel"/>
    <w:tmpl w:val="C4B27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4620CE08"/>
    <w:lvl w:ilvl="0" w:tplc="8264B7CC">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2AB11FC"/>
    <w:multiLevelType w:val="hybridMultilevel"/>
    <w:tmpl w:val="1D302C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BA73568"/>
    <w:multiLevelType w:val="hybridMultilevel"/>
    <w:tmpl w:val="94783DFE"/>
    <w:lvl w:ilvl="0" w:tplc="6108DB88">
      <w:start w:val="1"/>
      <w:numFmt w:val="bullet"/>
      <w:lvlText w:val=""/>
      <w:lvlJc w:val="left"/>
      <w:pPr>
        <w:tabs>
          <w:tab w:val="num" w:pos="360"/>
        </w:tabs>
        <w:ind w:left="360" w:hanging="360"/>
      </w:pPr>
      <w:rPr>
        <w:rFonts w:ascii="Symbol" w:hAnsi="Symbol" w:hint="default"/>
      </w:rPr>
    </w:lvl>
    <w:lvl w:ilvl="1" w:tplc="BE020434">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0100E1F"/>
    <w:multiLevelType w:val="hybridMultilevel"/>
    <w:tmpl w:val="4B5EBD14"/>
    <w:lvl w:ilvl="0" w:tplc="19EE42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F67430"/>
    <w:multiLevelType w:val="hybridMultilevel"/>
    <w:tmpl w:val="4A809DC4"/>
    <w:lvl w:ilvl="0" w:tplc="1788446E">
      <w:start w:val="1"/>
      <w:numFmt w:val="decimal"/>
      <w:lvlText w:val="%1."/>
      <w:lvlJc w:val="left"/>
      <w:pPr>
        <w:ind w:left="360" w:hanging="360"/>
      </w:pPr>
      <w:rPr>
        <w:i/>
        <w:color w:val="auto"/>
      </w:rPr>
    </w:lvl>
    <w:lvl w:ilvl="1" w:tplc="0C090019" w:tentative="1">
      <w:start w:val="1"/>
      <w:numFmt w:val="lowerLetter"/>
      <w:lvlText w:val="%2."/>
      <w:lvlJc w:val="left"/>
      <w:pPr>
        <w:ind w:left="971" w:hanging="360"/>
      </w:pPr>
    </w:lvl>
    <w:lvl w:ilvl="2" w:tplc="0C09001B" w:tentative="1">
      <w:start w:val="1"/>
      <w:numFmt w:val="lowerRoman"/>
      <w:lvlText w:val="%3."/>
      <w:lvlJc w:val="right"/>
      <w:pPr>
        <w:ind w:left="1691" w:hanging="180"/>
      </w:pPr>
    </w:lvl>
    <w:lvl w:ilvl="3" w:tplc="0C09000F" w:tentative="1">
      <w:start w:val="1"/>
      <w:numFmt w:val="decimal"/>
      <w:lvlText w:val="%4."/>
      <w:lvlJc w:val="left"/>
      <w:pPr>
        <w:ind w:left="2411" w:hanging="360"/>
      </w:pPr>
    </w:lvl>
    <w:lvl w:ilvl="4" w:tplc="0C090019" w:tentative="1">
      <w:start w:val="1"/>
      <w:numFmt w:val="lowerLetter"/>
      <w:lvlText w:val="%5."/>
      <w:lvlJc w:val="left"/>
      <w:pPr>
        <w:ind w:left="3131" w:hanging="360"/>
      </w:pPr>
    </w:lvl>
    <w:lvl w:ilvl="5" w:tplc="0C09001B" w:tentative="1">
      <w:start w:val="1"/>
      <w:numFmt w:val="lowerRoman"/>
      <w:lvlText w:val="%6."/>
      <w:lvlJc w:val="right"/>
      <w:pPr>
        <w:ind w:left="3851" w:hanging="180"/>
      </w:pPr>
    </w:lvl>
    <w:lvl w:ilvl="6" w:tplc="0C09000F" w:tentative="1">
      <w:start w:val="1"/>
      <w:numFmt w:val="decimal"/>
      <w:lvlText w:val="%7."/>
      <w:lvlJc w:val="left"/>
      <w:pPr>
        <w:ind w:left="4571" w:hanging="360"/>
      </w:pPr>
    </w:lvl>
    <w:lvl w:ilvl="7" w:tplc="0C090019" w:tentative="1">
      <w:start w:val="1"/>
      <w:numFmt w:val="lowerLetter"/>
      <w:lvlText w:val="%8."/>
      <w:lvlJc w:val="left"/>
      <w:pPr>
        <w:ind w:left="5291" w:hanging="360"/>
      </w:pPr>
    </w:lvl>
    <w:lvl w:ilvl="8" w:tplc="0C09001B" w:tentative="1">
      <w:start w:val="1"/>
      <w:numFmt w:val="lowerRoman"/>
      <w:lvlText w:val="%9."/>
      <w:lvlJc w:val="right"/>
      <w:pPr>
        <w:ind w:left="6011" w:hanging="180"/>
      </w:pPr>
    </w:lvl>
  </w:abstractNum>
  <w:abstractNum w:abstractNumId="19"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19"/>
  </w:num>
  <w:num w:numId="2" w16cid:durableId="917793048">
    <w:abstractNumId w:val="12"/>
  </w:num>
  <w:num w:numId="3" w16cid:durableId="263461728">
    <w:abstractNumId w:val="0"/>
  </w:num>
  <w:num w:numId="4" w16cid:durableId="1863592879">
    <w:abstractNumId w:val="4"/>
  </w:num>
  <w:num w:numId="5" w16cid:durableId="220360847">
    <w:abstractNumId w:val="16"/>
  </w:num>
  <w:num w:numId="6" w16cid:durableId="268196418">
    <w:abstractNumId w:val="9"/>
  </w:num>
  <w:num w:numId="7" w16cid:durableId="1048839230">
    <w:abstractNumId w:val="19"/>
  </w:num>
  <w:num w:numId="8" w16cid:durableId="622419101">
    <w:abstractNumId w:val="7"/>
  </w:num>
  <w:num w:numId="9" w16cid:durableId="1028264089">
    <w:abstractNumId w:val="15"/>
  </w:num>
  <w:num w:numId="10" w16cid:durableId="1947349301">
    <w:abstractNumId w:val="20"/>
  </w:num>
  <w:num w:numId="11" w16cid:durableId="2145080538">
    <w:abstractNumId w:val="18"/>
  </w:num>
  <w:num w:numId="12" w16cid:durableId="408699874">
    <w:abstractNumId w:val="13"/>
  </w:num>
  <w:num w:numId="13" w16cid:durableId="1569418770">
    <w:abstractNumId w:val="2"/>
  </w:num>
  <w:num w:numId="14" w16cid:durableId="705176722">
    <w:abstractNumId w:val="1"/>
  </w:num>
  <w:num w:numId="15" w16cid:durableId="1926569401">
    <w:abstractNumId w:val="6"/>
  </w:num>
  <w:num w:numId="16" w16cid:durableId="1979457665">
    <w:abstractNumId w:val="8"/>
  </w:num>
  <w:num w:numId="17" w16cid:durableId="2038313566">
    <w:abstractNumId w:val="5"/>
  </w:num>
  <w:num w:numId="18" w16cid:durableId="12974431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997201">
    <w:abstractNumId w:val="17"/>
  </w:num>
  <w:num w:numId="20" w16cid:durableId="802114071">
    <w:abstractNumId w:val="14"/>
  </w:num>
  <w:num w:numId="21" w16cid:durableId="2085374647">
    <w:abstractNumId w:val="3"/>
  </w:num>
  <w:num w:numId="22" w16cid:durableId="308051340">
    <w:abstractNumId w:val="10"/>
  </w:num>
  <w:num w:numId="23" w16cid:durableId="1727795901">
    <w:abstractNumId w:val="19"/>
  </w:num>
  <w:num w:numId="24" w16cid:durableId="1813519084">
    <w:abstractNumId w:val="19"/>
  </w:num>
  <w:num w:numId="25" w16cid:durableId="304313407">
    <w:abstractNumId w:val="11"/>
  </w:num>
  <w:num w:numId="26" w16cid:durableId="642924236">
    <w:abstractNumId w:val="19"/>
  </w:num>
  <w:num w:numId="27" w16cid:durableId="21320184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B63"/>
    <w:rsid w:val="0000110B"/>
    <w:rsid w:val="00001C32"/>
    <w:rsid w:val="000020D6"/>
    <w:rsid w:val="00002594"/>
    <w:rsid w:val="00003499"/>
    <w:rsid w:val="000038D9"/>
    <w:rsid w:val="000039B7"/>
    <w:rsid w:val="00003E7F"/>
    <w:rsid w:val="0000534A"/>
    <w:rsid w:val="000056B9"/>
    <w:rsid w:val="000058D3"/>
    <w:rsid w:val="0000639A"/>
    <w:rsid w:val="00006A1C"/>
    <w:rsid w:val="00010139"/>
    <w:rsid w:val="00010D39"/>
    <w:rsid w:val="000122EA"/>
    <w:rsid w:val="00012826"/>
    <w:rsid w:val="00013247"/>
    <w:rsid w:val="000143D0"/>
    <w:rsid w:val="000143F5"/>
    <w:rsid w:val="0001495F"/>
    <w:rsid w:val="000149F0"/>
    <w:rsid w:val="00014D03"/>
    <w:rsid w:val="00015886"/>
    <w:rsid w:val="00015F3D"/>
    <w:rsid w:val="000162EF"/>
    <w:rsid w:val="00016349"/>
    <w:rsid w:val="000171F3"/>
    <w:rsid w:val="00017420"/>
    <w:rsid w:val="0001749A"/>
    <w:rsid w:val="00017ECC"/>
    <w:rsid w:val="00020165"/>
    <w:rsid w:val="000207C9"/>
    <w:rsid w:val="00020DE1"/>
    <w:rsid w:val="00020EE1"/>
    <w:rsid w:val="00021CD6"/>
    <w:rsid w:val="00021DBC"/>
    <w:rsid w:val="0002206C"/>
    <w:rsid w:val="0002225F"/>
    <w:rsid w:val="0002240D"/>
    <w:rsid w:val="00022C00"/>
    <w:rsid w:val="00023763"/>
    <w:rsid w:val="00024EB5"/>
    <w:rsid w:val="0002614C"/>
    <w:rsid w:val="00026352"/>
    <w:rsid w:val="00026BC4"/>
    <w:rsid w:val="00027163"/>
    <w:rsid w:val="000274B8"/>
    <w:rsid w:val="00027E4B"/>
    <w:rsid w:val="000309DE"/>
    <w:rsid w:val="00030E67"/>
    <w:rsid w:val="00030FAC"/>
    <w:rsid w:val="00033042"/>
    <w:rsid w:val="000334CB"/>
    <w:rsid w:val="00033863"/>
    <w:rsid w:val="000339F6"/>
    <w:rsid w:val="00033BA9"/>
    <w:rsid w:val="00033C86"/>
    <w:rsid w:val="00033CFC"/>
    <w:rsid w:val="000352EF"/>
    <w:rsid w:val="00035B4C"/>
    <w:rsid w:val="00035DC0"/>
    <w:rsid w:val="00036829"/>
    <w:rsid w:val="00036BBB"/>
    <w:rsid w:val="00037334"/>
    <w:rsid w:val="0003751A"/>
    <w:rsid w:val="0003788F"/>
    <w:rsid w:val="0003790B"/>
    <w:rsid w:val="00040161"/>
    <w:rsid w:val="00040895"/>
    <w:rsid w:val="00040D76"/>
    <w:rsid w:val="000410A0"/>
    <w:rsid w:val="000415DB"/>
    <w:rsid w:val="00041C4A"/>
    <w:rsid w:val="000422D5"/>
    <w:rsid w:val="0004279A"/>
    <w:rsid w:val="0004285E"/>
    <w:rsid w:val="00043162"/>
    <w:rsid w:val="000431FA"/>
    <w:rsid w:val="000435EE"/>
    <w:rsid w:val="00043C37"/>
    <w:rsid w:val="00044027"/>
    <w:rsid w:val="00045017"/>
    <w:rsid w:val="000453D1"/>
    <w:rsid w:val="000454F8"/>
    <w:rsid w:val="0004556C"/>
    <w:rsid w:val="00045A1F"/>
    <w:rsid w:val="00045A2B"/>
    <w:rsid w:val="0004698F"/>
    <w:rsid w:val="00046D64"/>
    <w:rsid w:val="000508C2"/>
    <w:rsid w:val="00050DFE"/>
    <w:rsid w:val="00050E49"/>
    <w:rsid w:val="00050FD0"/>
    <w:rsid w:val="0005185D"/>
    <w:rsid w:val="000519D6"/>
    <w:rsid w:val="00052A56"/>
    <w:rsid w:val="00052DF4"/>
    <w:rsid w:val="000539D0"/>
    <w:rsid w:val="00053F01"/>
    <w:rsid w:val="00053F1B"/>
    <w:rsid w:val="00054388"/>
    <w:rsid w:val="000543DC"/>
    <w:rsid w:val="00054621"/>
    <w:rsid w:val="000546D7"/>
    <w:rsid w:val="00054A8D"/>
    <w:rsid w:val="00056504"/>
    <w:rsid w:val="000569A6"/>
    <w:rsid w:val="00056ECF"/>
    <w:rsid w:val="000571A3"/>
    <w:rsid w:val="00057BBC"/>
    <w:rsid w:val="00057BDC"/>
    <w:rsid w:val="00057C68"/>
    <w:rsid w:val="00057FEC"/>
    <w:rsid w:val="000604DF"/>
    <w:rsid w:val="000609E0"/>
    <w:rsid w:val="00061A18"/>
    <w:rsid w:val="00061B33"/>
    <w:rsid w:val="00062324"/>
    <w:rsid w:val="000625E7"/>
    <w:rsid w:val="00062C38"/>
    <w:rsid w:val="0006311D"/>
    <w:rsid w:val="0006339E"/>
    <w:rsid w:val="00064A4D"/>
    <w:rsid w:val="00064AA7"/>
    <w:rsid w:val="000653B5"/>
    <w:rsid w:val="00066360"/>
    <w:rsid w:val="00066AF8"/>
    <w:rsid w:val="00066C7A"/>
    <w:rsid w:val="00066EB5"/>
    <w:rsid w:val="00067657"/>
    <w:rsid w:val="00067868"/>
    <w:rsid w:val="0006D6A5"/>
    <w:rsid w:val="00070A25"/>
    <w:rsid w:val="000711CE"/>
    <w:rsid w:val="00071248"/>
    <w:rsid w:val="000717CE"/>
    <w:rsid w:val="00071A3E"/>
    <w:rsid w:val="00071C40"/>
    <w:rsid w:val="00071E3B"/>
    <w:rsid w:val="000720B9"/>
    <w:rsid w:val="00072707"/>
    <w:rsid w:val="000737F7"/>
    <w:rsid w:val="000746BA"/>
    <w:rsid w:val="000747B2"/>
    <w:rsid w:val="00074929"/>
    <w:rsid w:val="00075C4F"/>
    <w:rsid w:val="000761BB"/>
    <w:rsid w:val="0007672F"/>
    <w:rsid w:val="00076AE3"/>
    <w:rsid w:val="00076B54"/>
    <w:rsid w:val="00076F8E"/>
    <w:rsid w:val="000774F0"/>
    <w:rsid w:val="000779BF"/>
    <w:rsid w:val="00080909"/>
    <w:rsid w:val="00081236"/>
    <w:rsid w:val="000812CA"/>
    <w:rsid w:val="0008194C"/>
    <w:rsid w:val="00081E63"/>
    <w:rsid w:val="00082511"/>
    <w:rsid w:val="0008258D"/>
    <w:rsid w:val="00082E02"/>
    <w:rsid w:val="00083E99"/>
    <w:rsid w:val="0008409E"/>
    <w:rsid w:val="000846E9"/>
    <w:rsid w:val="00084FA8"/>
    <w:rsid w:val="0008506C"/>
    <w:rsid w:val="000850A1"/>
    <w:rsid w:val="000856C5"/>
    <w:rsid w:val="0008591E"/>
    <w:rsid w:val="00085C31"/>
    <w:rsid w:val="00085C36"/>
    <w:rsid w:val="0008677C"/>
    <w:rsid w:val="000901B1"/>
    <w:rsid w:val="000902D9"/>
    <w:rsid w:val="00090AFA"/>
    <w:rsid w:val="00090C7E"/>
    <w:rsid w:val="000911AC"/>
    <w:rsid w:val="00092600"/>
    <w:rsid w:val="0009262B"/>
    <w:rsid w:val="00092A9D"/>
    <w:rsid w:val="00093310"/>
    <w:rsid w:val="0009385D"/>
    <w:rsid w:val="000938C5"/>
    <w:rsid w:val="0009445C"/>
    <w:rsid w:val="00094D55"/>
    <w:rsid w:val="00094E07"/>
    <w:rsid w:val="00095200"/>
    <w:rsid w:val="00095FE5"/>
    <w:rsid w:val="00096284"/>
    <w:rsid w:val="00096A45"/>
    <w:rsid w:val="00096D8B"/>
    <w:rsid w:val="00096F07"/>
    <w:rsid w:val="00096F4A"/>
    <w:rsid w:val="00097712"/>
    <w:rsid w:val="00097746"/>
    <w:rsid w:val="000A01E6"/>
    <w:rsid w:val="000A01F8"/>
    <w:rsid w:val="000A0538"/>
    <w:rsid w:val="000A0599"/>
    <w:rsid w:val="000A1A26"/>
    <w:rsid w:val="000A1BC0"/>
    <w:rsid w:val="000A1FD4"/>
    <w:rsid w:val="000A2E87"/>
    <w:rsid w:val="000A2F9E"/>
    <w:rsid w:val="000A336D"/>
    <w:rsid w:val="000A362E"/>
    <w:rsid w:val="000A3E47"/>
    <w:rsid w:val="000A522B"/>
    <w:rsid w:val="000A5475"/>
    <w:rsid w:val="000A6039"/>
    <w:rsid w:val="000A614E"/>
    <w:rsid w:val="000A68D2"/>
    <w:rsid w:val="000A6909"/>
    <w:rsid w:val="000A710A"/>
    <w:rsid w:val="000A7243"/>
    <w:rsid w:val="000A7453"/>
    <w:rsid w:val="000A7D08"/>
    <w:rsid w:val="000B0074"/>
    <w:rsid w:val="000B0121"/>
    <w:rsid w:val="000B0670"/>
    <w:rsid w:val="000B0C7B"/>
    <w:rsid w:val="000B0E75"/>
    <w:rsid w:val="000B275E"/>
    <w:rsid w:val="000B27A0"/>
    <w:rsid w:val="000B2DCB"/>
    <w:rsid w:val="000B2F9F"/>
    <w:rsid w:val="000B47CC"/>
    <w:rsid w:val="000B5CE0"/>
    <w:rsid w:val="000B614F"/>
    <w:rsid w:val="000B6318"/>
    <w:rsid w:val="000B6AF8"/>
    <w:rsid w:val="000B6CAC"/>
    <w:rsid w:val="000B7612"/>
    <w:rsid w:val="000B767D"/>
    <w:rsid w:val="000B7891"/>
    <w:rsid w:val="000B78AE"/>
    <w:rsid w:val="000C0661"/>
    <w:rsid w:val="000C083F"/>
    <w:rsid w:val="000C2690"/>
    <w:rsid w:val="000C339F"/>
    <w:rsid w:val="000C3DF9"/>
    <w:rsid w:val="000C4666"/>
    <w:rsid w:val="000C4CF2"/>
    <w:rsid w:val="000C54F9"/>
    <w:rsid w:val="000C59C2"/>
    <w:rsid w:val="000C5EEF"/>
    <w:rsid w:val="000C6713"/>
    <w:rsid w:val="000C7924"/>
    <w:rsid w:val="000C7C0A"/>
    <w:rsid w:val="000D0165"/>
    <w:rsid w:val="000D0387"/>
    <w:rsid w:val="000D0610"/>
    <w:rsid w:val="000D07C1"/>
    <w:rsid w:val="000D097D"/>
    <w:rsid w:val="000D0FF3"/>
    <w:rsid w:val="000D1BFC"/>
    <w:rsid w:val="000D1D5D"/>
    <w:rsid w:val="000D24E4"/>
    <w:rsid w:val="000D27E3"/>
    <w:rsid w:val="000D281A"/>
    <w:rsid w:val="000D2848"/>
    <w:rsid w:val="000D298F"/>
    <w:rsid w:val="000D2D05"/>
    <w:rsid w:val="000D2D6B"/>
    <w:rsid w:val="000D326A"/>
    <w:rsid w:val="000D4E5D"/>
    <w:rsid w:val="000D51E7"/>
    <w:rsid w:val="000D51FB"/>
    <w:rsid w:val="000D58E2"/>
    <w:rsid w:val="000D5F65"/>
    <w:rsid w:val="000D68B5"/>
    <w:rsid w:val="000D7113"/>
    <w:rsid w:val="000D75D0"/>
    <w:rsid w:val="000D7849"/>
    <w:rsid w:val="000D7B63"/>
    <w:rsid w:val="000E0640"/>
    <w:rsid w:val="000E135D"/>
    <w:rsid w:val="000E1A56"/>
    <w:rsid w:val="000E2360"/>
    <w:rsid w:val="000E23C6"/>
    <w:rsid w:val="000E2690"/>
    <w:rsid w:val="000E2FA4"/>
    <w:rsid w:val="000E3018"/>
    <w:rsid w:val="000E327E"/>
    <w:rsid w:val="000E3DA3"/>
    <w:rsid w:val="000E4846"/>
    <w:rsid w:val="000E57CD"/>
    <w:rsid w:val="000E5ED0"/>
    <w:rsid w:val="000E6811"/>
    <w:rsid w:val="000E6E18"/>
    <w:rsid w:val="000E7162"/>
    <w:rsid w:val="000E7313"/>
    <w:rsid w:val="000E792C"/>
    <w:rsid w:val="000E7E7A"/>
    <w:rsid w:val="000F00BA"/>
    <w:rsid w:val="000F0EF7"/>
    <w:rsid w:val="000F1712"/>
    <w:rsid w:val="000F17CC"/>
    <w:rsid w:val="000F27E2"/>
    <w:rsid w:val="000F28DB"/>
    <w:rsid w:val="000F316A"/>
    <w:rsid w:val="000F3C74"/>
    <w:rsid w:val="000F3D61"/>
    <w:rsid w:val="000F3E00"/>
    <w:rsid w:val="000F467C"/>
    <w:rsid w:val="000F4BB8"/>
    <w:rsid w:val="000F4C1A"/>
    <w:rsid w:val="000F4FA9"/>
    <w:rsid w:val="000F50AA"/>
    <w:rsid w:val="000F53FB"/>
    <w:rsid w:val="000F5753"/>
    <w:rsid w:val="000F5CE4"/>
    <w:rsid w:val="000F6682"/>
    <w:rsid w:val="000F7127"/>
    <w:rsid w:val="000F7B54"/>
    <w:rsid w:val="000F7C79"/>
    <w:rsid w:val="001000B3"/>
    <w:rsid w:val="00100D16"/>
    <w:rsid w:val="00100F8A"/>
    <w:rsid w:val="00101450"/>
    <w:rsid w:val="00102052"/>
    <w:rsid w:val="00103190"/>
    <w:rsid w:val="00103EB0"/>
    <w:rsid w:val="0010433B"/>
    <w:rsid w:val="0010452E"/>
    <w:rsid w:val="00104F0E"/>
    <w:rsid w:val="00104F5E"/>
    <w:rsid w:val="0010521C"/>
    <w:rsid w:val="001052EC"/>
    <w:rsid w:val="001055F9"/>
    <w:rsid w:val="00105AE2"/>
    <w:rsid w:val="001060C6"/>
    <w:rsid w:val="00106B34"/>
    <w:rsid w:val="00106B80"/>
    <w:rsid w:val="0010726E"/>
    <w:rsid w:val="001074C1"/>
    <w:rsid w:val="00107689"/>
    <w:rsid w:val="0011032E"/>
    <w:rsid w:val="00110979"/>
    <w:rsid w:val="00110C51"/>
    <w:rsid w:val="00110D41"/>
    <w:rsid w:val="00111993"/>
    <w:rsid w:val="00111C94"/>
    <w:rsid w:val="001129CE"/>
    <w:rsid w:val="00112CD4"/>
    <w:rsid w:val="0011348B"/>
    <w:rsid w:val="00113B55"/>
    <w:rsid w:val="001142C4"/>
    <w:rsid w:val="0011454F"/>
    <w:rsid w:val="00114B2B"/>
    <w:rsid w:val="00114F38"/>
    <w:rsid w:val="0011520B"/>
    <w:rsid w:val="0011526F"/>
    <w:rsid w:val="00115786"/>
    <w:rsid w:val="00115982"/>
    <w:rsid w:val="00115FD6"/>
    <w:rsid w:val="0011639D"/>
    <w:rsid w:val="00116948"/>
    <w:rsid w:val="00116C53"/>
    <w:rsid w:val="0011756B"/>
    <w:rsid w:val="001200FA"/>
    <w:rsid w:val="001205C2"/>
    <w:rsid w:val="00121799"/>
    <w:rsid w:val="00121D2A"/>
    <w:rsid w:val="001222FC"/>
    <w:rsid w:val="00122A20"/>
    <w:rsid w:val="00123087"/>
    <w:rsid w:val="001232BF"/>
    <w:rsid w:val="00123546"/>
    <w:rsid w:val="00123902"/>
    <w:rsid w:val="00124061"/>
    <w:rsid w:val="0012481C"/>
    <w:rsid w:val="00124907"/>
    <w:rsid w:val="00124A51"/>
    <w:rsid w:val="00124C26"/>
    <w:rsid w:val="00125274"/>
    <w:rsid w:val="00125726"/>
    <w:rsid w:val="00125FFA"/>
    <w:rsid w:val="00126621"/>
    <w:rsid w:val="001266C2"/>
    <w:rsid w:val="001267F6"/>
    <w:rsid w:val="00126B1D"/>
    <w:rsid w:val="00127383"/>
    <w:rsid w:val="00127DC5"/>
    <w:rsid w:val="001301E9"/>
    <w:rsid w:val="001305DC"/>
    <w:rsid w:val="00130B28"/>
    <w:rsid w:val="00131D82"/>
    <w:rsid w:val="00132036"/>
    <w:rsid w:val="00132B22"/>
    <w:rsid w:val="00132D89"/>
    <w:rsid w:val="001330C1"/>
    <w:rsid w:val="00133D36"/>
    <w:rsid w:val="0013423C"/>
    <w:rsid w:val="0013444E"/>
    <w:rsid w:val="00134FA0"/>
    <w:rsid w:val="00137645"/>
    <w:rsid w:val="0014015A"/>
    <w:rsid w:val="00140E99"/>
    <w:rsid w:val="00141491"/>
    <w:rsid w:val="00141D8A"/>
    <w:rsid w:val="0014223E"/>
    <w:rsid w:val="001422D5"/>
    <w:rsid w:val="00142550"/>
    <w:rsid w:val="0014263D"/>
    <w:rsid w:val="00143070"/>
    <w:rsid w:val="001433A7"/>
    <w:rsid w:val="00143685"/>
    <w:rsid w:val="00143F67"/>
    <w:rsid w:val="001445DF"/>
    <w:rsid w:val="00145234"/>
    <w:rsid w:val="00145540"/>
    <w:rsid w:val="001456B0"/>
    <w:rsid w:val="00146683"/>
    <w:rsid w:val="0014728E"/>
    <w:rsid w:val="00147453"/>
    <w:rsid w:val="00151698"/>
    <w:rsid w:val="001517AE"/>
    <w:rsid w:val="0015196C"/>
    <w:rsid w:val="00151EDF"/>
    <w:rsid w:val="001520C7"/>
    <w:rsid w:val="00152A19"/>
    <w:rsid w:val="001537CE"/>
    <w:rsid w:val="00153E83"/>
    <w:rsid w:val="001542D8"/>
    <w:rsid w:val="00154351"/>
    <w:rsid w:val="001547AB"/>
    <w:rsid w:val="00155EB2"/>
    <w:rsid w:val="00156542"/>
    <w:rsid w:val="001566DC"/>
    <w:rsid w:val="00156F8F"/>
    <w:rsid w:val="00157130"/>
    <w:rsid w:val="001576B1"/>
    <w:rsid w:val="0016047B"/>
    <w:rsid w:val="001606AF"/>
    <w:rsid w:val="00160A4C"/>
    <w:rsid w:val="00160D04"/>
    <w:rsid w:val="001617E5"/>
    <w:rsid w:val="00162913"/>
    <w:rsid w:val="00162BBA"/>
    <w:rsid w:val="001637B8"/>
    <w:rsid w:val="00163B59"/>
    <w:rsid w:val="00163EFF"/>
    <w:rsid w:val="00163F0C"/>
    <w:rsid w:val="00163F66"/>
    <w:rsid w:val="0016444B"/>
    <w:rsid w:val="0016478E"/>
    <w:rsid w:val="00165213"/>
    <w:rsid w:val="00165345"/>
    <w:rsid w:val="00165EC4"/>
    <w:rsid w:val="001661FB"/>
    <w:rsid w:val="00166CFB"/>
    <w:rsid w:val="001671A0"/>
    <w:rsid w:val="001672BB"/>
    <w:rsid w:val="0016767F"/>
    <w:rsid w:val="00167E09"/>
    <w:rsid w:val="00170209"/>
    <w:rsid w:val="00170362"/>
    <w:rsid w:val="001709BA"/>
    <w:rsid w:val="0017303B"/>
    <w:rsid w:val="001731AC"/>
    <w:rsid w:val="00173376"/>
    <w:rsid w:val="00173565"/>
    <w:rsid w:val="00173B07"/>
    <w:rsid w:val="00173BF4"/>
    <w:rsid w:val="00174919"/>
    <w:rsid w:val="00174A68"/>
    <w:rsid w:val="001751FA"/>
    <w:rsid w:val="0017565E"/>
    <w:rsid w:val="00176BB5"/>
    <w:rsid w:val="00177102"/>
    <w:rsid w:val="00181871"/>
    <w:rsid w:val="00181C10"/>
    <w:rsid w:val="00181CBA"/>
    <w:rsid w:val="00181D9C"/>
    <w:rsid w:val="00181EAF"/>
    <w:rsid w:val="00182D57"/>
    <w:rsid w:val="00182E99"/>
    <w:rsid w:val="0018327F"/>
    <w:rsid w:val="00183723"/>
    <w:rsid w:val="001837FF"/>
    <w:rsid w:val="00183CCD"/>
    <w:rsid w:val="00184A8D"/>
    <w:rsid w:val="00184B0E"/>
    <w:rsid w:val="00185142"/>
    <w:rsid w:val="00185BBA"/>
    <w:rsid w:val="00185D47"/>
    <w:rsid w:val="00186CFB"/>
    <w:rsid w:val="0018752F"/>
    <w:rsid w:val="001875A9"/>
    <w:rsid w:val="001878D8"/>
    <w:rsid w:val="00187BD6"/>
    <w:rsid w:val="00187F6A"/>
    <w:rsid w:val="001905B6"/>
    <w:rsid w:val="00191115"/>
    <w:rsid w:val="001916AF"/>
    <w:rsid w:val="001916C1"/>
    <w:rsid w:val="00192C9F"/>
    <w:rsid w:val="00193838"/>
    <w:rsid w:val="001947EF"/>
    <w:rsid w:val="00194AD8"/>
    <w:rsid w:val="00195222"/>
    <w:rsid w:val="00195452"/>
    <w:rsid w:val="001965A1"/>
    <w:rsid w:val="00196A29"/>
    <w:rsid w:val="001971B3"/>
    <w:rsid w:val="0019722D"/>
    <w:rsid w:val="00197425"/>
    <w:rsid w:val="001975D8"/>
    <w:rsid w:val="00197CF9"/>
    <w:rsid w:val="00197DF9"/>
    <w:rsid w:val="001A1566"/>
    <w:rsid w:val="001A178E"/>
    <w:rsid w:val="001A217C"/>
    <w:rsid w:val="001A3D1B"/>
    <w:rsid w:val="001A3E6C"/>
    <w:rsid w:val="001A3F5E"/>
    <w:rsid w:val="001A4252"/>
    <w:rsid w:val="001A43FA"/>
    <w:rsid w:val="001A47C5"/>
    <w:rsid w:val="001A4A77"/>
    <w:rsid w:val="001A59FB"/>
    <w:rsid w:val="001A5E9E"/>
    <w:rsid w:val="001A6354"/>
    <w:rsid w:val="001A6366"/>
    <w:rsid w:val="001A667F"/>
    <w:rsid w:val="001A67F1"/>
    <w:rsid w:val="001A715B"/>
    <w:rsid w:val="001A7AE8"/>
    <w:rsid w:val="001B01D0"/>
    <w:rsid w:val="001B03F1"/>
    <w:rsid w:val="001B0469"/>
    <w:rsid w:val="001B086A"/>
    <w:rsid w:val="001B0FA1"/>
    <w:rsid w:val="001B1EBD"/>
    <w:rsid w:val="001B204E"/>
    <w:rsid w:val="001B2372"/>
    <w:rsid w:val="001B2BA8"/>
    <w:rsid w:val="001B3443"/>
    <w:rsid w:val="001B4014"/>
    <w:rsid w:val="001B4185"/>
    <w:rsid w:val="001B49D0"/>
    <w:rsid w:val="001B4CE4"/>
    <w:rsid w:val="001B4D20"/>
    <w:rsid w:val="001B5037"/>
    <w:rsid w:val="001B50C1"/>
    <w:rsid w:val="001B5593"/>
    <w:rsid w:val="001B5664"/>
    <w:rsid w:val="001B7A36"/>
    <w:rsid w:val="001B7F84"/>
    <w:rsid w:val="001C1E11"/>
    <w:rsid w:val="001C1FC4"/>
    <w:rsid w:val="001C22DB"/>
    <w:rsid w:val="001C2A9B"/>
    <w:rsid w:val="001C2B3D"/>
    <w:rsid w:val="001C32EB"/>
    <w:rsid w:val="001C336D"/>
    <w:rsid w:val="001C3DD6"/>
    <w:rsid w:val="001C4299"/>
    <w:rsid w:val="001C4874"/>
    <w:rsid w:val="001C5F94"/>
    <w:rsid w:val="001C64F0"/>
    <w:rsid w:val="001C6E66"/>
    <w:rsid w:val="001C7D10"/>
    <w:rsid w:val="001D03E3"/>
    <w:rsid w:val="001D0D2E"/>
    <w:rsid w:val="001D1100"/>
    <w:rsid w:val="001D1391"/>
    <w:rsid w:val="001D1D0D"/>
    <w:rsid w:val="001D25D7"/>
    <w:rsid w:val="001D2854"/>
    <w:rsid w:val="001D2CBF"/>
    <w:rsid w:val="001D2FCA"/>
    <w:rsid w:val="001D36AB"/>
    <w:rsid w:val="001D3953"/>
    <w:rsid w:val="001D50B2"/>
    <w:rsid w:val="001D528A"/>
    <w:rsid w:val="001D651D"/>
    <w:rsid w:val="001D71F4"/>
    <w:rsid w:val="001D7645"/>
    <w:rsid w:val="001D79DF"/>
    <w:rsid w:val="001D7DE2"/>
    <w:rsid w:val="001E0DC4"/>
    <w:rsid w:val="001E1088"/>
    <w:rsid w:val="001E1498"/>
    <w:rsid w:val="001E1B0A"/>
    <w:rsid w:val="001E1E86"/>
    <w:rsid w:val="001E22F5"/>
    <w:rsid w:val="001E238E"/>
    <w:rsid w:val="001E23FE"/>
    <w:rsid w:val="001E2483"/>
    <w:rsid w:val="001E2B1E"/>
    <w:rsid w:val="001E2CFF"/>
    <w:rsid w:val="001E2F24"/>
    <w:rsid w:val="001E2F88"/>
    <w:rsid w:val="001E2FFF"/>
    <w:rsid w:val="001E30D4"/>
    <w:rsid w:val="001E325D"/>
    <w:rsid w:val="001E34DF"/>
    <w:rsid w:val="001E40C3"/>
    <w:rsid w:val="001E4C08"/>
    <w:rsid w:val="001E52EB"/>
    <w:rsid w:val="001E5778"/>
    <w:rsid w:val="001E5FB1"/>
    <w:rsid w:val="001E61D2"/>
    <w:rsid w:val="001E6BDE"/>
    <w:rsid w:val="001E6FB4"/>
    <w:rsid w:val="001E740C"/>
    <w:rsid w:val="001E760D"/>
    <w:rsid w:val="001E777A"/>
    <w:rsid w:val="001E7C99"/>
    <w:rsid w:val="001F045C"/>
    <w:rsid w:val="001F0879"/>
    <w:rsid w:val="001F0BA8"/>
    <w:rsid w:val="001F0C06"/>
    <w:rsid w:val="001F1235"/>
    <w:rsid w:val="001F1CB3"/>
    <w:rsid w:val="001F2B72"/>
    <w:rsid w:val="001F2B9C"/>
    <w:rsid w:val="001F3285"/>
    <w:rsid w:val="001F339D"/>
    <w:rsid w:val="001F38B5"/>
    <w:rsid w:val="001F3973"/>
    <w:rsid w:val="001F3A3B"/>
    <w:rsid w:val="001F3A6C"/>
    <w:rsid w:val="001F4081"/>
    <w:rsid w:val="001F45B8"/>
    <w:rsid w:val="001F5C72"/>
    <w:rsid w:val="001F611D"/>
    <w:rsid w:val="001F6247"/>
    <w:rsid w:val="001F6BE5"/>
    <w:rsid w:val="001F7361"/>
    <w:rsid w:val="001F7724"/>
    <w:rsid w:val="001F7C36"/>
    <w:rsid w:val="002004EB"/>
    <w:rsid w:val="002011B0"/>
    <w:rsid w:val="002013E5"/>
    <w:rsid w:val="00201E77"/>
    <w:rsid w:val="00202B68"/>
    <w:rsid w:val="00202D35"/>
    <w:rsid w:val="00203117"/>
    <w:rsid w:val="00203181"/>
    <w:rsid w:val="00203783"/>
    <w:rsid w:val="0020385F"/>
    <w:rsid w:val="00203D52"/>
    <w:rsid w:val="00204352"/>
    <w:rsid w:val="00204B97"/>
    <w:rsid w:val="00205EE5"/>
    <w:rsid w:val="002068A0"/>
    <w:rsid w:val="00207021"/>
    <w:rsid w:val="0020732F"/>
    <w:rsid w:val="002075A6"/>
    <w:rsid w:val="002078BB"/>
    <w:rsid w:val="00207D00"/>
    <w:rsid w:val="002105C1"/>
    <w:rsid w:val="002116FD"/>
    <w:rsid w:val="00211CA9"/>
    <w:rsid w:val="00211D2D"/>
    <w:rsid w:val="00211D49"/>
    <w:rsid w:val="00212CC7"/>
    <w:rsid w:val="00212EC3"/>
    <w:rsid w:val="00213EF5"/>
    <w:rsid w:val="00214754"/>
    <w:rsid w:val="002165FB"/>
    <w:rsid w:val="00216AE7"/>
    <w:rsid w:val="00216BF5"/>
    <w:rsid w:val="00217A3F"/>
    <w:rsid w:val="00220D27"/>
    <w:rsid w:val="00222479"/>
    <w:rsid w:val="00223B49"/>
    <w:rsid w:val="00223BAB"/>
    <w:rsid w:val="00223D5A"/>
    <w:rsid w:val="00224BAC"/>
    <w:rsid w:val="00224DD4"/>
    <w:rsid w:val="00225676"/>
    <w:rsid w:val="0022573D"/>
    <w:rsid w:val="00225DCB"/>
    <w:rsid w:val="00226027"/>
    <w:rsid w:val="0022652E"/>
    <w:rsid w:val="00226BA5"/>
    <w:rsid w:val="002278A0"/>
    <w:rsid w:val="002309CC"/>
    <w:rsid w:val="002317F8"/>
    <w:rsid w:val="00231BA9"/>
    <w:rsid w:val="0023209F"/>
    <w:rsid w:val="0023352D"/>
    <w:rsid w:val="00233C01"/>
    <w:rsid w:val="0023413C"/>
    <w:rsid w:val="002346F0"/>
    <w:rsid w:val="00234815"/>
    <w:rsid w:val="00234B77"/>
    <w:rsid w:val="00234F9F"/>
    <w:rsid w:val="00235CB8"/>
    <w:rsid w:val="002361F3"/>
    <w:rsid w:val="0023629D"/>
    <w:rsid w:val="00236A11"/>
    <w:rsid w:val="00237255"/>
    <w:rsid w:val="00237EA4"/>
    <w:rsid w:val="002405CE"/>
    <w:rsid w:val="002408BE"/>
    <w:rsid w:val="002424AF"/>
    <w:rsid w:val="002439DC"/>
    <w:rsid w:val="00243E69"/>
    <w:rsid w:val="002440BB"/>
    <w:rsid w:val="002441D2"/>
    <w:rsid w:val="00244520"/>
    <w:rsid w:val="00244DC8"/>
    <w:rsid w:val="00245353"/>
    <w:rsid w:val="002458BA"/>
    <w:rsid w:val="00245A85"/>
    <w:rsid w:val="00245CE9"/>
    <w:rsid w:val="00246107"/>
    <w:rsid w:val="0024636C"/>
    <w:rsid w:val="00246A88"/>
    <w:rsid w:val="00247925"/>
    <w:rsid w:val="00247C3D"/>
    <w:rsid w:val="0025053B"/>
    <w:rsid w:val="0025056E"/>
    <w:rsid w:val="00250CD4"/>
    <w:rsid w:val="00251006"/>
    <w:rsid w:val="002524D5"/>
    <w:rsid w:val="00253B1D"/>
    <w:rsid w:val="00254237"/>
    <w:rsid w:val="00254DCF"/>
    <w:rsid w:val="00254FF2"/>
    <w:rsid w:val="00255084"/>
    <w:rsid w:val="0025534B"/>
    <w:rsid w:val="002559E5"/>
    <w:rsid w:val="00255BB7"/>
    <w:rsid w:val="00256318"/>
    <w:rsid w:val="00257541"/>
    <w:rsid w:val="00257A39"/>
    <w:rsid w:val="00257AC4"/>
    <w:rsid w:val="00257AF0"/>
    <w:rsid w:val="00257BBE"/>
    <w:rsid w:val="002604FF"/>
    <w:rsid w:val="00261EEF"/>
    <w:rsid w:val="00262A1A"/>
    <w:rsid w:val="00262A87"/>
    <w:rsid w:val="00262E21"/>
    <w:rsid w:val="002634B0"/>
    <w:rsid w:val="00263A3A"/>
    <w:rsid w:val="00263A5C"/>
    <w:rsid w:val="00263CEC"/>
    <w:rsid w:val="00263E97"/>
    <w:rsid w:val="002641F5"/>
    <w:rsid w:val="00264D26"/>
    <w:rsid w:val="002654F5"/>
    <w:rsid w:val="00265CBB"/>
    <w:rsid w:val="00265E8D"/>
    <w:rsid w:val="002670CF"/>
    <w:rsid w:val="00267642"/>
    <w:rsid w:val="00267AEA"/>
    <w:rsid w:val="002700E6"/>
    <w:rsid w:val="0027069B"/>
    <w:rsid w:val="00272378"/>
    <w:rsid w:val="002728D6"/>
    <w:rsid w:val="0027294B"/>
    <w:rsid w:val="0027298F"/>
    <w:rsid w:val="002731BC"/>
    <w:rsid w:val="00273702"/>
    <w:rsid w:val="002737C3"/>
    <w:rsid w:val="002737E9"/>
    <w:rsid w:val="00273EB4"/>
    <w:rsid w:val="00274090"/>
    <w:rsid w:val="00274682"/>
    <w:rsid w:val="00275158"/>
    <w:rsid w:val="00275C5A"/>
    <w:rsid w:val="00275E79"/>
    <w:rsid w:val="00276884"/>
    <w:rsid w:val="00276D02"/>
    <w:rsid w:val="0027719B"/>
    <w:rsid w:val="0027725B"/>
    <w:rsid w:val="002808E6"/>
    <w:rsid w:val="00281014"/>
    <w:rsid w:val="002823D0"/>
    <w:rsid w:val="00282A14"/>
    <w:rsid w:val="00283C33"/>
    <w:rsid w:val="0028427E"/>
    <w:rsid w:val="00284B5A"/>
    <w:rsid w:val="00284C31"/>
    <w:rsid w:val="00285007"/>
    <w:rsid w:val="00285321"/>
    <w:rsid w:val="00285612"/>
    <w:rsid w:val="0028573F"/>
    <w:rsid w:val="00285921"/>
    <w:rsid w:val="00285BCE"/>
    <w:rsid w:val="0028665D"/>
    <w:rsid w:val="00286D5C"/>
    <w:rsid w:val="00286EC1"/>
    <w:rsid w:val="00287B10"/>
    <w:rsid w:val="00287B9E"/>
    <w:rsid w:val="00290829"/>
    <w:rsid w:val="002926F1"/>
    <w:rsid w:val="00292B6F"/>
    <w:rsid w:val="00292BED"/>
    <w:rsid w:val="00293E28"/>
    <w:rsid w:val="00295171"/>
    <w:rsid w:val="002951E7"/>
    <w:rsid w:val="00295458"/>
    <w:rsid w:val="00295508"/>
    <w:rsid w:val="00295EC7"/>
    <w:rsid w:val="00296BFF"/>
    <w:rsid w:val="00296FDE"/>
    <w:rsid w:val="00297025"/>
    <w:rsid w:val="002971FD"/>
    <w:rsid w:val="002A05F3"/>
    <w:rsid w:val="002A104F"/>
    <w:rsid w:val="002A14AB"/>
    <w:rsid w:val="002A1700"/>
    <w:rsid w:val="002A1BB5"/>
    <w:rsid w:val="002A1D48"/>
    <w:rsid w:val="002A2ADE"/>
    <w:rsid w:val="002A2B38"/>
    <w:rsid w:val="002A2F50"/>
    <w:rsid w:val="002A39AA"/>
    <w:rsid w:val="002A4C0C"/>
    <w:rsid w:val="002A4D12"/>
    <w:rsid w:val="002A7943"/>
    <w:rsid w:val="002A7AD7"/>
    <w:rsid w:val="002A7ADC"/>
    <w:rsid w:val="002B0192"/>
    <w:rsid w:val="002B05A1"/>
    <w:rsid w:val="002B09A4"/>
    <w:rsid w:val="002B106F"/>
    <w:rsid w:val="002B1C1F"/>
    <w:rsid w:val="002B1FE2"/>
    <w:rsid w:val="002B2A6D"/>
    <w:rsid w:val="002B432F"/>
    <w:rsid w:val="002B465C"/>
    <w:rsid w:val="002B62B3"/>
    <w:rsid w:val="002B6754"/>
    <w:rsid w:val="002B6813"/>
    <w:rsid w:val="002B6CCE"/>
    <w:rsid w:val="002B7401"/>
    <w:rsid w:val="002B7633"/>
    <w:rsid w:val="002C066B"/>
    <w:rsid w:val="002C22BB"/>
    <w:rsid w:val="002C2510"/>
    <w:rsid w:val="002C2775"/>
    <w:rsid w:val="002C27C1"/>
    <w:rsid w:val="002C36E3"/>
    <w:rsid w:val="002C5099"/>
    <w:rsid w:val="002C5186"/>
    <w:rsid w:val="002C535F"/>
    <w:rsid w:val="002C5889"/>
    <w:rsid w:val="002C68DF"/>
    <w:rsid w:val="002C6B63"/>
    <w:rsid w:val="002C6D5C"/>
    <w:rsid w:val="002C71CE"/>
    <w:rsid w:val="002C72A2"/>
    <w:rsid w:val="002C7473"/>
    <w:rsid w:val="002C76D8"/>
    <w:rsid w:val="002C7CBE"/>
    <w:rsid w:val="002D070B"/>
    <w:rsid w:val="002D08F8"/>
    <w:rsid w:val="002D17DC"/>
    <w:rsid w:val="002D1CD7"/>
    <w:rsid w:val="002D24CC"/>
    <w:rsid w:val="002D276D"/>
    <w:rsid w:val="002D31EE"/>
    <w:rsid w:val="002D3B48"/>
    <w:rsid w:val="002D464E"/>
    <w:rsid w:val="002D577C"/>
    <w:rsid w:val="002D5F3D"/>
    <w:rsid w:val="002D636A"/>
    <w:rsid w:val="002D681B"/>
    <w:rsid w:val="002D7153"/>
    <w:rsid w:val="002D72AA"/>
    <w:rsid w:val="002D7832"/>
    <w:rsid w:val="002E03E4"/>
    <w:rsid w:val="002E0587"/>
    <w:rsid w:val="002E060D"/>
    <w:rsid w:val="002E0F8D"/>
    <w:rsid w:val="002E1071"/>
    <w:rsid w:val="002E10FB"/>
    <w:rsid w:val="002E13B3"/>
    <w:rsid w:val="002E13D8"/>
    <w:rsid w:val="002E15B9"/>
    <w:rsid w:val="002E1684"/>
    <w:rsid w:val="002E207E"/>
    <w:rsid w:val="002E2158"/>
    <w:rsid w:val="002E2A47"/>
    <w:rsid w:val="002E2F7D"/>
    <w:rsid w:val="002E3447"/>
    <w:rsid w:val="002E3EA4"/>
    <w:rsid w:val="002E40BF"/>
    <w:rsid w:val="002E4B62"/>
    <w:rsid w:val="002E4F02"/>
    <w:rsid w:val="002E546F"/>
    <w:rsid w:val="002E598E"/>
    <w:rsid w:val="002E5A6E"/>
    <w:rsid w:val="002E65CA"/>
    <w:rsid w:val="002E6FE6"/>
    <w:rsid w:val="002E7722"/>
    <w:rsid w:val="002F07BA"/>
    <w:rsid w:val="002F0B3E"/>
    <w:rsid w:val="002F0B95"/>
    <w:rsid w:val="002F0DA9"/>
    <w:rsid w:val="002F1014"/>
    <w:rsid w:val="002F1ACA"/>
    <w:rsid w:val="002F1C56"/>
    <w:rsid w:val="002F1E3B"/>
    <w:rsid w:val="002F1E9E"/>
    <w:rsid w:val="002F297C"/>
    <w:rsid w:val="002F2AF7"/>
    <w:rsid w:val="002F2DD6"/>
    <w:rsid w:val="002F314D"/>
    <w:rsid w:val="002F3610"/>
    <w:rsid w:val="002F3ABC"/>
    <w:rsid w:val="002F50E8"/>
    <w:rsid w:val="002F5AFA"/>
    <w:rsid w:val="002F630E"/>
    <w:rsid w:val="002F643C"/>
    <w:rsid w:val="002F71C0"/>
    <w:rsid w:val="002F74F1"/>
    <w:rsid w:val="00300F9D"/>
    <w:rsid w:val="00301017"/>
    <w:rsid w:val="0030155F"/>
    <w:rsid w:val="00301DB1"/>
    <w:rsid w:val="00301F2E"/>
    <w:rsid w:val="00301F3A"/>
    <w:rsid w:val="00303ED4"/>
    <w:rsid w:val="003040BE"/>
    <w:rsid w:val="00304831"/>
    <w:rsid w:val="00304F0F"/>
    <w:rsid w:val="00305301"/>
    <w:rsid w:val="0030587B"/>
    <w:rsid w:val="00305A7B"/>
    <w:rsid w:val="00305BC9"/>
    <w:rsid w:val="00306D98"/>
    <w:rsid w:val="0030786C"/>
    <w:rsid w:val="0031031A"/>
    <w:rsid w:val="00310981"/>
    <w:rsid w:val="003109C0"/>
    <w:rsid w:val="00311668"/>
    <w:rsid w:val="00311761"/>
    <w:rsid w:val="00311D9B"/>
    <w:rsid w:val="0031211E"/>
    <w:rsid w:val="003124D9"/>
    <w:rsid w:val="00312594"/>
    <w:rsid w:val="003130A8"/>
    <w:rsid w:val="00313CF8"/>
    <w:rsid w:val="00314007"/>
    <w:rsid w:val="00315498"/>
    <w:rsid w:val="0031554A"/>
    <w:rsid w:val="00315855"/>
    <w:rsid w:val="00315AC2"/>
    <w:rsid w:val="00316474"/>
    <w:rsid w:val="0031684F"/>
    <w:rsid w:val="00316F78"/>
    <w:rsid w:val="0032010D"/>
    <w:rsid w:val="00320971"/>
    <w:rsid w:val="003209CB"/>
    <w:rsid w:val="0032148C"/>
    <w:rsid w:val="003215F1"/>
    <w:rsid w:val="00322107"/>
    <w:rsid w:val="00322355"/>
    <w:rsid w:val="003223EC"/>
    <w:rsid w:val="00322846"/>
    <w:rsid w:val="00322B3D"/>
    <w:rsid w:val="00326799"/>
    <w:rsid w:val="00326DA7"/>
    <w:rsid w:val="00326F36"/>
    <w:rsid w:val="003270E4"/>
    <w:rsid w:val="00327324"/>
    <w:rsid w:val="0032788E"/>
    <w:rsid w:val="00330389"/>
    <w:rsid w:val="00330DAA"/>
    <w:rsid w:val="00330F5C"/>
    <w:rsid w:val="0033128B"/>
    <w:rsid w:val="003316F3"/>
    <w:rsid w:val="003320BE"/>
    <w:rsid w:val="003325E2"/>
    <w:rsid w:val="0033280A"/>
    <w:rsid w:val="00332E06"/>
    <w:rsid w:val="003330A2"/>
    <w:rsid w:val="003336ED"/>
    <w:rsid w:val="00335411"/>
    <w:rsid w:val="0033581C"/>
    <w:rsid w:val="0033591C"/>
    <w:rsid w:val="00335C3D"/>
    <w:rsid w:val="0033604B"/>
    <w:rsid w:val="003361AE"/>
    <w:rsid w:val="003366C9"/>
    <w:rsid w:val="00336759"/>
    <w:rsid w:val="00336968"/>
    <w:rsid w:val="003371B0"/>
    <w:rsid w:val="003378B2"/>
    <w:rsid w:val="003406BD"/>
    <w:rsid w:val="0034080B"/>
    <w:rsid w:val="00340A9D"/>
    <w:rsid w:val="00340B9A"/>
    <w:rsid w:val="00340DF1"/>
    <w:rsid w:val="0034234E"/>
    <w:rsid w:val="003444DA"/>
    <w:rsid w:val="00344598"/>
    <w:rsid w:val="003451F2"/>
    <w:rsid w:val="003452AB"/>
    <w:rsid w:val="0034552B"/>
    <w:rsid w:val="00345555"/>
    <w:rsid w:val="00346827"/>
    <w:rsid w:val="00347295"/>
    <w:rsid w:val="003512E1"/>
    <w:rsid w:val="003517F9"/>
    <w:rsid w:val="003519ED"/>
    <w:rsid w:val="00351BA9"/>
    <w:rsid w:val="00351C85"/>
    <w:rsid w:val="003520F1"/>
    <w:rsid w:val="003524DB"/>
    <w:rsid w:val="00352AEB"/>
    <w:rsid w:val="003536BA"/>
    <w:rsid w:val="00354F64"/>
    <w:rsid w:val="0035509D"/>
    <w:rsid w:val="00355A65"/>
    <w:rsid w:val="00355E9B"/>
    <w:rsid w:val="0035620E"/>
    <w:rsid w:val="0035686A"/>
    <w:rsid w:val="00356CAD"/>
    <w:rsid w:val="003571A0"/>
    <w:rsid w:val="003575BE"/>
    <w:rsid w:val="003579C1"/>
    <w:rsid w:val="00357CA3"/>
    <w:rsid w:val="003602CC"/>
    <w:rsid w:val="00360345"/>
    <w:rsid w:val="003605C8"/>
    <w:rsid w:val="00361A05"/>
    <w:rsid w:val="003624C4"/>
    <w:rsid w:val="00362C95"/>
    <w:rsid w:val="0036382E"/>
    <w:rsid w:val="00363B00"/>
    <w:rsid w:val="00363D60"/>
    <w:rsid w:val="0036422C"/>
    <w:rsid w:val="00364580"/>
    <w:rsid w:val="00364CAE"/>
    <w:rsid w:val="0036509C"/>
    <w:rsid w:val="003654AC"/>
    <w:rsid w:val="003710CF"/>
    <w:rsid w:val="00371D31"/>
    <w:rsid w:val="00371E18"/>
    <w:rsid w:val="00372069"/>
    <w:rsid w:val="00372490"/>
    <w:rsid w:val="00372CBA"/>
    <w:rsid w:val="003731C0"/>
    <w:rsid w:val="0037358A"/>
    <w:rsid w:val="00373A0F"/>
    <w:rsid w:val="00373DEF"/>
    <w:rsid w:val="003750F6"/>
    <w:rsid w:val="0037542D"/>
    <w:rsid w:val="00375453"/>
    <w:rsid w:val="00375916"/>
    <w:rsid w:val="00375FE8"/>
    <w:rsid w:val="003760FC"/>
    <w:rsid w:val="00376DB6"/>
    <w:rsid w:val="00376F6E"/>
    <w:rsid w:val="003774EB"/>
    <w:rsid w:val="00377C10"/>
    <w:rsid w:val="00377CE6"/>
    <w:rsid w:val="00377E89"/>
    <w:rsid w:val="0038006C"/>
    <w:rsid w:val="003807FC"/>
    <w:rsid w:val="0038117C"/>
    <w:rsid w:val="0038183D"/>
    <w:rsid w:val="003821B6"/>
    <w:rsid w:val="00382B40"/>
    <w:rsid w:val="0038330B"/>
    <w:rsid w:val="0038332A"/>
    <w:rsid w:val="0038365C"/>
    <w:rsid w:val="0038369B"/>
    <w:rsid w:val="00383B78"/>
    <w:rsid w:val="00384BC9"/>
    <w:rsid w:val="00385026"/>
    <w:rsid w:val="00385A9D"/>
    <w:rsid w:val="00385C62"/>
    <w:rsid w:val="00386884"/>
    <w:rsid w:val="00387121"/>
    <w:rsid w:val="00387B41"/>
    <w:rsid w:val="003902B1"/>
    <w:rsid w:val="003909E0"/>
    <w:rsid w:val="003911BE"/>
    <w:rsid w:val="00391530"/>
    <w:rsid w:val="0039179C"/>
    <w:rsid w:val="00392538"/>
    <w:rsid w:val="00392ABA"/>
    <w:rsid w:val="00393572"/>
    <w:rsid w:val="003956FC"/>
    <w:rsid w:val="00396880"/>
    <w:rsid w:val="00396896"/>
    <w:rsid w:val="00396FD0"/>
    <w:rsid w:val="00397946"/>
    <w:rsid w:val="00397A31"/>
    <w:rsid w:val="003A0E3C"/>
    <w:rsid w:val="003A14F8"/>
    <w:rsid w:val="003A15E0"/>
    <w:rsid w:val="003A1A7A"/>
    <w:rsid w:val="003A2392"/>
    <w:rsid w:val="003A2831"/>
    <w:rsid w:val="003A2F67"/>
    <w:rsid w:val="003A3207"/>
    <w:rsid w:val="003A33FB"/>
    <w:rsid w:val="003A3CB6"/>
    <w:rsid w:val="003A3E2C"/>
    <w:rsid w:val="003A3ED1"/>
    <w:rsid w:val="003A44DB"/>
    <w:rsid w:val="003A489A"/>
    <w:rsid w:val="003A4C14"/>
    <w:rsid w:val="003A64E3"/>
    <w:rsid w:val="003A65D1"/>
    <w:rsid w:val="003A6ECF"/>
    <w:rsid w:val="003A7076"/>
    <w:rsid w:val="003A70A8"/>
    <w:rsid w:val="003A7E7C"/>
    <w:rsid w:val="003B0F35"/>
    <w:rsid w:val="003B3382"/>
    <w:rsid w:val="003B3743"/>
    <w:rsid w:val="003B3971"/>
    <w:rsid w:val="003B3CA7"/>
    <w:rsid w:val="003B452A"/>
    <w:rsid w:val="003B4F55"/>
    <w:rsid w:val="003B55D1"/>
    <w:rsid w:val="003B5B61"/>
    <w:rsid w:val="003B6B9B"/>
    <w:rsid w:val="003B7D67"/>
    <w:rsid w:val="003C05B3"/>
    <w:rsid w:val="003C0830"/>
    <w:rsid w:val="003C1550"/>
    <w:rsid w:val="003C1654"/>
    <w:rsid w:val="003C1713"/>
    <w:rsid w:val="003C20CF"/>
    <w:rsid w:val="003C20FE"/>
    <w:rsid w:val="003C2787"/>
    <w:rsid w:val="003C33E5"/>
    <w:rsid w:val="003C34DE"/>
    <w:rsid w:val="003C3774"/>
    <w:rsid w:val="003C3E20"/>
    <w:rsid w:val="003C480F"/>
    <w:rsid w:val="003C4845"/>
    <w:rsid w:val="003C5084"/>
    <w:rsid w:val="003C5542"/>
    <w:rsid w:val="003C5CBD"/>
    <w:rsid w:val="003C67BC"/>
    <w:rsid w:val="003C7C15"/>
    <w:rsid w:val="003C7C8C"/>
    <w:rsid w:val="003C7D19"/>
    <w:rsid w:val="003C7D2F"/>
    <w:rsid w:val="003D0063"/>
    <w:rsid w:val="003D0B11"/>
    <w:rsid w:val="003D0B74"/>
    <w:rsid w:val="003D0C5A"/>
    <w:rsid w:val="003D104D"/>
    <w:rsid w:val="003D117E"/>
    <w:rsid w:val="003D1540"/>
    <w:rsid w:val="003D1828"/>
    <w:rsid w:val="003D1DE4"/>
    <w:rsid w:val="003D1E9A"/>
    <w:rsid w:val="003D2422"/>
    <w:rsid w:val="003D2625"/>
    <w:rsid w:val="003D2DE4"/>
    <w:rsid w:val="003D328E"/>
    <w:rsid w:val="003D380B"/>
    <w:rsid w:val="003D38DF"/>
    <w:rsid w:val="003D39A1"/>
    <w:rsid w:val="003D39A9"/>
    <w:rsid w:val="003D3B62"/>
    <w:rsid w:val="003D3FBF"/>
    <w:rsid w:val="003D430C"/>
    <w:rsid w:val="003D4A30"/>
    <w:rsid w:val="003D4EC8"/>
    <w:rsid w:val="003D591D"/>
    <w:rsid w:val="003D5CED"/>
    <w:rsid w:val="003D71EB"/>
    <w:rsid w:val="003D7452"/>
    <w:rsid w:val="003D79BB"/>
    <w:rsid w:val="003D7C98"/>
    <w:rsid w:val="003D7D9D"/>
    <w:rsid w:val="003E00B1"/>
    <w:rsid w:val="003E0543"/>
    <w:rsid w:val="003E0CC9"/>
    <w:rsid w:val="003E2AB8"/>
    <w:rsid w:val="003E424A"/>
    <w:rsid w:val="003E4E82"/>
    <w:rsid w:val="003E5603"/>
    <w:rsid w:val="003E6C51"/>
    <w:rsid w:val="003E6D0E"/>
    <w:rsid w:val="003E7091"/>
    <w:rsid w:val="003E749E"/>
    <w:rsid w:val="003F1C3B"/>
    <w:rsid w:val="003F228B"/>
    <w:rsid w:val="003F2D21"/>
    <w:rsid w:val="003F3601"/>
    <w:rsid w:val="003F3998"/>
    <w:rsid w:val="003F4156"/>
    <w:rsid w:val="003F5ADF"/>
    <w:rsid w:val="003F5F11"/>
    <w:rsid w:val="003F71C6"/>
    <w:rsid w:val="003F7994"/>
    <w:rsid w:val="003F79E0"/>
    <w:rsid w:val="003F7E97"/>
    <w:rsid w:val="004005E5"/>
    <w:rsid w:val="00400B29"/>
    <w:rsid w:val="00400F33"/>
    <w:rsid w:val="004021D6"/>
    <w:rsid w:val="0040257D"/>
    <w:rsid w:val="00402812"/>
    <w:rsid w:val="00402E98"/>
    <w:rsid w:val="004035A5"/>
    <w:rsid w:val="004039A4"/>
    <w:rsid w:val="00403BB3"/>
    <w:rsid w:val="00403BF5"/>
    <w:rsid w:val="004049C9"/>
    <w:rsid w:val="0040504B"/>
    <w:rsid w:val="0040591E"/>
    <w:rsid w:val="004059F4"/>
    <w:rsid w:val="00405BD7"/>
    <w:rsid w:val="0040646C"/>
    <w:rsid w:val="004070A2"/>
    <w:rsid w:val="0040749F"/>
    <w:rsid w:val="00407903"/>
    <w:rsid w:val="00407B60"/>
    <w:rsid w:val="00407DB2"/>
    <w:rsid w:val="00407FE5"/>
    <w:rsid w:val="004101B0"/>
    <w:rsid w:val="00410326"/>
    <w:rsid w:val="0041052F"/>
    <w:rsid w:val="00410708"/>
    <w:rsid w:val="00410E85"/>
    <w:rsid w:val="00410EC7"/>
    <w:rsid w:val="00411B39"/>
    <w:rsid w:val="00411EDD"/>
    <w:rsid w:val="0041218C"/>
    <w:rsid w:val="004121FF"/>
    <w:rsid w:val="004127A7"/>
    <w:rsid w:val="00413200"/>
    <w:rsid w:val="00413A1E"/>
    <w:rsid w:val="00414476"/>
    <w:rsid w:val="00414C2E"/>
    <w:rsid w:val="004151CF"/>
    <w:rsid w:val="0041543D"/>
    <w:rsid w:val="00415846"/>
    <w:rsid w:val="004158A1"/>
    <w:rsid w:val="00415973"/>
    <w:rsid w:val="00416364"/>
    <w:rsid w:val="004164A3"/>
    <w:rsid w:val="00416706"/>
    <w:rsid w:val="00417E80"/>
    <w:rsid w:val="0042047F"/>
    <w:rsid w:val="00420959"/>
    <w:rsid w:val="00420AA6"/>
    <w:rsid w:val="00420B9F"/>
    <w:rsid w:val="0042192C"/>
    <w:rsid w:val="00421CB6"/>
    <w:rsid w:val="00422260"/>
    <w:rsid w:val="00422A9C"/>
    <w:rsid w:val="004230E4"/>
    <w:rsid w:val="0042413F"/>
    <w:rsid w:val="00425AEB"/>
    <w:rsid w:val="00426029"/>
    <w:rsid w:val="00426C64"/>
    <w:rsid w:val="00427800"/>
    <w:rsid w:val="004303A8"/>
    <w:rsid w:val="0043055F"/>
    <w:rsid w:val="0043118A"/>
    <w:rsid w:val="004311C6"/>
    <w:rsid w:val="00431731"/>
    <w:rsid w:val="004319F8"/>
    <w:rsid w:val="00431D34"/>
    <w:rsid w:val="00431E52"/>
    <w:rsid w:val="00431E55"/>
    <w:rsid w:val="004321F6"/>
    <w:rsid w:val="00433044"/>
    <w:rsid w:val="00433764"/>
    <w:rsid w:val="00433FE6"/>
    <w:rsid w:val="00434088"/>
    <w:rsid w:val="00436B64"/>
    <w:rsid w:val="00436C62"/>
    <w:rsid w:val="00436CBF"/>
    <w:rsid w:val="004375B9"/>
    <w:rsid w:val="004376A9"/>
    <w:rsid w:val="00437DDB"/>
    <w:rsid w:val="004406E5"/>
    <w:rsid w:val="004412CA"/>
    <w:rsid w:val="004416E3"/>
    <w:rsid w:val="00442255"/>
    <w:rsid w:val="004428D0"/>
    <w:rsid w:val="00442E4E"/>
    <w:rsid w:val="00442EF4"/>
    <w:rsid w:val="00444185"/>
    <w:rsid w:val="004443A7"/>
    <w:rsid w:val="0044442C"/>
    <w:rsid w:val="00444DEA"/>
    <w:rsid w:val="00445284"/>
    <w:rsid w:val="0044550E"/>
    <w:rsid w:val="004457D7"/>
    <w:rsid w:val="00445941"/>
    <w:rsid w:val="00445EBD"/>
    <w:rsid w:val="00446249"/>
    <w:rsid w:val="004464EB"/>
    <w:rsid w:val="00446CF7"/>
    <w:rsid w:val="00446F1C"/>
    <w:rsid w:val="00446F54"/>
    <w:rsid w:val="00447A10"/>
    <w:rsid w:val="00447D26"/>
    <w:rsid w:val="00447DFC"/>
    <w:rsid w:val="004512FF"/>
    <w:rsid w:val="00451D6E"/>
    <w:rsid w:val="004541D5"/>
    <w:rsid w:val="00454D24"/>
    <w:rsid w:val="00454D95"/>
    <w:rsid w:val="00455C82"/>
    <w:rsid w:val="00455D45"/>
    <w:rsid w:val="004571AF"/>
    <w:rsid w:val="0045736C"/>
    <w:rsid w:val="00457AFF"/>
    <w:rsid w:val="00457F01"/>
    <w:rsid w:val="00457FA6"/>
    <w:rsid w:val="00460A29"/>
    <w:rsid w:val="00462284"/>
    <w:rsid w:val="00462C25"/>
    <w:rsid w:val="0046354F"/>
    <w:rsid w:val="00463682"/>
    <w:rsid w:val="00464595"/>
    <w:rsid w:val="00464F06"/>
    <w:rsid w:val="00465797"/>
    <w:rsid w:val="004658B5"/>
    <w:rsid w:val="00465B74"/>
    <w:rsid w:val="00465BE2"/>
    <w:rsid w:val="004660D1"/>
    <w:rsid w:val="00466505"/>
    <w:rsid w:val="0047002F"/>
    <w:rsid w:val="00470555"/>
    <w:rsid w:val="00471EA5"/>
    <w:rsid w:val="00472762"/>
    <w:rsid w:val="00472914"/>
    <w:rsid w:val="00472A79"/>
    <w:rsid w:val="00473F19"/>
    <w:rsid w:val="004746DD"/>
    <w:rsid w:val="00475716"/>
    <w:rsid w:val="00475E22"/>
    <w:rsid w:val="00476007"/>
    <w:rsid w:val="0047640D"/>
    <w:rsid w:val="004805DD"/>
    <w:rsid w:val="0048088E"/>
    <w:rsid w:val="00480E3E"/>
    <w:rsid w:val="00480F2B"/>
    <w:rsid w:val="00481C65"/>
    <w:rsid w:val="004823A1"/>
    <w:rsid w:val="00482720"/>
    <w:rsid w:val="004827B7"/>
    <w:rsid w:val="00482CCC"/>
    <w:rsid w:val="004834F1"/>
    <w:rsid w:val="004835E7"/>
    <w:rsid w:val="00483E2D"/>
    <w:rsid w:val="004846E3"/>
    <w:rsid w:val="004850A6"/>
    <w:rsid w:val="004851F2"/>
    <w:rsid w:val="004859E1"/>
    <w:rsid w:val="00486468"/>
    <w:rsid w:val="0048678B"/>
    <w:rsid w:val="004867E2"/>
    <w:rsid w:val="00487998"/>
    <w:rsid w:val="00487A51"/>
    <w:rsid w:val="00487E7D"/>
    <w:rsid w:val="004903A8"/>
    <w:rsid w:val="00490B17"/>
    <w:rsid w:val="00491884"/>
    <w:rsid w:val="00491B3A"/>
    <w:rsid w:val="004928B6"/>
    <w:rsid w:val="00492CFD"/>
    <w:rsid w:val="00493024"/>
    <w:rsid w:val="0049344C"/>
    <w:rsid w:val="00494001"/>
    <w:rsid w:val="00494207"/>
    <w:rsid w:val="00494A15"/>
    <w:rsid w:val="00494DD5"/>
    <w:rsid w:val="004959C3"/>
    <w:rsid w:val="00495A22"/>
    <w:rsid w:val="004962D2"/>
    <w:rsid w:val="004977C1"/>
    <w:rsid w:val="004979DA"/>
    <w:rsid w:val="004A01B4"/>
    <w:rsid w:val="004A0DA1"/>
    <w:rsid w:val="004A13D6"/>
    <w:rsid w:val="004A15AB"/>
    <w:rsid w:val="004A2768"/>
    <w:rsid w:val="004A27DC"/>
    <w:rsid w:val="004A2916"/>
    <w:rsid w:val="004A40FF"/>
    <w:rsid w:val="004A4965"/>
    <w:rsid w:val="004A52E9"/>
    <w:rsid w:val="004A5589"/>
    <w:rsid w:val="004A6040"/>
    <w:rsid w:val="004A6597"/>
    <w:rsid w:val="004A73F5"/>
    <w:rsid w:val="004A75E1"/>
    <w:rsid w:val="004A7848"/>
    <w:rsid w:val="004A789B"/>
    <w:rsid w:val="004A793B"/>
    <w:rsid w:val="004A7B18"/>
    <w:rsid w:val="004B1360"/>
    <w:rsid w:val="004B16B5"/>
    <w:rsid w:val="004B1CB4"/>
    <w:rsid w:val="004B2D6D"/>
    <w:rsid w:val="004B2F18"/>
    <w:rsid w:val="004B2FB8"/>
    <w:rsid w:val="004B3C34"/>
    <w:rsid w:val="004B3DDB"/>
    <w:rsid w:val="004B430D"/>
    <w:rsid w:val="004B44FD"/>
    <w:rsid w:val="004B4F87"/>
    <w:rsid w:val="004B512B"/>
    <w:rsid w:val="004B56BF"/>
    <w:rsid w:val="004B571C"/>
    <w:rsid w:val="004B5CFC"/>
    <w:rsid w:val="004B5D8E"/>
    <w:rsid w:val="004B6F79"/>
    <w:rsid w:val="004B774D"/>
    <w:rsid w:val="004B7E6E"/>
    <w:rsid w:val="004C0F17"/>
    <w:rsid w:val="004C1F07"/>
    <w:rsid w:val="004C2942"/>
    <w:rsid w:val="004C29A6"/>
    <w:rsid w:val="004C2AC2"/>
    <w:rsid w:val="004C3707"/>
    <w:rsid w:val="004C3B02"/>
    <w:rsid w:val="004C448B"/>
    <w:rsid w:val="004C4AED"/>
    <w:rsid w:val="004C5185"/>
    <w:rsid w:val="004C77B7"/>
    <w:rsid w:val="004C79B7"/>
    <w:rsid w:val="004D1CB8"/>
    <w:rsid w:val="004D1E9A"/>
    <w:rsid w:val="004D2887"/>
    <w:rsid w:val="004D2C2D"/>
    <w:rsid w:val="004D3429"/>
    <w:rsid w:val="004D4836"/>
    <w:rsid w:val="004D58EF"/>
    <w:rsid w:val="004D6278"/>
    <w:rsid w:val="004D69B5"/>
    <w:rsid w:val="004D7227"/>
    <w:rsid w:val="004D7B5E"/>
    <w:rsid w:val="004E0AC0"/>
    <w:rsid w:val="004E0E7F"/>
    <w:rsid w:val="004E0EB8"/>
    <w:rsid w:val="004E16EA"/>
    <w:rsid w:val="004E18E9"/>
    <w:rsid w:val="004E1B2F"/>
    <w:rsid w:val="004E1D3E"/>
    <w:rsid w:val="004E22EA"/>
    <w:rsid w:val="004E25D8"/>
    <w:rsid w:val="004E2ADC"/>
    <w:rsid w:val="004E32B1"/>
    <w:rsid w:val="004E43B2"/>
    <w:rsid w:val="004E4A1F"/>
    <w:rsid w:val="004E5144"/>
    <w:rsid w:val="004E51D2"/>
    <w:rsid w:val="004E5679"/>
    <w:rsid w:val="004E5F6D"/>
    <w:rsid w:val="004E75D4"/>
    <w:rsid w:val="004E76A6"/>
    <w:rsid w:val="004F0184"/>
    <w:rsid w:val="004F14C0"/>
    <w:rsid w:val="004F1B4D"/>
    <w:rsid w:val="004F1D02"/>
    <w:rsid w:val="004F2679"/>
    <w:rsid w:val="004F2CB6"/>
    <w:rsid w:val="004F2DC0"/>
    <w:rsid w:val="004F2F21"/>
    <w:rsid w:val="004F305C"/>
    <w:rsid w:val="004F394D"/>
    <w:rsid w:val="004F3DE4"/>
    <w:rsid w:val="004F3DE5"/>
    <w:rsid w:val="004F3F18"/>
    <w:rsid w:val="004F414F"/>
    <w:rsid w:val="004F5AF1"/>
    <w:rsid w:val="004F6202"/>
    <w:rsid w:val="004F6267"/>
    <w:rsid w:val="004F6913"/>
    <w:rsid w:val="004F767C"/>
    <w:rsid w:val="004F7865"/>
    <w:rsid w:val="004F7AAC"/>
    <w:rsid w:val="004F7D51"/>
    <w:rsid w:val="005003B2"/>
    <w:rsid w:val="0050097B"/>
    <w:rsid w:val="00500D59"/>
    <w:rsid w:val="0050151D"/>
    <w:rsid w:val="0050174E"/>
    <w:rsid w:val="00501854"/>
    <w:rsid w:val="00501F57"/>
    <w:rsid w:val="0050219B"/>
    <w:rsid w:val="00503F17"/>
    <w:rsid w:val="00503F3A"/>
    <w:rsid w:val="0050461C"/>
    <w:rsid w:val="0050473F"/>
    <w:rsid w:val="005051F0"/>
    <w:rsid w:val="00505A2A"/>
    <w:rsid w:val="00505D0D"/>
    <w:rsid w:val="00505E7D"/>
    <w:rsid w:val="00506434"/>
    <w:rsid w:val="00506928"/>
    <w:rsid w:val="00507561"/>
    <w:rsid w:val="005075E9"/>
    <w:rsid w:val="005077EF"/>
    <w:rsid w:val="005079E1"/>
    <w:rsid w:val="00507AA5"/>
    <w:rsid w:val="005101BF"/>
    <w:rsid w:val="00511AD5"/>
    <w:rsid w:val="00511B6A"/>
    <w:rsid w:val="00511DC7"/>
    <w:rsid w:val="0051296E"/>
    <w:rsid w:val="0051298E"/>
    <w:rsid w:val="005131C6"/>
    <w:rsid w:val="005132F5"/>
    <w:rsid w:val="005142C5"/>
    <w:rsid w:val="005143E8"/>
    <w:rsid w:val="0051501B"/>
    <w:rsid w:val="005152B5"/>
    <w:rsid w:val="005154B3"/>
    <w:rsid w:val="005157AD"/>
    <w:rsid w:val="00515886"/>
    <w:rsid w:val="00516571"/>
    <w:rsid w:val="00516A8E"/>
    <w:rsid w:val="00516DCB"/>
    <w:rsid w:val="005203F4"/>
    <w:rsid w:val="0052123C"/>
    <w:rsid w:val="005212D6"/>
    <w:rsid w:val="00521319"/>
    <w:rsid w:val="00522942"/>
    <w:rsid w:val="00522BC8"/>
    <w:rsid w:val="00523971"/>
    <w:rsid w:val="00523A5C"/>
    <w:rsid w:val="00523C28"/>
    <w:rsid w:val="00524B78"/>
    <w:rsid w:val="00525ACF"/>
    <w:rsid w:val="005266FE"/>
    <w:rsid w:val="00526C5D"/>
    <w:rsid w:val="00526EDB"/>
    <w:rsid w:val="00526FAE"/>
    <w:rsid w:val="00530345"/>
    <w:rsid w:val="005311D8"/>
    <w:rsid w:val="0053176B"/>
    <w:rsid w:val="005318F7"/>
    <w:rsid w:val="00533936"/>
    <w:rsid w:val="005341B3"/>
    <w:rsid w:val="00534494"/>
    <w:rsid w:val="00534782"/>
    <w:rsid w:val="005356DB"/>
    <w:rsid w:val="00535C91"/>
    <w:rsid w:val="00536370"/>
    <w:rsid w:val="00536529"/>
    <w:rsid w:val="00536F42"/>
    <w:rsid w:val="00537182"/>
    <w:rsid w:val="0053775B"/>
    <w:rsid w:val="0054183D"/>
    <w:rsid w:val="00541EDD"/>
    <w:rsid w:val="00542743"/>
    <w:rsid w:val="00542A3E"/>
    <w:rsid w:val="00542C2D"/>
    <w:rsid w:val="00544FD2"/>
    <w:rsid w:val="00545682"/>
    <w:rsid w:val="005459E7"/>
    <w:rsid w:val="00545A3D"/>
    <w:rsid w:val="0054604C"/>
    <w:rsid w:val="00546A22"/>
    <w:rsid w:val="005478BD"/>
    <w:rsid w:val="005479E3"/>
    <w:rsid w:val="00547A0F"/>
    <w:rsid w:val="00551985"/>
    <w:rsid w:val="00551A28"/>
    <w:rsid w:val="00551A32"/>
    <w:rsid w:val="00551CB6"/>
    <w:rsid w:val="00551D35"/>
    <w:rsid w:val="0055245C"/>
    <w:rsid w:val="00552BD3"/>
    <w:rsid w:val="005532A0"/>
    <w:rsid w:val="005532FC"/>
    <w:rsid w:val="00554063"/>
    <w:rsid w:val="00554BAB"/>
    <w:rsid w:val="00554C83"/>
    <w:rsid w:val="00555109"/>
    <w:rsid w:val="00555EC3"/>
    <w:rsid w:val="00555F43"/>
    <w:rsid w:val="00556B35"/>
    <w:rsid w:val="00556C17"/>
    <w:rsid w:val="0055741A"/>
    <w:rsid w:val="005605AD"/>
    <w:rsid w:val="005611B7"/>
    <w:rsid w:val="005611C8"/>
    <w:rsid w:val="005618D4"/>
    <w:rsid w:val="00561A47"/>
    <w:rsid w:val="005620EC"/>
    <w:rsid w:val="0056271C"/>
    <w:rsid w:val="005638AC"/>
    <w:rsid w:val="00563A06"/>
    <w:rsid w:val="00564413"/>
    <w:rsid w:val="00564867"/>
    <w:rsid w:val="00564EF6"/>
    <w:rsid w:val="00564F89"/>
    <w:rsid w:val="00565850"/>
    <w:rsid w:val="00565886"/>
    <w:rsid w:val="00565C79"/>
    <w:rsid w:val="00565DF0"/>
    <w:rsid w:val="0056696F"/>
    <w:rsid w:val="00566B57"/>
    <w:rsid w:val="00567296"/>
    <w:rsid w:val="00570652"/>
    <w:rsid w:val="00570749"/>
    <w:rsid w:val="005717A1"/>
    <w:rsid w:val="005717AD"/>
    <w:rsid w:val="00571A3D"/>
    <w:rsid w:val="00571FDF"/>
    <w:rsid w:val="00572269"/>
    <w:rsid w:val="00572391"/>
    <w:rsid w:val="0057244A"/>
    <w:rsid w:val="00572B3E"/>
    <w:rsid w:val="00572F26"/>
    <w:rsid w:val="00573E7E"/>
    <w:rsid w:val="00574E9F"/>
    <w:rsid w:val="005750C5"/>
    <w:rsid w:val="005752DE"/>
    <w:rsid w:val="005756B3"/>
    <w:rsid w:val="00575D60"/>
    <w:rsid w:val="00575D8D"/>
    <w:rsid w:val="00576972"/>
    <w:rsid w:val="00577248"/>
    <w:rsid w:val="00577935"/>
    <w:rsid w:val="00580104"/>
    <w:rsid w:val="00580902"/>
    <w:rsid w:val="00580C89"/>
    <w:rsid w:val="00580FFE"/>
    <w:rsid w:val="005813F4"/>
    <w:rsid w:val="0058165A"/>
    <w:rsid w:val="00582730"/>
    <w:rsid w:val="00583699"/>
    <w:rsid w:val="00583DB6"/>
    <w:rsid w:val="00584A69"/>
    <w:rsid w:val="00585CDD"/>
    <w:rsid w:val="00586755"/>
    <w:rsid w:val="00587058"/>
    <w:rsid w:val="005873E1"/>
    <w:rsid w:val="00587886"/>
    <w:rsid w:val="005914F9"/>
    <w:rsid w:val="00591957"/>
    <w:rsid w:val="00591DC5"/>
    <w:rsid w:val="00591F19"/>
    <w:rsid w:val="0059259D"/>
    <w:rsid w:val="0059378E"/>
    <w:rsid w:val="0059480D"/>
    <w:rsid w:val="0059631A"/>
    <w:rsid w:val="00596729"/>
    <w:rsid w:val="00596BAB"/>
    <w:rsid w:val="00596D5C"/>
    <w:rsid w:val="00597BF9"/>
    <w:rsid w:val="00597F94"/>
    <w:rsid w:val="005A01FD"/>
    <w:rsid w:val="005A07DD"/>
    <w:rsid w:val="005A0A7C"/>
    <w:rsid w:val="005A0C11"/>
    <w:rsid w:val="005A10D1"/>
    <w:rsid w:val="005A1282"/>
    <w:rsid w:val="005A21C7"/>
    <w:rsid w:val="005A2623"/>
    <w:rsid w:val="005A309A"/>
    <w:rsid w:val="005A373D"/>
    <w:rsid w:val="005A4078"/>
    <w:rsid w:val="005A4F42"/>
    <w:rsid w:val="005A5D27"/>
    <w:rsid w:val="005A6058"/>
    <w:rsid w:val="005A68DC"/>
    <w:rsid w:val="005A6ECF"/>
    <w:rsid w:val="005B01A9"/>
    <w:rsid w:val="005B021C"/>
    <w:rsid w:val="005B0B58"/>
    <w:rsid w:val="005B0CCF"/>
    <w:rsid w:val="005B1417"/>
    <w:rsid w:val="005B22E5"/>
    <w:rsid w:val="005B2D0F"/>
    <w:rsid w:val="005B331E"/>
    <w:rsid w:val="005B4050"/>
    <w:rsid w:val="005B4E53"/>
    <w:rsid w:val="005B4F32"/>
    <w:rsid w:val="005B5857"/>
    <w:rsid w:val="005B5D14"/>
    <w:rsid w:val="005B7027"/>
    <w:rsid w:val="005B774B"/>
    <w:rsid w:val="005C03FF"/>
    <w:rsid w:val="005C0BD1"/>
    <w:rsid w:val="005C174E"/>
    <w:rsid w:val="005C17F0"/>
    <w:rsid w:val="005C19C4"/>
    <w:rsid w:val="005C1B83"/>
    <w:rsid w:val="005C2003"/>
    <w:rsid w:val="005C25FF"/>
    <w:rsid w:val="005C2AA5"/>
    <w:rsid w:val="005C2C1F"/>
    <w:rsid w:val="005C2D55"/>
    <w:rsid w:val="005C346B"/>
    <w:rsid w:val="005C3524"/>
    <w:rsid w:val="005C3734"/>
    <w:rsid w:val="005C388C"/>
    <w:rsid w:val="005C4160"/>
    <w:rsid w:val="005C4E1D"/>
    <w:rsid w:val="005C58C3"/>
    <w:rsid w:val="005C5ABC"/>
    <w:rsid w:val="005C5FE7"/>
    <w:rsid w:val="005C60FF"/>
    <w:rsid w:val="005C6D46"/>
    <w:rsid w:val="005C776B"/>
    <w:rsid w:val="005D044D"/>
    <w:rsid w:val="005D048C"/>
    <w:rsid w:val="005D08CB"/>
    <w:rsid w:val="005D0ABD"/>
    <w:rsid w:val="005D18AD"/>
    <w:rsid w:val="005D1CDE"/>
    <w:rsid w:val="005D26B4"/>
    <w:rsid w:val="005D28C1"/>
    <w:rsid w:val="005D398B"/>
    <w:rsid w:val="005D3C1D"/>
    <w:rsid w:val="005D63BA"/>
    <w:rsid w:val="005D64EE"/>
    <w:rsid w:val="005D6CA2"/>
    <w:rsid w:val="005D79B6"/>
    <w:rsid w:val="005E1995"/>
    <w:rsid w:val="005E2006"/>
    <w:rsid w:val="005E212A"/>
    <w:rsid w:val="005E3FBB"/>
    <w:rsid w:val="005E463B"/>
    <w:rsid w:val="005E67DC"/>
    <w:rsid w:val="005E6B6B"/>
    <w:rsid w:val="005E6CBC"/>
    <w:rsid w:val="005E72FF"/>
    <w:rsid w:val="005E73C0"/>
    <w:rsid w:val="005F064B"/>
    <w:rsid w:val="005F07ED"/>
    <w:rsid w:val="005F105A"/>
    <w:rsid w:val="005F15A8"/>
    <w:rsid w:val="005F2245"/>
    <w:rsid w:val="005F26B4"/>
    <w:rsid w:val="005F2706"/>
    <w:rsid w:val="005F2D6D"/>
    <w:rsid w:val="005F2DC5"/>
    <w:rsid w:val="005F4FDD"/>
    <w:rsid w:val="005F5AFF"/>
    <w:rsid w:val="005F5DA5"/>
    <w:rsid w:val="005F6A8F"/>
    <w:rsid w:val="005F6BB7"/>
    <w:rsid w:val="005F7588"/>
    <w:rsid w:val="005F79F3"/>
    <w:rsid w:val="006006B0"/>
    <w:rsid w:val="006008A8"/>
    <w:rsid w:val="006015F1"/>
    <w:rsid w:val="00601A82"/>
    <w:rsid w:val="00601AA0"/>
    <w:rsid w:val="00601EAD"/>
    <w:rsid w:val="006028D3"/>
    <w:rsid w:val="00603291"/>
    <w:rsid w:val="006033E4"/>
    <w:rsid w:val="00603DB9"/>
    <w:rsid w:val="00603E22"/>
    <w:rsid w:val="00604E72"/>
    <w:rsid w:val="00605508"/>
    <w:rsid w:val="00605F73"/>
    <w:rsid w:val="00606FBA"/>
    <w:rsid w:val="006071BC"/>
    <w:rsid w:val="006071CF"/>
    <w:rsid w:val="00607466"/>
    <w:rsid w:val="00607669"/>
    <w:rsid w:val="006076F4"/>
    <w:rsid w:val="00607AFD"/>
    <w:rsid w:val="00611457"/>
    <w:rsid w:val="00611B12"/>
    <w:rsid w:val="00611DF8"/>
    <w:rsid w:val="0061217B"/>
    <w:rsid w:val="0061257B"/>
    <w:rsid w:val="00612F97"/>
    <w:rsid w:val="0061345D"/>
    <w:rsid w:val="00613CD1"/>
    <w:rsid w:val="006153B7"/>
    <w:rsid w:val="0061549B"/>
    <w:rsid w:val="0061666C"/>
    <w:rsid w:val="00616802"/>
    <w:rsid w:val="00616BB0"/>
    <w:rsid w:val="00617285"/>
    <w:rsid w:val="00617E12"/>
    <w:rsid w:val="00620AD2"/>
    <w:rsid w:val="00620C25"/>
    <w:rsid w:val="00620C7F"/>
    <w:rsid w:val="00621477"/>
    <w:rsid w:val="00621617"/>
    <w:rsid w:val="00621ADA"/>
    <w:rsid w:val="00622326"/>
    <w:rsid w:val="00622588"/>
    <w:rsid w:val="00623789"/>
    <w:rsid w:val="00623EB8"/>
    <w:rsid w:val="00623F7B"/>
    <w:rsid w:val="00624688"/>
    <w:rsid w:val="00624BD4"/>
    <w:rsid w:val="00625B2F"/>
    <w:rsid w:val="006275AE"/>
    <w:rsid w:val="00627741"/>
    <w:rsid w:val="00630B40"/>
    <w:rsid w:val="00630CE6"/>
    <w:rsid w:val="0063158F"/>
    <w:rsid w:val="00631D6B"/>
    <w:rsid w:val="00632183"/>
    <w:rsid w:val="006330A1"/>
    <w:rsid w:val="00633C4F"/>
    <w:rsid w:val="006343EA"/>
    <w:rsid w:val="00634501"/>
    <w:rsid w:val="0063479F"/>
    <w:rsid w:val="00634EB2"/>
    <w:rsid w:val="00634FEE"/>
    <w:rsid w:val="006353F0"/>
    <w:rsid w:val="0063546A"/>
    <w:rsid w:val="006354EE"/>
    <w:rsid w:val="0063576B"/>
    <w:rsid w:val="006357B5"/>
    <w:rsid w:val="006362B7"/>
    <w:rsid w:val="00636312"/>
    <w:rsid w:val="006364A1"/>
    <w:rsid w:val="0063678E"/>
    <w:rsid w:val="00637AD9"/>
    <w:rsid w:val="00637BFD"/>
    <w:rsid w:val="00637C51"/>
    <w:rsid w:val="00637C5C"/>
    <w:rsid w:val="00637C89"/>
    <w:rsid w:val="00641263"/>
    <w:rsid w:val="00641385"/>
    <w:rsid w:val="00641C4E"/>
    <w:rsid w:val="00641FB3"/>
    <w:rsid w:val="006422AD"/>
    <w:rsid w:val="006428EB"/>
    <w:rsid w:val="00643754"/>
    <w:rsid w:val="00643DFA"/>
    <w:rsid w:val="0064434C"/>
    <w:rsid w:val="006448ED"/>
    <w:rsid w:val="006459DC"/>
    <w:rsid w:val="00646719"/>
    <w:rsid w:val="00646A5A"/>
    <w:rsid w:val="006471CC"/>
    <w:rsid w:val="006471FB"/>
    <w:rsid w:val="006472FE"/>
    <w:rsid w:val="006475D7"/>
    <w:rsid w:val="00647A29"/>
    <w:rsid w:val="0065079F"/>
    <w:rsid w:val="00652A28"/>
    <w:rsid w:val="0065379F"/>
    <w:rsid w:val="00653EFB"/>
    <w:rsid w:val="00654813"/>
    <w:rsid w:val="00654CC1"/>
    <w:rsid w:val="00654F4C"/>
    <w:rsid w:val="00655451"/>
    <w:rsid w:val="00655B19"/>
    <w:rsid w:val="00656188"/>
    <w:rsid w:val="0065715A"/>
    <w:rsid w:val="006573AF"/>
    <w:rsid w:val="00657F04"/>
    <w:rsid w:val="00660928"/>
    <w:rsid w:val="006610F1"/>
    <w:rsid w:val="0066122C"/>
    <w:rsid w:val="0066162A"/>
    <w:rsid w:val="0066168A"/>
    <w:rsid w:val="006617C9"/>
    <w:rsid w:val="00661C6B"/>
    <w:rsid w:val="00662AE9"/>
    <w:rsid w:val="00662D3E"/>
    <w:rsid w:val="00662F1E"/>
    <w:rsid w:val="00663542"/>
    <w:rsid w:val="00663543"/>
    <w:rsid w:val="0066416C"/>
    <w:rsid w:val="00664F04"/>
    <w:rsid w:val="00666285"/>
    <w:rsid w:val="00667BE3"/>
    <w:rsid w:val="0067022C"/>
    <w:rsid w:val="00670E9F"/>
    <w:rsid w:val="00671004"/>
    <w:rsid w:val="00672646"/>
    <w:rsid w:val="00674E42"/>
    <w:rsid w:val="0067537A"/>
    <w:rsid w:val="00675418"/>
    <w:rsid w:val="0067552D"/>
    <w:rsid w:val="00675B16"/>
    <w:rsid w:val="00676563"/>
    <w:rsid w:val="006779EE"/>
    <w:rsid w:val="00677E78"/>
    <w:rsid w:val="006808B9"/>
    <w:rsid w:val="006813F8"/>
    <w:rsid w:val="006819EF"/>
    <w:rsid w:val="00681A6E"/>
    <w:rsid w:val="00682112"/>
    <w:rsid w:val="0068240D"/>
    <w:rsid w:val="0068253B"/>
    <w:rsid w:val="00682776"/>
    <w:rsid w:val="00682AD7"/>
    <w:rsid w:val="00682BA6"/>
    <w:rsid w:val="00684ACE"/>
    <w:rsid w:val="00685178"/>
    <w:rsid w:val="00686957"/>
    <w:rsid w:val="006872BA"/>
    <w:rsid w:val="006873DB"/>
    <w:rsid w:val="00687956"/>
    <w:rsid w:val="00687A54"/>
    <w:rsid w:val="00687CD1"/>
    <w:rsid w:val="006906D9"/>
    <w:rsid w:val="00690795"/>
    <w:rsid w:val="00691616"/>
    <w:rsid w:val="00691648"/>
    <w:rsid w:val="006917D7"/>
    <w:rsid w:val="00691C11"/>
    <w:rsid w:val="0069236F"/>
    <w:rsid w:val="00692844"/>
    <w:rsid w:val="00692D4C"/>
    <w:rsid w:val="00692DEB"/>
    <w:rsid w:val="006940DB"/>
    <w:rsid w:val="0069422A"/>
    <w:rsid w:val="0069434C"/>
    <w:rsid w:val="00694F44"/>
    <w:rsid w:val="006952F6"/>
    <w:rsid w:val="00695A18"/>
    <w:rsid w:val="00696012"/>
    <w:rsid w:val="00696723"/>
    <w:rsid w:val="006967ED"/>
    <w:rsid w:val="00696EF9"/>
    <w:rsid w:val="00696F51"/>
    <w:rsid w:val="006970C5"/>
    <w:rsid w:val="006979A5"/>
    <w:rsid w:val="006A016F"/>
    <w:rsid w:val="006A031D"/>
    <w:rsid w:val="006A07A4"/>
    <w:rsid w:val="006A0D75"/>
    <w:rsid w:val="006A0DF7"/>
    <w:rsid w:val="006A0F37"/>
    <w:rsid w:val="006A1279"/>
    <w:rsid w:val="006A2502"/>
    <w:rsid w:val="006A313E"/>
    <w:rsid w:val="006A4321"/>
    <w:rsid w:val="006A43D9"/>
    <w:rsid w:val="006A4ACE"/>
    <w:rsid w:val="006A5FF2"/>
    <w:rsid w:val="006A666F"/>
    <w:rsid w:val="006A6B99"/>
    <w:rsid w:val="006A6C4E"/>
    <w:rsid w:val="006A6F9D"/>
    <w:rsid w:val="006A76E8"/>
    <w:rsid w:val="006A79EA"/>
    <w:rsid w:val="006A7E5F"/>
    <w:rsid w:val="006B043B"/>
    <w:rsid w:val="006B099C"/>
    <w:rsid w:val="006B0D1E"/>
    <w:rsid w:val="006B1C79"/>
    <w:rsid w:val="006B261B"/>
    <w:rsid w:val="006B2C90"/>
    <w:rsid w:val="006B2F38"/>
    <w:rsid w:val="006B3063"/>
    <w:rsid w:val="006B33DC"/>
    <w:rsid w:val="006B35E6"/>
    <w:rsid w:val="006B423C"/>
    <w:rsid w:val="006B42B6"/>
    <w:rsid w:val="006B465A"/>
    <w:rsid w:val="006B6C28"/>
    <w:rsid w:val="006B6DD0"/>
    <w:rsid w:val="006C0399"/>
    <w:rsid w:val="006C270D"/>
    <w:rsid w:val="006C2A8E"/>
    <w:rsid w:val="006C2D21"/>
    <w:rsid w:val="006C2E0B"/>
    <w:rsid w:val="006C3255"/>
    <w:rsid w:val="006C37A1"/>
    <w:rsid w:val="006C3F26"/>
    <w:rsid w:val="006C3F95"/>
    <w:rsid w:val="006C4BD2"/>
    <w:rsid w:val="006C6F3F"/>
    <w:rsid w:val="006C77B1"/>
    <w:rsid w:val="006D046C"/>
    <w:rsid w:val="006D0D17"/>
    <w:rsid w:val="006D1074"/>
    <w:rsid w:val="006D168D"/>
    <w:rsid w:val="006D2BB8"/>
    <w:rsid w:val="006D386A"/>
    <w:rsid w:val="006D394C"/>
    <w:rsid w:val="006D3A1B"/>
    <w:rsid w:val="006D3C7D"/>
    <w:rsid w:val="006D3CCE"/>
    <w:rsid w:val="006D3E6B"/>
    <w:rsid w:val="006D4004"/>
    <w:rsid w:val="006D4246"/>
    <w:rsid w:val="006D4659"/>
    <w:rsid w:val="006D495F"/>
    <w:rsid w:val="006D54F6"/>
    <w:rsid w:val="006D5D5F"/>
    <w:rsid w:val="006D68FB"/>
    <w:rsid w:val="006D6C6D"/>
    <w:rsid w:val="006D6EE9"/>
    <w:rsid w:val="006E0A53"/>
    <w:rsid w:val="006E0F52"/>
    <w:rsid w:val="006E1850"/>
    <w:rsid w:val="006E21F5"/>
    <w:rsid w:val="006E2313"/>
    <w:rsid w:val="006E2868"/>
    <w:rsid w:val="006E2AF0"/>
    <w:rsid w:val="006E2B50"/>
    <w:rsid w:val="006E2B66"/>
    <w:rsid w:val="006E350E"/>
    <w:rsid w:val="006E539D"/>
    <w:rsid w:val="006E5649"/>
    <w:rsid w:val="006E5EE9"/>
    <w:rsid w:val="006E60D2"/>
    <w:rsid w:val="006E61A8"/>
    <w:rsid w:val="006E64F7"/>
    <w:rsid w:val="006E6CE0"/>
    <w:rsid w:val="006E7C7F"/>
    <w:rsid w:val="006F06B1"/>
    <w:rsid w:val="006F0820"/>
    <w:rsid w:val="006F0FDE"/>
    <w:rsid w:val="006F1D5E"/>
    <w:rsid w:val="006F202F"/>
    <w:rsid w:val="006F2A39"/>
    <w:rsid w:val="006F2DB7"/>
    <w:rsid w:val="006F306C"/>
    <w:rsid w:val="006F31D0"/>
    <w:rsid w:val="006F4732"/>
    <w:rsid w:val="006F51BF"/>
    <w:rsid w:val="006F51DD"/>
    <w:rsid w:val="006F5301"/>
    <w:rsid w:val="006F5609"/>
    <w:rsid w:val="006F5D22"/>
    <w:rsid w:val="006F63A5"/>
    <w:rsid w:val="006F725A"/>
    <w:rsid w:val="007004E0"/>
    <w:rsid w:val="00700DD1"/>
    <w:rsid w:val="00700F9E"/>
    <w:rsid w:val="0070142B"/>
    <w:rsid w:val="00701AF2"/>
    <w:rsid w:val="0070276E"/>
    <w:rsid w:val="0070298B"/>
    <w:rsid w:val="00702D1A"/>
    <w:rsid w:val="00702F8F"/>
    <w:rsid w:val="00703C63"/>
    <w:rsid w:val="00703F41"/>
    <w:rsid w:val="00704BF1"/>
    <w:rsid w:val="007054E0"/>
    <w:rsid w:val="00706B77"/>
    <w:rsid w:val="0070789E"/>
    <w:rsid w:val="007079FC"/>
    <w:rsid w:val="00707CEA"/>
    <w:rsid w:val="00710360"/>
    <w:rsid w:val="00710F9F"/>
    <w:rsid w:val="00711A36"/>
    <w:rsid w:val="00711A89"/>
    <w:rsid w:val="007125D3"/>
    <w:rsid w:val="00714C26"/>
    <w:rsid w:val="00714C8D"/>
    <w:rsid w:val="0071529C"/>
    <w:rsid w:val="0071691B"/>
    <w:rsid w:val="00716AE9"/>
    <w:rsid w:val="00717098"/>
    <w:rsid w:val="007170DA"/>
    <w:rsid w:val="007172AD"/>
    <w:rsid w:val="00717546"/>
    <w:rsid w:val="007175B7"/>
    <w:rsid w:val="00717E2D"/>
    <w:rsid w:val="00717EAE"/>
    <w:rsid w:val="0072064E"/>
    <w:rsid w:val="00720801"/>
    <w:rsid w:val="0072098C"/>
    <w:rsid w:val="007215A2"/>
    <w:rsid w:val="007215BD"/>
    <w:rsid w:val="00721C7B"/>
    <w:rsid w:val="007221BE"/>
    <w:rsid w:val="0072232E"/>
    <w:rsid w:val="00722527"/>
    <w:rsid w:val="00722B1B"/>
    <w:rsid w:val="00722F4A"/>
    <w:rsid w:val="0072416F"/>
    <w:rsid w:val="0072479F"/>
    <w:rsid w:val="007266A0"/>
    <w:rsid w:val="0072670D"/>
    <w:rsid w:val="00727383"/>
    <w:rsid w:val="00727480"/>
    <w:rsid w:val="00727616"/>
    <w:rsid w:val="0072794E"/>
    <w:rsid w:val="00727A83"/>
    <w:rsid w:val="00727C94"/>
    <w:rsid w:val="00731B0A"/>
    <w:rsid w:val="00731B78"/>
    <w:rsid w:val="00731EAE"/>
    <w:rsid w:val="00732D30"/>
    <w:rsid w:val="00733073"/>
    <w:rsid w:val="0073439E"/>
    <w:rsid w:val="007346DA"/>
    <w:rsid w:val="00734C7B"/>
    <w:rsid w:val="00735033"/>
    <w:rsid w:val="007351C1"/>
    <w:rsid w:val="00735328"/>
    <w:rsid w:val="00735771"/>
    <w:rsid w:val="00735B06"/>
    <w:rsid w:val="00735CC9"/>
    <w:rsid w:val="0073685B"/>
    <w:rsid w:val="007405ED"/>
    <w:rsid w:val="0074168D"/>
    <w:rsid w:val="007420B1"/>
    <w:rsid w:val="007425BB"/>
    <w:rsid w:val="007433D3"/>
    <w:rsid w:val="00743A82"/>
    <w:rsid w:val="007445FF"/>
    <w:rsid w:val="007449BF"/>
    <w:rsid w:val="00744ECE"/>
    <w:rsid w:val="007450F0"/>
    <w:rsid w:val="00745ADF"/>
    <w:rsid w:val="007463FE"/>
    <w:rsid w:val="00746BC0"/>
    <w:rsid w:val="00747462"/>
    <w:rsid w:val="00747CA2"/>
    <w:rsid w:val="007510B4"/>
    <w:rsid w:val="00751724"/>
    <w:rsid w:val="00751943"/>
    <w:rsid w:val="00752142"/>
    <w:rsid w:val="007523F9"/>
    <w:rsid w:val="0075357E"/>
    <w:rsid w:val="00753B29"/>
    <w:rsid w:val="00753F64"/>
    <w:rsid w:val="00754117"/>
    <w:rsid w:val="00754894"/>
    <w:rsid w:val="007553F6"/>
    <w:rsid w:val="00755EB6"/>
    <w:rsid w:val="00756A10"/>
    <w:rsid w:val="0075734C"/>
    <w:rsid w:val="007573E8"/>
    <w:rsid w:val="00757813"/>
    <w:rsid w:val="00757EEB"/>
    <w:rsid w:val="007608C7"/>
    <w:rsid w:val="00760C4E"/>
    <w:rsid w:val="00760F9E"/>
    <w:rsid w:val="00761167"/>
    <w:rsid w:val="007616E6"/>
    <w:rsid w:val="007627BE"/>
    <w:rsid w:val="00763606"/>
    <w:rsid w:val="007647E5"/>
    <w:rsid w:val="00764BBC"/>
    <w:rsid w:val="00764C0A"/>
    <w:rsid w:val="00764F03"/>
    <w:rsid w:val="00765B1A"/>
    <w:rsid w:val="00765DC1"/>
    <w:rsid w:val="00765DD3"/>
    <w:rsid w:val="00765FEC"/>
    <w:rsid w:val="00770636"/>
    <w:rsid w:val="007721C4"/>
    <w:rsid w:val="007722A2"/>
    <w:rsid w:val="00772937"/>
    <w:rsid w:val="00773600"/>
    <w:rsid w:val="0077403F"/>
    <w:rsid w:val="00774E0B"/>
    <w:rsid w:val="007767E4"/>
    <w:rsid w:val="00776965"/>
    <w:rsid w:val="00776A29"/>
    <w:rsid w:val="00777335"/>
    <w:rsid w:val="00777A6B"/>
    <w:rsid w:val="00777E6D"/>
    <w:rsid w:val="00777F08"/>
    <w:rsid w:val="00780DCF"/>
    <w:rsid w:val="0078189D"/>
    <w:rsid w:val="0078202D"/>
    <w:rsid w:val="007821EB"/>
    <w:rsid w:val="00782940"/>
    <w:rsid w:val="00782ED6"/>
    <w:rsid w:val="00783D06"/>
    <w:rsid w:val="007843F2"/>
    <w:rsid w:val="007846FA"/>
    <w:rsid w:val="00784A8E"/>
    <w:rsid w:val="007854A1"/>
    <w:rsid w:val="00785A9F"/>
    <w:rsid w:val="00785BCB"/>
    <w:rsid w:val="007861C9"/>
    <w:rsid w:val="0078660F"/>
    <w:rsid w:val="007866E4"/>
    <w:rsid w:val="00786F9D"/>
    <w:rsid w:val="00791556"/>
    <w:rsid w:val="007916A4"/>
    <w:rsid w:val="007917C1"/>
    <w:rsid w:val="007925DF"/>
    <w:rsid w:val="00793BC7"/>
    <w:rsid w:val="00793FF8"/>
    <w:rsid w:val="007944D6"/>
    <w:rsid w:val="0079455C"/>
    <w:rsid w:val="007953A0"/>
    <w:rsid w:val="007A0254"/>
    <w:rsid w:val="007A08AA"/>
    <w:rsid w:val="007A0A12"/>
    <w:rsid w:val="007A0EEA"/>
    <w:rsid w:val="007A132D"/>
    <w:rsid w:val="007A1345"/>
    <w:rsid w:val="007A245B"/>
    <w:rsid w:val="007A2B2A"/>
    <w:rsid w:val="007A2DDB"/>
    <w:rsid w:val="007A3355"/>
    <w:rsid w:val="007A4BEF"/>
    <w:rsid w:val="007A60D2"/>
    <w:rsid w:val="007A62D0"/>
    <w:rsid w:val="007A640B"/>
    <w:rsid w:val="007A663C"/>
    <w:rsid w:val="007A68C2"/>
    <w:rsid w:val="007A70BA"/>
    <w:rsid w:val="007A7A85"/>
    <w:rsid w:val="007A7A95"/>
    <w:rsid w:val="007A7F37"/>
    <w:rsid w:val="007B0204"/>
    <w:rsid w:val="007B037D"/>
    <w:rsid w:val="007B0D68"/>
    <w:rsid w:val="007B1ADE"/>
    <w:rsid w:val="007B1F15"/>
    <w:rsid w:val="007B2210"/>
    <w:rsid w:val="007B251D"/>
    <w:rsid w:val="007B295B"/>
    <w:rsid w:val="007B2B8C"/>
    <w:rsid w:val="007B2E9E"/>
    <w:rsid w:val="007B2EAD"/>
    <w:rsid w:val="007B3533"/>
    <w:rsid w:val="007B3DF2"/>
    <w:rsid w:val="007B3EFD"/>
    <w:rsid w:val="007B4257"/>
    <w:rsid w:val="007B4AB5"/>
    <w:rsid w:val="007B4F58"/>
    <w:rsid w:val="007B528D"/>
    <w:rsid w:val="007B5787"/>
    <w:rsid w:val="007B63CA"/>
    <w:rsid w:val="007B7506"/>
    <w:rsid w:val="007B77D1"/>
    <w:rsid w:val="007C07C7"/>
    <w:rsid w:val="007C08D4"/>
    <w:rsid w:val="007C1463"/>
    <w:rsid w:val="007C1B12"/>
    <w:rsid w:val="007C1C4C"/>
    <w:rsid w:val="007C1CD9"/>
    <w:rsid w:val="007C2A66"/>
    <w:rsid w:val="007C32EF"/>
    <w:rsid w:val="007C361D"/>
    <w:rsid w:val="007C3750"/>
    <w:rsid w:val="007C4320"/>
    <w:rsid w:val="007C44BF"/>
    <w:rsid w:val="007C4B84"/>
    <w:rsid w:val="007C4E80"/>
    <w:rsid w:val="007C4F15"/>
    <w:rsid w:val="007C68D4"/>
    <w:rsid w:val="007C6C25"/>
    <w:rsid w:val="007C6CD2"/>
    <w:rsid w:val="007C6E4E"/>
    <w:rsid w:val="007C70FF"/>
    <w:rsid w:val="007C72BA"/>
    <w:rsid w:val="007C7C25"/>
    <w:rsid w:val="007D004F"/>
    <w:rsid w:val="007D035F"/>
    <w:rsid w:val="007D06B2"/>
    <w:rsid w:val="007D0B38"/>
    <w:rsid w:val="007D0BFD"/>
    <w:rsid w:val="007D1F78"/>
    <w:rsid w:val="007D3F86"/>
    <w:rsid w:val="007D5440"/>
    <w:rsid w:val="007D5B02"/>
    <w:rsid w:val="007D649B"/>
    <w:rsid w:val="007D69EB"/>
    <w:rsid w:val="007D7180"/>
    <w:rsid w:val="007D780A"/>
    <w:rsid w:val="007D7AFD"/>
    <w:rsid w:val="007D7BFB"/>
    <w:rsid w:val="007E00DB"/>
    <w:rsid w:val="007E128F"/>
    <w:rsid w:val="007E2B98"/>
    <w:rsid w:val="007E42DD"/>
    <w:rsid w:val="007E4B17"/>
    <w:rsid w:val="007E7CD3"/>
    <w:rsid w:val="007F026A"/>
    <w:rsid w:val="007F0D52"/>
    <w:rsid w:val="007F1017"/>
    <w:rsid w:val="007F1023"/>
    <w:rsid w:val="007F1824"/>
    <w:rsid w:val="007F187B"/>
    <w:rsid w:val="007F2C4A"/>
    <w:rsid w:val="007F30FD"/>
    <w:rsid w:val="007F3334"/>
    <w:rsid w:val="007F426A"/>
    <w:rsid w:val="007F4332"/>
    <w:rsid w:val="007F4A3F"/>
    <w:rsid w:val="007F4A61"/>
    <w:rsid w:val="007F4AD1"/>
    <w:rsid w:val="007F4AF4"/>
    <w:rsid w:val="007F5255"/>
    <w:rsid w:val="007F5275"/>
    <w:rsid w:val="007F55B7"/>
    <w:rsid w:val="007F56CC"/>
    <w:rsid w:val="007F61C2"/>
    <w:rsid w:val="007F623B"/>
    <w:rsid w:val="007F63E0"/>
    <w:rsid w:val="007F6439"/>
    <w:rsid w:val="007F694D"/>
    <w:rsid w:val="007F6B2E"/>
    <w:rsid w:val="007F738A"/>
    <w:rsid w:val="007F7CCC"/>
    <w:rsid w:val="00800468"/>
    <w:rsid w:val="008005C4"/>
    <w:rsid w:val="0080248B"/>
    <w:rsid w:val="0080268F"/>
    <w:rsid w:val="00802A72"/>
    <w:rsid w:val="00802F54"/>
    <w:rsid w:val="00803376"/>
    <w:rsid w:val="008034E2"/>
    <w:rsid w:val="00803AEF"/>
    <w:rsid w:val="00804395"/>
    <w:rsid w:val="00804AB1"/>
    <w:rsid w:val="00805142"/>
    <w:rsid w:val="00805146"/>
    <w:rsid w:val="0080566B"/>
    <w:rsid w:val="008056E2"/>
    <w:rsid w:val="00805B30"/>
    <w:rsid w:val="00805FCE"/>
    <w:rsid w:val="008067B1"/>
    <w:rsid w:val="00806F5F"/>
    <w:rsid w:val="00806FC5"/>
    <w:rsid w:val="00807A68"/>
    <w:rsid w:val="00807A8B"/>
    <w:rsid w:val="00807B70"/>
    <w:rsid w:val="00807EA8"/>
    <w:rsid w:val="00810007"/>
    <w:rsid w:val="0081011F"/>
    <w:rsid w:val="00810AC2"/>
    <w:rsid w:val="00810F59"/>
    <w:rsid w:val="00811015"/>
    <w:rsid w:val="00811272"/>
    <w:rsid w:val="00811383"/>
    <w:rsid w:val="0081161A"/>
    <w:rsid w:val="00811755"/>
    <w:rsid w:val="00812149"/>
    <w:rsid w:val="00812CAC"/>
    <w:rsid w:val="008133BB"/>
    <w:rsid w:val="00813407"/>
    <w:rsid w:val="008136E0"/>
    <w:rsid w:val="00814F83"/>
    <w:rsid w:val="00815F4D"/>
    <w:rsid w:val="00816361"/>
    <w:rsid w:val="008166EF"/>
    <w:rsid w:val="00816FEF"/>
    <w:rsid w:val="00817D13"/>
    <w:rsid w:val="00820A8C"/>
    <w:rsid w:val="00820AB4"/>
    <w:rsid w:val="008212DD"/>
    <w:rsid w:val="008215FB"/>
    <w:rsid w:val="008220CC"/>
    <w:rsid w:val="00822D79"/>
    <w:rsid w:val="00822E14"/>
    <w:rsid w:val="00823174"/>
    <w:rsid w:val="0082416F"/>
    <w:rsid w:val="008253D1"/>
    <w:rsid w:val="008254D0"/>
    <w:rsid w:val="00825627"/>
    <w:rsid w:val="00825751"/>
    <w:rsid w:val="00825A8C"/>
    <w:rsid w:val="00826291"/>
    <w:rsid w:val="008264EB"/>
    <w:rsid w:val="008265DF"/>
    <w:rsid w:val="008268CE"/>
    <w:rsid w:val="00826976"/>
    <w:rsid w:val="00827010"/>
    <w:rsid w:val="00827C23"/>
    <w:rsid w:val="00827F25"/>
    <w:rsid w:val="00830546"/>
    <w:rsid w:val="00830EDA"/>
    <w:rsid w:val="00831077"/>
    <w:rsid w:val="0083161C"/>
    <w:rsid w:val="00832537"/>
    <w:rsid w:val="00832AFC"/>
    <w:rsid w:val="00832EA7"/>
    <w:rsid w:val="00833B05"/>
    <w:rsid w:val="00833D45"/>
    <w:rsid w:val="00834A4C"/>
    <w:rsid w:val="00834D15"/>
    <w:rsid w:val="00834D43"/>
    <w:rsid w:val="00835149"/>
    <w:rsid w:val="0083605C"/>
    <w:rsid w:val="00836271"/>
    <w:rsid w:val="008362B4"/>
    <w:rsid w:val="00836F21"/>
    <w:rsid w:val="0083722E"/>
    <w:rsid w:val="0084035E"/>
    <w:rsid w:val="008409EF"/>
    <w:rsid w:val="00840CA2"/>
    <w:rsid w:val="0084262F"/>
    <w:rsid w:val="00843515"/>
    <w:rsid w:val="0084374F"/>
    <w:rsid w:val="00843FAD"/>
    <w:rsid w:val="00843FE7"/>
    <w:rsid w:val="00844557"/>
    <w:rsid w:val="008448B3"/>
    <w:rsid w:val="00844A22"/>
    <w:rsid w:val="00845494"/>
    <w:rsid w:val="00846B71"/>
    <w:rsid w:val="0084765B"/>
    <w:rsid w:val="00847703"/>
    <w:rsid w:val="00847C4C"/>
    <w:rsid w:val="00847DF5"/>
    <w:rsid w:val="00850860"/>
    <w:rsid w:val="008515C1"/>
    <w:rsid w:val="00851C81"/>
    <w:rsid w:val="00852DD5"/>
    <w:rsid w:val="00852F30"/>
    <w:rsid w:val="0085309D"/>
    <w:rsid w:val="00853DF3"/>
    <w:rsid w:val="008544B8"/>
    <w:rsid w:val="008554EE"/>
    <w:rsid w:val="00856461"/>
    <w:rsid w:val="00856897"/>
    <w:rsid w:val="00856AD5"/>
    <w:rsid w:val="00856B7E"/>
    <w:rsid w:val="00856E9A"/>
    <w:rsid w:val="00857825"/>
    <w:rsid w:val="00857B4D"/>
    <w:rsid w:val="0086006C"/>
    <w:rsid w:val="008603D5"/>
    <w:rsid w:val="0086075D"/>
    <w:rsid w:val="00861074"/>
    <w:rsid w:val="00861262"/>
    <w:rsid w:val="00861A4A"/>
    <w:rsid w:val="00861D53"/>
    <w:rsid w:val="00862103"/>
    <w:rsid w:val="00862502"/>
    <w:rsid w:val="00862CC1"/>
    <w:rsid w:val="00862D51"/>
    <w:rsid w:val="00863B1B"/>
    <w:rsid w:val="008642A7"/>
    <w:rsid w:val="00864F7B"/>
    <w:rsid w:val="00865C45"/>
    <w:rsid w:val="008660D4"/>
    <w:rsid w:val="008667A1"/>
    <w:rsid w:val="00867350"/>
    <w:rsid w:val="00871253"/>
    <w:rsid w:val="00871FA9"/>
    <w:rsid w:val="008728E9"/>
    <w:rsid w:val="008736F7"/>
    <w:rsid w:val="00874111"/>
    <w:rsid w:val="008744D0"/>
    <w:rsid w:val="00875DCB"/>
    <w:rsid w:val="00877729"/>
    <w:rsid w:val="008777C2"/>
    <w:rsid w:val="008779F1"/>
    <w:rsid w:val="00877EB8"/>
    <w:rsid w:val="00880471"/>
    <w:rsid w:val="008806D7"/>
    <w:rsid w:val="0088124E"/>
    <w:rsid w:val="00882874"/>
    <w:rsid w:val="00882A1D"/>
    <w:rsid w:val="00882DA1"/>
    <w:rsid w:val="00882E3C"/>
    <w:rsid w:val="0088305A"/>
    <w:rsid w:val="0088308A"/>
    <w:rsid w:val="00883283"/>
    <w:rsid w:val="00883787"/>
    <w:rsid w:val="00884464"/>
    <w:rsid w:val="008855E4"/>
    <w:rsid w:val="008869E5"/>
    <w:rsid w:val="00886CD2"/>
    <w:rsid w:val="0088760B"/>
    <w:rsid w:val="00887CC0"/>
    <w:rsid w:val="00887CE3"/>
    <w:rsid w:val="00890344"/>
    <w:rsid w:val="00890945"/>
    <w:rsid w:val="00891C37"/>
    <w:rsid w:val="00891E6F"/>
    <w:rsid w:val="00892740"/>
    <w:rsid w:val="0089275D"/>
    <w:rsid w:val="00892A36"/>
    <w:rsid w:val="00893239"/>
    <w:rsid w:val="0089420E"/>
    <w:rsid w:val="00894489"/>
    <w:rsid w:val="008948D8"/>
    <w:rsid w:val="00894B75"/>
    <w:rsid w:val="00894CD6"/>
    <w:rsid w:val="008957D0"/>
    <w:rsid w:val="008963A5"/>
    <w:rsid w:val="00896822"/>
    <w:rsid w:val="00896B02"/>
    <w:rsid w:val="00896D5D"/>
    <w:rsid w:val="008973F5"/>
    <w:rsid w:val="0089753F"/>
    <w:rsid w:val="008A11C2"/>
    <w:rsid w:val="008A1236"/>
    <w:rsid w:val="008A1767"/>
    <w:rsid w:val="008A1BAC"/>
    <w:rsid w:val="008A20B1"/>
    <w:rsid w:val="008A25F8"/>
    <w:rsid w:val="008A2918"/>
    <w:rsid w:val="008A2D62"/>
    <w:rsid w:val="008A3158"/>
    <w:rsid w:val="008A3363"/>
    <w:rsid w:val="008A3371"/>
    <w:rsid w:val="008A3C3E"/>
    <w:rsid w:val="008A476F"/>
    <w:rsid w:val="008A4EB1"/>
    <w:rsid w:val="008A57F4"/>
    <w:rsid w:val="008A5E64"/>
    <w:rsid w:val="008A6054"/>
    <w:rsid w:val="008A6CE6"/>
    <w:rsid w:val="008A73C0"/>
    <w:rsid w:val="008A742F"/>
    <w:rsid w:val="008A7571"/>
    <w:rsid w:val="008A79DE"/>
    <w:rsid w:val="008B0B47"/>
    <w:rsid w:val="008B15EA"/>
    <w:rsid w:val="008B1757"/>
    <w:rsid w:val="008B186A"/>
    <w:rsid w:val="008B196A"/>
    <w:rsid w:val="008B1C33"/>
    <w:rsid w:val="008B3DCB"/>
    <w:rsid w:val="008B4B6F"/>
    <w:rsid w:val="008B537B"/>
    <w:rsid w:val="008B53F0"/>
    <w:rsid w:val="008B547E"/>
    <w:rsid w:val="008B6182"/>
    <w:rsid w:val="008B6ADE"/>
    <w:rsid w:val="008B6FAB"/>
    <w:rsid w:val="008B7368"/>
    <w:rsid w:val="008B740C"/>
    <w:rsid w:val="008B7992"/>
    <w:rsid w:val="008B79A3"/>
    <w:rsid w:val="008B7B44"/>
    <w:rsid w:val="008B7D7E"/>
    <w:rsid w:val="008C023A"/>
    <w:rsid w:val="008C23AE"/>
    <w:rsid w:val="008C2D7D"/>
    <w:rsid w:val="008C3AF7"/>
    <w:rsid w:val="008C43E8"/>
    <w:rsid w:val="008C4EE5"/>
    <w:rsid w:val="008C52A7"/>
    <w:rsid w:val="008C5610"/>
    <w:rsid w:val="008C5739"/>
    <w:rsid w:val="008C5AE9"/>
    <w:rsid w:val="008C5FD6"/>
    <w:rsid w:val="008C7282"/>
    <w:rsid w:val="008C7429"/>
    <w:rsid w:val="008C74BB"/>
    <w:rsid w:val="008C7ECB"/>
    <w:rsid w:val="008D0280"/>
    <w:rsid w:val="008D0D2A"/>
    <w:rsid w:val="008D12F4"/>
    <w:rsid w:val="008D263B"/>
    <w:rsid w:val="008D2BEE"/>
    <w:rsid w:val="008D392C"/>
    <w:rsid w:val="008D3A02"/>
    <w:rsid w:val="008D3B86"/>
    <w:rsid w:val="008D3FFC"/>
    <w:rsid w:val="008D43FD"/>
    <w:rsid w:val="008D4755"/>
    <w:rsid w:val="008D4787"/>
    <w:rsid w:val="008D4C3D"/>
    <w:rsid w:val="008D541B"/>
    <w:rsid w:val="008D5E7E"/>
    <w:rsid w:val="008D6015"/>
    <w:rsid w:val="008D6922"/>
    <w:rsid w:val="008D712A"/>
    <w:rsid w:val="008D7415"/>
    <w:rsid w:val="008D743C"/>
    <w:rsid w:val="008D77C3"/>
    <w:rsid w:val="008D7D59"/>
    <w:rsid w:val="008DEF7D"/>
    <w:rsid w:val="008E0600"/>
    <w:rsid w:val="008E08DD"/>
    <w:rsid w:val="008E0D3C"/>
    <w:rsid w:val="008E0F4E"/>
    <w:rsid w:val="008E1031"/>
    <w:rsid w:val="008E1B9E"/>
    <w:rsid w:val="008E219B"/>
    <w:rsid w:val="008E25A0"/>
    <w:rsid w:val="008E269C"/>
    <w:rsid w:val="008E2C42"/>
    <w:rsid w:val="008E2EA8"/>
    <w:rsid w:val="008E2EDA"/>
    <w:rsid w:val="008E49C6"/>
    <w:rsid w:val="008E55AB"/>
    <w:rsid w:val="008E641D"/>
    <w:rsid w:val="008E651D"/>
    <w:rsid w:val="008E6A39"/>
    <w:rsid w:val="008F09FD"/>
    <w:rsid w:val="008F120A"/>
    <w:rsid w:val="008F1C4B"/>
    <w:rsid w:val="008F1F1D"/>
    <w:rsid w:val="008F206E"/>
    <w:rsid w:val="008F27E0"/>
    <w:rsid w:val="008F2960"/>
    <w:rsid w:val="008F2ADC"/>
    <w:rsid w:val="008F3272"/>
    <w:rsid w:val="008F3D1F"/>
    <w:rsid w:val="008F44EE"/>
    <w:rsid w:val="008F454E"/>
    <w:rsid w:val="008F48EB"/>
    <w:rsid w:val="008F4A30"/>
    <w:rsid w:val="008F4F0B"/>
    <w:rsid w:val="008F6E92"/>
    <w:rsid w:val="008F731C"/>
    <w:rsid w:val="009004D5"/>
    <w:rsid w:val="00901C69"/>
    <w:rsid w:val="00901D27"/>
    <w:rsid w:val="00902BFF"/>
    <w:rsid w:val="00903388"/>
    <w:rsid w:val="00903399"/>
    <w:rsid w:val="0090367F"/>
    <w:rsid w:val="0090375F"/>
    <w:rsid w:val="00903957"/>
    <w:rsid w:val="00904258"/>
    <w:rsid w:val="009044E0"/>
    <w:rsid w:val="009046C4"/>
    <w:rsid w:val="009047F5"/>
    <w:rsid w:val="00904AAE"/>
    <w:rsid w:val="009053F3"/>
    <w:rsid w:val="00905B5C"/>
    <w:rsid w:val="00905CF4"/>
    <w:rsid w:val="00906051"/>
    <w:rsid w:val="009062A5"/>
    <w:rsid w:val="00906709"/>
    <w:rsid w:val="00907699"/>
    <w:rsid w:val="00907CD8"/>
    <w:rsid w:val="00910FA7"/>
    <w:rsid w:val="00911272"/>
    <w:rsid w:val="00911339"/>
    <w:rsid w:val="009113AD"/>
    <w:rsid w:val="009115FB"/>
    <w:rsid w:val="00911E71"/>
    <w:rsid w:val="009135D6"/>
    <w:rsid w:val="00913FF3"/>
    <w:rsid w:val="009140C5"/>
    <w:rsid w:val="009149C5"/>
    <w:rsid w:val="00914C77"/>
    <w:rsid w:val="0091606A"/>
    <w:rsid w:val="0091679F"/>
    <w:rsid w:val="009169BC"/>
    <w:rsid w:val="0091796E"/>
    <w:rsid w:val="009179E8"/>
    <w:rsid w:val="0092001C"/>
    <w:rsid w:val="00920CAB"/>
    <w:rsid w:val="00921ACB"/>
    <w:rsid w:val="00922281"/>
    <w:rsid w:val="009224C0"/>
    <w:rsid w:val="0092297D"/>
    <w:rsid w:val="0092369B"/>
    <w:rsid w:val="00925078"/>
    <w:rsid w:val="00925D13"/>
    <w:rsid w:val="00927262"/>
    <w:rsid w:val="0092728A"/>
    <w:rsid w:val="00927932"/>
    <w:rsid w:val="009303AD"/>
    <w:rsid w:val="00930D90"/>
    <w:rsid w:val="00930E79"/>
    <w:rsid w:val="0093282B"/>
    <w:rsid w:val="009339D9"/>
    <w:rsid w:val="00934988"/>
    <w:rsid w:val="00934C95"/>
    <w:rsid w:val="00934DBD"/>
    <w:rsid w:val="00936590"/>
    <w:rsid w:val="00937089"/>
    <w:rsid w:val="00940963"/>
    <w:rsid w:val="009411B8"/>
    <w:rsid w:val="009435D9"/>
    <w:rsid w:val="00943937"/>
    <w:rsid w:val="00944F8A"/>
    <w:rsid w:val="009451B3"/>
    <w:rsid w:val="009451E9"/>
    <w:rsid w:val="00945225"/>
    <w:rsid w:val="0094554B"/>
    <w:rsid w:val="0094613C"/>
    <w:rsid w:val="00946D5C"/>
    <w:rsid w:val="00947F91"/>
    <w:rsid w:val="009507AA"/>
    <w:rsid w:val="009509E4"/>
    <w:rsid w:val="00950D84"/>
    <w:rsid w:val="009510A2"/>
    <w:rsid w:val="00952105"/>
    <w:rsid w:val="0095292D"/>
    <w:rsid w:val="00953257"/>
    <w:rsid w:val="00953408"/>
    <w:rsid w:val="0095474C"/>
    <w:rsid w:val="00954770"/>
    <w:rsid w:val="009553CB"/>
    <w:rsid w:val="009555F8"/>
    <w:rsid w:val="00955CE0"/>
    <w:rsid w:val="00956C00"/>
    <w:rsid w:val="00956C34"/>
    <w:rsid w:val="0095770A"/>
    <w:rsid w:val="00957C37"/>
    <w:rsid w:val="00957D92"/>
    <w:rsid w:val="0096110D"/>
    <w:rsid w:val="00961EB8"/>
    <w:rsid w:val="00962CB9"/>
    <w:rsid w:val="00962F90"/>
    <w:rsid w:val="009633FB"/>
    <w:rsid w:val="00964312"/>
    <w:rsid w:val="00964450"/>
    <w:rsid w:val="00964FE3"/>
    <w:rsid w:val="009654DE"/>
    <w:rsid w:val="00965B8A"/>
    <w:rsid w:val="009662C6"/>
    <w:rsid w:val="00966B1D"/>
    <w:rsid w:val="00966FBF"/>
    <w:rsid w:val="0097071F"/>
    <w:rsid w:val="00970B8F"/>
    <w:rsid w:val="00971304"/>
    <w:rsid w:val="0097173B"/>
    <w:rsid w:val="009717AC"/>
    <w:rsid w:val="0097184A"/>
    <w:rsid w:val="00972405"/>
    <w:rsid w:val="009733EC"/>
    <w:rsid w:val="009751C1"/>
    <w:rsid w:val="0097592D"/>
    <w:rsid w:val="00976882"/>
    <w:rsid w:val="00976A33"/>
    <w:rsid w:val="009802E1"/>
    <w:rsid w:val="009803D6"/>
    <w:rsid w:val="009803F5"/>
    <w:rsid w:val="00980EB6"/>
    <w:rsid w:val="009811F1"/>
    <w:rsid w:val="00981886"/>
    <w:rsid w:val="00981CD6"/>
    <w:rsid w:val="00981E54"/>
    <w:rsid w:val="0098262F"/>
    <w:rsid w:val="00982937"/>
    <w:rsid w:val="00983E57"/>
    <w:rsid w:val="009841E7"/>
    <w:rsid w:val="00984F62"/>
    <w:rsid w:val="009859CD"/>
    <w:rsid w:val="00985DE2"/>
    <w:rsid w:val="009865D2"/>
    <w:rsid w:val="0098675D"/>
    <w:rsid w:val="00986AC8"/>
    <w:rsid w:val="00987BA4"/>
    <w:rsid w:val="00987E3E"/>
    <w:rsid w:val="00990806"/>
    <w:rsid w:val="00990D59"/>
    <w:rsid w:val="009926E0"/>
    <w:rsid w:val="00992C4C"/>
    <w:rsid w:val="00993576"/>
    <w:rsid w:val="0099386C"/>
    <w:rsid w:val="00993BA4"/>
    <w:rsid w:val="0099451E"/>
    <w:rsid w:val="00995B92"/>
    <w:rsid w:val="00995DAE"/>
    <w:rsid w:val="009966ED"/>
    <w:rsid w:val="0099683F"/>
    <w:rsid w:val="00996B1A"/>
    <w:rsid w:val="009A1184"/>
    <w:rsid w:val="009A1459"/>
    <w:rsid w:val="009A18F6"/>
    <w:rsid w:val="009A1C45"/>
    <w:rsid w:val="009A1D5E"/>
    <w:rsid w:val="009A2DCC"/>
    <w:rsid w:val="009A31F3"/>
    <w:rsid w:val="009A34D6"/>
    <w:rsid w:val="009A4165"/>
    <w:rsid w:val="009A4E09"/>
    <w:rsid w:val="009A5307"/>
    <w:rsid w:val="009A540E"/>
    <w:rsid w:val="009A5ABC"/>
    <w:rsid w:val="009A6770"/>
    <w:rsid w:val="009A6ABB"/>
    <w:rsid w:val="009A7F10"/>
    <w:rsid w:val="009B1FB9"/>
    <w:rsid w:val="009B2151"/>
    <w:rsid w:val="009B2C7A"/>
    <w:rsid w:val="009B33D7"/>
    <w:rsid w:val="009B3716"/>
    <w:rsid w:val="009B3B9C"/>
    <w:rsid w:val="009B3E26"/>
    <w:rsid w:val="009B4AC7"/>
    <w:rsid w:val="009B4C8F"/>
    <w:rsid w:val="009B579F"/>
    <w:rsid w:val="009B62F1"/>
    <w:rsid w:val="009B640C"/>
    <w:rsid w:val="009B69DC"/>
    <w:rsid w:val="009B715E"/>
    <w:rsid w:val="009B7D32"/>
    <w:rsid w:val="009C03C5"/>
    <w:rsid w:val="009C0C7E"/>
    <w:rsid w:val="009C0F09"/>
    <w:rsid w:val="009C1226"/>
    <w:rsid w:val="009C1271"/>
    <w:rsid w:val="009C1D13"/>
    <w:rsid w:val="009C256C"/>
    <w:rsid w:val="009C28C8"/>
    <w:rsid w:val="009C2995"/>
    <w:rsid w:val="009C31C1"/>
    <w:rsid w:val="009C3706"/>
    <w:rsid w:val="009C3824"/>
    <w:rsid w:val="009C3A3A"/>
    <w:rsid w:val="009C3DDA"/>
    <w:rsid w:val="009C426B"/>
    <w:rsid w:val="009C454A"/>
    <w:rsid w:val="009C6B7E"/>
    <w:rsid w:val="009C6CEA"/>
    <w:rsid w:val="009C6E24"/>
    <w:rsid w:val="009C7431"/>
    <w:rsid w:val="009C7B85"/>
    <w:rsid w:val="009D0254"/>
    <w:rsid w:val="009D076E"/>
    <w:rsid w:val="009D186C"/>
    <w:rsid w:val="009D1A64"/>
    <w:rsid w:val="009D1EAB"/>
    <w:rsid w:val="009D249A"/>
    <w:rsid w:val="009D2B46"/>
    <w:rsid w:val="009D3E6D"/>
    <w:rsid w:val="009D4B10"/>
    <w:rsid w:val="009D5780"/>
    <w:rsid w:val="009D5B91"/>
    <w:rsid w:val="009D5DDA"/>
    <w:rsid w:val="009D6A1A"/>
    <w:rsid w:val="009D6C86"/>
    <w:rsid w:val="009D7813"/>
    <w:rsid w:val="009D792E"/>
    <w:rsid w:val="009E058B"/>
    <w:rsid w:val="009E07D4"/>
    <w:rsid w:val="009E0D97"/>
    <w:rsid w:val="009E0DFE"/>
    <w:rsid w:val="009E18FE"/>
    <w:rsid w:val="009E1C1D"/>
    <w:rsid w:val="009E2B5A"/>
    <w:rsid w:val="009E2E2D"/>
    <w:rsid w:val="009E31F6"/>
    <w:rsid w:val="009E3666"/>
    <w:rsid w:val="009E3D64"/>
    <w:rsid w:val="009E3E18"/>
    <w:rsid w:val="009E4C07"/>
    <w:rsid w:val="009E5700"/>
    <w:rsid w:val="009E5A45"/>
    <w:rsid w:val="009E5FDC"/>
    <w:rsid w:val="009E669A"/>
    <w:rsid w:val="009E6B88"/>
    <w:rsid w:val="009E75DB"/>
    <w:rsid w:val="009E777F"/>
    <w:rsid w:val="009F0FFC"/>
    <w:rsid w:val="009F13B7"/>
    <w:rsid w:val="009F1473"/>
    <w:rsid w:val="009F15C1"/>
    <w:rsid w:val="009F18CF"/>
    <w:rsid w:val="009F2A7E"/>
    <w:rsid w:val="009F34D4"/>
    <w:rsid w:val="009F3586"/>
    <w:rsid w:val="009F4AB2"/>
    <w:rsid w:val="009F540D"/>
    <w:rsid w:val="009F553A"/>
    <w:rsid w:val="009F5CEA"/>
    <w:rsid w:val="009F6105"/>
    <w:rsid w:val="009F6120"/>
    <w:rsid w:val="00A004F4"/>
    <w:rsid w:val="00A00787"/>
    <w:rsid w:val="00A00B67"/>
    <w:rsid w:val="00A00D76"/>
    <w:rsid w:val="00A01184"/>
    <w:rsid w:val="00A01449"/>
    <w:rsid w:val="00A017E2"/>
    <w:rsid w:val="00A02552"/>
    <w:rsid w:val="00A02868"/>
    <w:rsid w:val="00A02F14"/>
    <w:rsid w:val="00A02F98"/>
    <w:rsid w:val="00A0309B"/>
    <w:rsid w:val="00A037C2"/>
    <w:rsid w:val="00A03D43"/>
    <w:rsid w:val="00A04380"/>
    <w:rsid w:val="00A04786"/>
    <w:rsid w:val="00A048AC"/>
    <w:rsid w:val="00A049D7"/>
    <w:rsid w:val="00A04FC2"/>
    <w:rsid w:val="00A05472"/>
    <w:rsid w:val="00A05915"/>
    <w:rsid w:val="00A05C32"/>
    <w:rsid w:val="00A05C45"/>
    <w:rsid w:val="00A05D7C"/>
    <w:rsid w:val="00A06281"/>
    <w:rsid w:val="00A0653F"/>
    <w:rsid w:val="00A065D0"/>
    <w:rsid w:val="00A0662B"/>
    <w:rsid w:val="00A07B06"/>
    <w:rsid w:val="00A07CC6"/>
    <w:rsid w:val="00A07D07"/>
    <w:rsid w:val="00A10214"/>
    <w:rsid w:val="00A10CA3"/>
    <w:rsid w:val="00A114AF"/>
    <w:rsid w:val="00A11908"/>
    <w:rsid w:val="00A11C05"/>
    <w:rsid w:val="00A11CD0"/>
    <w:rsid w:val="00A11F8C"/>
    <w:rsid w:val="00A123A6"/>
    <w:rsid w:val="00A12599"/>
    <w:rsid w:val="00A12DED"/>
    <w:rsid w:val="00A12E10"/>
    <w:rsid w:val="00A12E6E"/>
    <w:rsid w:val="00A13115"/>
    <w:rsid w:val="00A13948"/>
    <w:rsid w:val="00A13F48"/>
    <w:rsid w:val="00A1496B"/>
    <w:rsid w:val="00A14D94"/>
    <w:rsid w:val="00A1555B"/>
    <w:rsid w:val="00A155C5"/>
    <w:rsid w:val="00A15F72"/>
    <w:rsid w:val="00A16AD8"/>
    <w:rsid w:val="00A2021E"/>
    <w:rsid w:val="00A20CA7"/>
    <w:rsid w:val="00A20DB5"/>
    <w:rsid w:val="00A212ED"/>
    <w:rsid w:val="00A21A60"/>
    <w:rsid w:val="00A21C95"/>
    <w:rsid w:val="00A21CF3"/>
    <w:rsid w:val="00A223F3"/>
    <w:rsid w:val="00A22416"/>
    <w:rsid w:val="00A229D0"/>
    <w:rsid w:val="00A22E64"/>
    <w:rsid w:val="00A22EE0"/>
    <w:rsid w:val="00A24813"/>
    <w:rsid w:val="00A25174"/>
    <w:rsid w:val="00A252EB"/>
    <w:rsid w:val="00A254B9"/>
    <w:rsid w:val="00A26012"/>
    <w:rsid w:val="00A2693F"/>
    <w:rsid w:val="00A26C94"/>
    <w:rsid w:val="00A271A4"/>
    <w:rsid w:val="00A27AEC"/>
    <w:rsid w:val="00A27B7B"/>
    <w:rsid w:val="00A306B0"/>
    <w:rsid w:val="00A31209"/>
    <w:rsid w:val="00A31296"/>
    <w:rsid w:val="00A320DB"/>
    <w:rsid w:val="00A32607"/>
    <w:rsid w:val="00A32E39"/>
    <w:rsid w:val="00A32E57"/>
    <w:rsid w:val="00A33E7E"/>
    <w:rsid w:val="00A3439D"/>
    <w:rsid w:val="00A3440E"/>
    <w:rsid w:val="00A34917"/>
    <w:rsid w:val="00A34B62"/>
    <w:rsid w:val="00A35D16"/>
    <w:rsid w:val="00A37632"/>
    <w:rsid w:val="00A3787E"/>
    <w:rsid w:val="00A37999"/>
    <w:rsid w:val="00A37BCD"/>
    <w:rsid w:val="00A4051C"/>
    <w:rsid w:val="00A4061C"/>
    <w:rsid w:val="00A40CDB"/>
    <w:rsid w:val="00A40F92"/>
    <w:rsid w:val="00A41505"/>
    <w:rsid w:val="00A41689"/>
    <w:rsid w:val="00A4176A"/>
    <w:rsid w:val="00A42592"/>
    <w:rsid w:val="00A42EBC"/>
    <w:rsid w:val="00A43AF3"/>
    <w:rsid w:val="00A43C59"/>
    <w:rsid w:val="00A440A2"/>
    <w:rsid w:val="00A44C3A"/>
    <w:rsid w:val="00A468AD"/>
    <w:rsid w:val="00A473C9"/>
    <w:rsid w:val="00A50133"/>
    <w:rsid w:val="00A50ECD"/>
    <w:rsid w:val="00A513A3"/>
    <w:rsid w:val="00A518F3"/>
    <w:rsid w:val="00A52729"/>
    <w:rsid w:val="00A53675"/>
    <w:rsid w:val="00A53F3D"/>
    <w:rsid w:val="00A54539"/>
    <w:rsid w:val="00A545E8"/>
    <w:rsid w:val="00A54649"/>
    <w:rsid w:val="00A5508F"/>
    <w:rsid w:val="00A564D7"/>
    <w:rsid w:val="00A5681F"/>
    <w:rsid w:val="00A56B6A"/>
    <w:rsid w:val="00A56C4B"/>
    <w:rsid w:val="00A57038"/>
    <w:rsid w:val="00A57182"/>
    <w:rsid w:val="00A5733A"/>
    <w:rsid w:val="00A57779"/>
    <w:rsid w:val="00A578DC"/>
    <w:rsid w:val="00A578E1"/>
    <w:rsid w:val="00A57C47"/>
    <w:rsid w:val="00A6012D"/>
    <w:rsid w:val="00A609F9"/>
    <w:rsid w:val="00A629A3"/>
    <w:rsid w:val="00A63898"/>
    <w:rsid w:val="00A63E77"/>
    <w:rsid w:val="00A640E2"/>
    <w:rsid w:val="00A645B5"/>
    <w:rsid w:val="00A64D65"/>
    <w:rsid w:val="00A661FE"/>
    <w:rsid w:val="00A6633F"/>
    <w:rsid w:val="00A66CF9"/>
    <w:rsid w:val="00A6725B"/>
    <w:rsid w:val="00A677AA"/>
    <w:rsid w:val="00A67931"/>
    <w:rsid w:val="00A67FA4"/>
    <w:rsid w:val="00A7040A"/>
    <w:rsid w:val="00A70605"/>
    <w:rsid w:val="00A7064E"/>
    <w:rsid w:val="00A70EB1"/>
    <w:rsid w:val="00A71354"/>
    <w:rsid w:val="00A71593"/>
    <w:rsid w:val="00A724F1"/>
    <w:rsid w:val="00A7257B"/>
    <w:rsid w:val="00A73134"/>
    <w:rsid w:val="00A732C9"/>
    <w:rsid w:val="00A7365A"/>
    <w:rsid w:val="00A737E9"/>
    <w:rsid w:val="00A73C07"/>
    <w:rsid w:val="00A74AAD"/>
    <w:rsid w:val="00A74D25"/>
    <w:rsid w:val="00A751BC"/>
    <w:rsid w:val="00A76001"/>
    <w:rsid w:val="00A7659F"/>
    <w:rsid w:val="00A7677D"/>
    <w:rsid w:val="00A768FD"/>
    <w:rsid w:val="00A769A3"/>
    <w:rsid w:val="00A76AFC"/>
    <w:rsid w:val="00A777B2"/>
    <w:rsid w:val="00A77C1B"/>
    <w:rsid w:val="00A77E6A"/>
    <w:rsid w:val="00A801BD"/>
    <w:rsid w:val="00A80612"/>
    <w:rsid w:val="00A824D3"/>
    <w:rsid w:val="00A825D4"/>
    <w:rsid w:val="00A828F6"/>
    <w:rsid w:val="00A82B73"/>
    <w:rsid w:val="00A82BC5"/>
    <w:rsid w:val="00A831C5"/>
    <w:rsid w:val="00A8327D"/>
    <w:rsid w:val="00A858EA"/>
    <w:rsid w:val="00A862B0"/>
    <w:rsid w:val="00A86676"/>
    <w:rsid w:val="00A86E8B"/>
    <w:rsid w:val="00A87164"/>
    <w:rsid w:val="00A871A9"/>
    <w:rsid w:val="00A87268"/>
    <w:rsid w:val="00A9068A"/>
    <w:rsid w:val="00A907A2"/>
    <w:rsid w:val="00A90B3C"/>
    <w:rsid w:val="00A926FF"/>
    <w:rsid w:val="00A929C8"/>
    <w:rsid w:val="00A93072"/>
    <w:rsid w:val="00A938BD"/>
    <w:rsid w:val="00A93953"/>
    <w:rsid w:val="00A93E4A"/>
    <w:rsid w:val="00A9532E"/>
    <w:rsid w:val="00A95743"/>
    <w:rsid w:val="00A959D8"/>
    <w:rsid w:val="00A95D2A"/>
    <w:rsid w:val="00AA113D"/>
    <w:rsid w:val="00AA11DD"/>
    <w:rsid w:val="00AA1294"/>
    <w:rsid w:val="00AA15F1"/>
    <w:rsid w:val="00AA233F"/>
    <w:rsid w:val="00AA37F7"/>
    <w:rsid w:val="00AA38C9"/>
    <w:rsid w:val="00AA400D"/>
    <w:rsid w:val="00AA49DD"/>
    <w:rsid w:val="00AA4E9D"/>
    <w:rsid w:val="00AA5189"/>
    <w:rsid w:val="00AA5B9E"/>
    <w:rsid w:val="00AA6916"/>
    <w:rsid w:val="00AA6BD5"/>
    <w:rsid w:val="00AA6BD8"/>
    <w:rsid w:val="00AA6C7D"/>
    <w:rsid w:val="00AA7FD6"/>
    <w:rsid w:val="00AB042A"/>
    <w:rsid w:val="00AB047B"/>
    <w:rsid w:val="00AB0C01"/>
    <w:rsid w:val="00AB0E51"/>
    <w:rsid w:val="00AB11AD"/>
    <w:rsid w:val="00AB19EF"/>
    <w:rsid w:val="00AB1F76"/>
    <w:rsid w:val="00AB2495"/>
    <w:rsid w:val="00AB2D34"/>
    <w:rsid w:val="00AB32F6"/>
    <w:rsid w:val="00AB3430"/>
    <w:rsid w:val="00AB37B9"/>
    <w:rsid w:val="00AB4AD1"/>
    <w:rsid w:val="00AB51AD"/>
    <w:rsid w:val="00AB5A40"/>
    <w:rsid w:val="00AB5E07"/>
    <w:rsid w:val="00AB6041"/>
    <w:rsid w:val="00AB6F79"/>
    <w:rsid w:val="00AB702B"/>
    <w:rsid w:val="00AB7715"/>
    <w:rsid w:val="00AB795D"/>
    <w:rsid w:val="00AB79AA"/>
    <w:rsid w:val="00AB7CFA"/>
    <w:rsid w:val="00AC543C"/>
    <w:rsid w:val="00AC58D9"/>
    <w:rsid w:val="00AC5B42"/>
    <w:rsid w:val="00AC5B48"/>
    <w:rsid w:val="00AC5D09"/>
    <w:rsid w:val="00AC623C"/>
    <w:rsid w:val="00AC6FE1"/>
    <w:rsid w:val="00AC743F"/>
    <w:rsid w:val="00AD1078"/>
    <w:rsid w:val="00AD1450"/>
    <w:rsid w:val="00AD1473"/>
    <w:rsid w:val="00AD15E8"/>
    <w:rsid w:val="00AD200C"/>
    <w:rsid w:val="00AD309B"/>
    <w:rsid w:val="00AD356D"/>
    <w:rsid w:val="00AD357B"/>
    <w:rsid w:val="00AD35DB"/>
    <w:rsid w:val="00AD3E85"/>
    <w:rsid w:val="00AD418F"/>
    <w:rsid w:val="00AD4756"/>
    <w:rsid w:val="00AD4C9D"/>
    <w:rsid w:val="00AD5593"/>
    <w:rsid w:val="00AD5855"/>
    <w:rsid w:val="00AD5DA2"/>
    <w:rsid w:val="00AD6502"/>
    <w:rsid w:val="00AE0015"/>
    <w:rsid w:val="00AE0693"/>
    <w:rsid w:val="00AE0695"/>
    <w:rsid w:val="00AE0AA4"/>
    <w:rsid w:val="00AE13F5"/>
    <w:rsid w:val="00AE1CE1"/>
    <w:rsid w:val="00AE2610"/>
    <w:rsid w:val="00AE3136"/>
    <w:rsid w:val="00AE3C9D"/>
    <w:rsid w:val="00AE3E7E"/>
    <w:rsid w:val="00AE40EB"/>
    <w:rsid w:val="00AE48E6"/>
    <w:rsid w:val="00AE583D"/>
    <w:rsid w:val="00AE5BAB"/>
    <w:rsid w:val="00AE639A"/>
    <w:rsid w:val="00AE728D"/>
    <w:rsid w:val="00AE7E53"/>
    <w:rsid w:val="00AF0444"/>
    <w:rsid w:val="00AF1159"/>
    <w:rsid w:val="00AF1315"/>
    <w:rsid w:val="00AF136B"/>
    <w:rsid w:val="00AF19BF"/>
    <w:rsid w:val="00AF2DC3"/>
    <w:rsid w:val="00AF3695"/>
    <w:rsid w:val="00AF3E66"/>
    <w:rsid w:val="00AF40D5"/>
    <w:rsid w:val="00AF442A"/>
    <w:rsid w:val="00AF51EE"/>
    <w:rsid w:val="00AF5716"/>
    <w:rsid w:val="00AF5AD3"/>
    <w:rsid w:val="00AF6400"/>
    <w:rsid w:val="00AF67AB"/>
    <w:rsid w:val="00AF7AC2"/>
    <w:rsid w:val="00B0054D"/>
    <w:rsid w:val="00B00561"/>
    <w:rsid w:val="00B01126"/>
    <w:rsid w:val="00B017E6"/>
    <w:rsid w:val="00B022A4"/>
    <w:rsid w:val="00B02728"/>
    <w:rsid w:val="00B033E5"/>
    <w:rsid w:val="00B034C3"/>
    <w:rsid w:val="00B03A63"/>
    <w:rsid w:val="00B03AFF"/>
    <w:rsid w:val="00B03C9D"/>
    <w:rsid w:val="00B04232"/>
    <w:rsid w:val="00B04AB2"/>
    <w:rsid w:val="00B04D08"/>
    <w:rsid w:val="00B05E87"/>
    <w:rsid w:val="00B05FA0"/>
    <w:rsid w:val="00B07447"/>
    <w:rsid w:val="00B11242"/>
    <w:rsid w:val="00B129A4"/>
    <w:rsid w:val="00B133B2"/>
    <w:rsid w:val="00B13E63"/>
    <w:rsid w:val="00B15199"/>
    <w:rsid w:val="00B154DF"/>
    <w:rsid w:val="00B158A7"/>
    <w:rsid w:val="00B16666"/>
    <w:rsid w:val="00B201A4"/>
    <w:rsid w:val="00B201D1"/>
    <w:rsid w:val="00B2025D"/>
    <w:rsid w:val="00B213A6"/>
    <w:rsid w:val="00B219E6"/>
    <w:rsid w:val="00B22210"/>
    <w:rsid w:val="00B22A21"/>
    <w:rsid w:val="00B22AD0"/>
    <w:rsid w:val="00B235B0"/>
    <w:rsid w:val="00B2463C"/>
    <w:rsid w:val="00B24C8F"/>
    <w:rsid w:val="00B24D36"/>
    <w:rsid w:val="00B24DF6"/>
    <w:rsid w:val="00B257AD"/>
    <w:rsid w:val="00B25876"/>
    <w:rsid w:val="00B2652A"/>
    <w:rsid w:val="00B2679E"/>
    <w:rsid w:val="00B26A1F"/>
    <w:rsid w:val="00B26AA8"/>
    <w:rsid w:val="00B27A61"/>
    <w:rsid w:val="00B3081D"/>
    <w:rsid w:val="00B30890"/>
    <w:rsid w:val="00B30BCB"/>
    <w:rsid w:val="00B31484"/>
    <w:rsid w:val="00B314A3"/>
    <w:rsid w:val="00B32A10"/>
    <w:rsid w:val="00B336EA"/>
    <w:rsid w:val="00B34177"/>
    <w:rsid w:val="00B342B9"/>
    <w:rsid w:val="00B34D1C"/>
    <w:rsid w:val="00B34FE2"/>
    <w:rsid w:val="00B35166"/>
    <w:rsid w:val="00B354D6"/>
    <w:rsid w:val="00B357D8"/>
    <w:rsid w:val="00B360F4"/>
    <w:rsid w:val="00B364BB"/>
    <w:rsid w:val="00B366F2"/>
    <w:rsid w:val="00B36A00"/>
    <w:rsid w:val="00B36ADD"/>
    <w:rsid w:val="00B36E69"/>
    <w:rsid w:val="00B374A7"/>
    <w:rsid w:val="00B3792B"/>
    <w:rsid w:val="00B37A9C"/>
    <w:rsid w:val="00B37AE6"/>
    <w:rsid w:val="00B37BFC"/>
    <w:rsid w:val="00B37FCC"/>
    <w:rsid w:val="00B4007B"/>
    <w:rsid w:val="00B40358"/>
    <w:rsid w:val="00B41119"/>
    <w:rsid w:val="00B413FE"/>
    <w:rsid w:val="00B41614"/>
    <w:rsid w:val="00B41A1B"/>
    <w:rsid w:val="00B41CF9"/>
    <w:rsid w:val="00B42851"/>
    <w:rsid w:val="00B42F80"/>
    <w:rsid w:val="00B435CB"/>
    <w:rsid w:val="00B453EE"/>
    <w:rsid w:val="00B465EC"/>
    <w:rsid w:val="00B476BA"/>
    <w:rsid w:val="00B476BB"/>
    <w:rsid w:val="00B501F6"/>
    <w:rsid w:val="00B505C8"/>
    <w:rsid w:val="00B50DB8"/>
    <w:rsid w:val="00B5114C"/>
    <w:rsid w:val="00B515F0"/>
    <w:rsid w:val="00B51A53"/>
    <w:rsid w:val="00B51C3F"/>
    <w:rsid w:val="00B52B77"/>
    <w:rsid w:val="00B52D0A"/>
    <w:rsid w:val="00B53654"/>
    <w:rsid w:val="00B536C4"/>
    <w:rsid w:val="00B53905"/>
    <w:rsid w:val="00B53BA5"/>
    <w:rsid w:val="00B5457F"/>
    <w:rsid w:val="00B546DB"/>
    <w:rsid w:val="00B54B5B"/>
    <w:rsid w:val="00B5562E"/>
    <w:rsid w:val="00B55862"/>
    <w:rsid w:val="00B55D65"/>
    <w:rsid w:val="00B56305"/>
    <w:rsid w:val="00B57000"/>
    <w:rsid w:val="00B57BD4"/>
    <w:rsid w:val="00B60939"/>
    <w:rsid w:val="00B60AFD"/>
    <w:rsid w:val="00B620A4"/>
    <w:rsid w:val="00B62715"/>
    <w:rsid w:val="00B6284E"/>
    <w:rsid w:val="00B6319B"/>
    <w:rsid w:val="00B6331A"/>
    <w:rsid w:val="00B6498B"/>
    <w:rsid w:val="00B652D5"/>
    <w:rsid w:val="00B65611"/>
    <w:rsid w:val="00B65C61"/>
    <w:rsid w:val="00B65D81"/>
    <w:rsid w:val="00B6601D"/>
    <w:rsid w:val="00B66037"/>
    <w:rsid w:val="00B66D8B"/>
    <w:rsid w:val="00B66FD8"/>
    <w:rsid w:val="00B67193"/>
    <w:rsid w:val="00B70E8E"/>
    <w:rsid w:val="00B7102F"/>
    <w:rsid w:val="00B71AA6"/>
    <w:rsid w:val="00B72923"/>
    <w:rsid w:val="00B72A34"/>
    <w:rsid w:val="00B742A8"/>
    <w:rsid w:val="00B75147"/>
    <w:rsid w:val="00B75FB6"/>
    <w:rsid w:val="00B75FEF"/>
    <w:rsid w:val="00B76217"/>
    <w:rsid w:val="00B767AB"/>
    <w:rsid w:val="00B769ED"/>
    <w:rsid w:val="00B76A26"/>
    <w:rsid w:val="00B76C92"/>
    <w:rsid w:val="00B77339"/>
    <w:rsid w:val="00B8073C"/>
    <w:rsid w:val="00B80EFD"/>
    <w:rsid w:val="00B80F35"/>
    <w:rsid w:val="00B818A4"/>
    <w:rsid w:val="00B82184"/>
    <w:rsid w:val="00B83739"/>
    <w:rsid w:val="00B83BD1"/>
    <w:rsid w:val="00B83DBF"/>
    <w:rsid w:val="00B84117"/>
    <w:rsid w:val="00B858F0"/>
    <w:rsid w:val="00B85AA2"/>
    <w:rsid w:val="00B8649C"/>
    <w:rsid w:val="00B8695D"/>
    <w:rsid w:val="00B870F5"/>
    <w:rsid w:val="00B872DD"/>
    <w:rsid w:val="00B874AD"/>
    <w:rsid w:val="00B87F0A"/>
    <w:rsid w:val="00B90DD5"/>
    <w:rsid w:val="00B92D0B"/>
    <w:rsid w:val="00B92D1A"/>
    <w:rsid w:val="00B92FAA"/>
    <w:rsid w:val="00B93466"/>
    <w:rsid w:val="00B937A4"/>
    <w:rsid w:val="00B93DD3"/>
    <w:rsid w:val="00B940BC"/>
    <w:rsid w:val="00B94513"/>
    <w:rsid w:val="00B9482A"/>
    <w:rsid w:val="00B948CD"/>
    <w:rsid w:val="00B94945"/>
    <w:rsid w:val="00B94B26"/>
    <w:rsid w:val="00B94DD6"/>
    <w:rsid w:val="00B95199"/>
    <w:rsid w:val="00B957B4"/>
    <w:rsid w:val="00B96A3C"/>
    <w:rsid w:val="00B9787E"/>
    <w:rsid w:val="00B97D04"/>
    <w:rsid w:val="00BA0866"/>
    <w:rsid w:val="00BA1011"/>
    <w:rsid w:val="00BA2240"/>
    <w:rsid w:val="00BA263D"/>
    <w:rsid w:val="00BA3180"/>
    <w:rsid w:val="00BA322D"/>
    <w:rsid w:val="00BA36EB"/>
    <w:rsid w:val="00BA39B1"/>
    <w:rsid w:val="00BA4862"/>
    <w:rsid w:val="00BA4CB4"/>
    <w:rsid w:val="00BA50B1"/>
    <w:rsid w:val="00BA52E0"/>
    <w:rsid w:val="00BA5A7D"/>
    <w:rsid w:val="00BA5B43"/>
    <w:rsid w:val="00BA5C61"/>
    <w:rsid w:val="00BA623E"/>
    <w:rsid w:val="00BA63FA"/>
    <w:rsid w:val="00BA692E"/>
    <w:rsid w:val="00BA6AC5"/>
    <w:rsid w:val="00BA6C5A"/>
    <w:rsid w:val="00BB00B3"/>
    <w:rsid w:val="00BB0BDD"/>
    <w:rsid w:val="00BB176C"/>
    <w:rsid w:val="00BB2156"/>
    <w:rsid w:val="00BB2842"/>
    <w:rsid w:val="00BB2A73"/>
    <w:rsid w:val="00BB3419"/>
    <w:rsid w:val="00BB3906"/>
    <w:rsid w:val="00BB3A45"/>
    <w:rsid w:val="00BB466E"/>
    <w:rsid w:val="00BB46F8"/>
    <w:rsid w:val="00BB4ACC"/>
    <w:rsid w:val="00BB64DA"/>
    <w:rsid w:val="00BB6AA3"/>
    <w:rsid w:val="00BB6EA1"/>
    <w:rsid w:val="00BB703E"/>
    <w:rsid w:val="00BB732D"/>
    <w:rsid w:val="00BB7405"/>
    <w:rsid w:val="00BB74E3"/>
    <w:rsid w:val="00BB76D5"/>
    <w:rsid w:val="00BBA018"/>
    <w:rsid w:val="00BC01D3"/>
    <w:rsid w:val="00BC1107"/>
    <w:rsid w:val="00BC2EE3"/>
    <w:rsid w:val="00BC3631"/>
    <w:rsid w:val="00BC4242"/>
    <w:rsid w:val="00BC438D"/>
    <w:rsid w:val="00BC4462"/>
    <w:rsid w:val="00BC44A8"/>
    <w:rsid w:val="00BC4768"/>
    <w:rsid w:val="00BC57D7"/>
    <w:rsid w:val="00BC591F"/>
    <w:rsid w:val="00BC69C2"/>
    <w:rsid w:val="00BC7B20"/>
    <w:rsid w:val="00BC7C18"/>
    <w:rsid w:val="00BC7D6D"/>
    <w:rsid w:val="00BD03DA"/>
    <w:rsid w:val="00BD2108"/>
    <w:rsid w:val="00BD264D"/>
    <w:rsid w:val="00BD2C60"/>
    <w:rsid w:val="00BD2CE7"/>
    <w:rsid w:val="00BD33A3"/>
    <w:rsid w:val="00BD68A3"/>
    <w:rsid w:val="00BD6938"/>
    <w:rsid w:val="00BD6B74"/>
    <w:rsid w:val="00BD6CF3"/>
    <w:rsid w:val="00BD6D6B"/>
    <w:rsid w:val="00BD70F4"/>
    <w:rsid w:val="00BD798B"/>
    <w:rsid w:val="00BD7C7F"/>
    <w:rsid w:val="00BD7CB7"/>
    <w:rsid w:val="00BD7F72"/>
    <w:rsid w:val="00BE0BFF"/>
    <w:rsid w:val="00BE0ECA"/>
    <w:rsid w:val="00BE127C"/>
    <w:rsid w:val="00BE1727"/>
    <w:rsid w:val="00BE1D02"/>
    <w:rsid w:val="00BE2180"/>
    <w:rsid w:val="00BE21F2"/>
    <w:rsid w:val="00BE2D89"/>
    <w:rsid w:val="00BE4275"/>
    <w:rsid w:val="00BE6D26"/>
    <w:rsid w:val="00BE7048"/>
    <w:rsid w:val="00BE7B42"/>
    <w:rsid w:val="00BE7CF8"/>
    <w:rsid w:val="00BF06AE"/>
    <w:rsid w:val="00BF0BBB"/>
    <w:rsid w:val="00BF0DE8"/>
    <w:rsid w:val="00BF0F95"/>
    <w:rsid w:val="00BF1729"/>
    <w:rsid w:val="00BF2433"/>
    <w:rsid w:val="00BF24BF"/>
    <w:rsid w:val="00BF2CB7"/>
    <w:rsid w:val="00BF2E6E"/>
    <w:rsid w:val="00BF3429"/>
    <w:rsid w:val="00BF3A4A"/>
    <w:rsid w:val="00BF41B4"/>
    <w:rsid w:val="00BF4DD2"/>
    <w:rsid w:val="00BF60F3"/>
    <w:rsid w:val="00BF61C9"/>
    <w:rsid w:val="00BF68F8"/>
    <w:rsid w:val="00BF6C94"/>
    <w:rsid w:val="00C00424"/>
    <w:rsid w:val="00C00BB0"/>
    <w:rsid w:val="00C010DD"/>
    <w:rsid w:val="00C02997"/>
    <w:rsid w:val="00C02E07"/>
    <w:rsid w:val="00C0379F"/>
    <w:rsid w:val="00C044FF"/>
    <w:rsid w:val="00C04AED"/>
    <w:rsid w:val="00C06035"/>
    <w:rsid w:val="00C07F35"/>
    <w:rsid w:val="00C1179F"/>
    <w:rsid w:val="00C11E51"/>
    <w:rsid w:val="00C11F65"/>
    <w:rsid w:val="00C127B9"/>
    <w:rsid w:val="00C128FA"/>
    <w:rsid w:val="00C12A6A"/>
    <w:rsid w:val="00C12C14"/>
    <w:rsid w:val="00C130EB"/>
    <w:rsid w:val="00C13A7C"/>
    <w:rsid w:val="00C1428B"/>
    <w:rsid w:val="00C14B70"/>
    <w:rsid w:val="00C15308"/>
    <w:rsid w:val="00C15862"/>
    <w:rsid w:val="00C15F04"/>
    <w:rsid w:val="00C15F24"/>
    <w:rsid w:val="00C1649C"/>
    <w:rsid w:val="00C179B3"/>
    <w:rsid w:val="00C17E3F"/>
    <w:rsid w:val="00C200AA"/>
    <w:rsid w:val="00C206F4"/>
    <w:rsid w:val="00C237ED"/>
    <w:rsid w:val="00C24632"/>
    <w:rsid w:val="00C246A0"/>
    <w:rsid w:val="00C24A50"/>
    <w:rsid w:val="00C25418"/>
    <w:rsid w:val="00C2593E"/>
    <w:rsid w:val="00C25D9C"/>
    <w:rsid w:val="00C262DF"/>
    <w:rsid w:val="00C265A4"/>
    <w:rsid w:val="00C276D3"/>
    <w:rsid w:val="00C27704"/>
    <w:rsid w:val="00C2778B"/>
    <w:rsid w:val="00C27893"/>
    <w:rsid w:val="00C30471"/>
    <w:rsid w:val="00C3161A"/>
    <w:rsid w:val="00C31649"/>
    <w:rsid w:val="00C32BB0"/>
    <w:rsid w:val="00C33AE5"/>
    <w:rsid w:val="00C3434C"/>
    <w:rsid w:val="00C35CDD"/>
    <w:rsid w:val="00C35DD4"/>
    <w:rsid w:val="00C35DFE"/>
    <w:rsid w:val="00C366FF"/>
    <w:rsid w:val="00C36C7E"/>
    <w:rsid w:val="00C37273"/>
    <w:rsid w:val="00C37DC4"/>
    <w:rsid w:val="00C40385"/>
    <w:rsid w:val="00C407EF"/>
    <w:rsid w:val="00C412AA"/>
    <w:rsid w:val="00C41768"/>
    <w:rsid w:val="00C425FF"/>
    <w:rsid w:val="00C42690"/>
    <w:rsid w:val="00C4288F"/>
    <w:rsid w:val="00C42CFD"/>
    <w:rsid w:val="00C43274"/>
    <w:rsid w:val="00C43278"/>
    <w:rsid w:val="00C43CDD"/>
    <w:rsid w:val="00C44879"/>
    <w:rsid w:val="00C44B57"/>
    <w:rsid w:val="00C46822"/>
    <w:rsid w:val="00C46E07"/>
    <w:rsid w:val="00C46E64"/>
    <w:rsid w:val="00C46F81"/>
    <w:rsid w:val="00C475AA"/>
    <w:rsid w:val="00C47601"/>
    <w:rsid w:val="00C50167"/>
    <w:rsid w:val="00C503DD"/>
    <w:rsid w:val="00C507EE"/>
    <w:rsid w:val="00C50F9A"/>
    <w:rsid w:val="00C51A35"/>
    <w:rsid w:val="00C527C7"/>
    <w:rsid w:val="00C52C91"/>
    <w:rsid w:val="00C5368A"/>
    <w:rsid w:val="00C53B36"/>
    <w:rsid w:val="00C53BF3"/>
    <w:rsid w:val="00C53C98"/>
    <w:rsid w:val="00C54BA6"/>
    <w:rsid w:val="00C55D8F"/>
    <w:rsid w:val="00C562F2"/>
    <w:rsid w:val="00C56F12"/>
    <w:rsid w:val="00C56FCF"/>
    <w:rsid w:val="00C570A6"/>
    <w:rsid w:val="00C572F6"/>
    <w:rsid w:val="00C57B63"/>
    <w:rsid w:val="00C57B6C"/>
    <w:rsid w:val="00C61632"/>
    <w:rsid w:val="00C61A59"/>
    <w:rsid w:val="00C6261B"/>
    <w:rsid w:val="00C628A6"/>
    <w:rsid w:val="00C63627"/>
    <w:rsid w:val="00C6378B"/>
    <w:rsid w:val="00C64344"/>
    <w:rsid w:val="00C64F0F"/>
    <w:rsid w:val="00C65108"/>
    <w:rsid w:val="00C65576"/>
    <w:rsid w:val="00C66165"/>
    <w:rsid w:val="00C6706C"/>
    <w:rsid w:val="00C67746"/>
    <w:rsid w:val="00C7060A"/>
    <w:rsid w:val="00C70E03"/>
    <w:rsid w:val="00C7130A"/>
    <w:rsid w:val="00C7151A"/>
    <w:rsid w:val="00C717E3"/>
    <w:rsid w:val="00C71A74"/>
    <w:rsid w:val="00C71F60"/>
    <w:rsid w:val="00C72241"/>
    <w:rsid w:val="00C72387"/>
    <w:rsid w:val="00C72F91"/>
    <w:rsid w:val="00C730F3"/>
    <w:rsid w:val="00C736BB"/>
    <w:rsid w:val="00C74312"/>
    <w:rsid w:val="00C74550"/>
    <w:rsid w:val="00C7507B"/>
    <w:rsid w:val="00C750C8"/>
    <w:rsid w:val="00C7560F"/>
    <w:rsid w:val="00C75C72"/>
    <w:rsid w:val="00C75F46"/>
    <w:rsid w:val="00C76256"/>
    <w:rsid w:val="00C77A89"/>
    <w:rsid w:val="00C80185"/>
    <w:rsid w:val="00C80388"/>
    <w:rsid w:val="00C80A0E"/>
    <w:rsid w:val="00C80AD3"/>
    <w:rsid w:val="00C810B6"/>
    <w:rsid w:val="00C81BAC"/>
    <w:rsid w:val="00C8213F"/>
    <w:rsid w:val="00C822ED"/>
    <w:rsid w:val="00C82758"/>
    <w:rsid w:val="00C8303F"/>
    <w:rsid w:val="00C83D07"/>
    <w:rsid w:val="00C8447B"/>
    <w:rsid w:val="00C847F0"/>
    <w:rsid w:val="00C85154"/>
    <w:rsid w:val="00C851B4"/>
    <w:rsid w:val="00C85A70"/>
    <w:rsid w:val="00C87841"/>
    <w:rsid w:val="00C8797A"/>
    <w:rsid w:val="00C87C2F"/>
    <w:rsid w:val="00C900B8"/>
    <w:rsid w:val="00C90197"/>
    <w:rsid w:val="00C90C71"/>
    <w:rsid w:val="00C91FD1"/>
    <w:rsid w:val="00C931CF"/>
    <w:rsid w:val="00C93345"/>
    <w:rsid w:val="00C936FF"/>
    <w:rsid w:val="00C938CF"/>
    <w:rsid w:val="00C94053"/>
    <w:rsid w:val="00C9500C"/>
    <w:rsid w:val="00C95253"/>
    <w:rsid w:val="00C95F3C"/>
    <w:rsid w:val="00C9624D"/>
    <w:rsid w:val="00C969DA"/>
    <w:rsid w:val="00C96C5F"/>
    <w:rsid w:val="00CA26DE"/>
    <w:rsid w:val="00CA2C77"/>
    <w:rsid w:val="00CA3731"/>
    <w:rsid w:val="00CA3978"/>
    <w:rsid w:val="00CA444F"/>
    <w:rsid w:val="00CA5245"/>
    <w:rsid w:val="00CA71F4"/>
    <w:rsid w:val="00CA736E"/>
    <w:rsid w:val="00CA7B09"/>
    <w:rsid w:val="00CB12A5"/>
    <w:rsid w:val="00CB1BF2"/>
    <w:rsid w:val="00CB1CAC"/>
    <w:rsid w:val="00CB2F2A"/>
    <w:rsid w:val="00CB3938"/>
    <w:rsid w:val="00CB4524"/>
    <w:rsid w:val="00CB4EE2"/>
    <w:rsid w:val="00CB5221"/>
    <w:rsid w:val="00CB5B1A"/>
    <w:rsid w:val="00CB5B22"/>
    <w:rsid w:val="00CB5C81"/>
    <w:rsid w:val="00CB5CB9"/>
    <w:rsid w:val="00CB5D0D"/>
    <w:rsid w:val="00CB65C6"/>
    <w:rsid w:val="00CB6B22"/>
    <w:rsid w:val="00CB6C9D"/>
    <w:rsid w:val="00CB78A9"/>
    <w:rsid w:val="00CB7F5F"/>
    <w:rsid w:val="00CC0CF6"/>
    <w:rsid w:val="00CC0F11"/>
    <w:rsid w:val="00CC1143"/>
    <w:rsid w:val="00CC131D"/>
    <w:rsid w:val="00CC1B39"/>
    <w:rsid w:val="00CC1BC3"/>
    <w:rsid w:val="00CC1BFA"/>
    <w:rsid w:val="00CC2E9F"/>
    <w:rsid w:val="00CC35EA"/>
    <w:rsid w:val="00CC3723"/>
    <w:rsid w:val="00CC3848"/>
    <w:rsid w:val="00CC52B4"/>
    <w:rsid w:val="00CC612B"/>
    <w:rsid w:val="00CC62A7"/>
    <w:rsid w:val="00CC62C9"/>
    <w:rsid w:val="00CC6D5E"/>
    <w:rsid w:val="00CC7BE3"/>
    <w:rsid w:val="00CD0200"/>
    <w:rsid w:val="00CD0C70"/>
    <w:rsid w:val="00CD0F96"/>
    <w:rsid w:val="00CD1E8E"/>
    <w:rsid w:val="00CD2902"/>
    <w:rsid w:val="00CD32DD"/>
    <w:rsid w:val="00CD3958"/>
    <w:rsid w:val="00CD3AFA"/>
    <w:rsid w:val="00CD3F77"/>
    <w:rsid w:val="00CD3F8F"/>
    <w:rsid w:val="00CD469A"/>
    <w:rsid w:val="00CD4AF4"/>
    <w:rsid w:val="00CD4EED"/>
    <w:rsid w:val="00CD6253"/>
    <w:rsid w:val="00CD68F0"/>
    <w:rsid w:val="00CD6ADC"/>
    <w:rsid w:val="00CD7193"/>
    <w:rsid w:val="00CD7235"/>
    <w:rsid w:val="00CD737E"/>
    <w:rsid w:val="00CD7AD9"/>
    <w:rsid w:val="00CE0F5F"/>
    <w:rsid w:val="00CE1AD9"/>
    <w:rsid w:val="00CE1EBF"/>
    <w:rsid w:val="00CE2994"/>
    <w:rsid w:val="00CE2EB7"/>
    <w:rsid w:val="00CE38C8"/>
    <w:rsid w:val="00CE41A1"/>
    <w:rsid w:val="00CE4DF9"/>
    <w:rsid w:val="00CE524F"/>
    <w:rsid w:val="00CE58CC"/>
    <w:rsid w:val="00CE6274"/>
    <w:rsid w:val="00CE670B"/>
    <w:rsid w:val="00CE686C"/>
    <w:rsid w:val="00CE7653"/>
    <w:rsid w:val="00CE77B6"/>
    <w:rsid w:val="00CE7E28"/>
    <w:rsid w:val="00CF2284"/>
    <w:rsid w:val="00CF2B8D"/>
    <w:rsid w:val="00CF2F96"/>
    <w:rsid w:val="00CF3A1B"/>
    <w:rsid w:val="00CF4047"/>
    <w:rsid w:val="00CF456B"/>
    <w:rsid w:val="00CF4609"/>
    <w:rsid w:val="00CF51EC"/>
    <w:rsid w:val="00CF5436"/>
    <w:rsid w:val="00CF597B"/>
    <w:rsid w:val="00CF5A22"/>
    <w:rsid w:val="00CF69DD"/>
    <w:rsid w:val="00CF6B8C"/>
    <w:rsid w:val="00CF6DF3"/>
    <w:rsid w:val="00CF7A68"/>
    <w:rsid w:val="00CF7BE6"/>
    <w:rsid w:val="00D00285"/>
    <w:rsid w:val="00D00F10"/>
    <w:rsid w:val="00D017E3"/>
    <w:rsid w:val="00D02029"/>
    <w:rsid w:val="00D0262E"/>
    <w:rsid w:val="00D02899"/>
    <w:rsid w:val="00D02B7F"/>
    <w:rsid w:val="00D02E6D"/>
    <w:rsid w:val="00D03679"/>
    <w:rsid w:val="00D05E3D"/>
    <w:rsid w:val="00D06139"/>
    <w:rsid w:val="00D0707B"/>
    <w:rsid w:val="00D07254"/>
    <w:rsid w:val="00D07AD4"/>
    <w:rsid w:val="00D10074"/>
    <w:rsid w:val="00D110BD"/>
    <w:rsid w:val="00D11C68"/>
    <w:rsid w:val="00D12F1B"/>
    <w:rsid w:val="00D130A7"/>
    <w:rsid w:val="00D13675"/>
    <w:rsid w:val="00D136AA"/>
    <w:rsid w:val="00D13E74"/>
    <w:rsid w:val="00D141E1"/>
    <w:rsid w:val="00D14C2E"/>
    <w:rsid w:val="00D14DFD"/>
    <w:rsid w:val="00D15314"/>
    <w:rsid w:val="00D15B48"/>
    <w:rsid w:val="00D1639C"/>
    <w:rsid w:val="00D167EE"/>
    <w:rsid w:val="00D168EB"/>
    <w:rsid w:val="00D16C66"/>
    <w:rsid w:val="00D17060"/>
    <w:rsid w:val="00D178DE"/>
    <w:rsid w:val="00D17D6C"/>
    <w:rsid w:val="00D2120B"/>
    <w:rsid w:val="00D2155B"/>
    <w:rsid w:val="00D23249"/>
    <w:rsid w:val="00D23D11"/>
    <w:rsid w:val="00D23E1C"/>
    <w:rsid w:val="00D244B6"/>
    <w:rsid w:val="00D24C5D"/>
    <w:rsid w:val="00D250F2"/>
    <w:rsid w:val="00D2754D"/>
    <w:rsid w:val="00D27B27"/>
    <w:rsid w:val="00D27C20"/>
    <w:rsid w:val="00D305D2"/>
    <w:rsid w:val="00D30D5B"/>
    <w:rsid w:val="00D31BFE"/>
    <w:rsid w:val="00D3309B"/>
    <w:rsid w:val="00D3396E"/>
    <w:rsid w:val="00D33AF2"/>
    <w:rsid w:val="00D33BE9"/>
    <w:rsid w:val="00D33F93"/>
    <w:rsid w:val="00D34666"/>
    <w:rsid w:val="00D34968"/>
    <w:rsid w:val="00D34AC9"/>
    <w:rsid w:val="00D3550D"/>
    <w:rsid w:val="00D357FF"/>
    <w:rsid w:val="00D364D5"/>
    <w:rsid w:val="00D36917"/>
    <w:rsid w:val="00D36B03"/>
    <w:rsid w:val="00D36F75"/>
    <w:rsid w:val="00D37DFB"/>
    <w:rsid w:val="00D402B2"/>
    <w:rsid w:val="00D41170"/>
    <w:rsid w:val="00D41445"/>
    <w:rsid w:val="00D41700"/>
    <w:rsid w:val="00D4232D"/>
    <w:rsid w:val="00D424C7"/>
    <w:rsid w:val="00D4366B"/>
    <w:rsid w:val="00D43B2A"/>
    <w:rsid w:val="00D43CF1"/>
    <w:rsid w:val="00D43D83"/>
    <w:rsid w:val="00D43F07"/>
    <w:rsid w:val="00D4448B"/>
    <w:rsid w:val="00D44717"/>
    <w:rsid w:val="00D44759"/>
    <w:rsid w:val="00D4540B"/>
    <w:rsid w:val="00D46596"/>
    <w:rsid w:val="00D4685C"/>
    <w:rsid w:val="00D473ED"/>
    <w:rsid w:val="00D47575"/>
    <w:rsid w:val="00D4774B"/>
    <w:rsid w:val="00D50042"/>
    <w:rsid w:val="00D50504"/>
    <w:rsid w:val="00D5243B"/>
    <w:rsid w:val="00D533EC"/>
    <w:rsid w:val="00D537E6"/>
    <w:rsid w:val="00D538BD"/>
    <w:rsid w:val="00D53D6F"/>
    <w:rsid w:val="00D54985"/>
    <w:rsid w:val="00D5581D"/>
    <w:rsid w:val="00D5587D"/>
    <w:rsid w:val="00D5594F"/>
    <w:rsid w:val="00D56367"/>
    <w:rsid w:val="00D56A95"/>
    <w:rsid w:val="00D56F51"/>
    <w:rsid w:val="00D6076E"/>
    <w:rsid w:val="00D60A30"/>
    <w:rsid w:val="00D61F15"/>
    <w:rsid w:val="00D62894"/>
    <w:rsid w:val="00D62A08"/>
    <w:rsid w:val="00D62DF3"/>
    <w:rsid w:val="00D63B89"/>
    <w:rsid w:val="00D640B7"/>
    <w:rsid w:val="00D64750"/>
    <w:rsid w:val="00D64ED7"/>
    <w:rsid w:val="00D65621"/>
    <w:rsid w:val="00D66813"/>
    <w:rsid w:val="00D66CBB"/>
    <w:rsid w:val="00D67163"/>
    <w:rsid w:val="00D6734D"/>
    <w:rsid w:val="00D7019D"/>
    <w:rsid w:val="00D703C0"/>
    <w:rsid w:val="00D70DAB"/>
    <w:rsid w:val="00D70F16"/>
    <w:rsid w:val="00D710CC"/>
    <w:rsid w:val="00D71628"/>
    <w:rsid w:val="00D718CC"/>
    <w:rsid w:val="00D71B3E"/>
    <w:rsid w:val="00D71C6F"/>
    <w:rsid w:val="00D72617"/>
    <w:rsid w:val="00D72F57"/>
    <w:rsid w:val="00D732C2"/>
    <w:rsid w:val="00D73690"/>
    <w:rsid w:val="00D73A0D"/>
    <w:rsid w:val="00D73E00"/>
    <w:rsid w:val="00D74305"/>
    <w:rsid w:val="00D74D39"/>
    <w:rsid w:val="00D751FA"/>
    <w:rsid w:val="00D75DEF"/>
    <w:rsid w:val="00D76A44"/>
    <w:rsid w:val="00D77578"/>
    <w:rsid w:val="00D77C78"/>
    <w:rsid w:val="00D80AD0"/>
    <w:rsid w:val="00D80CBB"/>
    <w:rsid w:val="00D80EE6"/>
    <w:rsid w:val="00D80FFA"/>
    <w:rsid w:val="00D815EF"/>
    <w:rsid w:val="00D81949"/>
    <w:rsid w:val="00D81F26"/>
    <w:rsid w:val="00D822E2"/>
    <w:rsid w:val="00D82477"/>
    <w:rsid w:val="00D837FF"/>
    <w:rsid w:val="00D839FC"/>
    <w:rsid w:val="00D83A0A"/>
    <w:rsid w:val="00D840CB"/>
    <w:rsid w:val="00D843F2"/>
    <w:rsid w:val="00D845E5"/>
    <w:rsid w:val="00D86231"/>
    <w:rsid w:val="00D869CD"/>
    <w:rsid w:val="00D86B3C"/>
    <w:rsid w:val="00D871BF"/>
    <w:rsid w:val="00D87450"/>
    <w:rsid w:val="00D87811"/>
    <w:rsid w:val="00D87844"/>
    <w:rsid w:val="00D87F06"/>
    <w:rsid w:val="00D901BC"/>
    <w:rsid w:val="00D907A3"/>
    <w:rsid w:val="00D90899"/>
    <w:rsid w:val="00D90D49"/>
    <w:rsid w:val="00D912AB"/>
    <w:rsid w:val="00D913CC"/>
    <w:rsid w:val="00D916C8"/>
    <w:rsid w:val="00D918DC"/>
    <w:rsid w:val="00D91923"/>
    <w:rsid w:val="00D9242D"/>
    <w:rsid w:val="00D924D7"/>
    <w:rsid w:val="00D92C52"/>
    <w:rsid w:val="00D92D9D"/>
    <w:rsid w:val="00D93753"/>
    <w:rsid w:val="00D95829"/>
    <w:rsid w:val="00D9616D"/>
    <w:rsid w:val="00D96497"/>
    <w:rsid w:val="00D970E5"/>
    <w:rsid w:val="00D97176"/>
    <w:rsid w:val="00D973FB"/>
    <w:rsid w:val="00DA0513"/>
    <w:rsid w:val="00DA0D25"/>
    <w:rsid w:val="00DA2591"/>
    <w:rsid w:val="00DA2797"/>
    <w:rsid w:val="00DA2C6B"/>
    <w:rsid w:val="00DA3167"/>
    <w:rsid w:val="00DA3214"/>
    <w:rsid w:val="00DA3EDD"/>
    <w:rsid w:val="00DA474F"/>
    <w:rsid w:val="00DA4DC3"/>
    <w:rsid w:val="00DA56D7"/>
    <w:rsid w:val="00DA6E7F"/>
    <w:rsid w:val="00DA6F29"/>
    <w:rsid w:val="00DA6F6D"/>
    <w:rsid w:val="00DA74E0"/>
    <w:rsid w:val="00DA77A5"/>
    <w:rsid w:val="00DA79E9"/>
    <w:rsid w:val="00DA7C9B"/>
    <w:rsid w:val="00DB059E"/>
    <w:rsid w:val="00DB09E0"/>
    <w:rsid w:val="00DB0ADA"/>
    <w:rsid w:val="00DB0E36"/>
    <w:rsid w:val="00DB1120"/>
    <w:rsid w:val="00DB2402"/>
    <w:rsid w:val="00DB25AE"/>
    <w:rsid w:val="00DB2723"/>
    <w:rsid w:val="00DB2CB2"/>
    <w:rsid w:val="00DB3DBF"/>
    <w:rsid w:val="00DB484F"/>
    <w:rsid w:val="00DB49DD"/>
    <w:rsid w:val="00DB4AA6"/>
    <w:rsid w:val="00DB4B87"/>
    <w:rsid w:val="00DB648F"/>
    <w:rsid w:val="00DB69BE"/>
    <w:rsid w:val="00DB76AB"/>
    <w:rsid w:val="00DB7C76"/>
    <w:rsid w:val="00DB7CE7"/>
    <w:rsid w:val="00DC04F6"/>
    <w:rsid w:val="00DC0690"/>
    <w:rsid w:val="00DC1B8E"/>
    <w:rsid w:val="00DC1BA3"/>
    <w:rsid w:val="00DC1D65"/>
    <w:rsid w:val="00DC28E4"/>
    <w:rsid w:val="00DC343F"/>
    <w:rsid w:val="00DC3781"/>
    <w:rsid w:val="00DC3C57"/>
    <w:rsid w:val="00DC408A"/>
    <w:rsid w:val="00DC43A4"/>
    <w:rsid w:val="00DC485B"/>
    <w:rsid w:val="00DC5501"/>
    <w:rsid w:val="00DC5A02"/>
    <w:rsid w:val="00DC5DE4"/>
    <w:rsid w:val="00DC6B41"/>
    <w:rsid w:val="00DC7154"/>
    <w:rsid w:val="00DC7D36"/>
    <w:rsid w:val="00DC7E8A"/>
    <w:rsid w:val="00DC7EC2"/>
    <w:rsid w:val="00DD0993"/>
    <w:rsid w:val="00DD0F78"/>
    <w:rsid w:val="00DD0F85"/>
    <w:rsid w:val="00DD1A58"/>
    <w:rsid w:val="00DD1AE3"/>
    <w:rsid w:val="00DD208C"/>
    <w:rsid w:val="00DD273C"/>
    <w:rsid w:val="00DD2D03"/>
    <w:rsid w:val="00DD33E9"/>
    <w:rsid w:val="00DD35A8"/>
    <w:rsid w:val="00DD3F28"/>
    <w:rsid w:val="00DD41EF"/>
    <w:rsid w:val="00DD4446"/>
    <w:rsid w:val="00DD4537"/>
    <w:rsid w:val="00DD4632"/>
    <w:rsid w:val="00DD46BA"/>
    <w:rsid w:val="00DD4E15"/>
    <w:rsid w:val="00DD51C3"/>
    <w:rsid w:val="00DD52A8"/>
    <w:rsid w:val="00DD5339"/>
    <w:rsid w:val="00DD57B1"/>
    <w:rsid w:val="00DD58DE"/>
    <w:rsid w:val="00DD666C"/>
    <w:rsid w:val="00DD6804"/>
    <w:rsid w:val="00DD717D"/>
    <w:rsid w:val="00DD7B68"/>
    <w:rsid w:val="00DE0DEA"/>
    <w:rsid w:val="00DE0F46"/>
    <w:rsid w:val="00DE12B4"/>
    <w:rsid w:val="00DE1307"/>
    <w:rsid w:val="00DE1DA8"/>
    <w:rsid w:val="00DE2304"/>
    <w:rsid w:val="00DE2A65"/>
    <w:rsid w:val="00DE3138"/>
    <w:rsid w:val="00DE37F8"/>
    <w:rsid w:val="00DE4273"/>
    <w:rsid w:val="00DE4FCB"/>
    <w:rsid w:val="00DE5D07"/>
    <w:rsid w:val="00DE66B5"/>
    <w:rsid w:val="00DE6705"/>
    <w:rsid w:val="00DE72A7"/>
    <w:rsid w:val="00DE76EE"/>
    <w:rsid w:val="00DE7832"/>
    <w:rsid w:val="00DF0010"/>
    <w:rsid w:val="00DF0146"/>
    <w:rsid w:val="00DF0ED6"/>
    <w:rsid w:val="00DF14F3"/>
    <w:rsid w:val="00DF15FC"/>
    <w:rsid w:val="00DF1669"/>
    <w:rsid w:val="00DF18FC"/>
    <w:rsid w:val="00DF1BE7"/>
    <w:rsid w:val="00DF1D9E"/>
    <w:rsid w:val="00DF2F20"/>
    <w:rsid w:val="00DF2FC7"/>
    <w:rsid w:val="00DF316D"/>
    <w:rsid w:val="00DF4451"/>
    <w:rsid w:val="00DF4B3E"/>
    <w:rsid w:val="00DF52A2"/>
    <w:rsid w:val="00DF548D"/>
    <w:rsid w:val="00DF5D2B"/>
    <w:rsid w:val="00DF6341"/>
    <w:rsid w:val="00DF7A4A"/>
    <w:rsid w:val="00E005EC"/>
    <w:rsid w:val="00E00E8E"/>
    <w:rsid w:val="00E0198A"/>
    <w:rsid w:val="00E02065"/>
    <w:rsid w:val="00E023EE"/>
    <w:rsid w:val="00E031DD"/>
    <w:rsid w:val="00E03528"/>
    <w:rsid w:val="00E04A17"/>
    <w:rsid w:val="00E04C69"/>
    <w:rsid w:val="00E05135"/>
    <w:rsid w:val="00E05630"/>
    <w:rsid w:val="00E06170"/>
    <w:rsid w:val="00E0618D"/>
    <w:rsid w:val="00E06B1E"/>
    <w:rsid w:val="00E06DBB"/>
    <w:rsid w:val="00E07C23"/>
    <w:rsid w:val="00E10149"/>
    <w:rsid w:val="00E102F4"/>
    <w:rsid w:val="00E10540"/>
    <w:rsid w:val="00E10E0F"/>
    <w:rsid w:val="00E112BA"/>
    <w:rsid w:val="00E11340"/>
    <w:rsid w:val="00E121EF"/>
    <w:rsid w:val="00E122A1"/>
    <w:rsid w:val="00E13384"/>
    <w:rsid w:val="00E13411"/>
    <w:rsid w:val="00E14218"/>
    <w:rsid w:val="00E14704"/>
    <w:rsid w:val="00E14D30"/>
    <w:rsid w:val="00E15504"/>
    <w:rsid w:val="00E1563C"/>
    <w:rsid w:val="00E16372"/>
    <w:rsid w:val="00E16AD8"/>
    <w:rsid w:val="00E16CBA"/>
    <w:rsid w:val="00E16F24"/>
    <w:rsid w:val="00E16FCA"/>
    <w:rsid w:val="00E17BDB"/>
    <w:rsid w:val="00E17FFA"/>
    <w:rsid w:val="00E20423"/>
    <w:rsid w:val="00E20E4D"/>
    <w:rsid w:val="00E20ED1"/>
    <w:rsid w:val="00E20ED6"/>
    <w:rsid w:val="00E21358"/>
    <w:rsid w:val="00E21523"/>
    <w:rsid w:val="00E2249B"/>
    <w:rsid w:val="00E22A0D"/>
    <w:rsid w:val="00E2322E"/>
    <w:rsid w:val="00E240E4"/>
    <w:rsid w:val="00E2412C"/>
    <w:rsid w:val="00E244F6"/>
    <w:rsid w:val="00E24597"/>
    <w:rsid w:val="00E24BFE"/>
    <w:rsid w:val="00E2589C"/>
    <w:rsid w:val="00E258DB"/>
    <w:rsid w:val="00E26575"/>
    <w:rsid w:val="00E266D9"/>
    <w:rsid w:val="00E271AB"/>
    <w:rsid w:val="00E2771E"/>
    <w:rsid w:val="00E279A9"/>
    <w:rsid w:val="00E27AAC"/>
    <w:rsid w:val="00E27BFC"/>
    <w:rsid w:val="00E306BE"/>
    <w:rsid w:val="00E311EF"/>
    <w:rsid w:val="00E315E8"/>
    <w:rsid w:val="00E32180"/>
    <w:rsid w:val="00E32BD9"/>
    <w:rsid w:val="00E342A6"/>
    <w:rsid w:val="00E34948"/>
    <w:rsid w:val="00E34D63"/>
    <w:rsid w:val="00E36659"/>
    <w:rsid w:val="00E3702C"/>
    <w:rsid w:val="00E37569"/>
    <w:rsid w:val="00E401B2"/>
    <w:rsid w:val="00E40415"/>
    <w:rsid w:val="00E405E1"/>
    <w:rsid w:val="00E40898"/>
    <w:rsid w:val="00E41E30"/>
    <w:rsid w:val="00E42F73"/>
    <w:rsid w:val="00E4318D"/>
    <w:rsid w:val="00E438C5"/>
    <w:rsid w:val="00E43D70"/>
    <w:rsid w:val="00E44F68"/>
    <w:rsid w:val="00E45985"/>
    <w:rsid w:val="00E45D99"/>
    <w:rsid w:val="00E466F3"/>
    <w:rsid w:val="00E467C7"/>
    <w:rsid w:val="00E46D81"/>
    <w:rsid w:val="00E47B2C"/>
    <w:rsid w:val="00E507FF"/>
    <w:rsid w:val="00E50E85"/>
    <w:rsid w:val="00E511AA"/>
    <w:rsid w:val="00E51373"/>
    <w:rsid w:val="00E5144B"/>
    <w:rsid w:val="00E51560"/>
    <w:rsid w:val="00E51821"/>
    <w:rsid w:val="00E51D42"/>
    <w:rsid w:val="00E520F6"/>
    <w:rsid w:val="00E536B6"/>
    <w:rsid w:val="00E53FC8"/>
    <w:rsid w:val="00E54347"/>
    <w:rsid w:val="00E5513F"/>
    <w:rsid w:val="00E55424"/>
    <w:rsid w:val="00E55915"/>
    <w:rsid w:val="00E55BB5"/>
    <w:rsid w:val="00E56BC3"/>
    <w:rsid w:val="00E56F9B"/>
    <w:rsid w:val="00E57BB2"/>
    <w:rsid w:val="00E57EA8"/>
    <w:rsid w:val="00E60B8C"/>
    <w:rsid w:val="00E611DF"/>
    <w:rsid w:val="00E613C5"/>
    <w:rsid w:val="00E6167D"/>
    <w:rsid w:val="00E618C5"/>
    <w:rsid w:val="00E62DF7"/>
    <w:rsid w:val="00E63638"/>
    <w:rsid w:val="00E64EBD"/>
    <w:rsid w:val="00E65052"/>
    <w:rsid w:val="00E65E79"/>
    <w:rsid w:val="00E66BA2"/>
    <w:rsid w:val="00E67416"/>
    <w:rsid w:val="00E67D74"/>
    <w:rsid w:val="00E67E78"/>
    <w:rsid w:val="00E708AD"/>
    <w:rsid w:val="00E71851"/>
    <w:rsid w:val="00E718B6"/>
    <w:rsid w:val="00E72298"/>
    <w:rsid w:val="00E722EC"/>
    <w:rsid w:val="00E723BA"/>
    <w:rsid w:val="00E72520"/>
    <w:rsid w:val="00E72EF5"/>
    <w:rsid w:val="00E73581"/>
    <w:rsid w:val="00E74F46"/>
    <w:rsid w:val="00E7529B"/>
    <w:rsid w:val="00E75668"/>
    <w:rsid w:val="00E76B42"/>
    <w:rsid w:val="00E77D3C"/>
    <w:rsid w:val="00E8007C"/>
    <w:rsid w:val="00E80311"/>
    <w:rsid w:val="00E80387"/>
    <w:rsid w:val="00E80BCC"/>
    <w:rsid w:val="00E814D5"/>
    <w:rsid w:val="00E81DBB"/>
    <w:rsid w:val="00E825C3"/>
    <w:rsid w:val="00E829EF"/>
    <w:rsid w:val="00E831D1"/>
    <w:rsid w:val="00E833F7"/>
    <w:rsid w:val="00E83BDF"/>
    <w:rsid w:val="00E84488"/>
    <w:rsid w:val="00E84858"/>
    <w:rsid w:val="00E84B7E"/>
    <w:rsid w:val="00E860BB"/>
    <w:rsid w:val="00E86579"/>
    <w:rsid w:val="00E86FCC"/>
    <w:rsid w:val="00E87852"/>
    <w:rsid w:val="00E87A1D"/>
    <w:rsid w:val="00E87E86"/>
    <w:rsid w:val="00E9094A"/>
    <w:rsid w:val="00E90FDA"/>
    <w:rsid w:val="00E91C04"/>
    <w:rsid w:val="00E91D35"/>
    <w:rsid w:val="00E92548"/>
    <w:rsid w:val="00E926A5"/>
    <w:rsid w:val="00E92A3F"/>
    <w:rsid w:val="00E93180"/>
    <w:rsid w:val="00E93300"/>
    <w:rsid w:val="00E937D8"/>
    <w:rsid w:val="00E943B2"/>
    <w:rsid w:val="00E94C8F"/>
    <w:rsid w:val="00E962CC"/>
    <w:rsid w:val="00E96E25"/>
    <w:rsid w:val="00E97E8C"/>
    <w:rsid w:val="00EA0C69"/>
    <w:rsid w:val="00EA110D"/>
    <w:rsid w:val="00EA17C3"/>
    <w:rsid w:val="00EA1DCB"/>
    <w:rsid w:val="00EA2CAA"/>
    <w:rsid w:val="00EA3563"/>
    <w:rsid w:val="00EA37BF"/>
    <w:rsid w:val="00EA3864"/>
    <w:rsid w:val="00EA409C"/>
    <w:rsid w:val="00EA4180"/>
    <w:rsid w:val="00EA479F"/>
    <w:rsid w:val="00EA5986"/>
    <w:rsid w:val="00EA73A3"/>
    <w:rsid w:val="00EA7F1C"/>
    <w:rsid w:val="00EB0048"/>
    <w:rsid w:val="00EB0078"/>
    <w:rsid w:val="00EB15B6"/>
    <w:rsid w:val="00EB1652"/>
    <w:rsid w:val="00EB28DE"/>
    <w:rsid w:val="00EB28FA"/>
    <w:rsid w:val="00EB3085"/>
    <w:rsid w:val="00EB33F8"/>
    <w:rsid w:val="00EB3D06"/>
    <w:rsid w:val="00EB4916"/>
    <w:rsid w:val="00EB5403"/>
    <w:rsid w:val="00EB559D"/>
    <w:rsid w:val="00EB5B3F"/>
    <w:rsid w:val="00EB5C50"/>
    <w:rsid w:val="00EB619C"/>
    <w:rsid w:val="00EB627B"/>
    <w:rsid w:val="00EB64EB"/>
    <w:rsid w:val="00EB676E"/>
    <w:rsid w:val="00EB6E54"/>
    <w:rsid w:val="00EC00C9"/>
    <w:rsid w:val="00EC0DD9"/>
    <w:rsid w:val="00EC1EE8"/>
    <w:rsid w:val="00EC21A7"/>
    <w:rsid w:val="00EC21D5"/>
    <w:rsid w:val="00EC2649"/>
    <w:rsid w:val="00EC319C"/>
    <w:rsid w:val="00EC31ED"/>
    <w:rsid w:val="00EC55DB"/>
    <w:rsid w:val="00EC55FE"/>
    <w:rsid w:val="00EC57C7"/>
    <w:rsid w:val="00EC5836"/>
    <w:rsid w:val="00EC5887"/>
    <w:rsid w:val="00EC60C8"/>
    <w:rsid w:val="00EC63C2"/>
    <w:rsid w:val="00EC688C"/>
    <w:rsid w:val="00EC696A"/>
    <w:rsid w:val="00EC6E25"/>
    <w:rsid w:val="00ED0121"/>
    <w:rsid w:val="00ED0CBB"/>
    <w:rsid w:val="00ED0DB1"/>
    <w:rsid w:val="00ED12E3"/>
    <w:rsid w:val="00ED1CF0"/>
    <w:rsid w:val="00ED2509"/>
    <w:rsid w:val="00ED28A1"/>
    <w:rsid w:val="00ED3A4C"/>
    <w:rsid w:val="00ED4222"/>
    <w:rsid w:val="00ED47D7"/>
    <w:rsid w:val="00ED49B3"/>
    <w:rsid w:val="00ED4B04"/>
    <w:rsid w:val="00ED4DF0"/>
    <w:rsid w:val="00ED4EF6"/>
    <w:rsid w:val="00ED525F"/>
    <w:rsid w:val="00ED57EA"/>
    <w:rsid w:val="00ED5B46"/>
    <w:rsid w:val="00ED5BD4"/>
    <w:rsid w:val="00ED6CA1"/>
    <w:rsid w:val="00ED7B84"/>
    <w:rsid w:val="00EE07D3"/>
    <w:rsid w:val="00EE1996"/>
    <w:rsid w:val="00EE1C01"/>
    <w:rsid w:val="00EE2039"/>
    <w:rsid w:val="00EE22AF"/>
    <w:rsid w:val="00EE2552"/>
    <w:rsid w:val="00EE2D79"/>
    <w:rsid w:val="00EE35F6"/>
    <w:rsid w:val="00EE4183"/>
    <w:rsid w:val="00EE482A"/>
    <w:rsid w:val="00EE4A51"/>
    <w:rsid w:val="00EE4AB0"/>
    <w:rsid w:val="00EE52B8"/>
    <w:rsid w:val="00EE6156"/>
    <w:rsid w:val="00EE63D9"/>
    <w:rsid w:val="00EE6652"/>
    <w:rsid w:val="00EE70E2"/>
    <w:rsid w:val="00EF0171"/>
    <w:rsid w:val="00EF14B9"/>
    <w:rsid w:val="00EF1B25"/>
    <w:rsid w:val="00EF1DA0"/>
    <w:rsid w:val="00EF2116"/>
    <w:rsid w:val="00EF27B0"/>
    <w:rsid w:val="00EF2D89"/>
    <w:rsid w:val="00EF3A30"/>
    <w:rsid w:val="00EF42DD"/>
    <w:rsid w:val="00EF4659"/>
    <w:rsid w:val="00EF4747"/>
    <w:rsid w:val="00EF47AA"/>
    <w:rsid w:val="00EF4BF8"/>
    <w:rsid w:val="00EF4C12"/>
    <w:rsid w:val="00EF4C4A"/>
    <w:rsid w:val="00EF4DFD"/>
    <w:rsid w:val="00EF4EBB"/>
    <w:rsid w:val="00EF50D7"/>
    <w:rsid w:val="00EF5EDB"/>
    <w:rsid w:val="00F0007E"/>
    <w:rsid w:val="00F02253"/>
    <w:rsid w:val="00F0326E"/>
    <w:rsid w:val="00F035F7"/>
    <w:rsid w:val="00F03C2E"/>
    <w:rsid w:val="00F040B8"/>
    <w:rsid w:val="00F04A37"/>
    <w:rsid w:val="00F04A66"/>
    <w:rsid w:val="00F04B4B"/>
    <w:rsid w:val="00F04FF8"/>
    <w:rsid w:val="00F0516C"/>
    <w:rsid w:val="00F054CD"/>
    <w:rsid w:val="00F056F3"/>
    <w:rsid w:val="00F0600A"/>
    <w:rsid w:val="00F064DB"/>
    <w:rsid w:val="00F065E5"/>
    <w:rsid w:val="00F067A2"/>
    <w:rsid w:val="00F06980"/>
    <w:rsid w:val="00F072F3"/>
    <w:rsid w:val="00F07907"/>
    <w:rsid w:val="00F07B9E"/>
    <w:rsid w:val="00F1116F"/>
    <w:rsid w:val="00F112AA"/>
    <w:rsid w:val="00F12361"/>
    <w:rsid w:val="00F1263A"/>
    <w:rsid w:val="00F12FBE"/>
    <w:rsid w:val="00F139C5"/>
    <w:rsid w:val="00F13D9E"/>
    <w:rsid w:val="00F145B9"/>
    <w:rsid w:val="00F148F9"/>
    <w:rsid w:val="00F14FF3"/>
    <w:rsid w:val="00F15B77"/>
    <w:rsid w:val="00F20629"/>
    <w:rsid w:val="00F21236"/>
    <w:rsid w:val="00F2171D"/>
    <w:rsid w:val="00F21D47"/>
    <w:rsid w:val="00F2204D"/>
    <w:rsid w:val="00F22839"/>
    <w:rsid w:val="00F22C73"/>
    <w:rsid w:val="00F22CB3"/>
    <w:rsid w:val="00F234D0"/>
    <w:rsid w:val="00F234E6"/>
    <w:rsid w:val="00F239DF"/>
    <w:rsid w:val="00F23BC7"/>
    <w:rsid w:val="00F23D12"/>
    <w:rsid w:val="00F23E0A"/>
    <w:rsid w:val="00F247D3"/>
    <w:rsid w:val="00F24837"/>
    <w:rsid w:val="00F2509C"/>
    <w:rsid w:val="00F253DE"/>
    <w:rsid w:val="00F255F4"/>
    <w:rsid w:val="00F25603"/>
    <w:rsid w:val="00F2575F"/>
    <w:rsid w:val="00F25A08"/>
    <w:rsid w:val="00F25B92"/>
    <w:rsid w:val="00F25BB7"/>
    <w:rsid w:val="00F262B2"/>
    <w:rsid w:val="00F26F1B"/>
    <w:rsid w:val="00F26FC0"/>
    <w:rsid w:val="00F2716D"/>
    <w:rsid w:val="00F27262"/>
    <w:rsid w:val="00F27565"/>
    <w:rsid w:val="00F27713"/>
    <w:rsid w:val="00F30DF9"/>
    <w:rsid w:val="00F310D4"/>
    <w:rsid w:val="00F31D5A"/>
    <w:rsid w:val="00F322D7"/>
    <w:rsid w:val="00F32E73"/>
    <w:rsid w:val="00F33112"/>
    <w:rsid w:val="00F33580"/>
    <w:rsid w:val="00F33975"/>
    <w:rsid w:val="00F33DE9"/>
    <w:rsid w:val="00F3479A"/>
    <w:rsid w:val="00F3492F"/>
    <w:rsid w:val="00F35E6D"/>
    <w:rsid w:val="00F3619A"/>
    <w:rsid w:val="00F367EA"/>
    <w:rsid w:val="00F36AC8"/>
    <w:rsid w:val="00F36E27"/>
    <w:rsid w:val="00F3733D"/>
    <w:rsid w:val="00F4021D"/>
    <w:rsid w:val="00F40AAA"/>
    <w:rsid w:val="00F40BA7"/>
    <w:rsid w:val="00F40F9D"/>
    <w:rsid w:val="00F41744"/>
    <w:rsid w:val="00F41ACD"/>
    <w:rsid w:val="00F41D6B"/>
    <w:rsid w:val="00F42BEF"/>
    <w:rsid w:val="00F432CE"/>
    <w:rsid w:val="00F43F5B"/>
    <w:rsid w:val="00F44F9A"/>
    <w:rsid w:val="00F4604A"/>
    <w:rsid w:val="00F46CB6"/>
    <w:rsid w:val="00F4756D"/>
    <w:rsid w:val="00F47A30"/>
    <w:rsid w:val="00F47DE8"/>
    <w:rsid w:val="00F5000A"/>
    <w:rsid w:val="00F503F6"/>
    <w:rsid w:val="00F51426"/>
    <w:rsid w:val="00F51442"/>
    <w:rsid w:val="00F515C4"/>
    <w:rsid w:val="00F5260E"/>
    <w:rsid w:val="00F536E9"/>
    <w:rsid w:val="00F53D42"/>
    <w:rsid w:val="00F542C1"/>
    <w:rsid w:val="00F550E3"/>
    <w:rsid w:val="00F55E73"/>
    <w:rsid w:val="00F55EDA"/>
    <w:rsid w:val="00F568C7"/>
    <w:rsid w:val="00F56A56"/>
    <w:rsid w:val="00F56C80"/>
    <w:rsid w:val="00F60092"/>
    <w:rsid w:val="00F611CC"/>
    <w:rsid w:val="00F61435"/>
    <w:rsid w:val="00F61934"/>
    <w:rsid w:val="00F61C18"/>
    <w:rsid w:val="00F61E9C"/>
    <w:rsid w:val="00F628AD"/>
    <w:rsid w:val="00F6337B"/>
    <w:rsid w:val="00F6400E"/>
    <w:rsid w:val="00F64D17"/>
    <w:rsid w:val="00F65712"/>
    <w:rsid w:val="00F659DE"/>
    <w:rsid w:val="00F65B31"/>
    <w:rsid w:val="00F65F4B"/>
    <w:rsid w:val="00F66955"/>
    <w:rsid w:val="00F66D70"/>
    <w:rsid w:val="00F6734A"/>
    <w:rsid w:val="00F67A69"/>
    <w:rsid w:val="00F67A87"/>
    <w:rsid w:val="00F70B2A"/>
    <w:rsid w:val="00F70BFF"/>
    <w:rsid w:val="00F70C9D"/>
    <w:rsid w:val="00F70E85"/>
    <w:rsid w:val="00F71FAC"/>
    <w:rsid w:val="00F72B8F"/>
    <w:rsid w:val="00F72DDB"/>
    <w:rsid w:val="00F73E08"/>
    <w:rsid w:val="00F73FD3"/>
    <w:rsid w:val="00F74181"/>
    <w:rsid w:val="00F74241"/>
    <w:rsid w:val="00F74441"/>
    <w:rsid w:val="00F74771"/>
    <w:rsid w:val="00F748AA"/>
    <w:rsid w:val="00F74CD9"/>
    <w:rsid w:val="00F74EC9"/>
    <w:rsid w:val="00F74F4D"/>
    <w:rsid w:val="00F7667C"/>
    <w:rsid w:val="00F76CA6"/>
    <w:rsid w:val="00F76CD8"/>
    <w:rsid w:val="00F77067"/>
    <w:rsid w:val="00F774EF"/>
    <w:rsid w:val="00F77C60"/>
    <w:rsid w:val="00F80A7B"/>
    <w:rsid w:val="00F80ACD"/>
    <w:rsid w:val="00F80E5D"/>
    <w:rsid w:val="00F811C9"/>
    <w:rsid w:val="00F815CA"/>
    <w:rsid w:val="00F81E78"/>
    <w:rsid w:val="00F827C2"/>
    <w:rsid w:val="00F828AC"/>
    <w:rsid w:val="00F83916"/>
    <w:rsid w:val="00F83C4A"/>
    <w:rsid w:val="00F851CE"/>
    <w:rsid w:val="00F85229"/>
    <w:rsid w:val="00F863A1"/>
    <w:rsid w:val="00F86459"/>
    <w:rsid w:val="00F879B2"/>
    <w:rsid w:val="00F87E5D"/>
    <w:rsid w:val="00F903F8"/>
    <w:rsid w:val="00F90BD3"/>
    <w:rsid w:val="00F91219"/>
    <w:rsid w:val="00F92444"/>
    <w:rsid w:val="00F924F5"/>
    <w:rsid w:val="00F93188"/>
    <w:rsid w:val="00F9393E"/>
    <w:rsid w:val="00F93E26"/>
    <w:rsid w:val="00F94543"/>
    <w:rsid w:val="00F94616"/>
    <w:rsid w:val="00F94FB0"/>
    <w:rsid w:val="00F95BDB"/>
    <w:rsid w:val="00F95C17"/>
    <w:rsid w:val="00F96570"/>
    <w:rsid w:val="00F96FD0"/>
    <w:rsid w:val="00F97157"/>
    <w:rsid w:val="00F97A78"/>
    <w:rsid w:val="00FA0B20"/>
    <w:rsid w:val="00FA10E5"/>
    <w:rsid w:val="00FA132B"/>
    <w:rsid w:val="00FA24E7"/>
    <w:rsid w:val="00FA27A1"/>
    <w:rsid w:val="00FA2B82"/>
    <w:rsid w:val="00FA3B1A"/>
    <w:rsid w:val="00FA5181"/>
    <w:rsid w:val="00FA5DD0"/>
    <w:rsid w:val="00FA5EE6"/>
    <w:rsid w:val="00FA6068"/>
    <w:rsid w:val="00FA6083"/>
    <w:rsid w:val="00FA6169"/>
    <w:rsid w:val="00FA6AAC"/>
    <w:rsid w:val="00FA7956"/>
    <w:rsid w:val="00FA7BF7"/>
    <w:rsid w:val="00FB0397"/>
    <w:rsid w:val="00FB0824"/>
    <w:rsid w:val="00FB1653"/>
    <w:rsid w:val="00FB2133"/>
    <w:rsid w:val="00FB2354"/>
    <w:rsid w:val="00FB29EE"/>
    <w:rsid w:val="00FB2FCB"/>
    <w:rsid w:val="00FB31FE"/>
    <w:rsid w:val="00FB3D7F"/>
    <w:rsid w:val="00FB4AC1"/>
    <w:rsid w:val="00FB4C9C"/>
    <w:rsid w:val="00FB52F5"/>
    <w:rsid w:val="00FB5DC6"/>
    <w:rsid w:val="00FB63D1"/>
    <w:rsid w:val="00FB6F2D"/>
    <w:rsid w:val="00FB7234"/>
    <w:rsid w:val="00FB7C55"/>
    <w:rsid w:val="00FC1074"/>
    <w:rsid w:val="00FC1198"/>
    <w:rsid w:val="00FC1222"/>
    <w:rsid w:val="00FC16BA"/>
    <w:rsid w:val="00FC1884"/>
    <w:rsid w:val="00FC1DCD"/>
    <w:rsid w:val="00FC1EBE"/>
    <w:rsid w:val="00FC2D7A"/>
    <w:rsid w:val="00FC371D"/>
    <w:rsid w:val="00FC4E16"/>
    <w:rsid w:val="00FC526B"/>
    <w:rsid w:val="00FC5B1B"/>
    <w:rsid w:val="00FC5F0B"/>
    <w:rsid w:val="00FC707A"/>
    <w:rsid w:val="00FC780B"/>
    <w:rsid w:val="00FD0489"/>
    <w:rsid w:val="00FD1A6B"/>
    <w:rsid w:val="00FD2100"/>
    <w:rsid w:val="00FD33BB"/>
    <w:rsid w:val="00FD3908"/>
    <w:rsid w:val="00FD40CF"/>
    <w:rsid w:val="00FD410B"/>
    <w:rsid w:val="00FD436C"/>
    <w:rsid w:val="00FD446D"/>
    <w:rsid w:val="00FD4F2C"/>
    <w:rsid w:val="00FD6394"/>
    <w:rsid w:val="00FD73DF"/>
    <w:rsid w:val="00FD747F"/>
    <w:rsid w:val="00FD7EE5"/>
    <w:rsid w:val="00FE0687"/>
    <w:rsid w:val="00FE0E6C"/>
    <w:rsid w:val="00FE16DC"/>
    <w:rsid w:val="00FE1758"/>
    <w:rsid w:val="00FE1CDC"/>
    <w:rsid w:val="00FE1E38"/>
    <w:rsid w:val="00FE2471"/>
    <w:rsid w:val="00FE2599"/>
    <w:rsid w:val="00FE3AB9"/>
    <w:rsid w:val="00FE43C6"/>
    <w:rsid w:val="00FE4B5F"/>
    <w:rsid w:val="00FE5641"/>
    <w:rsid w:val="00FE5F1A"/>
    <w:rsid w:val="00FE6564"/>
    <w:rsid w:val="00FE704A"/>
    <w:rsid w:val="00FE70C3"/>
    <w:rsid w:val="00FE7A79"/>
    <w:rsid w:val="00FE7BBD"/>
    <w:rsid w:val="00FF0B85"/>
    <w:rsid w:val="00FF0E18"/>
    <w:rsid w:val="00FF1A8B"/>
    <w:rsid w:val="00FF1E24"/>
    <w:rsid w:val="00FF2AD9"/>
    <w:rsid w:val="00FF359F"/>
    <w:rsid w:val="00FF3C7C"/>
    <w:rsid w:val="00FF3DCF"/>
    <w:rsid w:val="00FF492C"/>
    <w:rsid w:val="00FF4A21"/>
    <w:rsid w:val="00FF517C"/>
    <w:rsid w:val="00FF5AA3"/>
    <w:rsid w:val="00FF5AD8"/>
    <w:rsid w:val="00FF60A6"/>
    <w:rsid w:val="00FF6A41"/>
    <w:rsid w:val="00FF6B46"/>
    <w:rsid w:val="00FF7395"/>
    <w:rsid w:val="0105EFC3"/>
    <w:rsid w:val="0182F800"/>
    <w:rsid w:val="0211DC3E"/>
    <w:rsid w:val="02986009"/>
    <w:rsid w:val="0489E2B0"/>
    <w:rsid w:val="04B0EE18"/>
    <w:rsid w:val="04D682A8"/>
    <w:rsid w:val="051AA733"/>
    <w:rsid w:val="0564FCBC"/>
    <w:rsid w:val="058E4A3A"/>
    <w:rsid w:val="05E0914C"/>
    <w:rsid w:val="0739083F"/>
    <w:rsid w:val="094DEA18"/>
    <w:rsid w:val="0B2B10FC"/>
    <w:rsid w:val="0C9CACCA"/>
    <w:rsid w:val="0CC2B708"/>
    <w:rsid w:val="0D762941"/>
    <w:rsid w:val="0DB81CF0"/>
    <w:rsid w:val="0E2645C3"/>
    <w:rsid w:val="0E4E85C2"/>
    <w:rsid w:val="0E81A30C"/>
    <w:rsid w:val="0EF07488"/>
    <w:rsid w:val="0F0A5F0B"/>
    <w:rsid w:val="0F64B20D"/>
    <w:rsid w:val="102E2334"/>
    <w:rsid w:val="1102E7B2"/>
    <w:rsid w:val="11EAA87F"/>
    <w:rsid w:val="11EE9AA4"/>
    <w:rsid w:val="121A7C79"/>
    <w:rsid w:val="126454EC"/>
    <w:rsid w:val="13B77078"/>
    <w:rsid w:val="147E12D9"/>
    <w:rsid w:val="15510598"/>
    <w:rsid w:val="164FFB35"/>
    <w:rsid w:val="16ABF112"/>
    <w:rsid w:val="173E1150"/>
    <w:rsid w:val="181BCFEC"/>
    <w:rsid w:val="1833738C"/>
    <w:rsid w:val="184AFF6E"/>
    <w:rsid w:val="1981DC9D"/>
    <w:rsid w:val="1A728E43"/>
    <w:rsid w:val="1BA22EEE"/>
    <w:rsid w:val="1D46BF65"/>
    <w:rsid w:val="1D662244"/>
    <w:rsid w:val="1DC5A138"/>
    <w:rsid w:val="1E3E3382"/>
    <w:rsid w:val="1EB80A61"/>
    <w:rsid w:val="1FC023E9"/>
    <w:rsid w:val="1FC1CC50"/>
    <w:rsid w:val="1FF9689F"/>
    <w:rsid w:val="20062EAD"/>
    <w:rsid w:val="202A16C5"/>
    <w:rsid w:val="206B63BE"/>
    <w:rsid w:val="208F3987"/>
    <w:rsid w:val="21ADF3C0"/>
    <w:rsid w:val="21D4E776"/>
    <w:rsid w:val="227BB95C"/>
    <w:rsid w:val="2292D18F"/>
    <w:rsid w:val="23164727"/>
    <w:rsid w:val="23495FC3"/>
    <w:rsid w:val="23BF43E3"/>
    <w:rsid w:val="24C2F271"/>
    <w:rsid w:val="24EA0EFC"/>
    <w:rsid w:val="26403EC0"/>
    <w:rsid w:val="2650071C"/>
    <w:rsid w:val="2697AD48"/>
    <w:rsid w:val="2722DFB8"/>
    <w:rsid w:val="274F0029"/>
    <w:rsid w:val="2781491A"/>
    <w:rsid w:val="278AF408"/>
    <w:rsid w:val="27CE3742"/>
    <w:rsid w:val="28CBDAD3"/>
    <w:rsid w:val="28CF5E21"/>
    <w:rsid w:val="291D3CD1"/>
    <w:rsid w:val="291D5B0B"/>
    <w:rsid w:val="2941140D"/>
    <w:rsid w:val="2A627FCB"/>
    <w:rsid w:val="2A76990F"/>
    <w:rsid w:val="2AFEAD76"/>
    <w:rsid w:val="2B6B6BA9"/>
    <w:rsid w:val="2C295234"/>
    <w:rsid w:val="2C2EB233"/>
    <w:rsid w:val="2C7540F2"/>
    <w:rsid w:val="2C7CAEDE"/>
    <w:rsid w:val="2C9B822B"/>
    <w:rsid w:val="2D01F0B4"/>
    <w:rsid w:val="2D52ECBD"/>
    <w:rsid w:val="2DF8D42B"/>
    <w:rsid w:val="2E4777D9"/>
    <w:rsid w:val="2E57A6DB"/>
    <w:rsid w:val="2E75FA8B"/>
    <w:rsid w:val="2E9B5A30"/>
    <w:rsid w:val="2EB4CEC4"/>
    <w:rsid w:val="2EC0652E"/>
    <w:rsid w:val="2ECDBC08"/>
    <w:rsid w:val="2EEA2B4E"/>
    <w:rsid w:val="2F2C9F4C"/>
    <w:rsid w:val="2F378ED2"/>
    <w:rsid w:val="2F98912D"/>
    <w:rsid w:val="2FC443AF"/>
    <w:rsid w:val="3094DD78"/>
    <w:rsid w:val="315B7591"/>
    <w:rsid w:val="3194FDFB"/>
    <w:rsid w:val="31DC5404"/>
    <w:rsid w:val="324C01F1"/>
    <w:rsid w:val="32797721"/>
    <w:rsid w:val="3420F49C"/>
    <w:rsid w:val="34570E1D"/>
    <w:rsid w:val="35CEBD8E"/>
    <w:rsid w:val="36901FDE"/>
    <w:rsid w:val="36B6759C"/>
    <w:rsid w:val="37E0AA4B"/>
    <w:rsid w:val="385FA9F9"/>
    <w:rsid w:val="38A58CC3"/>
    <w:rsid w:val="3905BF9F"/>
    <w:rsid w:val="397E4320"/>
    <w:rsid w:val="3A1554EA"/>
    <w:rsid w:val="3AD98A98"/>
    <w:rsid w:val="3ADB5772"/>
    <w:rsid w:val="3AE3E693"/>
    <w:rsid w:val="3B67F27F"/>
    <w:rsid w:val="3B8C1E28"/>
    <w:rsid w:val="3B9D83EF"/>
    <w:rsid w:val="3BAA3245"/>
    <w:rsid w:val="3BD46E45"/>
    <w:rsid w:val="3C507737"/>
    <w:rsid w:val="3CC78656"/>
    <w:rsid w:val="3CFC1A22"/>
    <w:rsid w:val="3D2A6F22"/>
    <w:rsid w:val="3D5CCE56"/>
    <w:rsid w:val="3DA8BA6C"/>
    <w:rsid w:val="3DC94713"/>
    <w:rsid w:val="3E7500C7"/>
    <w:rsid w:val="3EB1889D"/>
    <w:rsid w:val="3F9F8183"/>
    <w:rsid w:val="40DCAD1E"/>
    <w:rsid w:val="40E06216"/>
    <w:rsid w:val="410FE4BE"/>
    <w:rsid w:val="42BF2AE8"/>
    <w:rsid w:val="42E34B19"/>
    <w:rsid w:val="432CF696"/>
    <w:rsid w:val="4382BBA9"/>
    <w:rsid w:val="43DC8587"/>
    <w:rsid w:val="44CAF8DF"/>
    <w:rsid w:val="44FFD5E0"/>
    <w:rsid w:val="45089A27"/>
    <w:rsid w:val="457AEF53"/>
    <w:rsid w:val="46209C98"/>
    <w:rsid w:val="4620E786"/>
    <w:rsid w:val="46F90CE1"/>
    <w:rsid w:val="475DDCDA"/>
    <w:rsid w:val="490B60D9"/>
    <w:rsid w:val="496ADAE7"/>
    <w:rsid w:val="49D76B06"/>
    <w:rsid w:val="4A374DF5"/>
    <w:rsid w:val="4B0E448D"/>
    <w:rsid w:val="4B9A0F6A"/>
    <w:rsid w:val="4BBFFDC9"/>
    <w:rsid w:val="4BF404E0"/>
    <w:rsid w:val="4C1FAA6C"/>
    <w:rsid w:val="4C21461D"/>
    <w:rsid w:val="4C55A2CA"/>
    <w:rsid w:val="4CC5A1CD"/>
    <w:rsid w:val="4CD08E5A"/>
    <w:rsid w:val="4E963F78"/>
    <w:rsid w:val="4FC94D67"/>
    <w:rsid w:val="4FDF46B7"/>
    <w:rsid w:val="501E9577"/>
    <w:rsid w:val="50B411D5"/>
    <w:rsid w:val="514DEB4B"/>
    <w:rsid w:val="519E1E6E"/>
    <w:rsid w:val="51F6EDC8"/>
    <w:rsid w:val="520C1044"/>
    <w:rsid w:val="536D6DAB"/>
    <w:rsid w:val="53C848D7"/>
    <w:rsid w:val="53D4556E"/>
    <w:rsid w:val="53FD432B"/>
    <w:rsid w:val="54142F77"/>
    <w:rsid w:val="54184A7B"/>
    <w:rsid w:val="54F41DB8"/>
    <w:rsid w:val="5521F920"/>
    <w:rsid w:val="55939601"/>
    <w:rsid w:val="55961511"/>
    <w:rsid w:val="569A280C"/>
    <w:rsid w:val="56A3A6A5"/>
    <w:rsid w:val="56B35ECF"/>
    <w:rsid w:val="575C2898"/>
    <w:rsid w:val="5792DC82"/>
    <w:rsid w:val="57A7C9B5"/>
    <w:rsid w:val="5824B6E2"/>
    <w:rsid w:val="58590E05"/>
    <w:rsid w:val="592EFA7E"/>
    <w:rsid w:val="59D68D75"/>
    <w:rsid w:val="5A5B48F0"/>
    <w:rsid w:val="5AB175DE"/>
    <w:rsid w:val="5AD94693"/>
    <w:rsid w:val="5B0C7CF4"/>
    <w:rsid w:val="5B5B2B81"/>
    <w:rsid w:val="5BF50992"/>
    <w:rsid w:val="5C22C81D"/>
    <w:rsid w:val="5D0FC659"/>
    <w:rsid w:val="5D232B66"/>
    <w:rsid w:val="5D31C07D"/>
    <w:rsid w:val="5EA64B82"/>
    <w:rsid w:val="5F160E06"/>
    <w:rsid w:val="603E3086"/>
    <w:rsid w:val="611DC021"/>
    <w:rsid w:val="619DBAAC"/>
    <w:rsid w:val="622A3EB4"/>
    <w:rsid w:val="62C4CCCF"/>
    <w:rsid w:val="6312479C"/>
    <w:rsid w:val="63FC50AE"/>
    <w:rsid w:val="6447C1C8"/>
    <w:rsid w:val="64B01C7D"/>
    <w:rsid w:val="65335BBC"/>
    <w:rsid w:val="655565F2"/>
    <w:rsid w:val="65B162B3"/>
    <w:rsid w:val="65D47D48"/>
    <w:rsid w:val="6678C95A"/>
    <w:rsid w:val="67E810A2"/>
    <w:rsid w:val="688B2F0A"/>
    <w:rsid w:val="68F7EC1D"/>
    <w:rsid w:val="69239A84"/>
    <w:rsid w:val="696BA987"/>
    <w:rsid w:val="69A75887"/>
    <w:rsid w:val="6A474222"/>
    <w:rsid w:val="6A776CB2"/>
    <w:rsid w:val="6A8387B2"/>
    <w:rsid w:val="6B1C08CB"/>
    <w:rsid w:val="6CD3DCE3"/>
    <w:rsid w:val="6CEED73D"/>
    <w:rsid w:val="6D4E19EA"/>
    <w:rsid w:val="6E08634B"/>
    <w:rsid w:val="6FE6F422"/>
    <w:rsid w:val="6FFEAECB"/>
    <w:rsid w:val="7039876B"/>
    <w:rsid w:val="707122F1"/>
    <w:rsid w:val="7187D9E2"/>
    <w:rsid w:val="727FD9EF"/>
    <w:rsid w:val="729A5A7D"/>
    <w:rsid w:val="72BA9185"/>
    <w:rsid w:val="73DD3DCB"/>
    <w:rsid w:val="7439109E"/>
    <w:rsid w:val="74FE3338"/>
    <w:rsid w:val="75A8C108"/>
    <w:rsid w:val="76B4EC82"/>
    <w:rsid w:val="76B602C5"/>
    <w:rsid w:val="77007B4E"/>
    <w:rsid w:val="7854259B"/>
    <w:rsid w:val="787A6AA0"/>
    <w:rsid w:val="789F24A1"/>
    <w:rsid w:val="791C1706"/>
    <w:rsid w:val="7943790B"/>
    <w:rsid w:val="7983A6E1"/>
    <w:rsid w:val="79B33D30"/>
    <w:rsid w:val="79C5C4A0"/>
    <w:rsid w:val="79CCB339"/>
    <w:rsid w:val="7AA1CA9C"/>
    <w:rsid w:val="7B89ECB7"/>
    <w:rsid w:val="7C726898"/>
    <w:rsid w:val="7E05AFF2"/>
    <w:rsid w:val="7ED97936"/>
    <w:rsid w:val="7F02FE95"/>
    <w:rsid w:val="7F366286"/>
    <w:rsid w:val="7F95AC49"/>
    <w:rsid w:val="7FC49A02"/>
    <w:rsid w:val="7FD775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3"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AE5"/>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c,12"/>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c Char,12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Listenabsatz 2,Bullet List,Lista viñetas,Explanation &amp; guidance,Styl moj,Akapit z listą1,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Listenabsatz 2 Char,Bullet Lis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统计型,HTAtableplain,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50473F"/>
    <w:pPr>
      <w:keepNext/>
      <w:keepLines/>
    </w:pPr>
    <w:rPr>
      <w:rFonts w:ascii="Arial Narrow" w:hAnsi="Arial Narrow" w:cs="Arial"/>
      <w:snapToGrid w:val="0"/>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D2D05"/>
    <w:pPr>
      <w:keepLines/>
    </w:pPr>
    <w:rPr>
      <w:rFonts w:ascii="Arial Narrow" w:eastAsiaTheme="majorEastAsia" w:hAnsi="Arial Narrow"/>
      <w:bCs/>
      <w:sz w:val="18"/>
      <w:szCs w:val="22"/>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D1CF0"/>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D1CF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50473F"/>
    <w:rPr>
      <w:rFonts w:ascii="Arial Narrow" w:hAnsi="Arial Narrow" w:cs="Arial"/>
      <w:snapToGrid w:val="0"/>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PBACTabletext">
    <w:name w:val="PBAC Table text"/>
    <w:qFormat/>
    <w:rsid w:val="00A11F8C"/>
    <w:pPr>
      <w:keepNext/>
      <w:keepLines/>
      <w:suppressLineNumbers/>
      <w:spacing w:after="20"/>
      <w:textboxTightWrap w:val="allLines"/>
    </w:pPr>
    <w:rPr>
      <w:rFonts w:ascii="Arial Narrow" w:hAnsi="Arial Narrow" w:cs="Arial"/>
      <w:szCs w:val="24"/>
      <w:lang w:eastAsia="en-GB"/>
    </w:rPr>
  </w:style>
  <w:style w:type="paragraph" w:styleId="FootnoteText">
    <w:name w:val="footnote text"/>
    <w:basedOn w:val="Normal"/>
    <w:link w:val="FootnoteTextChar"/>
    <w:semiHidden/>
    <w:unhideWhenUsed/>
    <w:rsid w:val="00422A9C"/>
    <w:rPr>
      <w:sz w:val="20"/>
      <w:szCs w:val="20"/>
    </w:rPr>
  </w:style>
  <w:style w:type="character" w:customStyle="1" w:styleId="FootnoteTextChar">
    <w:name w:val="Footnote Text Char"/>
    <w:basedOn w:val="DefaultParagraphFont"/>
    <w:link w:val="FootnoteText"/>
    <w:semiHidden/>
    <w:rsid w:val="00422A9C"/>
    <w:rPr>
      <w:rFonts w:ascii="Calibri" w:hAnsi="Calibri" w:cs="Arial"/>
    </w:rPr>
  </w:style>
  <w:style w:type="character" w:styleId="FootnoteReference">
    <w:name w:val="footnote reference"/>
    <w:basedOn w:val="DefaultParagraphFont"/>
    <w:unhideWhenUsed/>
    <w:rsid w:val="00422A9C"/>
    <w:rPr>
      <w:vertAlign w:val="superscript"/>
    </w:rPr>
  </w:style>
  <w:style w:type="character" w:customStyle="1" w:styleId="Heading3Char">
    <w:name w:val="Heading 3 Char"/>
    <w:basedOn w:val="DefaultParagraphFont"/>
    <w:link w:val="Heading3"/>
    <w:uiPriority w:val="9"/>
    <w:rsid w:val="00605508"/>
    <w:rPr>
      <w:rFonts w:ascii="Calibri" w:hAnsi="Calibri" w:cs="Arial"/>
      <w:sz w:val="24"/>
      <w:szCs w:val="24"/>
      <w:u w:val="single"/>
    </w:rPr>
  </w:style>
  <w:style w:type="character" w:styleId="UnresolvedMention">
    <w:name w:val="Unresolved Mention"/>
    <w:basedOn w:val="DefaultParagraphFont"/>
    <w:uiPriority w:val="99"/>
    <w:semiHidden/>
    <w:unhideWhenUsed/>
    <w:rsid w:val="007E7CD3"/>
    <w:rPr>
      <w:color w:val="605E5C"/>
      <w:shd w:val="clear" w:color="auto" w:fill="E1DFDD"/>
    </w:rPr>
  </w:style>
  <w:style w:type="paragraph" w:customStyle="1" w:styleId="PBACTblFignote">
    <w:name w:val="PBAC Tbl/Fig note"/>
    <w:qFormat/>
    <w:rsid w:val="005459E7"/>
    <w:pPr>
      <w:keepNext/>
      <w:keepLines/>
      <w:spacing w:after="360"/>
      <w:contextualSpacing/>
      <w:textboxTightWrap w:val="allLines"/>
    </w:pPr>
    <w:rPr>
      <w:rFonts w:ascii="Arial Narrow" w:hAnsi="Arial Narrow" w:cs="Arial"/>
      <w:sz w:val="18"/>
      <w:szCs w:val="24"/>
      <w:lang w:eastAsia="en-GB"/>
    </w:rPr>
  </w:style>
  <w:style w:type="character" w:styleId="Mention">
    <w:name w:val="Mention"/>
    <w:basedOn w:val="DefaultParagraphFont"/>
    <w:uiPriority w:val="99"/>
    <w:unhideWhenUsed/>
    <w:rsid w:val="00C51A35"/>
    <w:rPr>
      <w:color w:val="2B579A"/>
      <w:shd w:val="clear" w:color="auto" w:fill="E1DFDD"/>
    </w:rPr>
  </w:style>
  <w:style w:type="character" w:customStyle="1" w:styleId="normaltextrun">
    <w:name w:val="normaltextrun"/>
    <w:basedOn w:val="DefaultParagraphFont"/>
    <w:rsid w:val="00285321"/>
  </w:style>
  <w:style w:type="character" w:customStyle="1" w:styleId="eop">
    <w:name w:val="eop"/>
    <w:basedOn w:val="DefaultParagraphFont"/>
    <w:rsid w:val="00285321"/>
  </w:style>
  <w:style w:type="paragraph" w:customStyle="1" w:styleId="3-SubsectionHeading">
    <w:name w:val="3-Subsection Heading"/>
    <w:basedOn w:val="Heading2"/>
    <w:next w:val="Normal"/>
    <w:link w:val="3-SubsectionHeadingChar"/>
    <w:qFormat/>
    <w:rsid w:val="000020D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020D6"/>
    <w:rPr>
      <w:rFonts w:asciiTheme="minorHAnsi" w:eastAsiaTheme="majorEastAsia" w:hAnsiTheme="minorHAnsi" w:cstheme="majorBidi"/>
      <w:b/>
      <w:i/>
      <w:snapToGrid/>
      <w:spacing w:val="5"/>
      <w:kern w:val="28"/>
      <w:sz w:val="28"/>
      <w:szCs w:val="36"/>
      <w:lang w:eastAsia="en-US"/>
    </w:rPr>
  </w:style>
  <w:style w:type="paragraph" w:customStyle="1" w:styleId="Bullet2">
    <w:name w:val="Bullet 2"/>
    <w:basedOn w:val="Normal"/>
    <w:next w:val="Normal"/>
    <w:rsid w:val="00597F94"/>
    <w:pPr>
      <w:numPr>
        <w:ilvl w:val="1"/>
        <w:numId w:val="25"/>
      </w:numPr>
      <w:tabs>
        <w:tab w:val="clear" w:pos="1440"/>
        <w:tab w:val="num" w:pos="993"/>
      </w:tabs>
      <w:spacing w:before="40" w:after="40" w:line="360" w:lineRule="auto"/>
      <w:ind w:left="992" w:hanging="567"/>
    </w:pPr>
    <w:rPr>
      <w:rFonts w:ascii="Arial" w:hAnsi="Arial"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3478">
      <w:bodyDiv w:val="1"/>
      <w:marLeft w:val="0"/>
      <w:marRight w:val="0"/>
      <w:marTop w:val="0"/>
      <w:marBottom w:val="0"/>
      <w:divBdr>
        <w:top w:val="none" w:sz="0" w:space="0" w:color="auto"/>
        <w:left w:val="none" w:sz="0" w:space="0" w:color="auto"/>
        <w:bottom w:val="none" w:sz="0" w:space="0" w:color="auto"/>
        <w:right w:val="none" w:sz="0" w:space="0" w:color="auto"/>
      </w:divBdr>
      <w:divsChild>
        <w:div w:id="2041078444">
          <w:marLeft w:val="0"/>
          <w:marRight w:val="0"/>
          <w:marTop w:val="0"/>
          <w:marBottom w:val="0"/>
          <w:divBdr>
            <w:top w:val="none" w:sz="0" w:space="0" w:color="auto"/>
            <w:left w:val="none" w:sz="0" w:space="0" w:color="auto"/>
            <w:bottom w:val="none" w:sz="0" w:space="0" w:color="auto"/>
            <w:right w:val="none" w:sz="0" w:space="0" w:color="auto"/>
          </w:divBdr>
        </w:div>
      </w:divsChild>
    </w:div>
    <w:div w:id="8272280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340356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4153866">
      <w:bodyDiv w:val="1"/>
      <w:marLeft w:val="0"/>
      <w:marRight w:val="0"/>
      <w:marTop w:val="0"/>
      <w:marBottom w:val="0"/>
      <w:divBdr>
        <w:top w:val="none" w:sz="0" w:space="0" w:color="auto"/>
        <w:left w:val="none" w:sz="0" w:space="0" w:color="auto"/>
        <w:bottom w:val="none" w:sz="0" w:space="0" w:color="auto"/>
        <w:right w:val="none" w:sz="0" w:space="0" w:color="auto"/>
      </w:divBdr>
    </w:div>
    <w:div w:id="1049526231">
      <w:bodyDiv w:val="1"/>
      <w:marLeft w:val="0"/>
      <w:marRight w:val="0"/>
      <w:marTop w:val="0"/>
      <w:marBottom w:val="0"/>
      <w:divBdr>
        <w:top w:val="none" w:sz="0" w:space="0" w:color="auto"/>
        <w:left w:val="none" w:sz="0" w:space="0" w:color="auto"/>
        <w:bottom w:val="none" w:sz="0" w:space="0" w:color="auto"/>
        <w:right w:val="none" w:sz="0" w:space="0" w:color="auto"/>
      </w:divBdr>
      <w:divsChild>
        <w:div w:id="1397897448">
          <w:marLeft w:val="0"/>
          <w:marRight w:val="0"/>
          <w:marTop w:val="0"/>
          <w:marBottom w:val="0"/>
          <w:divBdr>
            <w:top w:val="none" w:sz="0" w:space="0" w:color="auto"/>
            <w:left w:val="none" w:sz="0" w:space="0" w:color="auto"/>
            <w:bottom w:val="none" w:sz="0" w:space="0" w:color="auto"/>
            <w:right w:val="none" w:sz="0" w:space="0" w:color="auto"/>
          </w:divBdr>
          <w:divsChild>
            <w:div w:id="671030720">
              <w:marLeft w:val="0"/>
              <w:marRight w:val="0"/>
              <w:marTop w:val="0"/>
              <w:marBottom w:val="0"/>
              <w:divBdr>
                <w:top w:val="none" w:sz="0" w:space="0" w:color="auto"/>
                <w:left w:val="none" w:sz="0" w:space="0" w:color="auto"/>
                <w:bottom w:val="none" w:sz="0" w:space="0" w:color="auto"/>
                <w:right w:val="none" w:sz="0" w:space="0" w:color="auto"/>
              </w:divBdr>
              <w:divsChild>
                <w:div w:id="2022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9662">
      <w:bodyDiv w:val="1"/>
      <w:marLeft w:val="0"/>
      <w:marRight w:val="0"/>
      <w:marTop w:val="0"/>
      <w:marBottom w:val="0"/>
      <w:divBdr>
        <w:top w:val="none" w:sz="0" w:space="0" w:color="auto"/>
        <w:left w:val="none" w:sz="0" w:space="0" w:color="auto"/>
        <w:bottom w:val="none" w:sz="0" w:space="0" w:color="auto"/>
        <w:right w:val="none" w:sz="0" w:space="0" w:color="auto"/>
      </w:divBdr>
      <w:divsChild>
        <w:div w:id="323895279">
          <w:marLeft w:val="0"/>
          <w:marRight w:val="0"/>
          <w:marTop w:val="0"/>
          <w:marBottom w:val="0"/>
          <w:divBdr>
            <w:top w:val="none" w:sz="0" w:space="0" w:color="auto"/>
            <w:left w:val="none" w:sz="0" w:space="0" w:color="auto"/>
            <w:bottom w:val="none" w:sz="0" w:space="0" w:color="auto"/>
            <w:right w:val="none" w:sz="0" w:space="0" w:color="auto"/>
          </w:divBdr>
          <w:divsChild>
            <w:div w:id="1590698580">
              <w:marLeft w:val="0"/>
              <w:marRight w:val="0"/>
              <w:marTop w:val="0"/>
              <w:marBottom w:val="0"/>
              <w:divBdr>
                <w:top w:val="none" w:sz="0" w:space="0" w:color="auto"/>
                <w:left w:val="none" w:sz="0" w:space="0" w:color="auto"/>
                <w:bottom w:val="none" w:sz="0" w:space="0" w:color="auto"/>
                <w:right w:val="none" w:sz="0" w:space="0" w:color="auto"/>
              </w:divBdr>
              <w:divsChild>
                <w:div w:id="7536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2644974">
      <w:bodyDiv w:val="1"/>
      <w:marLeft w:val="0"/>
      <w:marRight w:val="0"/>
      <w:marTop w:val="0"/>
      <w:marBottom w:val="0"/>
      <w:divBdr>
        <w:top w:val="none" w:sz="0" w:space="0" w:color="auto"/>
        <w:left w:val="none" w:sz="0" w:space="0" w:color="auto"/>
        <w:bottom w:val="none" w:sz="0" w:space="0" w:color="auto"/>
        <w:right w:val="none" w:sz="0" w:space="0" w:color="auto"/>
      </w:divBdr>
    </w:div>
    <w:div w:id="1519998997">
      <w:bodyDiv w:val="1"/>
      <w:marLeft w:val="0"/>
      <w:marRight w:val="0"/>
      <w:marTop w:val="0"/>
      <w:marBottom w:val="0"/>
      <w:divBdr>
        <w:top w:val="none" w:sz="0" w:space="0" w:color="auto"/>
        <w:left w:val="none" w:sz="0" w:space="0" w:color="auto"/>
        <w:bottom w:val="none" w:sz="0" w:space="0" w:color="auto"/>
        <w:right w:val="none" w:sz="0" w:space="0" w:color="auto"/>
      </w:divBdr>
    </w:div>
    <w:div w:id="1591279777">
      <w:bodyDiv w:val="1"/>
      <w:marLeft w:val="0"/>
      <w:marRight w:val="0"/>
      <w:marTop w:val="0"/>
      <w:marBottom w:val="0"/>
      <w:divBdr>
        <w:top w:val="none" w:sz="0" w:space="0" w:color="auto"/>
        <w:left w:val="none" w:sz="0" w:space="0" w:color="auto"/>
        <w:bottom w:val="none" w:sz="0" w:space="0" w:color="auto"/>
        <w:right w:val="none" w:sz="0" w:space="0" w:color="auto"/>
      </w:divBdr>
    </w:div>
    <w:div w:id="1607036127">
      <w:bodyDiv w:val="1"/>
      <w:marLeft w:val="0"/>
      <w:marRight w:val="0"/>
      <w:marTop w:val="0"/>
      <w:marBottom w:val="0"/>
      <w:divBdr>
        <w:top w:val="none" w:sz="0" w:space="0" w:color="auto"/>
        <w:left w:val="none" w:sz="0" w:space="0" w:color="auto"/>
        <w:bottom w:val="none" w:sz="0" w:space="0" w:color="auto"/>
        <w:right w:val="none" w:sz="0" w:space="0" w:color="auto"/>
      </w:divBdr>
    </w:div>
    <w:div w:id="1630354699">
      <w:bodyDiv w:val="1"/>
      <w:marLeft w:val="0"/>
      <w:marRight w:val="0"/>
      <w:marTop w:val="0"/>
      <w:marBottom w:val="0"/>
      <w:divBdr>
        <w:top w:val="none" w:sz="0" w:space="0" w:color="auto"/>
        <w:left w:val="none" w:sz="0" w:space="0" w:color="auto"/>
        <w:bottom w:val="none" w:sz="0" w:space="0" w:color="auto"/>
        <w:right w:val="none" w:sz="0" w:space="0" w:color="auto"/>
      </w:divBdr>
      <w:divsChild>
        <w:div w:id="2028017625">
          <w:marLeft w:val="0"/>
          <w:marRight w:val="0"/>
          <w:marTop w:val="0"/>
          <w:marBottom w:val="0"/>
          <w:divBdr>
            <w:top w:val="none" w:sz="0" w:space="0" w:color="auto"/>
            <w:left w:val="none" w:sz="0" w:space="0" w:color="auto"/>
            <w:bottom w:val="none" w:sz="0" w:space="0" w:color="auto"/>
            <w:right w:val="none" w:sz="0" w:space="0" w:color="auto"/>
          </w:divBdr>
          <w:divsChild>
            <w:div w:id="594124">
              <w:marLeft w:val="0"/>
              <w:marRight w:val="0"/>
              <w:marTop w:val="0"/>
              <w:marBottom w:val="0"/>
              <w:divBdr>
                <w:top w:val="none" w:sz="0" w:space="0" w:color="auto"/>
                <w:left w:val="none" w:sz="0" w:space="0" w:color="auto"/>
                <w:bottom w:val="none" w:sz="0" w:space="0" w:color="auto"/>
                <w:right w:val="none" w:sz="0" w:space="0" w:color="auto"/>
              </w:divBdr>
              <w:divsChild>
                <w:div w:id="9631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4126">
      <w:bodyDiv w:val="1"/>
      <w:marLeft w:val="0"/>
      <w:marRight w:val="0"/>
      <w:marTop w:val="0"/>
      <w:marBottom w:val="0"/>
      <w:divBdr>
        <w:top w:val="none" w:sz="0" w:space="0" w:color="auto"/>
        <w:left w:val="none" w:sz="0" w:space="0" w:color="auto"/>
        <w:bottom w:val="none" w:sz="0" w:space="0" w:color="auto"/>
        <w:right w:val="none" w:sz="0" w:space="0" w:color="auto"/>
      </w:divBdr>
      <w:divsChild>
        <w:div w:id="1887371487">
          <w:marLeft w:val="0"/>
          <w:marRight w:val="0"/>
          <w:marTop w:val="0"/>
          <w:marBottom w:val="0"/>
          <w:divBdr>
            <w:top w:val="none" w:sz="0" w:space="0" w:color="auto"/>
            <w:left w:val="none" w:sz="0" w:space="0" w:color="auto"/>
            <w:bottom w:val="none" w:sz="0" w:space="0" w:color="auto"/>
            <w:right w:val="none" w:sz="0" w:space="0" w:color="auto"/>
          </w:divBdr>
          <w:divsChild>
            <w:div w:id="899175082">
              <w:marLeft w:val="0"/>
              <w:marRight w:val="0"/>
              <w:marTop w:val="0"/>
              <w:marBottom w:val="0"/>
              <w:divBdr>
                <w:top w:val="none" w:sz="0" w:space="0" w:color="auto"/>
                <w:left w:val="none" w:sz="0" w:space="0" w:color="auto"/>
                <w:bottom w:val="none" w:sz="0" w:space="0" w:color="auto"/>
                <w:right w:val="none" w:sz="0" w:space="0" w:color="auto"/>
              </w:divBdr>
              <w:divsChild>
                <w:div w:id="973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162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2806496">
      <w:bodyDiv w:val="1"/>
      <w:marLeft w:val="0"/>
      <w:marRight w:val="0"/>
      <w:marTop w:val="0"/>
      <w:marBottom w:val="0"/>
      <w:divBdr>
        <w:top w:val="none" w:sz="0" w:space="0" w:color="auto"/>
        <w:left w:val="none" w:sz="0" w:space="0" w:color="auto"/>
        <w:bottom w:val="none" w:sz="0" w:space="0" w:color="auto"/>
        <w:right w:val="none" w:sz="0" w:space="0" w:color="auto"/>
      </w:divBdr>
    </w:div>
    <w:div w:id="2093697043">
      <w:bodyDiv w:val="1"/>
      <w:marLeft w:val="0"/>
      <w:marRight w:val="0"/>
      <w:marTop w:val="0"/>
      <w:marBottom w:val="0"/>
      <w:divBdr>
        <w:top w:val="none" w:sz="0" w:space="0" w:color="auto"/>
        <w:left w:val="none" w:sz="0" w:space="0" w:color="auto"/>
        <w:bottom w:val="none" w:sz="0" w:space="0" w:color="auto"/>
        <w:right w:val="none" w:sz="0" w:space="0" w:color="auto"/>
      </w:divBdr>
    </w:div>
    <w:div w:id="2124035981">
      <w:bodyDiv w:val="1"/>
      <w:marLeft w:val="0"/>
      <w:marRight w:val="0"/>
      <w:marTop w:val="0"/>
      <w:marBottom w:val="0"/>
      <w:divBdr>
        <w:top w:val="none" w:sz="0" w:space="0" w:color="auto"/>
        <w:left w:val="none" w:sz="0" w:space="0" w:color="auto"/>
        <w:bottom w:val="none" w:sz="0" w:space="0" w:color="auto"/>
        <w:right w:val="none" w:sz="0" w:space="0" w:color="auto"/>
      </w:divBdr>
    </w:div>
    <w:div w:id="2124183687">
      <w:bodyDiv w:val="1"/>
      <w:marLeft w:val="0"/>
      <w:marRight w:val="0"/>
      <w:marTop w:val="0"/>
      <w:marBottom w:val="0"/>
      <w:divBdr>
        <w:top w:val="none" w:sz="0" w:space="0" w:color="auto"/>
        <w:left w:val="none" w:sz="0" w:space="0" w:color="auto"/>
        <w:bottom w:val="none" w:sz="0" w:space="0" w:color="auto"/>
        <w:right w:val="none" w:sz="0" w:space="0" w:color="auto"/>
      </w:divBdr>
      <w:divsChild>
        <w:div w:id="366029316">
          <w:marLeft w:val="0"/>
          <w:marRight w:val="0"/>
          <w:marTop w:val="0"/>
          <w:marBottom w:val="0"/>
          <w:divBdr>
            <w:top w:val="none" w:sz="0" w:space="0" w:color="auto"/>
            <w:left w:val="none" w:sz="0" w:space="0" w:color="auto"/>
            <w:bottom w:val="none" w:sz="0" w:space="0" w:color="auto"/>
            <w:right w:val="none" w:sz="0" w:space="0" w:color="auto"/>
          </w:divBdr>
          <w:divsChild>
            <w:div w:id="17863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bac.pbs.gov.au/content/information/files/UCM-Release-3-User-Manual-v1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sites/default/files/2024-12/avalglucosidase-alfa-terms-of-reference-and-protocol-quest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sites/default/files/documents/2021/11/procedure-guidance-for-medicines-funded-through-the-life-saving-drugs-program-lsdp.pdf" TargetMode="External"/><Relationship Id="rId2" Type="http://schemas.openxmlformats.org/officeDocument/2006/relationships/hyperlink" Target="https://doi.org/10.1186/1750-1172-8-49" TargetMode="External"/><Relationship Id="rId1" Type="http://schemas.openxmlformats.org/officeDocument/2006/relationships/hyperlink" Target="https://doi.org/10.1212/WNL.0000000000008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B008-5559-4AB7-8F9B-E47E2B054B15}">
  <ds:schemaRefs>
    <ds:schemaRef ds:uri="http://purl.org/dc/elements/1.1/"/>
    <ds:schemaRef ds:uri="http://schemas.microsoft.com/office/2006/metadata/properties"/>
    <ds:schemaRef ds:uri="7f856f8d-13b3-495a-9a4b-41f8182eda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f95629-adac-4ec1-8738-e1cec852b92b"/>
    <ds:schemaRef ds:uri="http://www.w3.org/XML/1998/namespace"/>
    <ds:schemaRef ds:uri="http://purl.org/dc/dcmitype/"/>
  </ds:schemaRefs>
</ds:datastoreItem>
</file>

<file path=customXml/itemProps2.xml><?xml version="1.0" encoding="utf-8"?>
<ds:datastoreItem xmlns:ds="http://schemas.openxmlformats.org/officeDocument/2006/customXml" ds:itemID="{9079AFFF-7FC5-4A7F-841C-4CC94340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F8FB2-A054-4586-BF09-8CCFFCB13EEF}">
  <ds:schemaRefs>
    <ds:schemaRef ds:uri="http://schemas.microsoft.com/sharepoint/v3/contenttype/forms"/>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12014</Words>
  <Characters>66352</Characters>
  <Application>Microsoft Office Word</Application>
  <DocSecurity>0</DocSecurity>
  <Lines>552</Lines>
  <Paragraphs>156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5.02	CIPAGLUCOSIDASE ALFA Powder for I.V infusion 105 mg, Pombiliti® MIGLUSTAT  </vt:lpstr>
      <vt:lpstr>Purpose of submission</vt:lpstr>
      <vt:lpstr>Background</vt:lpstr>
      <vt:lpstr>    Registration status</vt:lpstr>
      <vt:lpstr>    Previous PBAC consideration</vt:lpstr>
      <vt:lpstr>Requested listing</vt:lpstr>
      <vt:lpstr>Population and disease</vt:lpstr>
      <vt:lpstr>Comparator</vt:lpstr>
      <vt:lpstr>Consideration of the evidence</vt:lpstr>
      <vt:lpstr>    Sponsor hearing</vt:lpstr>
      <vt:lpstr>    Consumer comments</vt:lpstr>
      <vt:lpstr>    Clinical Trials</vt:lpstr>
      <vt:lpstr>        Trial outcomes - Minimum Clinically Important Differences</vt:lpstr>
      <vt:lpstr>    Comparative effectiveness</vt:lpstr>
      <vt:lpstr>        Indirect Treatment Comparison comparing CIPAMIG and AVAL</vt:lpstr>
      <vt:lpstr>    Comparative harms</vt:lpstr>
      <vt:lpstr>        Extended Assessment of Harms</vt:lpstr>
      <vt:lpstr>    Benefits/harms</vt:lpstr>
      <vt:lpstr>    Clinical claim</vt:lpstr>
      <vt:lpstr>    Economic analysis </vt:lpstr>
      <vt:lpstr>    Drug/ cost/patient/ year</vt:lpstr>
      <vt:lpstr>    Estimated PBS usage &amp; financial implications</vt:lpstr>
      <vt:lpstr>    Quality Use of Medicines</vt:lpstr>
      <vt:lpstr>    Financial Management – Risk Sharing Arrangements</vt:lpstr>
      <vt:lpstr>        Committee-In-Confidence information</vt:lpstr>
      <vt:lpstr>        End Committee-In-Confidence information</vt:lpstr>
      <vt:lpstr>PBAC Outcome</vt:lpstr>
      <vt:lpstr>Context for Decision</vt:lpstr>
      <vt:lpstr>Sponsor’s Comment</vt:lpstr>
    </vt:vector>
  </TitlesOfParts>
  <Company/>
  <LinksUpToDate>false</LinksUpToDate>
  <CharactersWithSpaces>78210</CharactersWithSpaces>
  <SharedDoc>false</SharedDoc>
  <HLinks>
    <vt:vector size="30" baseType="variant">
      <vt:variant>
        <vt:i4>6619199</vt:i4>
      </vt:variant>
      <vt:variant>
        <vt:i4>135</vt:i4>
      </vt:variant>
      <vt:variant>
        <vt:i4>0</vt:i4>
      </vt:variant>
      <vt:variant>
        <vt:i4>5</vt:i4>
      </vt:variant>
      <vt:variant>
        <vt:lpwstr>https://pbac.pbs.gov.au/content/information/files/UCM-Release-3-User-Manual-v14.pdf</vt:lpwstr>
      </vt:variant>
      <vt:variant>
        <vt:lpwstr/>
      </vt:variant>
      <vt:variant>
        <vt:i4>4587614</vt:i4>
      </vt:variant>
      <vt:variant>
        <vt:i4>3</vt:i4>
      </vt:variant>
      <vt:variant>
        <vt:i4>0</vt:i4>
      </vt:variant>
      <vt:variant>
        <vt:i4>5</vt:i4>
      </vt:variant>
      <vt:variant>
        <vt:lpwstr>https://www.health.gov.au/sites/default/files/2024-12/avalglucosidase-alfa-terms-of-reference-and-protocol-questions.pdf</vt:lpwstr>
      </vt:variant>
      <vt:variant>
        <vt:lpwstr/>
      </vt:variant>
      <vt:variant>
        <vt:i4>3080307</vt:i4>
      </vt:variant>
      <vt:variant>
        <vt:i4>6</vt:i4>
      </vt:variant>
      <vt:variant>
        <vt:i4>0</vt:i4>
      </vt:variant>
      <vt:variant>
        <vt:i4>5</vt:i4>
      </vt:variant>
      <vt:variant>
        <vt:lpwstr>https://www.health.gov.au/sites/default/files/documents/2021/11/procedure-guidance-for-medicines-funded-through-the-life-saving-drugs-program-lsdp.pdf</vt:lpwstr>
      </vt:variant>
      <vt:variant>
        <vt:lpwstr/>
      </vt:variant>
      <vt:variant>
        <vt:i4>2293883</vt:i4>
      </vt:variant>
      <vt:variant>
        <vt:i4>3</vt:i4>
      </vt:variant>
      <vt:variant>
        <vt:i4>0</vt:i4>
      </vt:variant>
      <vt:variant>
        <vt:i4>5</vt:i4>
      </vt:variant>
      <vt:variant>
        <vt:lpwstr>https://doi.org/10.1186/1750-1172-8-49</vt:lpwstr>
      </vt:variant>
      <vt:variant>
        <vt:lpwstr/>
      </vt:variant>
      <vt:variant>
        <vt:i4>5701709</vt:i4>
      </vt:variant>
      <vt:variant>
        <vt:i4>0</vt:i4>
      </vt:variant>
      <vt:variant>
        <vt:i4>0</vt:i4>
      </vt:variant>
      <vt:variant>
        <vt:i4>5</vt:i4>
      </vt:variant>
      <vt:variant>
        <vt:lpwstr>https://doi.org/10.1212/WNL.0000000000008441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2025-07-08T01:04:00Z</dcterms:created>
  <dcterms:modified xsi:type="dcterms:W3CDTF">2025-07-16T10:26:00Z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